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190A">
      <w:pPr>
        <w:jc w:val="center"/>
        <w:rPr>
          <w:rFonts w:ascii="宋体" w:hAnsi="宋体" w:eastAsia="宋体" w:cs="宋体"/>
          <w:sz w:val="24"/>
          <w:szCs w:val="24"/>
        </w:rPr>
      </w:pPr>
    </w:p>
    <w:p w14:paraId="54951057">
      <w:pPr>
        <w:jc w:val="center"/>
        <w:rPr>
          <w:rFonts w:ascii="宋体" w:hAnsi="宋体" w:eastAsia="宋体" w:cs="宋体"/>
          <w:sz w:val="24"/>
          <w:szCs w:val="24"/>
        </w:rPr>
      </w:pPr>
    </w:p>
    <w:p w14:paraId="45A1BE7D">
      <w:pPr>
        <w:jc w:val="center"/>
        <w:rPr>
          <w:rFonts w:ascii="宋体" w:hAnsi="宋体" w:eastAsia="宋体" w:cs="宋体"/>
          <w:sz w:val="24"/>
          <w:szCs w:val="24"/>
        </w:rPr>
      </w:pPr>
    </w:p>
    <w:p w14:paraId="6A4C366A">
      <w:pPr>
        <w:jc w:val="center"/>
        <w:rPr>
          <w:rFonts w:ascii="宋体" w:hAnsi="宋体" w:eastAsia="宋体" w:cs="宋体"/>
          <w:sz w:val="24"/>
          <w:szCs w:val="24"/>
        </w:rPr>
      </w:pPr>
    </w:p>
    <w:p w14:paraId="259167C4">
      <w:pPr>
        <w:jc w:val="center"/>
        <w:rPr>
          <w:rFonts w:ascii="宋体" w:hAnsi="宋体" w:eastAsia="宋体" w:cs="宋体"/>
          <w:sz w:val="24"/>
          <w:szCs w:val="24"/>
        </w:rPr>
      </w:pPr>
    </w:p>
    <w:p w14:paraId="3B8B4DCE">
      <w:pPr>
        <w:jc w:val="center"/>
        <w:rPr>
          <w:rFonts w:ascii="宋体" w:hAnsi="宋体" w:eastAsia="宋体" w:cs="宋体"/>
          <w:sz w:val="24"/>
          <w:szCs w:val="24"/>
        </w:rPr>
      </w:pPr>
    </w:p>
    <w:p w14:paraId="2C0E32C1">
      <w:pPr>
        <w:jc w:val="center"/>
        <w:rPr>
          <w:rFonts w:ascii="宋体" w:hAnsi="宋体" w:eastAsia="宋体" w:cs="宋体"/>
          <w:sz w:val="24"/>
          <w:szCs w:val="24"/>
        </w:rPr>
      </w:pPr>
    </w:p>
    <w:p w14:paraId="310266BE">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bCs/>
          <w:sz w:val="44"/>
          <w:szCs w:val="44"/>
          <w:lang w:eastAsia="zh-CN"/>
        </w:rPr>
      </w:pPr>
      <w:bookmarkStart w:id="0" w:name="_Toc25228"/>
      <w:r>
        <w:rPr>
          <w:rFonts w:hint="eastAsia" w:ascii="宋体" w:hAnsi="宋体" w:eastAsia="宋体" w:cs="宋体"/>
          <w:b/>
          <w:bCs/>
          <w:sz w:val="44"/>
          <w:szCs w:val="44"/>
          <w:lang w:eastAsia="zh-CN"/>
        </w:rPr>
        <w:t>2025年水磨沟区公共绿地市场化养护</w:t>
      </w:r>
    </w:p>
    <w:p w14:paraId="373EFCBD">
      <w:pPr>
        <w:pStyle w:val="8"/>
        <w:rPr>
          <w:rFonts w:hint="eastAsia"/>
          <w:lang w:eastAsia="zh-CN"/>
        </w:rPr>
      </w:pPr>
    </w:p>
    <w:p w14:paraId="4F2295ED">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宋体" w:hAnsi="宋体" w:eastAsia="宋体" w:cs="宋体"/>
          <w:b/>
          <w:bCs/>
          <w:sz w:val="44"/>
          <w:szCs w:val="44"/>
        </w:rPr>
      </w:pPr>
    </w:p>
    <w:p w14:paraId="4638B9C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宋体" w:hAnsi="宋体" w:eastAsia="宋体" w:cs="宋体"/>
          <w:b/>
          <w:bCs/>
          <w:sz w:val="44"/>
          <w:szCs w:val="44"/>
        </w:rPr>
      </w:pPr>
    </w:p>
    <w:p w14:paraId="0A6010B1">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宋体" w:hAnsi="宋体" w:eastAsia="宋体" w:cs="宋体"/>
          <w:b/>
          <w:bCs/>
          <w:sz w:val="44"/>
          <w:szCs w:val="44"/>
        </w:rPr>
      </w:pPr>
      <w:r>
        <w:rPr>
          <w:rFonts w:ascii="宋体" w:hAnsi="宋体" w:eastAsia="宋体" w:cs="宋体"/>
          <w:b/>
          <w:bCs/>
          <w:sz w:val="44"/>
          <w:szCs w:val="44"/>
        </w:rPr>
        <w:t>公开招标文件</w:t>
      </w:r>
      <w:bookmarkEnd w:id="0"/>
    </w:p>
    <w:p w14:paraId="239E3AF4">
      <w:pPr>
        <w:rPr>
          <w:rFonts w:ascii="宋体" w:hAnsi="宋体" w:eastAsia="宋体" w:cs="宋体"/>
          <w:sz w:val="24"/>
          <w:szCs w:val="24"/>
        </w:rPr>
      </w:pPr>
    </w:p>
    <w:p w14:paraId="5CE25C45">
      <w:pPr>
        <w:rPr>
          <w:rFonts w:ascii="宋体" w:hAnsi="宋体" w:eastAsia="宋体" w:cs="宋体"/>
          <w:sz w:val="24"/>
          <w:szCs w:val="24"/>
        </w:rPr>
      </w:pPr>
    </w:p>
    <w:p w14:paraId="2F2044E0">
      <w:pPr>
        <w:rPr>
          <w:rFonts w:ascii="宋体" w:hAnsi="宋体" w:eastAsia="宋体" w:cs="宋体"/>
          <w:sz w:val="24"/>
          <w:szCs w:val="24"/>
        </w:rPr>
      </w:pPr>
    </w:p>
    <w:p w14:paraId="0A178472">
      <w:pPr>
        <w:rPr>
          <w:rFonts w:ascii="宋体" w:hAnsi="宋体" w:eastAsia="宋体" w:cs="宋体"/>
          <w:sz w:val="24"/>
          <w:szCs w:val="24"/>
        </w:rPr>
      </w:pPr>
    </w:p>
    <w:p w14:paraId="0FA0ABBB">
      <w:pPr>
        <w:rPr>
          <w:rFonts w:ascii="宋体" w:hAnsi="宋体" w:eastAsia="宋体" w:cs="宋体"/>
          <w:sz w:val="24"/>
          <w:szCs w:val="24"/>
        </w:rPr>
      </w:pPr>
    </w:p>
    <w:p w14:paraId="71ACC1B4">
      <w:pPr>
        <w:rPr>
          <w:rFonts w:ascii="宋体" w:hAnsi="宋体" w:eastAsia="宋体" w:cs="宋体"/>
          <w:sz w:val="24"/>
          <w:szCs w:val="24"/>
        </w:rPr>
      </w:pPr>
    </w:p>
    <w:p w14:paraId="6AFF6CB5">
      <w:pPr>
        <w:rPr>
          <w:rFonts w:ascii="宋体" w:hAnsi="宋体" w:eastAsia="宋体" w:cs="宋体"/>
          <w:sz w:val="24"/>
          <w:szCs w:val="24"/>
        </w:rPr>
      </w:pPr>
    </w:p>
    <w:p w14:paraId="58637603">
      <w:pPr>
        <w:rPr>
          <w:rFonts w:ascii="宋体" w:hAnsi="宋体" w:eastAsia="宋体" w:cs="宋体"/>
          <w:sz w:val="24"/>
          <w:szCs w:val="24"/>
        </w:rPr>
      </w:pPr>
    </w:p>
    <w:p w14:paraId="5AE5FE78">
      <w:pPr>
        <w:rPr>
          <w:rFonts w:ascii="宋体" w:hAnsi="宋体" w:eastAsia="宋体" w:cs="宋体"/>
          <w:sz w:val="24"/>
          <w:szCs w:val="24"/>
        </w:rPr>
      </w:pPr>
    </w:p>
    <w:p w14:paraId="0232A6AA">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ascii="宋体" w:hAnsi="宋体" w:eastAsia="宋体" w:cs="宋体"/>
          <w:sz w:val="28"/>
          <w:szCs w:val="28"/>
        </w:rPr>
        <w:t>项目名称：</w:t>
      </w:r>
      <w:r>
        <w:rPr>
          <w:rFonts w:hint="eastAsia" w:ascii="宋体" w:hAnsi="宋体" w:eastAsia="宋体" w:cs="宋体"/>
          <w:sz w:val="28"/>
          <w:szCs w:val="28"/>
          <w:highlight w:val="none"/>
          <w:lang w:eastAsia="zh-CN"/>
        </w:rPr>
        <w:t>2025年水磨沟区公共绿地市场化养护</w:t>
      </w:r>
    </w:p>
    <w:p w14:paraId="506EF0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ascii="宋体" w:hAnsi="宋体" w:eastAsia="宋体" w:cs="宋体"/>
          <w:sz w:val="28"/>
          <w:szCs w:val="28"/>
        </w:rPr>
        <w:t>项目编号：</w:t>
      </w:r>
      <w:r>
        <w:rPr>
          <w:rFonts w:hint="eastAsia" w:ascii="宋体" w:hAnsi="宋体" w:eastAsia="宋体" w:cs="宋体"/>
          <w:sz w:val="28"/>
          <w:szCs w:val="28"/>
          <w:lang w:eastAsia="zh-CN"/>
        </w:rPr>
        <w:t>XSY-2025-Z-130</w:t>
      </w:r>
    </w:p>
    <w:p w14:paraId="2D6DEB25">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ascii="宋体" w:hAnsi="宋体" w:eastAsia="宋体" w:cs="宋体"/>
          <w:sz w:val="28"/>
          <w:szCs w:val="28"/>
        </w:rPr>
        <w:t>采 购 人：</w:t>
      </w:r>
      <w:r>
        <w:rPr>
          <w:rFonts w:hint="eastAsia" w:ascii="宋体" w:hAnsi="宋体" w:eastAsia="宋体" w:cs="宋体"/>
          <w:sz w:val="28"/>
          <w:szCs w:val="28"/>
          <w:highlight w:val="none"/>
          <w:lang w:eastAsia="zh-CN"/>
        </w:rPr>
        <w:t>乌鲁木齐市水磨沟区园林队</w:t>
      </w:r>
    </w:p>
    <w:p w14:paraId="4F21D179">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新疆星圣源工程项目管理有限公司</w:t>
      </w:r>
    </w:p>
    <w:p w14:paraId="686E0AA5">
      <w:pPr>
        <w:spacing w:before="0" w:beforeLines="0" w:after="0" w:afterLines="0" w:line="240" w:lineRule="auto"/>
        <w:ind w:left="0" w:leftChars="0" w:right="0" w:rightChars="0" w:firstLine="0" w:firstLineChars="0"/>
        <w:jc w:val="center"/>
        <w:rPr>
          <w:rFonts w:ascii="宋体" w:hAnsi="宋体" w:eastAsia="宋体"/>
          <w:sz w:val="21"/>
        </w:rPr>
      </w:pPr>
    </w:p>
    <w:p w14:paraId="7C16BAA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4"/>
          <w:szCs w:val="44"/>
        </w:rPr>
      </w:pPr>
      <w:r>
        <w:rPr>
          <w:rFonts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ascii="宋体" w:hAnsi="宋体" w:eastAsia="宋体" w:cs="宋体"/>
          <w:b/>
          <w:bCs/>
          <w:sz w:val="44"/>
          <w:szCs w:val="44"/>
        </w:rPr>
        <w:t>录</w:t>
      </w:r>
    </w:p>
    <w:p w14:paraId="57756982">
      <w:pPr>
        <w:pStyle w:val="23"/>
        <w:tabs>
          <w:tab w:val="right" w:leader="dot" w:pos="8306"/>
        </w:tabs>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"1-1" \h \u </w:instrText>
      </w:r>
      <w:r>
        <w:rPr>
          <w:rFonts w:hint="eastAsia" w:ascii="宋体" w:hAnsi="宋体" w:eastAsia="宋体" w:cs="宋体"/>
          <w:sz w:val="28"/>
          <w:szCs w:val="28"/>
          <w:lang w:eastAsia="zh-CN"/>
        </w:rPr>
        <w:fldChar w:fldCharType="separate"/>
      </w:r>
    </w:p>
    <w:p w14:paraId="3BE30155">
      <w:pPr>
        <w:pStyle w:val="23"/>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_Toc25470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0"/>
          <w:lang w:val="en-US" w:eastAsia="zh-CN"/>
        </w:rPr>
        <w:t>第一章 投标邀请</w:t>
      </w:r>
      <w:r>
        <w:rPr>
          <w:sz w:val="28"/>
          <w:szCs w:val="28"/>
        </w:rPr>
        <w:tab/>
      </w:r>
      <w:r>
        <w:rPr>
          <w:rFonts w:hint="eastAsia"/>
          <w:sz w:val="28"/>
          <w:szCs w:val="28"/>
          <w:lang w:val="en-US" w:eastAsia="zh-CN"/>
        </w:rPr>
        <w:t>1</w:t>
      </w:r>
      <w:r>
        <w:rPr>
          <w:rFonts w:hint="eastAsia" w:ascii="宋体" w:hAnsi="宋体" w:eastAsia="宋体" w:cs="宋体"/>
          <w:sz w:val="28"/>
          <w:szCs w:val="44"/>
          <w:lang w:eastAsia="zh-CN"/>
        </w:rPr>
        <w:fldChar w:fldCharType="end"/>
      </w:r>
    </w:p>
    <w:p w14:paraId="5DB1A504">
      <w:pPr>
        <w:pStyle w:val="23"/>
        <w:tabs>
          <w:tab w:val="right" w:leader="dot" w:pos="8306"/>
        </w:tabs>
        <w:rPr>
          <w:sz w:val="28"/>
          <w:szCs w:val="28"/>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_Toc17312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第二章 </w:t>
      </w:r>
      <w:r>
        <w:rPr>
          <w:rFonts w:ascii="宋体" w:hAnsi="宋体" w:eastAsia="宋体" w:cs="宋体"/>
          <w:bCs/>
          <w:sz w:val="28"/>
          <w:szCs w:val="56"/>
        </w:rPr>
        <w:t>投标人须知</w:t>
      </w:r>
      <w:r>
        <w:rPr>
          <w:sz w:val="28"/>
          <w:szCs w:val="28"/>
        </w:rPr>
        <w:tab/>
      </w:r>
      <w:r>
        <w:rPr>
          <w:rFonts w:hint="eastAsia"/>
          <w:sz w:val="28"/>
          <w:szCs w:val="28"/>
          <w:lang w:val="en-US" w:eastAsia="zh-CN"/>
        </w:rPr>
        <w:t>4</w:t>
      </w:r>
      <w:r>
        <w:rPr>
          <w:rFonts w:hint="eastAsia" w:ascii="宋体" w:hAnsi="宋体" w:eastAsia="宋体" w:cs="宋体"/>
          <w:sz w:val="28"/>
          <w:szCs w:val="44"/>
          <w:lang w:eastAsia="zh-CN"/>
        </w:rPr>
        <w:fldChar w:fldCharType="end"/>
      </w:r>
    </w:p>
    <w:p w14:paraId="0E27C6B1">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_Toc2285 </w:instrText>
      </w:r>
      <w:r>
        <w:rPr>
          <w:rFonts w:hint="eastAsia" w:ascii="宋体" w:hAnsi="宋体" w:eastAsia="宋体" w:cs="宋体"/>
          <w:sz w:val="28"/>
          <w:szCs w:val="44"/>
          <w:lang w:eastAsia="zh-CN"/>
        </w:rPr>
        <w:fldChar w:fldCharType="separate"/>
      </w:r>
      <w:r>
        <w:rPr>
          <w:rFonts w:ascii="宋体" w:hAnsi="宋体" w:eastAsia="宋体" w:cs="宋体"/>
          <w:bCs/>
          <w:sz w:val="28"/>
          <w:szCs w:val="56"/>
        </w:rPr>
        <w:t>第三章 资格审查</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w:t>
      </w:r>
    </w:p>
    <w:p w14:paraId="30F62C41">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_Toc13790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 xml:space="preserve">第四章  </w:t>
      </w:r>
      <w:r>
        <w:rPr>
          <w:rFonts w:ascii="宋体" w:hAnsi="宋体" w:eastAsia="宋体" w:cs="宋体"/>
          <w:bCs/>
          <w:sz w:val="28"/>
          <w:szCs w:val="56"/>
        </w:rPr>
        <w:t>评标程序、评标方法和评标标准</w:t>
      </w:r>
      <w:r>
        <w:rPr>
          <w:sz w:val="28"/>
          <w:szCs w:val="28"/>
        </w:rPr>
        <w:tab/>
      </w:r>
      <w:r>
        <w:rPr>
          <w:rFonts w:hint="eastAsia"/>
          <w:sz w:val="28"/>
          <w:szCs w:val="28"/>
          <w:lang w:val="en-US" w:eastAsia="zh-CN"/>
        </w:rPr>
        <w:t>2</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7</w:t>
      </w:r>
    </w:p>
    <w:p w14:paraId="25C14C06">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_Toc28339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第五章  采购需求</w:t>
      </w:r>
      <w:r>
        <w:rPr>
          <w:sz w:val="28"/>
          <w:szCs w:val="28"/>
        </w:rPr>
        <w:tab/>
      </w:r>
      <w:r>
        <w:rPr>
          <w:rFonts w:hint="eastAsia"/>
          <w:sz w:val="28"/>
          <w:szCs w:val="28"/>
          <w:lang w:val="en-US" w:eastAsia="zh-CN"/>
        </w:rPr>
        <w:t>3</w:t>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6</w:t>
      </w:r>
    </w:p>
    <w:p w14:paraId="2425EC9F">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_Toc8874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第六章  拟签订的合同文本</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53</w:t>
      </w:r>
    </w:p>
    <w:p w14:paraId="3D475645">
      <w:pPr>
        <w:pStyle w:val="23"/>
        <w:tabs>
          <w:tab w:val="right" w:leader="dot" w:pos="8306"/>
        </w:tabs>
        <w:rPr>
          <w:rFonts w:hint="default"/>
          <w:sz w:val="28"/>
          <w:szCs w:val="28"/>
          <w:lang w:val="en-US"/>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HYPERLINK \l _Toc21266 </w:instrText>
      </w:r>
      <w:r>
        <w:rPr>
          <w:rFonts w:hint="eastAsia" w:ascii="宋体" w:hAnsi="宋体" w:eastAsia="宋体" w:cs="宋体"/>
          <w:sz w:val="28"/>
          <w:szCs w:val="44"/>
          <w:lang w:eastAsia="zh-CN"/>
        </w:rPr>
        <w:fldChar w:fldCharType="separate"/>
      </w:r>
      <w:r>
        <w:rPr>
          <w:rFonts w:hint="eastAsia" w:ascii="宋体" w:hAnsi="宋体" w:eastAsia="宋体" w:cs="宋体"/>
          <w:bCs/>
          <w:sz w:val="28"/>
          <w:szCs w:val="56"/>
          <w:lang w:val="en-US" w:eastAsia="zh-CN"/>
        </w:rPr>
        <w:t>第七章  投标文件格式</w:t>
      </w:r>
      <w:r>
        <w:rPr>
          <w:sz w:val="28"/>
          <w:szCs w:val="28"/>
        </w:rPr>
        <w:tab/>
      </w:r>
      <w:r>
        <w:rPr>
          <w:rFonts w:hint="eastAsia" w:ascii="宋体" w:hAnsi="宋体" w:eastAsia="宋体" w:cs="宋体"/>
          <w:sz w:val="28"/>
          <w:szCs w:val="44"/>
          <w:lang w:eastAsia="zh-CN"/>
        </w:rPr>
        <w:fldChar w:fldCharType="end"/>
      </w:r>
      <w:r>
        <w:rPr>
          <w:rFonts w:hint="eastAsia" w:ascii="宋体" w:hAnsi="宋体" w:cs="宋体"/>
          <w:sz w:val="28"/>
          <w:szCs w:val="44"/>
          <w:lang w:val="en-US" w:eastAsia="zh-CN"/>
        </w:rPr>
        <w:t>59</w:t>
      </w:r>
    </w:p>
    <w:p w14:paraId="122A31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8"/>
          <w:lang w:eastAsia="zh-CN"/>
        </w:rPr>
        <w:fldChar w:fldCharType="end"/>
      </w:r>
    </w:p>
    <w:p w14:paraId="15FE50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第一章 投标邀请</w:t>
      </w:r>
    </w:p>
    <w:p w14:paraId="06EF10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2CEEC7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1.项目编号：</w:t>
      </w:r>
      <w:r>
        <w:rPr>
          <w:rFonts w:hint="eastAsia" w:ascii="宋体" w:hAnsi="宋体" w:eastAsia="宋体" w:cs="宋体"/>
          <w:sz w:val="24"/>
          <w:szCs w:val="24"/>
          <w:lang w:eastAsia="zh-CN"/>
        </w:rPr>
        <w:t>XSY-2025-Z-130</w:t>
      </w:r>
    </w:p>
    <w:p w14:paraId="29D7703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440" w:leftChars="0" w:hanging="1440" w:hangingChars="600"/>
        <w:textAlignment w:val="auto"/>
        <w:rPr>
          <w:rFonts w:hint="eastAsia" w:ascii="宋体" w:hAnsi="宋体" w:eastAsia="宋体" w:cs="宋体"/>
          <w:sz w:val="24"/>
          <w:szCs w:val="24"/>
          <w:lang w:eastAsia="zh-CN"/>
        </w:rPr>
      </w:pPr>
      <w:r>
        <w:rPr>
          <w:rFonts w:ascii="宋体" w:hAnsi="宋体" w:eastAsia="宋体" w:cs="宋体"/>
          <w:sz w:val="24"/>
          <w:szCs w:val="24"/>
        </w:rPr>
        <w:t>2.项目名称：</w:t>
      </w:r>
      <w:r>
        <w:rPr>
          <w:rFonts w:hint="eastAsia" w:ascii="宋体" w:hAnsi="宋体" w:eastAsia="宋体" w:cs="宋体"/>
          <w:sz w:val="24"/>
          <w:szCs w:val="24"/>
          <w:highlight w:val="none"/>
          <w:lang w:eastAsia="zh-CN"/>
        </w:rPr>
        <w:t>2025年水磨沟区公共绿地市场化养护</w:t>
      </w:r>
    </w:p>
    <w:p w14:paraId="5D34F0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highlight w:val="none"/>
          <w:lang w:val="en-US" w:eastAsia="zh-CN"/>
        </w:rPr>
      </w:pPr>
      <w:r>
        <w:rPr>
          <w:rFonts w:ascii="宋体" w:hAnsi="宋体" w:eastAsia="宋体" w:cs="宋体"/>
          <w:sz w:val="24"/>
          <w:szCs w:val="24"/>
        </w:rPr>
        <w:t>3.项目预算金额</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23947740.8元 </w:t>
      </w:r>
    </w:p>
    <w:p w14:paraId="6D22E62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240" w:firstLineChars="100"/>
        <w:textAlignment w:val="auto"/>
        <w:rPr>
          <w:rFonts w:ascii="宋体" w:hAnsi="宋体" w:eastAsia="宋体" w:cs="宋体"/>
          <w:sz w:val="24"/>
          <w:szCs w:val="24"/>
          <w:highlight w:val="none"/>
        </w:rPr>
      </w:pPr>
      <w:r>
        <w:rPr>
          <w:rFonts w:ascii="宋体" w:hAnsi="宋体" w:eastAsia="宋体" w:cs="宋体"/>
          <w:sz w:val="24"/>
          <w:szCs w:val="24"/>
          <w:highlight w:val="none"/>
        </w:rPr>
        <w:t>项目最高限价（如有）：</w:t>
      </w:r>
      <w:r>
        <w:rPr>
          <w:rFonts w:hint="eastAsia" w:ascii="宋体" w:hAnsi="宋体" w:eastAsia="宋体" w:cs="宋体"/>
          <w:sz w:val="24"/>
          <w:szCs w:val="24"/>
          <w:highlight w:val="none"/>
          <w:lang w:val="en-US" w:eastAsia="zh-CN"/>
        </w:rPr>
        <w:t xml:space="preserve">23947740.8元 </w:t>
      </w:r>
    </w:p>
    <w:p w14:paraId="08D28F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4.采购需求：对水磨沟区的2427052.74㎡公共绿地进行市场化养护，按照园林绿化养护要求，保证绿地的完整率，确保乔灌木、花卉的成活率并进行病虫害防治。</w:t>
      </w:r>
    </w:p>
    <w:p w14:paraId="6E91D569">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（服务期限）</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合同签订后</w:t>
      </w:r>
      <w:r>
        <w:rPr>
          <w:rFonts w:hint="eastAsia" w:ascii="宋体" w:hAnsi="宋体" w:eastAsia="宋体" w:cs="宋体"/>
          <w:sz w:val="24"/>
          <w:szCs w:val="24"/>
          <w:highlight w:val="none"/>
        </w:rPr>
        <w:t>三年，合同一年一签。</w:t>
      </w:r>
    </w:p>
    <w:p w14:paraId="69227575">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本项目是否接受联合体投标：</w:t>
      </w:r>
      <w:r>
        <w:rPr>
          <w:rFonts w:hint="eastAsia" w:ascii="宋体" w:hAnsi="宋体" w:eastAsia="宋体" w:cs="宋体"/>
          <w:sz w:val="24"/>
          <w:szCs w:val="24"/>
          <w:lang w:eastAsia="zh-CN"/>
        </w:rPr>
        <w:t>☑</w:t>
      </w:r>
      <w:r>
        <w:rPr>
          <w:rFonts w:ascii="宋体" w:hAnsi="宋体" w:eastAsia="宋体" w:cs="宋体"/>
          <w:sz w:val="24"/>
          <w:szCs w:val="24"/>
        </w:rPr>
        <w:t xml:space="preserve">是 </w:t>
      </w:r>
      <w:r>
        <w:rPr>
          <w:rFonts w:hint="eastAsia" w:ascii="宋体" w:hAnsi="宋体" w:eastAsia="宋体" w:cs="宋体"/>
          <w:sz w:val="24"/>
          <w:szCs w:val="24"/>
          <w:lang w:eastAsia="zh-CN"/>
        </w:rPr>
        <w:t>□</w:t>
      </w:r>
      <w:r>
        <w:rPr>
          <w:rFonts w:ascii="宋体" w:hAnsi="宋体" w:eastAsia="宋体" w:cs="宋体"/>
          <w:sz w:val="24"/>
          <w:szCs w:val="24"/>
        </w:rPr>
        <w:t>否。</w:t>
      </w:r>
    </w:p>
    <w:p w14:paraId="77B91D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 xml:space="preserve">申请人的资格要求（须同时满足） </w:t>
      </w:r>
    </w:p>
    <w:p w14:paraId="17DE67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1.满足《中华人民共和国政府采购法》第二十二条规定； </w:t>
      </w:r>
    </w:p>
    <w:p w14:paraId="1B4446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2.落实政府采购政策需满足的资格要求： </w:t>
      </w:r>
    </w:p>
    <w:p w14:paraId="7CB4ED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本项目专门面向中小企业预留份额为40%,其中专门面向小微企业预留份额为60%。联合体投标的单位，中小企业合同金额应不低于以上预留比例，联合体各成员企业之间不得存在直接控股、管理关系。</w:t>
      </w:r>
    </w:p>
    <w:p w14:paraId="685BBB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u w:val="single"/>
          <w:lang w:val="en-US" w:eastAsia="zh-CN"/>
        </w:rPr>
      </w:pPr>
      <w:r>
        <w:rPr>
          <w:rFonts w:ascii="宋体" w:hAnsi="宋体" w:eastAsia="宋体" w:cs="宋体"/>
          <w:sz w:val="24"/>
          <w:szCs w:val="24"/>
          <w:highlight w:val="none"/>
        </w:rPr>
        <w:t>3.本项目的特定资格要求：</w:t>
      </w:r>
      <w:r>
        <w:rPr>
          <w:rFonts w:hint="eastAsia" w:ascii="宋体" w:hAnsi="宋体" w:eastAsia="宋体" w:cs="宋体"/>
          <w:sz w:val="24"/>
          <w:szCs w:val="24"/>
          <w:highlight w:val="none"/>
          <w:lang w:eastAsia="zh-CN"/>
        </w:rPr>
        <w:t>无。</w:t>
      </w:r>
    </w:p>
    <w:p w14:paraId="1FA784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1BEECC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240" w:firstLineChars="100"/>
        <w:textAlignment w:val="auto"/>
        <w:rPr>
          <w:rFonts w:ascii="宋体" w:hAnsi="宋体" w:eastAsia="宋体" w:cs="宋体"/>
          <w:sz w:val="24"/>
          <w:szCs w:val="24"/>
        </w:rPr>
      </w:pPr>
      <w:r>
        <w:rPr>
          <w:rFonts w:ascii="宋体" w:hAnsi="宋体" w:eastAsia="宋体" w:cs="宋体"/>
          <w:sz w:val="24"/>
          <w:szCs w:val="24"/>
        </w:rPr>
        <w:t>1.时间：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21 </w:t>
      </w:r>
      <w:r>
        <w:rPr>
          <w:rFonts w:ascii="宋体" w:hAnsi="宋体" w:eastAsia="宋体" w:cs="宋体"/>
          <w:sz w:val="24"/>
          <w:szCs w:val="24"/>
          <w:highlight w:val="cyan"/>
        </w:rPr>
        <w:t>日至</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07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28 </w:t>
      </w:r>
      <w:r>
        <w:rPr>
          <w:rFonts w:ascii="宋体" w:hAnsi="宋体" w:eastAsia="宋体" w:cs="宋体"/>
          <w:sz w:val="24"/>
          <w:szCs w:val="24"/>
          <w:highlight w:val="cyan"/>
        </w:rPr>
        <w:t>日</w:t>
      </w:r>
      <w:r>
        <w:rPr>
          <w:rFonts w:ascii="宋体" w:hAnsi="宋体" w:eastAsia="宋体" w:cs="宋体"/>
          <w:sz w:val="24"/>
          <w:szCs w:val="24"/>
        </w:rPr>
        <w:t>，每天上午</w:t>
      </w:r>
      <w:r>
        <w:rPr>
          <w:rFonts w:hint="eastAsia" w:ascii="宋体" w:hAnsi="宋体" w:eastAsia="宋体" w:cs="宋体"/>
          <w:sz w:val="24"/>
          <w:szCs w:val="24"/>
          <w:u w:val="single"/>
          <w:lang w:val="en-US" w:eastAsia="zh-CN"/>
        </w:rPr>
        <w:t xml:space="preserve"> 00：00</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，下午</w:t>
      </w:r>
      <w:r>
        <w:rPr>
          <w:rFonts w:hint="eastAsia" w:ascii="宋体" w:hAnsi="宋体" w:eastAsia="宋体" w:cs="宋体"/>
          <w:sz w:val="24"/>
          <w:szCs w:val="24"/>
          <w:u w:val="single"/>
          <w:lang w:val="en-US" w:eastAsia="zh-CN"/>
        </w:rPr>
        <w:t xml:space="preserve"> 14：00 </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23：59 </w:t>
      </w:r>
      <w:r>
        <w:rPr>
          <w:rFonts w:ascii="宋体" w:hAnsi="宋体" w:eastAsia="宋体" w:cs="宋体"/>
          <w:sz w:val="24"/>
          <w:szCs w:val="24"/>
        </w:rPr>
        <w:t xml:space="preserve">（北京时间，法定节假日除外）。 </w:t>
      </w:r>
    </w:p>
    <w:p w14:paraId="480B94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政采云平台http</w:t>
      </w:r>
      <w:r>
        <w:rPr>
          <w:rFonts w:hint="eastAsia" w:ascii="宋体" w:hAnsi="宋体" w:eastAsia="宋体" w:cs="宋体"/>
          <w:sz w:val="24"/>
          <w:szCs w:val="24"/>
          <w:lang w:eastAsia="zh-CN"/>
        </w:rPr>
        <w:t>：</w:t>
      </w:r>
      <w:r>
        <w:rPr>
          <w:rFonts w:hint="eastAsia" w:ascii="宋体" w:hAnsi="宋体" w:eastAsia="宋体" w:cs="宋体"/>
          <w:sz w:val="24"/>
          <w:szCs w:val="24"/>
        </w:rPr>
        <w:t>//www.zcygov.cn/</w:t>
      </w:r>
      <w:r>
        <w:rPr>
          <w:rFonts w:ascii="宋体" w:hAnsi="宋体" w:eastAsia="宋体" w:cs="宋体"/>
          <w:sz w:val="24"/>
          <w:szCs w:val="24"/>
        </w:rPr>
        <w:t xml:space="preserve"> </w:t>
      </w:r>
    </w:p>
    <w:p w14:paraId="6160AF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rPr>
        <w:t>供应商登录政采云平台https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在线申请获取采购文件（进入“项目采购”应用，在获取采购文件菜单中选择项目，申请获取采购文件），或者点击采购公告底部潜在供应商“获取采购文件”，页面跳转后登陆，直接获取采购文件。</w:t>
      </w:r>
    </w:p>
    <w:p w14:paraId="02B456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4.售价：0 元。 </w:t>
      </w:r>
    </w:p>
    <w:p w14:paraId="0B35FE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 xml:space="preserve">投标文件截止时间、开标时间和地点 </w:t>
      </w:r>
    </w:p>
    <w:p w14:paraId="763AF9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投标截止时间、开标时间：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08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12 </w:t>
      </w:r>
      <w:r>
        <w:rPr>
          <w:rFonts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ascii="宋体" w:hAnsi="宋体" w:eastAsia="宋体" w:cs="宋体"/>
          <w:sz w:val="24"/>
          <w:szCs w:val="24"/>
          <w:highlight w:val="cyan"/>
        </w:rPr>
        <w:t>分</w:t>
      </w:r>
      <w:r>
        <w:rPr>
          <w:rFonts w:ascii="宋体" w:hAnsi="宋体" w:eastAsia="宋体" w:cs="宋体"/>
          <w:sz w:val="24"/>
          <w:szCs w:val="24"/>
        </w:rPr>
        <w:t xml:space="preserve">（北京时间）。 </w:t>
      </w:r>
    </w:p>
    <w:p w14:paraId="4A29C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ascii="宋体" w:hAnsi="宋体" w:eastAsia="宋体" w:cs="宋体"/>
          <w:sz w:val="24"/>
          <w:szCs w:val="24"/>
        </w:rPr>
        <w:t xml:space="preserve">。 </w:t>
      </w:r>
    </w:p>
    <w:p w14:paraId="4A5137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p>
    <w:p w14:paraId="538AB7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rPr>
        <w:t>自本公告发布之日起 5 个工作日。</w:t>
      </w:r>
    </w:p>
    <w:p w14:paraId="093677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b/>
          <w:bCs/>
          <w:sz w:val="24"/>
          <w:szCs w:val="24"/>
          <w:highlight w:val="none"/>
          <w:lang w:val="en-US" w:eastAsia="zh-CN"/>
        </w:rPr>
        <w:t>六、其他补充事宜</w:t>
      </w:r>
      <w:r>
        <w:rPr>
          <w:rFonts w:ascii="宋体" w:hAnsi="宋体" w:eastAsia="宋体" w:cs="宋体"/>
          <w:sz w:val="24"/>
          <w:szCs w:val="24"/>
          <w:highlight w:val="none"/>
        </w:rPr>
        <w:t xml:space="preserve"> </w:t>
      </w:r>
    </w:p>
    <w:p w14:paraId="2CE92C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无</w:t>
      </w:r>
    </w:p>
    <w:p w14:paraId="21BBAC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七、</w:t>
      </w:r>
      <w:r>
        <w:rPr>
          <w:rFonts w:ascii="宋体" w:hAnsi="宋体" w:eastAsia="宋体" w:cs="宋体"/>
          <w:b/>
          <w:bCs/>
          <w:sz w:val="24"/>
          <w:szCs w:val="24"/>
        </w:rPr>
        <w:t>对本次招标</w:t>
      </w:r>
      <w:r>
        <w:rPr>
          <w:rFonts w:hint="eastAsia" w:ascii="宋体" w:hAnsi="宋体" w:eastAsia="宋体" w:cs="宋体"/>
          <w:b/>
          <w:bCs/>
          <w:sz w:val="24"/>
          <w:szCs w:val="24"/>
          <w:lang w:val="en-US" w:eastAsia="zh-CN"/>
        </w:rPr>
        <w:t>提出</w:t>
      </w:r>
      <w:r>
        <w:rPr>
          <w:rFonts w:ascii="宋体" w:hAnsi="宋体" w:eastAsia="宋体" w:cs="宋体"/>
          <w:b/>
          <w:bCs/>
          <w:sz w:val="24"/>
          <w:szCs w:val="24"/>
        </w:rPr>
        <w:t>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3587B94C">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11B134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名</w:t>
      </w:r>
      <w:r>
        <w:rPr>
          <w:rFonts w:hint="eastAsia" w:ascii="宋体" w:hAnsi="宋体" w:eastAsia="宋体" w:cs="宋体"/>
          <w:sz w:val="24"/>
          <w:szCs w:val="24"/>
          <w:lang w:val="en-US" w:eastAsia="zh-CN"/>
        </w:rPr>
        <w:t xml:space="preserve">     </w:t>
      </w:r>
      <w:r>
        <w:rPr>
          <w:rFonts w:ascii="宋体" w:hAnsi="宋体" w:eastAsia="宋体" w:cs="宋体"/>
          <w:sz w:val="24"/>
          <w:szCs w:val="24"/>
        </w:rPr>
        <w:t>称：</w:t>
      </w:r>
      <w:r>
        <w:rPr>
          <w:rFonts w:hint="eastAsia" w:ascii="宋体" w:hAnsi="宋体" w:eastAsia="宋体" w:cs="宋体"/>
          <w:sz w:val="24"/>
          <w:szCs w:val="24"/>
          <w:highlight w:val="none"/>
          <w:lang w:eastAsia="zh-CN"/>
        </w:rPr>
        <w:t>乌鲁木齐市水磨沟区园林队</w:t>
      </w:r>
    </w:p>
    <w:p w14:paraId="181341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地</w:t>
      </w:r>
      <w:r>
        <w:rPr>
          <w:rFonts w:hint="eastAsia" w:ascii="宋体" w:hAnsi="宋体" w:eastAsia="宋体" w:cs="宋体"/>
          <w:sz w:val="24"/>
          <w:szCs w:val="24"/>
          <w:lang w:val="en-US" w:eastAsia="zh-CN"/>
        </w:rPr>
        <w:t xml:space="preserve">     </w:t>
      </w:r>
      <w:r>
        <w:rPr>
          <w:rFonts w:ascii="宋体" w:hAnsi="宋体" w:eastAsia="宋体" w:cs="宋体"/>
          <w:sz w:val="24"/>
          <w:szCs w:val="24"/>
        </w:rPr>
        <w:t>址：华光街综合办公楼8楼</w:t>
      </w:r>
    </w:p>
    <w:p w14:paraId="0E3F18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u w:val="none"/>
          <w:lang w:eastAsia="zh-CN"/>
        </w:rPr>
      </w:pPr>
      <w:r>
        <w:rPr>
          <w:rFonts w:ascii="宋体" w:hAnsi="宋体" w:eastAsia="宋体" w:cs="宋体"/>
          <w:sz w:val="24"/>
          <w:szCs w:val="24"/>
          <w:u w:val="none"/>
        </w:rPr>
        <w:t>联系方式：0991-4684052</w:t>
      </w:r>
    </w:p>
    <w:p w14:paraId="3D2FE4DA">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采购代理机构信息 </w:t>
      </w:r>
    </w:p>
    <w:p w14:paraId="25588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ascii="宋体" w:hAnsi="宋体" w:eastAsia="宋体" w:cs="宋体"/>
          <w:sz w:val="24"/>
          <w:szCs w:val="24"/>
          <w:u w:val="none"/>
        </w:rPr>
        <w:t xml:space="preserve"> </w:t>
      </w:r>
    </w:p>
    <w:p w14:paraId="02B4AD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u w:val="none"/>
        </w:rPr>
      </w:pPr>
      <w:r>
        <w:rPr>
          <w:rFonts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 新疆乌鲁木齐市沙依巴克区奇台路658号德汇万达E2写字楼1703-02室 </w:t>
      </w:r>
      <w:r>
        <w:rPr>
          <w:rFonts w:ascii="宋体" w:hAnsi="宋体" w:eastAsia="宋体" w:cs="宋体"/>
          <w:sz w:val="24"/>
          <w:szCs w:val="24"/>
          <w:u w:val="none"/>
        </w:rPr>
        <w:t xml:space="preserve"> </w:t>
      </w:r>
    </w:p>
    <w:p w14:paraId="3CB61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eastAsia="宋体" w:cs="宋体"/>
          <w:sz w:val="24"/>
          <w:szCs w:val="24"/>
          <w:u w:val="none"/>
          <w:lang w:val="en-US" w:eastAsia="zh-CN"/>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0C6241F3">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项目联系方式 </w:t>
      </w:r>
    </w:p>
    <w:p w14:paraId="2242B9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俞工 </w:t>
      </w:r>
      <w:r>
        <w:rPr>
          <w:rFonts w:ascii="宋体" w:hAnsi="宋体" w:eastAsia="宋体" w:cs="宋体"/>
          <w:sz w:val="24"/>
          <w:szCs w:val="24"/>
          <w:u w:val="none"/>
        </w:rPr>
        <w:t xml:space="preserve"> </w:t>
      </w:r>
    </w:p>
    <w:p w14:paraId="1762FE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val="en-US" w:eastAsia="zh-CN"/>
        </w:rPr>
      </w:pPr>
      <w:r>
        <w:rPr>
          <w:rFonts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14:paraId="5D2C5B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F0FF4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1" w:name="_Toc17312"/>
      <w:r>
        <w:rPr>
          <w:rFonts w:hint="eastAsia" w:ascii="宋体" w:hAnsi="宋体" w:eastAsia="宋体" w:cs="宋体"/>
          <w:b/>
          <w:bCs/>
          <w:sz w:val="40"/>
          <w:szCs w:val="40"/>
          <w:lang w:val="en-US" w:eastAsia="zh-CN"/>
        </w:rPr>
        <w:t xml:space="preserve">第二章 </w:t>
      </w:r>
      <w:r>
        <w:rPr>
          <w:rFonts w:ascii="宋体" w:hAnsi="宋体" w:eastAsia="宋体" w:cs="宋体"/>
          <w:b/>
          <w:bCs/>
          <w:sz w:val="40"/>
          <w:szCs w:val="40"/>
        </w:rPr>
        <w:t>投标人须知</w:t>
      </w:r>
      <w:bookmarkEnd w:id="1"/>
    </w:p>
    <w:p w14:paraId="7CFFC9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投标人须知资料表</w:t>
      </w:r>
    </w:p>
    <w:p w14:paraId="6E4B3C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本表是对投标人须知的具体补充和修改，如有矛盾，均以本资料表为准。标记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18"/>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0935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56B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C29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CF6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31C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31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D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F6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项目属性：</w:t>
            </w:r>
          </w:p>
          <w:p w14:paraId="4FEF1C1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p w14:paraId="5199A3C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r>
      <w:tr w14:paraId="2AAE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C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47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BF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是否属于科研仪器设备采购项目：</w:t>
            </w:r>
          </w:p>
          <w:p w14:paraId="6A165CA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p w14:paraId="4FCD662F">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6AE9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4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6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261">
            <w:pPr>
              <w:keepNext w:val="0"/>
              <w:keepLines w:val="0"/>
              <w:widowControl/>
              <w:suppressLineNumbers w:val="0"/>
              <w:spacing w:line="360" w:lineRule="auto"/>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☑关于核心产品本项目</w:t>
            </w:r>
            <w:r>
              <w:rPr>
                <w:rStyle w:val="21"/>
                <w:lang w:val="en-US" w:eastAsia="zh-CN" w:bidi="ar"/>
              </w:rPr>
              <w:t>不适用。</w:t>
            </w:r>
          </w:p>
          <w:p w14:paraId="1AA28E70">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□本项目</w:t>
            </w:r>
            <w:r>
              <w:rPr>
                <w:rStyle w:val="20"/>
                <w:lang w:val="en-US" w:eastAsia="zh-CN" w:bidi="ar"/>
              </w:rPr>
              <w:t xml:space="preserve">   </w:t>
            </w:r>
            <w:r>
              <w:rPr>
                <w:rStyle w:val="21"/>
                <w:lang w:val="en-US" w:eastAsia="zh-CN" w:bidi="ar"/>
              </w:rPr>
              <w:t>包为单一产品采购项目。</w:t>
            </w:r>
          </w:p>
          <w:p w14:paraId="693F413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□本项目</w:t>
            </w:r>
            <w:r>
              <w:rPr>
                <w:rStyle w:val="20"/>
                <w:lang w:val="en-US" w:eastAsia="zh-CN" w:bidi="ar"/>
              </w:rPr>
              <w:t xml:space="preserve">   </w:t>
            </w:r>
            <w:r>
              <w:rPr>
                <w:rStyle w:val="21"/>
                <w:lang w:val="en-US" w:eastAsia="zh-CN" w:bidi="ar"/>
              </w:rPr>
              <w:t>包为非单一产品采购项目，核心产品为：</w:t>
            </w:r>
            <w:r>
              <w:rPr>
                <w:rStyle w:val="20"/>
                <w:lang w:val="en-US" w:eastAsia="zh-CN" w:bidi="ar"/>
              </w:rPr>
              <w:t xml:space="preserve">      </w:t>
            </w:r>
            <w:r>
              <w:rPr>
                <w:rStyle w:val="21"/>
                <w:lang w:val="en-US" w:eastAsia="zh-CN" w:bidi="ar"/>
              </w:rPr>
              <w:t>。</w:t>
            </w:r>
          </w:p>
        </w:tc>
      </w:tr>
      <w:tr w14:paraId="5950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A0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43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☑不组织</w:t>
            </w:r>
          </w:p>
          <w:p w14:paraId="7BDB9BB4">
            <w:pPr>
              <w:keepNext w:val="0"/>
              <w:keepLines w:val="0"/>
              <w:widowControl/>
              <w:suppressLineNumbers w:val="0"/>
              <w:spacing w:line="360" w:lineRule="auto"/>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□组织，考察时间：</w:t>
            </w:r>
            <w:r>
              <w:rPr>
                <w:rStyle w:val="20"/>
                <w:lang w:val="en-US" w:eastAsia="zh-CN" w:bidi="ar"/>
              </w:rPr>
              <w:t xml:space="preserve">    </w:t>
            </w:r>
            <w:r>
              <w:rPr>
                <w:rStyle w:val="21"/>
                <w:lang w:val="en-US" w:eastAsia="zh-CN" w:bidi="ar"/>
              </w:rPr>
              <w:t>年</w:t>
            </w:r>
            <w:r>
              <w:rPr>
                <w:rStyle w:val="20"/>
                <w:lang w:val="en-US" w:eastAsia="zh-CN" w:bidi="ar"/>
              </w:rPr>
              <w:t xml:space="preserve">  </w:t>
            </w:r>
            <w:r>
              <w:rPr>
                <w:rStyle w:val="21"/>
                <w:lang w:val="en-US" w:eastAsia="zh-CN" w:bidi="ar"/>
              </w:rPr>
              <w:t>月</w:t>
            </w:r>
            <w:r>
              <w:rPr>
                <w:rStyle w:val="20"/>
                <w:lang w:val="en-US" w:eastAsia="zh-CN" w:bidi="ar"/>
              </w:rPr>
              <w:t xml:space="preserve">  </w:t>
            </w:r>
            <w:r>
              <w:rPr>
                <w:rStyle w:val="21"/>
                <w:lang w:val="en-US" w:eastAsia="zh-CN" w:bidi="ar"/>
              </w:rPr>
              <w:t>日</w:t>
            </w:r>
            <w:r>
              <w:rPr>
                <w:rStyle w:val="20"/>
                <w:lang w:val="en-US" w:eastAsia="zh-CN" w:bidi="ar"/>
              </w:rPr>
              <w:t xml:space="preserve">  </w:t>
            </w:r>
            <w:r>
              <w:rPr>
                <w:rStyle w:val="21"/>
                <w:lang w:val="en-US" w:eastAsia="zh-CN" w:bidi="ar"/>
              </w:rPr>
              <w:t>点</w:t>
            </w:r>
            <w:r>
              <w:rPr>
                <w:rStyle w:val="20"/>
                <w:lang w:val="en-US" w:eastAsia="zh-CN" w:bidi="ar"/>
              </w:rPr>
              <w:t xml:space="preserve">  </w:t>
            </w:r>
            <w:r>
              <w:rPr>
                <w:rStyle w:val="21"/>
                <w:lang w:val="en-US" w:eastAsia="zh-CN" w:bidi="ar"/>
              </w:rPr>
              <w:t>分</w:t>
            </w:r>
          </w:p>
          <w:p w14:paraId="4B767672">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考察地点：</w:t>
            </w:r>
            <w:r>
              <w:rPr>
                <w:rStyle w:val="20"/>
                <w:lang w:val="en-US" w:eastAsia="zh-CN" w:bidi="ar"/>
              </w:rPr>
              <w:t xml:space="preserve">            </w:t>
            </w:r>
            <w:r>
              <w:rPr>
                <w:rStyle w:val="21"/>
                <w:lang w:val="en-US" w:eastAsia="zh-CN" w:bidi="ar"/>
              </w:rPr>
              <w:t>。</w:t>
            </w:r>
          </w:p>
        </w:tc>
      </w:tr>
      <w:tr w14:paraId="206C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95A0">
            <w:pPr>
              <w:spacing w:line="360" w:lineRule="auto"/>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20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开标前答疑会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A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☑不召开</w:t>
            </w:r>
          </w:p>
          <w:p w14:paraId="24770443">
            <w:pPr>
              <w:keepNext w:val="0"/>
              <w:keepLines w:val="0"/>
              <w:widowControl/>
              <w:suppressLineNumbers w:val="0"/>
              <w:spacing w:line="360" w:lineRule="auto"/>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□召开，召开时间：</w:t>
            </w:r>
            <w:r>
              <w:rPr>
                <w:rStyle w:val="20"/>
                <w:lang w:val="en-US" w:eastAsia="zh-CN" w:bidi="ar"/>
              </w:rPr>
              <w:t xml:space="preserve">    </w:t>
            </w:r>
            <w:r>
              <w:rPr>
                <w:rStyle w:val="21"/>
                <w:lang w:val="en-US" w:eastAsia="zh-CN" w:bidi="ar"/>
              </w:rPr>
              <w:t>年</w:t>
            </w:r>
            <w:r>
              <w:rPr>
                <w:rStyle w:val="20"/>
                <w:lang w:val="en-US" w:eastAsia="zh-CN" w:bidi="ar"/>
              </w:rPr>
              <w:t xml:space="preserve">  </w:t>
            </w:r>
            <w:r>
              <w:rPr>
                <w:rStyle w:val="21"/>
                <w:lang w:val="en-US" w:eastAsia="zh-CN" w:bidi="ar"/>
              </w:rPr>
              <w:t>月</w:t>
            </w:r>
            <w:r>
              <w:rPr>
                <w:rStyle w:val="20"/>
                <w:lang w:val="en-US" w:eastAsia="zh-CN" w:bidi="ar"/>
              </w:rPr>
              <w:t xml:space="preserve">  </w:t>
            </w:r>
            <w:r>
              <w:rPr>
                <w:rStyle w:val="21"/>
                <w:lang w:val="en-US" w:eastAsia="zh-CN" w:bidi="ar"/>
              </w:rPr>
              <w:t>日</w:t>
            </w:r>
            <w:r>
              <w:rPr>
                <w:rStyle w:val="20"/>
                <w:lang w:val="en-US" w:eastAsia="zh-CN" w:bidi="ar"/>
              </w:rPr>
              <w:t xml:space="preserve">  </w:t>
            </w:r>
            <w:r>
              <w:rPr>
                <w:rStyle w:val="21"/>
                <w:lang w:val="en-US" w:eastAsia="zh-CN" w:bidi="ar"/>
              </w:rPr>
              <w:t>点</w:t>
            </w:r>
            <w:r>
              <w:rPr>
                <w:rStyle w:val="20"/>
                <w:lang w:val="en-US" w:eastAsia="zh-CN" w:bidi="ar"/>
              </w:rPr>
              <w:t xml:space="preserve">  </w:t>
            </w:r>
            <w:r>
              <w:rPr>
                <w:rStyle w:val="21"/>
                <w:lang w:val="en-US" w:eastAsia="zh-CN" w:bidi="ar"/>
              </w:rPr>
              <w:t>分</w:t>
            </w:r>
          </w:p>
          <w:p w14:paraId="62D27BE9">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召开地点：</w:t>
            </w:r>
            <w:r>
              <w:rPr>
                <w:rStyle w:val="20"/>
                <w:lang w:val="en-US" w:eastAsia="zh-CN" w:bidi="ar"/>
              </w:rPr>
              <w:t xml:space="preserve">            </w:t>
            </w:r>
            <w:r>
              <w:rPr>
                <w:rStyle w:val="21"/>
                <w:lang w:val="en-US" w:eastAsia="zh-CN" w:bidi="ar"/>
              </w:rPr>
              <w:t>。</w:t>
            </w:r>
          </w:p>
        </w:tc>
      </w:tr>
      <w:tr w14:paraId="656E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FE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8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5AC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投标样品递交：</w:t>
            </w:r>
          </w:p>
          <w:p w14:paraId="034E17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☑不需要</w:t>
            </w:r>
          </w:p>
          <w:p w14:paraId="7C5E752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□需要，具体要求如下：</w:t>
            </w:r>
          </w:p>
          <w:p w14:paraId="6385363A">
            <w:pPr>
              <w:keepNext w:val="0"/>
              <w:keepLines w:val="0"/>
              <w:widowControl/>
              <w:suppressLineNumbers w:val="0"/>
              <w:spacing w:line="360" w:lineRule="auto"/>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（1）样品制作的标准和要求：</w:t>
            </w:r>
            <w:r>
              <w:rPr>
                <w:rStyle w:val="20"/>
                <w:lang w:val="en-US" w:eastAsia="zh-CN" w:bidi="ar"/>
              </w:rPr>
              <w:t xml:space="preserve">      </w:t>
            </w:r>
            <w:r>
              <w:rPr>
                <w:rStyle w:val="21"/>
                <w:lang w:val="en-US" w:eastAsia="zh-CN" w:bidi="ar"/>
              </w:rPr>
              <w:t>；</w:t>
            </w:r>
          </w:p>
          <w:p w14:paraId="32942FEE">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（2）是否需要随样品交相关检测报告：</w:t>
            </w:r>
          </w:p>
          <w:p w14:paraId="0EC2A1D1">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 xml:space="preserve">    □不需要</w:t>
            </w:r>
          </w:p>
          <w:p w14:paraId="1F01D884">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 xml:space="preserve">    □需要</w:t>
            </w:r>
          </w:p>
          <w:p w14:paraId="320C6C12">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（3）样品递交要求：</w:t>
            </w:r>
            <w:r>
              <w:rPr>
                <w:rStyle w:val="20"/>
                <w:lang w:val="en-US" w:eastAsia="zh-CN" w:bidi="ar"/>
              </w:rPr>
              <w:t xml:space="preserve">                     </w:t>
            </w:r>
            <w:r>
              <w:rPr>
                <w:rStyle w:val="21"/>
                <w:lang w:val="en-US" w:eastAsia="zh-CN" w:bidi="ar"/>
              </w:rPr>
              <w:t>；</w:t>
            </w:r>
          </w:p>
          <w:p w14:paraId="3D455528">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（4）未中标人样品退还：</w:t>
            </w:r>
            <w:r>
              <w:rPr>
                <w:rStyle w:val="20"/>
                <w:lang w:val="en-US" w:eastAsia="zh-CN" w:bidi="ar"/>
              </w:rPr>
              <w:t xml:space="preserve">                 </w:t>
            </w:r>
            <w:r>
              <w:rPr>
                <w:rStyle w:val="21"/>
                <w:lang w:val="en-US" w:eastAsia="zh-CN" w:bidi="ar"/>
              </w:rPr>
              <w:t>；</w:t>
            </w:r>
          </w:p>
          <w:p w14:paraId="7759D548">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（5）中标人样品保管、封存及退还：</w:t>
            </w:r>
            <w:r>
              <w:rPr>
                <w:rStyle w:val="20"/>
                <w:lang w:val="en-US" w:eastAsia="zh-CN" w:bidi="ar"/>
              </w:rPr>
              <w:t xml:space="preserve">        </w:t>
            </w:r>
            <w:r>
              <w:rPr>
                <w:rStyle w:val="21"/>
                <w:lang w:val="en-US" w:eastAsia="zh-CN" w:bidi="ar"/>
              </w:rPr>
              <w:t>；</w:t>
            </w:r>
          </w:p>
          <w:p w14:paraId="24EF00D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（6）其他要求（如有）：</w:t>
            </w:r>
            <w:r>
              <w:rPr>
                <w:rStyle w:val="20"/>
                <w:lang w:val="en-US" w:eastAsia="zh-CN" w:bidi="ar"/>
              </w:rPr>
              <w:t xml:space="preserve">                 </w:t>
            </w:r>
            <w:r>
              <w:rPr>
                <w:rStyle w:val="21"/>
                <w:lang w:val="en-US" w:eastAsia="zh-CN" w:bidi="ar"/>
              </w:rPr>
              <w:t>。</w:t>
            </w:r>
          </w:p>
        </w:tc>
      </w:tr>
      <w:tr w14:paraId="2648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59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7B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D4C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本项目采购标的对应的中小企业划分标准所属行业</w:t>
            </w:r>
            <w:r>
              <w:rPr>
                <w:rFonts w:hint="eastAsia" w:ascii="宋体" w:hAnsi="宋体" w:eastAsia="宋体" w:cs="宋体"/>
                <w:i w:val="0"/>
                <w:iCs w:val="0"/>
                <w:color w:val="000000"/>
                <w:kern w:val="0"/>
                <w:sz w:val="22"/>
                <w:szCs w:val="22"/>
                <w:highlight w:val="none"/>
                <w:u w:val="none"/>
                <w:lang w:val="en-US" w:eastAsia="zh-CN" w:bidi="ar"/>
              </w:rPr>
              <w:t xml:space="preserve">：其他未列明行业 </w:t>
            </w:r>
          </w:p>
        </w:tc>
      </w:tr>
      <w:tr w14:paraId="6777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D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A8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49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投标报价的特殊规定：</w:t>
            </w:r>
          </w:p>
          <w:p w14:paraId="4763785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14:paraId="1CE81F9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☑有，具体情形：</w:t>
            </w:r>
          </w:p>
          <w:p w14:paraId="3D97A182">
            <w:pPr>
              <w:keepNext w:val="0"/>
              <w:keepLines w:val="0"/>
              <w:widowControl/>
              <w:suppressLineNumbers w:val="0"/>
              <w:spacing w:line="360" w:lineRule="auto"/>
              <w:jc w:val="left"/>
              <w:textAlignment w:val="center"/>
              <w:rPr>
                <w:rStyle w:val="21"/>
                <w:rFonts w:hint="eastAsia"/>
                <w:sz w:val="22"/>
                <w:szCs w:val="22"/>
                <w:lang w:val="en-US" w:eastAsia="zh-CN" w:bidi="ar"/>
              </w:rPr>
            </w:pPr>
            <w:r>
              <w:rPr>
                <w:rStyle w:val="21"/>
                <w:rFonts w:hint="eastAsia"/>
                <w:sz w:val="22"/>
                <w:szCs w:val="22"/>
                <w:lang w:val="en-US" w:eastAsia="zh-CN" w:bidi="ar"/>
              </w:rPr>
              <w:t>1、总价不得超过最高限价，否则将被视为无效响应。</w:t>
            </w:r>
          </w:p>
          <w:p w14:paraId="3E4DCC58">
            <w:pPr>
              <w:pStyle w:val="14"/>
              <w:numPr>
                <w:ilvl w:val="0"/>
                <w:numId w:val="0"/>
              </w:numPr>
              <w:spacing w:line="360" w:lineRule="auto"/>
              <w:rPr>
                <w:rFonts w:hint="eastAsia" w:eastAsiaTheme="minorEastAsia"/>
                <w:lang w:eastAsia="zh-CN"/>
              </w:rPr>
            </w:pPr>
            <w:r>
              <w:rPr>
                <w:rFonts w:hint="eastAsia"/>
                <w:b/>
                <w:bCs/>
                <w:sz w:val="22"/>
                <w:szCs w:val="22"/>
                <w:lang w:val="en-US" w:eastAsia="zh-CN"/>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337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84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88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7FE1">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投标保证金金额：20000元</w:t>
            </w:r>
          </w:p>
          <w:p w14:paraId="3C5E1CA2">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投标保证金收受人信息：</w:t>
            </w:r>
          </w:p>
          <w:p w14:paraId="25D48767">
            <w:pPr>
              <w:keepNext w:val="0"/>
              <w:keepLines w:val="0"/>
              <w:widowControl/>
              <w:suppressLineNumbers w:val="0"/>
              <w:spacing w:line="360" w:lineRule="auto"/>
              <w:jc w:val="left"/>
              <w:textAlignment w:val="center"/>
              <w:rPr>
                <w:rStyle w:val="21"/>
                <w:rFonts w:hint="eastAsia"/>
                <w:b w:val="0"/>
                <w:bCs w:val="0"/>
                <w:lang w:val="en-US" w:eastAsia="zh-CN" w:bidi="ar"/>
              </w:rPr>
            </w:pPr>
            <w:r>
              <w:rPr>
                <w:rStyle w:val="21"/>
                <w:rFonts w:hint="eastAsia"/>
                <w:b w:val="0"/>
                <w:bCs w:val="0"/>
                <w:lang w:val="en-US" w:eastAsia="zh-CN" w:bidi="ar"/>
              </w:rPr>
              <w:t>账户名：新疆星圣源工程项目管理有限公司</w:t>
            </w:r>
          </w:p>
          <w:p w14:paraId="7218389C">
            <w:pPr>
              <w:keepNext w:val="0"/>
              <w:keepLines w:val="0"/>
              <w:widowControl/>
              <w:suppressLineNumbers w:val="0"/>
              <w:spacing w:line="360" w:lineRule="auto"/>
              <w:jc w:val="left"/>
              <w:textAlignment w:val="center"/>
              <w:rPr>
                <w:rStyle w:val="21"/>
                <w:rFonts w:hint="eastAsia"/>
                <w:b w:val="0"/>
                <w:bCs w:val="0"/>
                <w:lang w:val="en-US" w:eastAsia="zh-CN" w:bidi="ar"/>
              </w:rPr>
            </w:pPr>
            <w:r>
              <w:rPr>
                <w:rStyle w:val="21"/>
                <w:rFonts w:hint="eastAsia"/>
                <w:b w:val="0"/>
                <w:bCs w:val="0"/>
                <w:lang w:val="en-US" w:eastAsia="zh-CN" w:bidi="ar"/>
              </w:rPr>
              <w:t>开户行：乌鲁木齐银行黄河支行</w:t>
            </w:r>
          </w:p>
          <w:p w14:paraId="6E6B4A74">
            <w:pPr>
              <w:keepNext w:val="0"/>
              <w:keepLines w:val="0"/>
              <w:widowControl/>
              <w:suppressLineNumbers w:val="0"/>
              <w:spacing w:line="360" w:lineRule="auto"/>
              <w:jc w:val="left"/>
              <w:textAlignment w:val="center"/>
              <w:rPr>
                <w:rStyle w:val="21"/>
                <w:rFonts w:hint="eastAsia"/>
                <w:b w:val="0"/>
                <w:bCs w:val="0"/>
                <w:lang w:val="en-US" w:eastAsia="zh-CN" w:bidi="ar"/>
              </w:rPr>
            </w:pPr>
            <w:r>
              <w:rPr>
                <w:rStyle w:val="21"/>
                <w:rFonts w:hint="eastAsia"/>
                <w:b w:val="0"/>
                <w:bCs w:val="0"/>
                <w:lang w:val="en-US" w:eastAsia="zh-CN" w:bidi="ar"/>
              </w:rPr>
              <w:t>行号：313881000490</w:t>
            </w:r>
          </w:p>
          <w:p w14:paraId="727F043D">
            <w:pPr>
              <w:keepNext w:val="0"/>
              <w:keepLines w:val="0"/>
              <w:widowControl/>
              <w:suppressLineNumbers w:val="0"/>
              <w:spacing w:line="360" w:lineRule="auto"/>
              <w:jc w:val="left"/>
              <w:textAlignment w:val="center"/>
              <w:rPr>
                <w:rStyle w:val="21"/>
                <w:rFonts w:hint="eastAsia"/>
                <w:b w:val="0"/>
                <w:bCs w:val="0"/>
                <w:lang w:val="en-US" w:eastAsia="zh-CN" w:bidi="ar"/>
              </w:rPr>
            </w:pPr>
            <w:r>
              <w:rPr>
                <w:rStyle w:val="21"/>
                <w:rFonts w:hint="eastAsia"/>
                <w:b w:val="0"/>
                <w:bCs w:val="0"/>
                <w:lang w:val="en-US" w:eastAsia="zh-CN" w:bidi="ar"/>
              </w:rPr>
              <w:t>账号：0000020080110031013587</w:t>
            </w:r>
          </w:p>
          <w:p w14:paraId="3E77C75D">
            <w:pPr>
              <w:keepNext w:val="0"/>
              <w:keepLines w:val="0"/>
              <w:widowControl/>
              <w:suppressLineNumbers w:val="0"/>
              <w:spacing w:line="360" w:lineRule="auto"/>
              <w:jc w:val="left"/>
              <w:textAlignment w:val="center"/>
              <w:rPr>
                <w:rStyle w:val="21"/>
                <w:rFonts w:hint="default"/>
                <w:b w:val="0"/>
                <w:bCs w:val="0"/>
                <w:lang w:val="en-US" w:eastAsia="zh-CN" w:bidi="ar"/>
              </w:rPr>
            </w:pPr>
            <w:r>
              <w:rPr>
                <w:rStyle w:val="21"/>
                <w:rFonts w:hint="eastAsia"/>
                <w:b w:val="0"/>
                <w:bCs w:val="0"/>
                <w:lang w:val="en-US" w:eastAsia="zh-CN" w:bidi="ar"/>
              </w:rPr>
              <w:t>投标保证金缴纳形式：网银转账或电汇或银行保函</w:t>
            </w:r>
          </w:p>
          <w:p w14:paraId="0D54C69F">
            <w:pPr>
              <w:keepNext w:val="0"/>
              <w:keepLines w:val="0"/>
              <w:widowControl/>
              <w:suppressLineNumbers w:val="0"/>
              <w:spacing w:line="360" w:lineRule="auto"/>
              <w:jc w:val="left"/>
              <w:textAlignment w:val="center"/>
              <w:rPr>
                <w:rStyle w:val="21"/>
                <w:rFonts w:hint="eastAsia"/>
                <w:b/>
                <w:bCs/>
                <w:lang w:val="en-US" w:eastAsia="zh-CN" w:bidi="ar"/>
              </w:rPr>
            </w:pPr>
            <w:r>
              <w:rPr>
                <w:rStyle w:val="21"/>
                <w:rFonts w:hint="eastAsia"/>
                <w:b/>
                <w:bCs/>
                <w:lang w:val="en-US" w:eastAsia="zh-CN" w:bidi="ar"/>
              </w:rPr>
              <w:t xml:space="preserve">注：汇款单上必需备注项目编号、包号（若有）、联系方式。投标保证金于截止日之前确认到账，若投标人未按照上述规定缴纳保证金,投标文件将被拒绝评审。 </w:t>
            </w:r>
          </w:p>
          <w:p w14:paraId="50DFD7B9">
            <w:pPr>
              <w:keepNext w:val="0"/>
              <w:keepLines w:val="0"/>
              <w:widowControl/>
              <w:suppressLineNumbers w:val="0"/>
              <w:spacing w:line="360" w:lineRule="auto"/>
              <w:jc w:val="left"/>
              <w:textAlignment w:val="center"/>
              <w:rPr>
                <w:rStyle w:val="21"/>
                <w:rFonts w:hint="eastAsia"/>
                <w:b w:val="0"/>
                <w:bCs w:val="0"/>
                <w:lang w:val="en-US" w:eastAsia="zh-CN" w:bidi="ar"/>
              </w:rPr>
            </w:pPr>
            <w:r>
              <w:rPr>
                <w:rStyle w:val="21"/>
                <w:rFonts w:hint="eastAsia"/>
                <w:b w:val="0"/>
                <w:bCs w:val="0"/>
                <w:lang w:val="en-US" w:eastAsia="zh-CN" w:bidi="ar"/>
              </w:rPr>
              <w:t>例：XSY-2025-Z-130项目保证金+联系方式</w:t>
            </w:r>
          </w:p>
          <w:p w14:paraId="7FBF655D">
            <w:pPr>
              <w:keepNext w:val="0"/>
              <w:keepLines w:val="0"/>
              <w:widowControl/>
              <w:suppressLineNumbers w:val="0"/>
              <w:spacing w:line="360" w:lineRule="auto"/>
              <w:ind w:left="1540" w:hanging="1540" w:hangingChars="700"/>
              <w:jc w:val="left"/>
              <w:textAlignment w:val="center"/>
              <w:rPr>
                <w:rStyle w:val="21"/>
                <w:rFonts w:hint="eastAsia"/>
                <w:b w:val="0"/>
                <w:bCs w:val="0"/>
                <w:lang w:val="en-US" w:eastAsia="zh-CN" w:bidi="ar"/>
              </w:rPr>
            </w:pPr>
            <w:r>
              <w:rPr>
                <w:rStyle w:val="21"/>
                <w:rFonts w:hint="eastAsia"/>
                <w:b w:val="0"/>
                <w:bCs w:val="0"/>
                <w:lang w:val="en-US" w:eastAsia="zh-CN" w:bidi="ar"/>
              </w:rPr>
              <w:t>财务办公室：新疆乌鲁木齐市沙依巴克区奇台路658号德汇万达E2写字楼1703-02号</w:t>
            </w:r>
          </w:p>
          <w:p w14:paraId="58F077B4">
            <w:pPr>
              <w:keepNext w:val="0"/>
              <w:keepLines w:val="0"/>
              <w:widowControl/>
              <w:suppressLineNumbers w:val="0"/>
              <w:spacing w:line="360" w:lineRule="auto"/>
              <w:jc w:val="left"/>
              <w:textAlignment w:val="center"/>
              <w:rPr>
                <w:rStyle w:val="21"/>
                <w:rFonts w:hint="eastAsia"/>
                <w:lang w:val="en-US" w:eastAsia="zh-CN" w:bidi="ar"/>
              </w:rPr>
            </w:pPr>
            <w:r>
              <w:rPr>
                <w:rStyle w:val="21"/>
                <w:rFonts w:hint="eastAsia"/>
                <w:b w:val="0"/>
                <w:bCs w:val="0"/>
                <w:lang w:val="en-US" w:eastAsia="zh-CN" w:bidi="ar"/>
              </w:rPr>
              <w:t>财务联系电话：0991-5803779</w:t>
            </w:r>
          </w:p>
        </w:tc>
      </w:tr>
      <w:tr w14:paraId="271A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0B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468">
            <w:pPr>
              <w:spacing w:line="360" w:lineRule="auto"/>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5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投标保证金可以不予退还的其他情形：</w:t>
            </w:r>
          </w:p>
          <w:p w14:paraId="759188B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14:paraId="596102B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☑有，具体情形：</w:t>
            </w:r>
          </w:p>
          <w:p w14:paraId="2F8964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5FA3A9B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198EC08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691CBA9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0E6FA2A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4E5525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4920925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6E33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E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41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自交投标文件的截止之日起算</w:t>
            </w:r>
            <w:r>
              <w:rPr>
                <w:rStyle w:val="20"/>
                <w:lang w:val="en-US" w:eastAsia="zh-CN" w:bidi="ar"/>
              </w:rPr>
              <w:t xml:space="preserve"> </w:t>
            </w:r>
            <w:r>
              <w:rPr>
                <w:rStyle w:val="20"/>
                <w:rFonts w:hint="eastAsia"/>
                <w:lang w:val="en-US" w:eastAsia="zh-CN" w:bidi="ar"/>
              </w:rPr>
              <w:t>90</w:t>
            </w:r>
            <w:r>
              <w:rPr>
                <w:rStyle w:val="20"/>
                <w:lang w:val="en-US" w:eastAsia="zh-CN" w:bidi="ar"/>
              </w:rPr>
              <w:t xml:space="preserve"> </w:t>
            </w:r>
            <w:r>
              <w:rPr>
                <w:rStyle w:val="21"/>
                <w:lang w:val="en-US" w:eastAsia="zh-CN" w:bidi="ar"/>
              </w:rPr>
              <w:t>日历天。</w:t>
            </w:r>
          </w:p>
        </w:tc>
      </w:tr>
      <w:tr w14:paraId="295E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7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B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确定中标人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0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中标候选人并列的，采购人是否委托评标委员会确定中标人：</w:t>
            </w:r>
          </w:p>
          <w:p w14:paraId="1BBF15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p w14:paraId="6B3F799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p w14:paraId="120D82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中标候选人并列的，按照以下方式确定中标人：</w:t>
            </w:r>
          </w:p>
          <w:p w14:paraId="60680533">
            <w:pPr>
              <w:keepNext w:val="0"/>
              <w:keepLines w:val="0"/>
              <w:widowControl/>
              <w:suppressLineNumbers w:val="0"/>
              <w:spacing w:line="360" w:lineRule="auto"/>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□得分且投标报价均相同的，以</w:t>
            </w:r>
            <w:r>
              <w:rPr>
                <w:rStyle w:val="20"/>
                <w:lang w:val="en-US" w:eastAsia="zh-CN" w:bidi="ar"/>
              </w:rPr>
              <w:t xml:space="preserve">  </w:t>
            </w:r>
            <w:r>
              <w:rPr>
                <w:rStyle w:val="21"/>
                <w:lang w:val="en-US" w:eastAsia="zh-CN" w:bidi="ar"/>
              </w:rPr>
              <w:t>得分高者为中标人</w:t>
            </w:r>
          </w:p>
          <w:p w14:paraId="527CEC49">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□随机抽取</w:t>
            </w:r>
          </w:p>
        </w:tc>
      </w:tr>
      <w:tr w14:paraId="4D05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15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D6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38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本项目的非主体、非关键性工作是否允许分包：</w:t>
            </w:r>
          </w:p>
          <w:p w14:paraId="0BBB823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☑不允许</w:t>
            </w:r>
          </w:p>
          <w:p w14:paraId="402991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□允许，具体要求：</w:t>
            </w:r>
          </w:p>
          <w:p w14:paraId="0706A62B">
            <w:pPr>
              <w:keepNext w:val="0"/>
              <w:keepLines w:val="0"/>
              <w:widowControl/>
              <w:suppressLineNumbers w:val="0"/>
              <w:spacing w:line="360" w:lineRule="auto"/>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（1）可以分包履行的具体内容：</w:t>
            </w:r>
            <w:r>
              <w:rPr>
                <w:rStyle w:val="20"/>
                <w:lang w:val="en-US" w:eastAsia="zh-CN" w:bidi="ar"/>
              </w:rPr>
              <w:t xml:space="preserve">     </w:t>
            </w:r>
            <w:r>
              <w:rPr>
                <w:rStyle w:val="21"/>
                <w:lang w:val="en-US" w:eastAsia="zh-CN" w:bidi="ar"/>
              </w:rPr>
              <w:t>；</w:t>
            </w:r>
          </w:p>
          <w:p w14:paraId="36CCF7DC">
            <w:pPr>
              <w:keepNext w:val="0"/>
              <w:keepLines w:val="0"/>
              <w:widowControl/>
              <w:suppressLineNumbers w:val="0"/>
              <w:spacing w:line="360" w:lineRule="auto"/>
              <w:jc w:val="left"/>
              <w:textAlignment w:val="center"/>
              <w:rPr>
                <w:rStyle w:val="21"/>
                <w:lang w:val="en-US" w:eastAsia="zh-CN" w:bidi="ar"/>
              </w:rPr>
            </w:pPr>
            <w:r>
              <w:rPr>
                <w:rStyle w:val="21"/>
                <w:lang w:val="en-US" w:eastAsia="zh-CN" w:bidi="ar"/>
              </w:rPr>
              <w:t>（2）允许分包的金额或者比例：</w:t>
            </w:r>
            <w:r>
              <w:rPr>
                <w:rStyle w:val="20"/>
                <w:lang w:val="en-US" w:eastAsia="zh-CN" w:bidi="ar"/>
              </w:rPr>
              <w:t xml:space="preserve">     </w:t>
            </w:r>
            <w:r>
              <w:rPr>
                <w:rStyle w:val="21"/>
                <w:lang w:val="en-US" w:eastAsia="zh-CN" w:bidi="ar"/>
              </w:rPr>
              <w:t>；</w:t>
            </w:r>
          </w:p>
          <w:p w14:paraId="5AED8A8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（3）其他要求：</w:t>
            </w:r>
            <w:r>
              <w:rPr>
                <w:rStyle w:val="20"/>
                <w:lang w:val="en-US" w:eastAsia="zh-CN" w:bidi="ar"/>
              </w:rPr>
              <w:t xml:space="preserve">      </w:t>
            </w:r>
            <w:r>
              <w:rPr>
                <w:rStyle w:val="21"/>
                <w:lang w:val="en-US" w:eastAsia="zh-CN" w:bidi="ar"/>
              </w:rPr>
              <w:t>。</w:t>
            </w:r>
          </w:p>
        </w:tc>
      </w:tr>
      <w:tr w14:paraId="14FC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D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7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E7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0"/>
                <w:rFonts w:hint="eastAsia"/>
                <w:u w:val="single"/>
                <w:lang w:val="en-US" w:eastAsia="zh-CN" w:bidi="ar"/>
              </w:rPr>
              <w:t>电话询问或书面形式</w:t>
            </w:r>
          </w:p>
        </w:tc>
      </w:tr>
      <w:tr w14:paraId="1CC5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A7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6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CA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接收询问和质疑的联系方式</w:t>
            </w:r>
          </w:p>
          <w:p w14:paraId="6B1225AB">
            <w:pPr>
              <w:keepNext w:val="0"/>
              <w:keepLines w:val="0"/>
              <w:widowControl/>
              <w:suppressLineNumbers w:val="0"/>
              <w:spacing w:line="360" w:lineRule="auto"/>
              <w:jc w:val="left"/>
              <w:textAlignment w:val="center"/>
              <w:rPr>
                <w:rStyle w:val="20"/>
                <w:rFonts w:hint="eastAsia"/>
                <w:u w:val="none"/>
                <w:lang w:val="en-US" w:eastAsia="zh-CN" w:bidi="ar"/>
              </w:rPr>
            </w:pPr>
            <w:r>
              <w:rPr>
                <w:rFonts w:hint="eastAsia" w:ascii="宋体" w:hAnsi="宋体" w:eastAsia="宋体" w:cs="宋体"/>
                <w:i w:val="0"/>
                <w:iCs w:val="0"/>
                <w:color w:val="000000"/>
                <w:kern w:val="0"/>
                <w:sz w:val="22"/>
                <w:szCs w:val="22"/>
                <w:u w:val="none"/>
                <w:lang w:val="en-US" w:eastAsia="zh-CN" w:bidi="ar"/>
              </w:rPr>
              <w:t>联系部门：</w:t>
            </w:r>
            <w:r>
              <w:rPr>
                <w:rStyle w:val="20"/>
                <w:rFonts w:hint="eastAsia"/>
                <w:u w:val="none"/>
                <w:lang w:val="en-US" w:eastAsia="zh-CN" w:bidi="ar"/>
              </w:rPr>
              <w:t>新疆星圣源工程项目管理有限公司</w:t>
            </w:r>
          </w:p>
          <w:p w14:paraId="45518989">
            <w:pPr>
              <w:keepNext w:val="0"/>
              <w:keepLines w:val="0"/>
              <w:widowControl/>
              <w:suppressLineNumbers w:val="0"/>
              <w:spacing w:line="360" w:lineRule="auto"/>
              <w:jc w:val="left"/>
              <w:textAlignment w:val="center"/>
              <w:rPr>
                <w:rStyle w:val="21"/>
                <w:rFonts w:hint="eastAsia"/>
                <w:lang w:val="en-US" w:eastAsia="zh-CN" w:bidi="ar"/>
              </w:rPr>
            </w:pPr>
            <w:r>
              <w:rPr>
                <w:rStyle w:val="21"/>
                <w:lang w:val="en-US" w:eastAsia="zh-CN" w:bidi="ar"/>
              </w:rPr>
              <w:t>联系电话：</w:t>
            </w:r>
            <w:r>
              <w:rPr>
                <w:rStyle w:val="21"/>
                <w:rFonts w:hint="eastAsia"/>
                <w:lang w:val="en-US" w:eastAsia="zh-CN" w:bidi="ar"/>
              </w:rPr>
              <w:t>0991-5803779</w:t>
            </w:r>
          </w:p>
          <w:p w14:paraId="1F9D2E3D">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通讯地址：</w:t>
            </w:r>
            <w:r>
              <w:rPr>
                <w:rStyle w:val="20"/>
                <w:rFonts w:hint="eastAsia"/>
                <w:u w:val="none"/>
                <w:lang w:val="en-US" w:eastAsia="zh-CN" w:bidi="ar"/>
              </w:rPr>
              <w:t>新疆乌鲁木齐市沙依巴克区奇台路658号德汇万达E2   写字楼1703-02号</w:t>
            </w:r>
          </w:p>
        </w:tc>
      </w:tr>
      <w:tr w14:paraId="6257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C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34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A23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收费对象：</w:t>
            </w:r>
          </w:p>
          <w:p w14:paraId="2F77F77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w:t>
            </w:r>
          </w:p>
          <w:p w14:paraId="54C7DDE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☑中标人</w:t>
            </w:r>
          </w:p>
          <w:p w14:paraId="0DCFEC2A">
            <w:pPr>
              <w:keepNext w:val="0"/>
              <w:keepLines w:val="0"/>
              <w:widowControl/>
              <w:suppressLineNumbers w:val="0"/>
              <w:spacing w:line="360" w:lineRule="auto"/>
              <w:jc w:val="left"/>
              <w:textAlignment w:val="center"/>
              <w:rPr>
                <w:rStyle w:val="20"/>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收费标准：</w:t>
            </w:r>
            <w:r>
              <w:rPr>
                <w:rStyle w:val="20"/>
                <w:rFonts w:hint="eastAsia"/>
                <w:lang w:val="en-US" w:eastAsia="zh-CN" w:bidi="ar"/>
              </w:rPr>
              <w:t>参照原国家发展计划委员会文件（计价格[2002]1980号文）和（发改办价格[2003]857号文件），所规定标准计算由中标人向招标代理机构支付。</w:t>
            </w:r>
          </w:p>
          <w:p w14:paraId="62FA4CD0">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1"/>
                <w:lang w:val="en-US" w:eastAsia="zh-CN" w:bidi="ar"/>
              </w:rPr>
              <w:t>缴纳时间：</w:t>
            </w:r>
            <w:r>
              <w:rPr>
                <w:rStyle w:val="20"/>
                <w:lang w:val="en-US" w:eastAsia="zh-CN" w:bidi="ar"/>
              </w:rPr>
              <w:t xml:space="preserve"> </w:t>
            </w:r>
            <w:r>
              <w:rPr>
                <w:rStyle w:val="20"/>
                <w:rFonts w:hint="eastAsia"/>
                <w:lang w:val="en-US" w:eastAsia="zh-CN" w:bidi="ar"/>
              </w:rPr>
              <w:t>在领取中标通知书前由中标人向招标代理机构一次性付清</w:t>
            </w:r>
            <w:r>
              <w:rPr>
                <w:rStyle w:val="20"/>
                <w:lang w:val="en-US" w:eastAsia="zh-CN" w:bidi="ar"/>
              </w:rPr>
              <w:t xml:space="preserve"> </w:t>
            </w:r>
            <w:r>
              <w:rPr>
                <w:rStyle w:val="21"/>
                <w:lang w:val="en-US" w:eastAsia="zh-CN" w:bidi="ar"/>
              </w:rPr>
              <w:t>。</w:t>
            </w:r>
          </w:p>
        </w:tc>
      </w:tr>
      <w:tr w14:paraId="708E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A9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A8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FA6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7C9EE0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6E87916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693BA6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3BDC10C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（1）本次采购采用电子交易方式，电子交易平台为“政府采购云平台（www.zcygov.cn）”。投标人参与本项目电子交易活动前，应注册成为政府采购平台投标人。编制电子投标文件前还需申领CA证书并绑定账号。</w:t>
            </w:r>
          </w:p>
          <w:p w14:paraId="1276253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1A1D2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1E44454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1E925D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14:paraId="27AB957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投标人须知</w:t>
      </w:r>
    </w:p>
    <w:p w14:paraId="5C462B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2B6049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采购人、采购代理机构、投标人、联合体 </w:t>
      </w:r>
    </w:p>
    <w:p w14:paraId="612C1B71">
      <w:pPr>
        <w:keepNext w:val="0"/>
        <w:keepLines w:val="0"/>
        <w:pageBreakBefore w:val="0"/>
        <w:widowControl w:val="0"/>
        <w:numPr>
          <w:ilvl w:val="1"/>
          <w:numId w:val="6"/>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采购人、采购代理机构：指依法进行政府采购的国家机关、事业单位、团体组织，及其委托的采购代理机构。本项目采购人、采购代理机构见第一章《投 标邀请》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00CF06E9">
      <w:pPr>
        <w:keepNext w:val="0"/>
        <w:keepLines w:val="0"/>
        <w:pageBreakBefore w:val="0"/>
        <w:widowControl w:val="0"/>
        <w:numPr>
          <w:ilvl w:val="1"/>
          <w:numId w:val="6"/>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投标人（也称</w:t>
      </w:r>
      <w:r>
        <w:rPr>
          <w:rFonts w:hint="eastAsia" w:ascii="宋体" w:hAnsi="宋体" w:eastAsia="宋体" w:cs="宋体"/>
          <w:sz w:val="24"/>
          <w:szCs w:val="24"/>
          <w:lang w:eastAsia="zh-CN"/>
        </w:rPr>
        <w:t>“</w:t>
      </w:r>
      <w:r>
        <w:rPr>
          <w:rFonts w:ascii="宋体" w:hAnsi="宋体" w:eastAsia="宋体" w:cs="宋体"/>
          <w:sz w:val="24"/>
          <w:szCs w:val="24"/>
        </w:rPr>
        <w:t>供应商</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13DA90CA">
      <w:pPr>
        <w:keepNext w:val="0"/>
        <w:keepLines w:val="0"/>
        <w:pageBreakBefore w:val="0"/>
        <w:widowControl w:val="0"/>
        <w:numPr>
          <w:ilvl w:val="1"/>
          <w:numId w:val="6"/>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12EFB0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资金来源、项目属性、科研仪器设备采购、核心产品 </w:t>
      </w:r>
    </w:p>
    <w:p w14:paraId="70126B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资金来源为财政性资金和/或本项目采购中无法与财政性资金分割的非财政性资金。 </w:t>
      </w:r>
    </w:p>
    <w:p w14:paraId="16FA37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 项目属性见《投标人须知资料表》。 </w:t>
      </w:r>
    </w:p>
    <w:p w14:paraId="1974A2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 是否属于科研仪器设备采购见《投标人须知资料表》。 </w:t>
      </w:r>
    </w:p>
    <w:p w14:paraId="1769D0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 核心产品见《投标人须知资料表》。 </w:t>
      </w:r>
    </w:p>
    <w:p w14:paraId="254028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1C80DE7A">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若《投标人须知资料表》中规定了组织现场考察、召开开标前答疑会，则投标人应按要求在规定的时间和地点参加。 </w:t>
      </w:r>
    </w:p>
    <w:p w14:paraId="769688E3">
      <w:pPr>
        <w:keepNext w:val="0"/>
        <w:keepLines w:val="0"/>
        <w:pageBreakBefore w:val="0"/>
        <w:widowControl w:val="0"/>
        <w:numPr>
          <w:ilvl w:val="1"/>
          <w:numId w:val="5"/>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由于未参加现场考察或开标前答疑会而导致对项目实际情况不了解，影响投标文件编制、投标报价准确性、综合因素响应不全面等问题的，由投标人自行承担不利评审后果。 </w:t>
      </w:r>
    </w:p>
    <w:p w14:paraId="39BC32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4 样品 </w:t>
      </w:r>
    </w:p>
    <w:p w14:paraId="3329E0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4.1 本项目是否要求投标人</w:t>
      </w:r>
      <w:r>
        <w:rPr>
          <w:rFonts w:hint="eastAsia" w:ascii="宋体" w:hAnsi="宋体" w:eastAsia="宋体" w:cs="宋体"/>
          <w:sz w:val="24"/>
          <w:szCs w:val="24"/>
          <w:lang w:val="en-US" w:eastAsia="zh-CN"/>
        </w:rPr>
        <w:t>提供</w:t>
      </w:r>
      <w:r>
        <w:rPr>
          <w:rFonts w:ascii="宋体" w:hAnsi="宋体" w:eastAsia="宋体" w:cs="宋体"/>
          <w:sz w:val="24"/>
          <w:szCs w:val="24"/>
        </w:rPr>
        <w:t>样品，以及样品制作的标准和要求、是否需要随样品</w:t>
      </w:r>
      <w:r>
        <w:rPr>
          <w:rFonts w:hint="eastAsia" w:ascii="宋体" w:hAnsi="宋体" w:eastAsia="宋体" w:cs="宋体"/>
          <w:sz w:val="24"/>
          <w:szCs w:val="24"/>
          <w:lang w:val="en-US" w:eastAsia="zh-CN"/>
        </w:rPr>
        <w:t>提交</w:t>
      </w:r>
      <w:r>
        <w:rPr>
          <w:rFonts w:ascii="宋体" w:hAnsi="宋体" w:eastAsia="宋体" w:cs="宋体"/>
          <w:sz w:val="24"/>
          <w:szCs w:val="24"/>
        </w:rPr>
        <w:t>相关检测报告、样品的递交与退还等要求见《投标人须知资料表》。</w:t>
      </w:r>
    </w:p>
    <w:p w14:paraId="416C6B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4.2 样品的评审方法以及评审标准等内容见第四章《评标程序、评标方法和评标标准》。 </w:t>
      </w:r>
    </w:p>
    <w:p w14:paraId="77B3DC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 政府采购政策（包括但不限于下列具体政策要求） </w:t>
      </w:r>
    </w:p>
    <w:p w14:paraId="383C03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 采购本国货物、工程和服务</w:t>
      </w:r>
    </w:p>
    <w:p w14:paraId="155618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1C662C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5.1.2 本项目如接受非本国货物、工程、服务参与投标，则具体要求见第四 章《采购需求》。 </w:t>
      </w:r>
    </w:p>
    <w:p w14:paraId="687975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5A71B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 中小企业、监狱企业及残疾人福利性单位 </w:t>
      </w:r>
    </w:p>
    <w:p w14:paraId="7B88A6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5.2.1 中小企业定义： </w:t>
      </w:r>
    </w:p>
    <w:p w14:paraId="7ADA8A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04B0B2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5DCA98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05A6E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276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5153FF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05F6E6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5B5D5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 团监狱管理局、戒毒管理局的企业。 </w:t>
      </w:r>
    </w:p>
    <w:p w14:paraId="5FE9C4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4DBED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5.2.3.1 安置的残疾人占本单位在职职工人数的比例不低于25%（含 25%），并且安置的残疾人人数不少于10人（含10人）； </w:t>
      </w:r>
    </w:p>
    <w:p w14:paraId="7DAC1F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5.2.3.2 依法与安置的每位残疾人签订了一年以上（含一年）的劳动合同或服务协议； </w:t>
      </w:r>
    </w:p>
    <w:p w14:paraId="2F4560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5.2.3.3 为安置的每位残疾人按月足额缴纳了基本养老保险、基本医疗保险、失业保险、工伤保险和生育保险等社会保险费； </w:t>
      </w:r>
    </w:p>
    <w:p w14:paraId="2F9837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5.2.3.4 通过银行等金融机构向安置的每位残疾人，按月支付了不低于单位所在区县适用的经省级人民政府批准的月最低工资标准的工资； </w:t>
      </w:r>
    </w:p>
    <w:p w14:paraId="5BE4BA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469154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2F48D1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 xml:space="preserve">5.2.4 本项目是否专门面向中小企业预留采购份额见第一章《投标邀请》。 5.2.5 采购标的对应的中小企业划分标准所属行业见《投标人须知资料表》。 </w:t>
      </w:r>
    </w:p>
    <w:p w14:paraId="194276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5.2.6 小微企业价格评审优惠的政策调整：见第四章《评标程序、评标方法 和评标标准》。 </w:t>
      </w:r>
    </w:p>
    <w:p w14:paraId="097B8F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 政府采购节能产品、环境标志产品 </w:t>
      </w:r>
    </w:p>
    <w:p w14:paraId="35EE51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1DA3D1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2BBA30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5.3.3 如本项目采购产品属于实施政府强制采购品目清单范围的节能产品， 则投标人所报产品必须获得国家确定的认证机构出具的、处于有效期之内的节能产品认证证书，</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 xml:space="preserve">； </w:t>
      </w:r>
    </w:p>
    <w:p w14:paraId="5A0940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5.3.4 非政府强制采购的节能产品或环境标志产品，依据品目清单和认证证 书实施政府优先采购。优先采购的具体规定见第四章《评标程序、评标方法和评标标准》（如涉及）。 </w:t>
      </w:r>
    </w:p>
    <w:p w14:paraId="610709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5.4 正版软件</w:t>
      </w:r>
    </w:p>
    <w:p w14:paraId="4ECDCE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5.4.1 依据《财政部国家发展改革委信息产业部关于印发无线局域网产品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。财政部、国家发展改革委、信息产业部根据政府采购改革进展和无线局域网产品 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281F4D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357B70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5.5 网络安全专用产品 </w:t>
      </w:r>
    </w:p>
    <w:p w14:paraId="262F77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09D06C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5.6 推广使用低挥发性有机化合物（VOCs） </w:t>
      </w:r>
    </w:p>
    <w:p w14:paraId="707562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第五章《采购需求》），</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；属于推荐性标准的，优先采购，具体见第四章《评标程序、评标方法和评标标准》。</w:t>
      </w:r>
    </w:p>
    <w:p w14:paraId="2BDEC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5.7 采购需求标准 </w:t>
      </w:r>
    </w:p>
    <w:p w14:paraId="41D99E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 </w:t>
      </w:r>
      <w:r>
        <w:rPr>
          <w:rFonts w:hint="eastAsia" w:ascii="宋体" w:hAnsi="宋体" w:eastAsia="宋体" w:cs="宋体"/>
          <w:sz w:val="24"/>
          <w:szCs w:val="24"/>
          <w:lang w:val="en-US" w:eastAsia="zh-CN"/>
        </w:rPr>
        <w:t xml:space="preserve">  </w:t>
      </w:r>
    </w:p>
    <w:p w14:paraId="7616C7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5.7.2 绿色数据中心政府采购需求标准（试行）为加快数据中心绿色转型，根据财政部生态环境部工业和信息化部关于印发《绿色数据中心政府采购需求标准（试行）》的通知（财库〔2023〕7号），本项目如涉及绿色数据中心，则具体要求见第五章 《采购需求》。 </w:t>
      </w:r>
    </w:p>
    <w:p w14:paraId="13E701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6 投标费用 </w:t>
      </w:r>
    </w:p>
    <w:p w14:paraId="4EA83A05">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投标人应自行承担所有与准备和参加投标有关的费用，无论投标的结果如何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3A7956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招标文件</w:t>
      </w:r>
    </w:p>
    <w:p w14:paraId="0DAFED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7 招标文件构成 </w:t>
      </w:r>
    </w:p>
    <w:p w14:paraId="6A203F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7.1 招标文件包括以下部分： </w:t>
      </w:r>
    </w:p>
    <w:p w14:paraId="1FC42A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第一章 投标邀请 </w:t>
      </w:r>
    </w:p>
    <w:p w14:paraId="44BC0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第二章 投标人须知 </w:t>
      </w:r>
    </w:p>
    <w:p w14:paraId="1750B0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第三章 资格审查 </w:t>
      </w:r>
    </w:p>
    <w:p w14:paraId="2E9FF7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第四章 评标程序、评标方法和评标标准 </w:t>
      </w:r>
    </w:p>
    <w:p w14:paraId="3B5D6B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第五章 采购需求 </w:t>
      </w:r>
    </w:p>
    <w:p w14:paraId="5E277E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第六章 拟签订的合同文本 </w:t>
      </w:r>
    </w:p>
    <w:p w14:paraId="3D2DF3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第七章 投标文件格式 </w:t>
      </w:r>
    </w:p>
    <w:p w14:paraId="4DA33D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7.2 投标人应认真阅读招标文件的全部内容。投标人应按照招标文件要求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 xml:space="preserve">并对招标文件做出实质性响应， 否则投标无效。 </w:t>
      </w:r>
    </w:p>
    <w:p w14:paraId="0336E6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8 对招标文件的澄清或修改 </w:t>
      </w:r>
    </w:p>
    <w:p w14:paraId="2F697B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8.1 采购人或采购代理机构对已发出的招标文件进行必要澄清或者修改的，将在原公告发布媒体上发布更正公告，并以书面形式通知所有获取招标文件的潜 在投标人。 </w:t>
      </w:r>
    </w:p>
    <w:p w14:paraId="68DBD9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8.2 上述书面通知，按照获取招标文件的潜在投标人</w:t>
      </w:r>
      <w:r>
        <w:rPr>
          <w:rFonts w:hint="eastAsia" w:ascii="宋体" w:hAnsi="宋体" w:eastAsia="宋体" w:cs="宋体"/>
          <w:sz w:val="24"/>
          <w:szCs w:val="24"/>
          <w:lang w:val="en-US" w:eastAsia="zh-CN"/>
        </w:rPr>
        <w:t>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 任。 </w:t>
      </w:r>
    </w:p>
    <w:p w14:paraId="5EEF1A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15日的，将顺延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投标文件的截止时间和开标时间。 </w:t>
      </w:r>
    </w:p>
    <w:p w14:paraId="1CE86A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投标文件的编制 </w:t>
      </w:r>
    </w:p>
    <w:p w14:paraId="530785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 投标范围、投标文件中计量单位的使用及投标语言 </w:t>
      </w:r>
    </w:p>
    <w:p w14:paraId="3A21BF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 </w:t>
      </w:r>
    </w:p>
    <w:p w14:paraId="14272F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9.2 除招标文件有特殊要求外，本项目投标所使用的计量单位，应采用中华人民共和国法定计量单位。 </w:t>
      </w:r>
    </w:p>
    <w:p w14:paraId="635F3F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9.3 除专用术语外，投标文件及来往函电均应使用中文书写。必要时专用术语应附有中文解释。投标人</w:t>
      </w:r>
      <w:r>
        <w:rPr>
          <w:rFonts w:hint="eastAsia" w:ascii="宋体" w:hAnsi="宋体" w:eastAsia="宋体" w:cs="宋体"/>
          <w:sz w:val="24"/>
          <w:szCs w:val="24"/>
          <w:lang w:val="en-US" w:eastAsia="zh-CN"/>
        </w:rPr>
        <w:t>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 xml:space="preserve">在解释投标文件时以中文翻译本为准。未附中文翻译本或翻译本中文内容明显与外文内容不一致的，其不利后果由投标人自行承担。 </w:t>
      </w:r>
    </w:p>
    <w:p w14:paraId="172491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 投标文件构成 </w:t>
      </w:r>
    </w:p>
    <w:p w14:paraId="4F5CCC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10.1 投标人应当按照招标文件的要求编制投标文件。投标文件应由《资格证明文件》</w:t>
      </w:r>
      <w:r>
        <w:rPr>
          <w:rFonts w:hint="eastAsia" w:ascii="宋体" w:hAnsi="宋体" w:eastAsia="宋体" w:cs="宋体"/>
          <w:sz w:val="24"/>
          <w:szCs w:val="24"/>
          <w:lang w:eastAsia="zh-CN"/>
        </w:rPr>
        <w:t>、</w:t>
      </w:r>
      <w:r>
        <w:rPr>
          <w:rFonts w:ascii="宋体" w:hAnsi="宋体" w:eastAsia="宋体" w:cs="宋体"/>
          <w:sz w:val="24"/>
          <w:szCs w:val="24"/>
        </w:rPr>
        <w:t xml:space="preserve">《商务技术文件》两部分构成。投标文件的部分格式要求，见第七章《投标文件格式》。 </w:t>
      </w:r>
    </w:p>
    <w:p w14:paraId="440FE1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10.2 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可由投标人自行编写。</w:t>
      </w:r>
    </w:p>
    <w:p w14:paraId="4584A1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10.3 第四章《评标程序、评标方法和评标标准》中涉及的证明文件。 </w:t>
      </w:r>
    </w:p>
    <w:p w14:paraId="34E956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10.4 对照第五章《采购需求》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货物和服务已对第五章《采购需求》做出了响应，或申明与第五章《采购需求》的偏差和例外。如第五章《采购需求》中要求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证明文件的，投标人应当按具体要求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2BBB22A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10.5 投标人认为应附的其他材料。 </w:t>
      </w:r>
    </w:p>
    <w:p w14:paraId="0D467D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 投标报价 </w:t>
      </w:r>
    </w:p>
    <w:p w14:paraId="6B9EA5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11.1 所有投标均以人民币报价。 </w:t>
      </w:r>
    </w:p>
    <w:p w14:paraId="5551AD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 投标人的报价应包括为完成本项目所发生的一切费用和税费，采购人将不再支付报价以外的任何费用。投标人的报价应包括但不限于下列内容，《投标人须知资料表》中有特殊规定的，从其规定。 </w:t>
      </w:r>
    </w:p>
    <w:p w14:paraId="75B64C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77836E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11.2.2 按照招标文件要求完成本项目的全部相关费用。 </w:t>
      </w:r>
    </w:p>
    <w:p w14:paraId="586A6C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11.3 采购人不得向供应商索要或者接受其给予的赠品、回扣或者与采购无关的其他商品、服务。 </w:t>
      </w:r>
    </w:p>
    <w:p w14:paraId="7F43CF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11.4 投标人不能</w:t>
      </w:r>
      <w:r>
        <w:rPr>
          <w:rFonts w:hint="eastAsia" w:ascii="宋体" w:hAnsi="宋体" w:eastAsia="宋体" w:cs="宋体"/>
          <w:sz w:val="24"/>
          <w:szCs w:val="24"/>
          <w:lang w:val="en-US" w:eastAsia="zh-CN"/>
        </w:rPr>
        <w:t>提供</w:t>
      </w:r>
      <w:r>
        <w:rPr>
          <w:rFonts w:ascii="宋体" w:hAnsi="宋体" w:eastAsia="宋体" w:cs="宋体"/>
          <w:sz w:val="24"/>
          <w:szCs w:val="24"/>
        </w:rPr>
        <w:t xml:space="preserve">任何有选择性或可调整的报价（招标文件另有规定的除外），否则其投标无效。 </w:t>
      </w:r>
    </w:p>
    <w:p w14:paraId="1F66A4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 投标保证金 </w:t>
      </w:r>
    </w:p>
    <w:p w14:paraId="521F33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12.1 投标人应按《投标人须知资料表》中规定的金额及要求交纳投标保证金。 </w:t>
      </w:r>
    </w:p>
    <w:p w14:paraId="5B1E9E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12.2 交纳投标保证金可采用的形式：政府采购法律法规接受的支票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327446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12.3 投标保证金到账（保函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）截止时间同投标截止时间。以支票、汇票、本票、网上银行支付等形式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投标保证金的，应在投标截止时间前到账；以金融机构、担保机构出具的保函等形式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至采购代理机构。由于到账时间晚于投标截止时间的，或者票据错误、印鉴不清等原因导致不能到账的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其投标无效</w:t>
      </w:r>
      <w:r>
        <w:rPr>
          <w:rFonts w:hint="eastAsia" w:ascii="宋体" w:hAnsi="宋体" w:eastAsia="宋体" w:cs="宋体"/>
          <w:sz w:val="24"/>
          <w:szCs w:val="24"/>
          <w:lang w:eastAsia="zh-CN"/>
        </w:rPr>
        <w:t>。</w:t>
      </w:r>
    </w:p>
    <w:p w14:paraId="35A32F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12.4 投标保证金有效期同投标有效期。 </w:t>
      </w:r>
    </w:p>
    <w:p w14:paraId="54A70E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12.5 投标人为联合体的</w:t>
      </w:r>
      <w:r>
        <w:rPr>
          <w:rFonts w:hint="eastAsia" w:ascii="宋体" w:hAnsi="宋体" w:eastAsia="宋体" w:cs="宋体"/>
          <w:sz w:val="24"/>
          <w:szCs w:val="24"/>
          <w:lang w:eastAsia="zh-CN"/>
        </w:rPr>
        <w:t>，</w:t>
      </w:r>
      <w:r>
        <w:rPr>
          <w:rFonts w:ascii="宋体" w:hAnsi="宋体" w:eastAsia="宋体" w:cs="宋体"/>
          <w:sz w:val="24"/>
          <w:szCs w:val="24"/>
        </w:rPr>
        <w:t xml:space="preserve">可以由联合体中的一方或者多方共同交纳投标保证金，其交纳的投标保证金对联合体各方均具有约束力。 </w:t>
      </w:r>
    </w:p>
    <w:p w14:paraId="7E9F8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12.6 采购人、采购代理机构将及时退还投标人的投标保证金，采用银行保函、担保机构担保函等形式递交的投标保证金</w:t>
      </w:r>
      <w:r>
        <w:rPr>
          <w:rFonts w:hint="eastAsia" w:ascii="宋体" w:hAnsi="宋体" w:eastAsia="宋体" w:cs="宋体"/>
          <w:sz w:val="24"/>
          <w:szCs w:val="24"/>
          <w:lang w:eastAsia="zh-CN"/>
        </w:rPr>
        <w:t>，</w:t>
      </w:r>
      <w:r>
        <w:rPr>
          <w:rFonts w:ascii="宋体" w:hAnsi="宋体" w:eastAsia="宋体" w:cs="宋体"/>
          <w:sz w:val="24"/>
          <w:szCs w:val="24"/>
        </w:rPr>
        <w:t>经投标人同意后采购人、采购代理机构可以不再退还，但因投标人自身原因导致无法及时退还的除外：</w:t>
      </w:r>
    </w:p>
    <w:p w14:paraId="10A06A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12.6.1 投标人在投标截止时间前撤回已</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的投标文件的，自收到投标人书面撤回通知之日起5个工作日内退还已收取的投标保证金； </w:t>
      </w:r>
    </w:p>
    <w:p w14:paraId="5292B5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12.6.2 中标人的投标保证金，自采购合同签订之日起5个工作日内退还中 标人； </w:t>
      </w:r>
    </w:p>
    <w:p w14:paraId="0BDAEE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12.6.3 未中标投标人的投标保证金，自中标通知书发出之日起5个工作日 内退还未中标人； </w:t>
      </w:r>
    </w:p>
    <w:p w14:paraId="0F4E93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12.6.4 终止招标项目已经收取投标保证金的，自终止采购活动后5个工作 日内退还已收取的投标保证金及其在银行产生的孳息。 </w:t>
      </w:r>
    </w:p>
    <w:p w14:paraId="59D968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 有下列情形之一的，采购人或采购代理机构可以不予退还投标保证金： </w:t>
      </w:r>
    </w:p>
    <w:p w14:paraId="11F8FF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12.7.1 投标有效期内投标人撤销投标文件的； </w:t>
      </w:r>
    </w:p>
    <w:p w14:paraId="3D2349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12.7.2 《投标人须知资料表》中规定的其他情形。 </w:t>
      </w:r>
    </w:p>
    <w:p w14:paraId="213012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13 投标有效期 </w:t>
      </w:r>
    </w:p>
    <w:p w14:paraId="5FF875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13.1 投标文件应在本招标文件《投标人须知资料表》中规定的投标有效期内保持有效，投标有效期少于招标文件规定期限的，其投标无效。</w:t>
      </w:r>
    </w:p>
    <w:p w14:paraId="62AE09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14 投标文件的签署、盖章 </w:t>
      </w:r>
    </w:p>
    <w:p w14:paraId="4C31EE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14.1 招标文件要求签字的内容（如授权委托书等），可以使用电子签章或使用原件的电子件（电子件指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ascii="宋体" w:hAnsi="宋体" w:eastAsia="宋体" w:cs="宋体"/>
          <w:sz w:val="24"/>
          <w:szCs w:val="24"/>
        </w:rPr>
        <w:t xml:space="preserve">件、照片等形式电子文件）；要求第三方出具的盖章件原件（如联合协议、分包意向协议、制造商授权书等），投标文件中应使用原件的电子件。 </w:t>
      </w:r>
    </w:p>
    <w:p w14:paraId="386920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jc w:val="center"/>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14.2 招标文件要求盖章的内容，一般通过投标文件编制工具加盖电子签章。 </w:t>
      </w: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投标文件的</w:t>
      </w:r>
      <w:r>
        <w:rPr>
          <w:rFonts w:hint="eastAsia" w:ascii="宋体" w:hAnsi="宋体" w:eastAsia="宋体" w:cs="宋体"/>
          <w:b/>
          <w:bCs/>
          <w:sz w:val="28"/>
          <w:szCs w:val="28"/>
          <w:lang w:val="en-US" w:eastAsia="zh-CN"/>
        </w:rPr>
        <w:t>提交</w:t>
      </w:r>
    </w:p>
    <w:p w14:paraId="5862AD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15 投标文件的</w:t>
      </w:r>
      <w:r>
        <w:rPr>
          <w:rFonts w:hint="eastAsia" w:ascii="宋体" w:hAnsi="宋体" w:eastAsia="宋体" w:cs="宋体"/>
          <w:sz w:val="24"/>
          <w:szCs w:val="24"/>
          <w:lang w:val="en-US" w:eastAsia="zh-CN"/>
        </w:rPr>
        <w:t>提交</w:t>
      </w:r>
    </w:p>
    <w:p w14:paraId="250AB3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15.1 本项目使用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平台。投标人根据招标文件及</w:t>
      </w:r>
      <w:r>
        <w:rPr>
          <w:rFonts w:hint="eastAsia" w:ascii="宋体" w:hAnsi="宋体" w:eastAsia="宋体" w:cs="宋体"/>
          <w:sz w:val="24"/>
          <w:szCs w:val="24"/>
          <w:lang w:val="en-US" w:eastAsia="zh-CN"/>
        </w:rPr>
        <w:t>政采云</w:t>
      </w:r>
      <w:r>
        <w:rPr>
          <w:rFonts w:ascii="宋体" w:hAnsi="宋体" w:eastAsia="宋体" w:cs="宋体"/>
          <w:sz w:val="24"/>
          <w:szCs w:val="24"/>
        </w:rPr>
        <w:t>平台供应商操作手册要求编制、生成并</w:t>
      </w:r>
      <w:r>
        <w:rPr>
          <w:rFonts w:hint="eastAsia" w:ascii="宋体" w:hAnsi="宋体" w:eastAsia="宋体" w:cs="宋体"/>
          <w:sz w:val="24"/>
          <w:szCs w:val="24"/>
          <w:lang w:val="en-US" w:eastAsia="zh-CN"/>
        </w:rPr>
        <w:t>提交</w:t>
      </w:r>
      <w:r>
        <w:rPr>
          <w:rFonts w:ascii="宋体" w:hAnsi="宋体" w:eastAsia="宋体" w:cs="宋体"/>
          <w:sz w:val="24"/>
          <w:szCs w:val="24"/>
        </w:rPr>
        <w:t xml:space="preserve">电子投标文件。 </w:t>
      </w:r>
    </w:p>
    <w:p w14:paraId="361A36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15.2 采购人及采购代理机构拒绝接受通过</w:t>
      </w:r>
      <w:r>
        <w:rPr>
          <w:rFonts w:hint="eastAsia" w:ascii="宋体" w:hAnsi="宋体" w:eastAsia="宋体" w:cs="宋体"/>
          <w:sz w:val="24"/>
          <w:szCs w:val="24"/>
          <w:lang w:val="en-US" w:eastAsia="zh-CN"/>
        </w:rPr>
        <w:t>政采云</w:t>
      </w:r>
      <w:r>
        <w:rPr>
          <w:rFonts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的投标文件，投标保证金除外。 </w:t>
      </w:r>
    </w:p>
    <w:p w14:paraId="559AA7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16 投标截止时间 </w:t>
      </w:r>
    </w:p>
    <w:p w14:paraId="42A698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16.1 投标人应在招标文件要求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投标文件截止时间前，将电子投标文件</w:t>
      </w:r>
      <w:r>
        <w:rPr>
          <w:rFonts w:hint="eastAsia" w:ascii="宋体" w:hAnsi="宋体" w:eastAsia="宋体" w:cs="宋体"/>
          <w:sz w:val="24"/>
          <w:szCs w:val="24"/>
          <w:lang w:val="en-US" w:eastAsia="zh-CN"/>
        </w:rPr>
        <w:t>提交</w:t>
      </w:r>
      <w:r>
        <w:rPr>
          <w:rFonts w:ascii="宋体" w:hAnsi="宋体" w:eastAsia="宋体" w:cs="宋体"/>
          <w:sz w:val="24"/>
          <w:szCs w:val="24"/>
        </w:rPr>
        <w:t>至</w:t>
      </w:r>
      <w:r>
        <w:rPr>
          <w:rFonts w:hint="eastAsia" w:ascii="宋体" w:hAnsi="宋体" w:eastAsia="宋体" w:cs="宋体"/>
          <w:sz w:val="24"/>
          <w:szCs w:val="24"/>
          <w:lang w:val="en-US" w:eastAsia="zh-CN"/>
        </w:rPr>
        <w:t>政采云</w:t>
      </w:r>
      <w:r>
        <w:rPr>
          <w:rFonts w:ascii="宋体" w:hAnsi="宋体" w:eastAsia="宋体" w:cs="宋体"/>
          <w:sz w:val="24"/>
          <w:szCs w:val="24"/>
        </w:rPr>
        <w:t>平台。</w:t>
      </w:r>
    </w:p>
    <w:p w14:paraId="763166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17 投标文件的修改与撤回 </w:t>
      </w:r>
    </w:p>
    <w:p w14:paraId="2E52D9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17.1 投标截止时间前</w:t>
      </w:r>
      <w:r>
        <w:rPr>
          <w:rFonts w:hint="eastAsia" w:ascii="宋体" w:hAnsi="宋体" w:eastAsia="宋体" w:cs="宋体"/>
          <w:sz w:val="24"/>
          <w:szCs w:val="24"/>
          <w:lang w:eastAsia="zh-CN"/>
        </w:rPr>
        <w:t>，</w:t>
      </w:r>
      <w:r>
        <w:rPr>
          <w:rFonts w:ascii="宋体" w:hAnsi="宋体" w:eastAsia="宋体" w:cs="宋体"/>
          <w:sz w:val="24"/>
          <w:szCs w:val="24"/>
        </w:rPr>
        <w:t>投标人可以通过</w:t>
      </w:r>
      <w:r>
        <w:rPr>
          <w:rFonts w:hint="eastAsia" w:ascii="宋体" w:hAnsi="宋体" w:eastAsia="宋体" w:cs="宋体"/>
          <w:sz w:val="24"/>
          <w:szCs w:val="24"/>
          <w:lang w:val="en-US" w:eastAsia="zh-CN"/>
        </w:rPr>
        <w:t>政采云平台</w:t>
      </w:r>
      <w:r>
        <w:rPr>
          <w:rFonts w:ascii="宋体" w:hAnsi="宋体" w:eastAsia="宋体" w:cs="宋体"/>
          <w:sz w:val="24"/>
          <w:szCs w:val="24"/>
        </w:rPr>
        <w:t>对所</w:t>
      </w:r>
      <w:r>
        <w:rPr>
          <w:rFonts w:hint="eastAsia" w:ascii="宋体" w:hAnsi="宋体" w:eastAsia="宋体" w:cs="宋体"/>
          <w:sz w:val="24"/>
          <w:szCs w:val="24"/>
          <w:lang w:val="en-US" w:eastAsia="zh-CN"/>
        </w:rPr>
        <w:t>提交</w:t>
      </w:r>
      <w:r>
        <w:rPr>
          <w:rFonts w:ascii="宋体" w:hAnsi="宋体" w:eastAsia="宋体" w:cs="宋体"/>
          <w:sz w:val="24"/>
          <w:szCs w:val="24"/>
        </w:rPr>
        <w:t>的投标文件进行补充、修改或者撤回。投标保证金的补充、修改或者撤回无需通过</w:t>
      </w:r>
      <w:r>
        <w:rPr>
          <w:rFonts w:hint="eastAsia" w:ascii="宋体" w:hAnsi="宋体" w:eastAsia="宋体" w:cs="宋体"/>
          <w:sz w:val="24"/>
          <w:szCs w:val="24"/>
          <w:lang w:val="en-US" w:eastAsia="zh-CN"/>
        </w:rPr>
        <w:t>政采云</w:t>
      </w:r>
      <w:r>
        <w:rPr>
          <w:rFonts w:ascii="宋体" w:hAnsi="宋体" w:eastAsia="宋体" w:cs="宋体"/>
          <w:sz w:val="24"/>
          <w:szCs w:val="24"/>
        </w:rPr>
        <w:t xml:space="preserve">平台，但应就其补充、修改或者撤回通知采购人或采购代理机构。 </w:t>
      </w:r>
    </w:p>
    <w:p w14:paraId="713E06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17.2 投标人对投标文件的补充、修改的内容应当按照招标文件要求签署、盖章，作为投标文件的组成部分。 </w:t>
      </w:r>
    </w:p>
    <w:p w14:paraId="4F8D3E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开标、资格审查及评标</w:t>
      </w:r>
    </w:p>
    <w:p w14:paraId="3CB2DA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 开标 </w:t>
      </w:r>
    </w:p>
    <w:p w14:paraId="6D9BBC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18.1 采购人或采购代理机构将按招标文件的规定，在投标截止时间的同一时间和招标文件预先确定的地点组织开标。 </w:t>
      </w:r>
    </w:p>
    <w:p w14:paraId="1928D5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18.2 本项目开标使用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 xml:space="preserve">平台。投标人应在规定的时间内对投标文件进行解密，因非系统原因导致的解密失败，视为投标无效。 </w:t>
      </w:r>
    </w:p>
    <w:p w14:paraId="7BA533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18.3 开标过程将使用</w:t>
      </w:r>
      <w:r>
        <w:rPr>
          <w:rFonts w:hint="eastAsia" w:ascii="宋体" w:hAnsi="宋体" w:eastAsia="宋体" w:cs="宋体"/>
          <w:sz w:val="24"/>
          <w:szCs w:val="24"/>
          <w:lang w:val="en-US" w:eastAsia="zh-CN"/>
        </w:rPr>
        <w:t>政采云</w:t>
      </w:r>
      <w:r>
        <w:rPr>
          <w:rFonts w:ascii="宋体" w:hAnsi="宋体" w:eastAsia="宋体" w:cs="宋体"/>
          <w:sz w:val="24"/>
          <w:szCs w:val="24"/>
        </w:rPr>
        <w:t>平台宣布投标人名称、投标价格和招标文件规定的需要宣布的其他内容并进行记录，并由参加开标的各投标人确认。投标人未在规定时间内</w:t>
      </w:r>
      <w:r>
        <w:rPr>
          <w:rFonts w:hint="eastAsia" w:ascii="宋体" w:hAnsi="宋体" w:eastAsia="宋体" w:cs="宋体"/>
          <w:sz w:val="24"/>
          <w:szCs w:val="24"/>
          <w:lang w:val="en-US" w:eastAsia="zh-CN"/>
        </w:rPr>
        <w:t>提出</w:t>
      </w:r>
      <w:r>
        <w:rPr>
          <w:rFonts w:ascii="宋体" w:hAnsi="宋体" w:eastAsia="宋体" w:cs="宋体"/>
          <w:sz w:val="24"/>
          <w:szCs w:val="24"/>
        </w:rPr>
        <w:t>疑义或确认一览表的，视同认可开标结果。</w:t>
      </w:r>
    </w:p>
    <w:p w14:paraId="4F155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18.4 投标人对开标过程和开标记录有疑义，以及认为采购人、采购代理机构相关工作人员有需要回避的情形的，应当场</w:t>
      </w:r>
      <w:r>
        <w:rPr>
          <w:rFonts w:hint="eastAsia" w:ascii="宋体" w:hAnsi="宋体" w:eastAsia="宋体" w:cs="宋体"/>
          <w:sz w:val="24"/>
          <w:szCs w:val="24"/>
          <w:lang w:val="en-US" w:eastAsia="zh-CN"/>
        </w:rPr>
        <w:t>提出</w:t>
      </w:r>
      <w:r>
        <w:rPr>
          <w:rFonts w:ascii="宋体" w:hAnsi="宋体" w:eastAsia="宋体" w:cs="宋体"/>
          <w:sz w:val="24"/>
          <w:szCs w:val="24"/>
        </w:rPr>
        <w:t>询问或者回避申请。采购人、采 购代理机构对投标人</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的询问或者回避申请将及时处理。 </w:t>
      </w:r>
    </w:p>
    <w:p w14:paraId="10D56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18.5 投标人不足3家的，不予开标。 </w:t>
      </w:r>
    </w:p>
    <w:p w14:paraId="1573E0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19 资格审查 </w:t>
      </w:r>
    </w:p>
    <w:p w14:paraId="015162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19.1 见第三章《资格审查》。 </w:t>
      </w:r>
    </w:p>
    <w:p w14:paraId="2F6BB8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 评标委员会 </w:t>
      </w:r>
    </w:p>
    <w:p w14:paraId="44C7F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20.1 评标委员会根据政府采购有关规定和本次采购项目的特点进行组建，并负责具体评标事务，独立履行职责。 </w:t>
      </w:r>
    </w:p>
    <w:p w14:paraId="5B9EC7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 </w:t>
      </w:r>
    </w:p>
    <w:p w14:paraId="550AF7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评标程序、评标方法和评标标准 </w:t>
      </w:r>
    </w:p>
    <w:p w14:paraId="040F21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21.1 见第四章《评标程序、评标方法和评标标准》。 </w:t>
      </w:r>
    </w:p>
    <w:p w14:paraId="25596B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确定中标</w:t>
      </w:r>
    </w:p>
    <w:p w14:paraId="0E3D3E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 确定中标人 </w:t>
      </w:r>
    </w:p>
    <w:p w14:paraId="43866A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 </w:t>
      </w:r>
    </w:p>
    <w:p w14:paraId="1ECB39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 中标公告与中标通知书 </w:t>
      </w:r>
    </w:p>
    <w:p w14:paraId="2D7A14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23.1 采购人或采购代理机构自中标人确定之日起2个工作日内，在</w:t>
      </w:r>
      <w:r>
        <w:rPr>
          <w:rFonts w:hint="eastAsia" w:ascii="宋体" w:hAnsi="宋体" w:eastAsia="宋体" w:cs="宋体"/>
          <w:sz w:val="24"/>
          <w:szCs w:val="24"/>
          <w:lang w:val="en-US" w:eastAsia="zh-CN"/>
        </w:rPr>
        <w:t>新疆政府</w:t>
      </w:r>
      <w:r>
        <w:rPr>
          <w:rFonts w:ascii="宋体" w:hAnsi="宋体" w:eastAsia="宋体" w:cs="宋体"/>
          <w:sz w:val="24"/>
          <w:szCs w:val="24"/>
        </w:rPr>
        <w:t xml:space="preserve">采购网公告中标结果，同时向中标人发出中标通知书，中标公告期限为1个工作日。 </w:t>
      </w:r>
    </w:p>
    <w:p w14:paraId="182433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23.2 中标通知书对采购人和中标供应商均具有法律效力。中标通知书发出后，采购人改变中标结果的，或者中标供应商放弃中标项目的，应当依法承担法律责任。 </w:t>
      </w:r>
    </w:p>
    <w:p w14:paraId="552F75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 废标 </w:t>
      </w:r>
    </w:p>
    <w:p w14:paraId="524A00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 在招标采购中，出现下列情形之一的，应予废标： </w:t>
      </w:r>
    </w:p>
    <w:p w14:paraId="101E30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24.1.1 符合专业条件的供应商或者对招标文件作实质响应的供应商不足三 家的； </w:t>
      </w:r>
    </w:p>
    <w:p w14:paraId="6F3C1A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24.1.2 出现影响采购公正的违法、违规行为的； </w:t>
      </w:r>
    </w:p>
    <w:p w14:paraId="2FC545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24.1.3 投标人的报价均超过了采购预算，采购人不能支付的； </w:t>
      </w:r>
    </w:p>
    <w:p w14:paraId="6C75DC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24.1.4 因重大变故，采购任务取消的。 </w:t>
      </w:r>
    </w:p>
    <w:p w14:paraId="34A827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24.2 废标后，采购人将废标理由书面通知所有投标人。</w:t>
      </w:r>
    </w:p>
    <w:p w14:paraId="675248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 签订合同 </w:t>
      </w:r>
    </w:p>
    <w:p w14:paraId="285B0E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25.1 中标人、采购人应当自中标通知书发出之日起30日内，按照招标文件和中标人投标文件的规定签订书面合同。所签订的合同不得对招标文件确定的事项 和中标人投标文件作实质性修改。 </w:t>
      </w:r>
    </w:p>
    <w:p w14:paraId="2B9926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25.2 中标人拒绝与采购人签订合同的，采购人可以按照评标报告推荐的中标候选人名单排序，确定下一候选人为中标人，也可以重新开展政府采购活动。 </w:t>
      </w:r>
      <w:r>
        <w:rPr>
          <w:rFonts w:hint="eastAsia" w:ascii="宋体" w:hAnsi="宋体" w:eastAsia="宋体" w:cs="宋体"/>
          <w:sz w:val="24"/>
          <w:szCs w:val="24"/>
          <w:lang w:val="en-US" w:eastAsia="zh-CN"/>
        </w:rPr>
        <w:t xml:space="preserve"> </w:t>
      </w:r>
    </w:p>
    <w:p w14:paraId="67EA46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25.3 联合体中标的，联合体各方应当共同与采购人签订合同，就采购合同约定的事项向采购人承担连带责任。 </w:t>
      </w:r>
    </w:p>
    <w:p w14:paraId="2B1BD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25.4 政府采购合同不能转包。 </w:t>
      </w:r>
    </w:p>
    <w:p w14:paraId="75405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25.5 采购人允许采用分包方式履行合同的，中标人可以依法在中标后将中标项目的非主体、非关键性工作采取分包方式履行合同。本项目的非主体、非关键 性工作是否允许分包，见《投标人须知资料表》。政府采购合同分包履行的，应当在投标文件中载明分包承担主体</w:t>
      </w:r>
      <w:r>
        <w:rPr>
          <w:rFonts w:hint="eastAsia" w:ascii="宋体" w:hAnsi="宋体" w:eastAsia="宋体" w:cs="宋体"/>
          <w:sz w:val="24"/>
          <w:szCs w:val="24"/>
          <w:lang w:eastAsia="zh-CN"/>
        </w:rPr>
        <w:t>，</w:t>
      </w:r>
      <w:r>
        <w:rPr>
          <w:rFonts w:ascii="宋体" w:hAnsi="宋体" w:eastAsia="宋体" w:cs="宋体"/>
          <w:sz w:val="24"/>
          <w:szCs w:val="24"/>
        </w:rPr>
        <w:t xml:space="preserve">分包承担主体应当具备相应资质条件且不得再次分包，否则投标无效。中标人就采购项目和分包项目向采购人负责，分包供应商就分包项目承担责任。 </w:t>
      </w:r>
    </w:p>
    <w:p w14:paraId="4407AE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 询问与质疑 </w:t>
      </w:r>
    </w:p>
    <w:p w14:paraId="2AF79D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26.1 询问 </w:t>
      </w:r>
    </w:p>
    <w:p w14:paraId="4CB7A8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26.1.1 投标人对政府采购活动事项有疑问的，可依法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询问，并按《投标人须知资料表》载明的形式送达采购人或采购代理机构。 </w:t>
      </w:r>
    </w:p>
    <w:p w14:paraId="71DAE7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20C83B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26.2 质疑 </w:t>
      </w:r>
    </w:p>
    <w:p w14:paraId="297FF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26.2.1 投标人认为采购文件、采购过程、中标结果使自己的权益受到损害的，可以在知道或者应知其权益受到损害之日起7个工作日内，以书面形式向采购人、采购代理机构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 xml:space="preserve">质疑。采购人、采购代理机构在收到质疑函后7个工作日内作出答复。 </w:t>
      </w:r>
    </w:p>
    <w:p w14:paraId="24943B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26.2.2 质疑函须使用财政部制定的范本文件。投标人为自然人的，质疑函应当由本人签字；投标人为法人或者其他组织的，质疑函应当由法定代表人、主要负责人，或者其授权代表签字或者盖章，并加盖公章。 </w:t>
      </w:r>
    </w:p>
    <w:p w14:paraId="00FA61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26.2.3 投标人委托代理人进行质疑的，应当随质疑函同时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 </w:t>
      </w:r>
    </w:p>
    <w:p w14:paraId="50F2C7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26.2.4 投标人应在法定质疑期内一次性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 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087FB0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26.3 接收询问和质疑的联系部门、联系电话和通讯地址见《投标人须知资料表》。 </w:t>
      </w:r>
    </w:p>
    <w:p w14:paraId="181DF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27 代理费 </w:t>
      </w:r>
    </w:p>
    <w:p w14:paraId="6A9D75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27.1 收费对象、收费标准及缴纳时间见《投标人须知资料表》。由中标人支付的，中标人须一次性向采购代理机构缴纳代理费，投标报价应包含代理费用。</w:t>
      </w:r>
    </w:p>
    <w:p w14:paraId="5F4009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2" w:name="_Toc2285"/>
      <w:r>
        <w:rPr>
          <w:rFonts w:ascii="宋体" w:hAnsi="宋体" w:eastAsia="宋体" w:cs="宋体"/>
          <w:b/>
          <w:bCs/>
          <w:sz w:val="40"/>
          <w:szCs w:val="40"/>
        </w:rPr>
        <w:t>第三章 资格审查</w:t>
      </w:r>
      <w:bookmarkEnd w:id="2"/>
      <w:r>
        <w:rPr>
          <w:rFonts w:ascii="宋体" w:hAnsi="宋体" w:eastAsia="宋体" w:cs="宋体"/>
          <w:b/>
          <w:bCs/>
          <w:sz w:val="40"/>
          <w:szCs w:val="40"/>
        </w:rPr>
        <w:t xml:space="preserve"> </w:t>
      </w:r>
    </w:p>
    <w:p w14:paraId="68E59A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p>
    <w:p w14:paraId="30188C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 xml:space="preserve">开标结束后，采购人或采购代理机构将根据《资格审查要求》中的规定，对投标人进行资格审查，并形成资格审查结果。 </w:t>
      </w:r>
    </w:p>
    <w:p w14:paraId="5B16DD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《资格审查要求》中对格式有要求的，除招标文件另有规定外，均为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实质性格式文件</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394373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 xml:space="preserve">投标人《资格证明文件》有任何一项不符合《资格审查要求》的，资格审查不合格，其投标无效。 </w:t>
      </w:r>
    </w:p>
    <w:p w14:paraId="7DB41B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 xml:space="preserve">资格审查合格的投标人不足3家的，不进行评标。 </w:t>
      </w:r>
    </w:p>
    <w:p w14:paraId="5122634F">
      <w:pPr>
        <w:keepNext w:val="0"/>
        <w:keepLines w:val="0"/>
        <w:pageBreakBefore w:val="0"/>
        <w:widowControl w:val="0"/>
        <w:numPr>
          <w:ilvl w:val="0"/>
          <w:numId w:val="7"/>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ascii="宋体" w:hAnsi="宋体" w:eastAsia="宋体" w:cs="宋体"/>
          <w:b/>
          <w:bCs/>
          <w:sz w:val="28"/>
          <w:szCs w:val="28"/>
        </w:rPr>
        <w:t>资格审查</w:t>
      </w:r>
      <w:r>
        <w:rPr>
          <w:rFonts w:hint="eastAsia" w:ascii="宋体" w:hAnsi="宋体" w:eastAsia="宋体" w:cs="宋体"/>
          <w:b/>
          <w:bCs/>
          <w:sz w:val="28"/>
          <w:szCs w:val="28"/>
          <w:lang w:val="en-US" w:eastAsia="zh-CN"/>
        </w:rPr>
        <w:t>要求</w:t>
      </w:r>
    </w:p>
    <w:tbl>
      <w:tblPr>
        <w:tblStyle w:val="18"/>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0"/>
        <w:gridCol w:w="6159"/>
        <w:gridCol w:w="405"/>
        <w:gridCol w:w="450"/>
        <w:gridCol w:w="454"/>
      </w:tblGrid>
      <w:tr w14:paraId="56F7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Merge w:val="restart"/>
            <w:noWrap w:val="0"/>
            <w:vAlign w:val="center"/>
          </w:tcPr>
          <w:p w14:paraId="4426F9EA">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20" w:type="dxa"/>
            <w:vMerge w:val="restart"/>
            <w:noWrap w:val="0"/>
            <w:vAlign w:val="center"/>
          </w:tcPr>
          <w:p w14:paraId="74FFE3C6">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159" w:type="dxa"/>
            <w:vMerge w:val="restart"/>
            <w:noWrap w:val="0"/>
            <w:vAlign w:val="center"/>
          </w:tcPr>
          <w:p w14:paraId="39E4D4C4">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309" w:type="dxa"/>
            <w:gridSpan w:val="3"/>
            <w:noWrap w:val="0"/>
            <w:vAlign w:val="bottom"/>
          </w:tcPr>
          <w:p w14:paraId="22C9456E">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42C0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6DF02BA9">
            <w:pPr>
              <w:spacing w:line="360" w:lineRule="auto"/>
              <w:jc w:val="center"/>
              <w:rPr>
                <w:rFonts w:hint="eastAsia" w:ascii="宋体" w:hAnsi="宋体" w:cs="仿宋"/>
                <w:b/>
                <w:spacing w:val="-2"/>
                <w:sz w:val="24"/>
              </w:rPr>
            </w:pPr>
          </w:p>
        </w:tc>
        <w:tc>
          <w:tcPr>
            <w:tcW w:w="1920" w:type="dxa"/>
            <w:vMerge w:val="continue"/>
            <w:noWrap w:val="0"/>
            <w:vAlign w:val="bottom"/>
          </w:tcPr>
          <w:p w14:paraId="6FEE1442">
            <w:pPr>
              <w:spacing w:line="360" w:lineRule="auto"/>
              <w:jc w:val="center"/>
              <w:rPr>
                <w:rFonts w:hint="eastAsia" w:ascii="宋体" w:hAnsi="宋体" w:cs="仿宋"/>
                <w:b/>
                <w:spacing w:val="-2"/>
                <w:sz w:val="24"/>
              </w:rPr>
            </w:pPr>
          </w:p>
        </w:tc>
        <w:tc>
          <w:tcPr>
            <w:tcW w:w="6159" w:type="dxa"/>
            <w:vMerge w:val="continue"/>
            <w:noWrap w:val="0"/>
            <w:vAlign w:val="bottom"/>
          </w:tcPr>
          <w:p w14:paraId="730692C4">
            <w:pPr>
              <w:spacing w:line="360" w:lineRule="auto"/>
              <w:jc w:val="center"/>
              <w:rPr>
                <w:rFonts w:hint="eastAsia" w:ascii="宋体" w:hAnsi="宋体" w:cs="仿宋"/>
                <w:b/>
                <w:spacing w:val="-2"/>
                <w:sz w:val="24"/>
              </w:rPr>
            </w:pPr>
          </w:p>
        </w:tc>
        <w:tc>
          <w:tcPr>
            <w:tcW w:w="405" w:type="dxa"/>
            <w:noWrap w:val="0"/>
            <w:vAlign w:val="bottom"/>
          </w:tcPr>
          <w:p w14:paraId="51E426D4">
            <w:pPr>
              <w:spacing w:line="360" w:lineRule="auto"/>
              <w:jc w:val="center"/>
              <w:rPr>
                <w:rFonts w:hint="eastAsia" w:ascii="宋体" w:hAnsi="宋体" w:cs="仿宋"/>
                <w:b/>
                <w:spacing w:val="-2"/>
                <w:sz w:val="24"/>
              </w:rPr>
            </w:pPr>
          </w:p>
        </w:tc>
        <w:tc>
          <w:tcPr>
            <w:tcW w:w="450" w:type="dxa"/>
            <w:noWrap w:val="0"/>
            <w:vAlign w:val="top"/>
          </w:tcPr>
          <w:p w14:paraId="067A419C">
            <w:pPr>
              <w:spacing w:line="360" w:lineRule="auto"/>
              <w:jc w:val="center"/>
              <w:rPr>
                <w:rFonts w:hint="eastAsia" w:ascii="宋体" w:hAnsi="宋体" w:cs="仿宋"/>
                <w:b/>
                <w:spacing w:val="-2"/>
                <w:sz w:val="24"/>
              </w:rPr>
            </w:pPr>
          </w:p>
        </w:tc>
        <w:tc>
          <w:tcPr>
            <w:tcW w:w="454" w:type="dxa"/>
            <w:noWrap w:val="0"/>
            <w:vAlign w:val="top"/>
          </w:tcPr>
          <w:p w14:paraId="5C730F36">
            <w:pPr>
              <w:spacing w:line="360" w:lineRule="auto"/>
              <w:jc w:val="center"/>
              <w:rPr>
                <w:rFonts w:hint="eastAsia" w:ascii="宋体" w:hAnsi="宋体" w:cs="仿宋"/>
                <w:b/>
                <w:spacing w:val="-2"/>
                <w:sz w:val="24"/>
              </w:rPr>
            </w:pPr>
          </w:p>
        </w:tc>
      </w:tr>
      <w:tr w14:paraId="003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35" w:type="dxa"/>
            <w:noWrap w:val="0"/>
            <w:vAlign w:val="center"/>
          </w:tcPr>
          <w:p w14:paraId="631EE374">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920" w:type="dxa"/>
            <w:noWrap w:val="0"/>
            <w:vAlign w:val="center"/>
          </w:tcPr>
          <w:p w14:paraId="41284648">
            <w:pPr>
              <w:spacing w:line="360" w:lineRule="auto"/>
              <w:jc w:val="center"/>
              <w:rPr>
                <w:rFonts w:hint="eastAsia" w:ascii="宋体" w:hAnsi="宋体" w:cs="仿宋"/>
                <w:spacing w:val="-2"/>
                <w:sz w:val="24"/>
              </w:rPr>
            </w:pPr>
            <w:r>
              <w:rPr>
                <w:rFonts w:ascii="宋体" w:hAnsi="宋体" w:cs="仿宋"/>
                <w:sz w:val="24"/>
              </w:rPr>
              <w:t>营业执照等证明</w:t>
            </w:r>
          </w:p>
        </w:tc>
        <w:tc>
          <w:tcPr>
            <w:tcW w:w="6159" w:type="dxa"/>
            <w:noWrap w:val="0"/>
            <w:vAlign w:val="top"/>
          </w:tcPr>
          <w:p w14:paraId="5286B19F">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14:paraId="32CB7B86">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405" w:type="dxa"/>
            <w:noWrap w:val="0"/>
            <w:vAlign w:val="top"/>
          </w:tcPr>
          <w:p w14:paraId="452F392D">
            <w:pPr>
              <w:spacing w:line="360" w:lineRule="auto"/>
              <w:jc w:val="left"/>
              <w:rPr>
                <w:rFonts w:hint="eastAsia" w:ascii="宋体" w:hAnsi="宋体" w:cs="仿宋"/>
                <w:spacing w:val="-2"/>
                <w:sz w:val="24"/>
              </w:rPr>
            </w:pPr>
          </w:p>
        </w:tc>
        <w:tc>
          <w:tcPr>
            <w:tcW w:w="450" w:type="dxa"/>
            <w:noWrap w:val="0"/>
            <w:vAlign w:val="top"/>
          </w:tcPr>
          <w:p w14:paraId="66494627">
            <w:pPr>
              <w:spacing w:line="360" w:lineRule="auto"/>
              <w:jc w:val="left"/>
              <w:rPr>
                <w:rFonts w:hint="eastAsia" w:ascii="宋体" w:hAnsi="宋体" w:cs="仿宋"/>
                <w:spacing w:val="-2"/>
                <w:sz w:val="24"/>
              </w:rPr>
            </w:pPr>
          </w:p>
        </w:tc>
        <w:tc>
          <w:tcPr>
            <w:tcW w:w="454" w:type="dxa"/>
            <w:noWrap w:val="0"/>
            <w:vAlign w:val="top"/>
          </w:tcPr>
          <w:p w14:paraId="2DFD0CBC">
            <w:pPr>
              <w:spacing w:line="360" w:lineRule="auto"/>
              <w:jc w:val="left"/>
              <w:rPr>
                <w:rFonts w:hint="eastAsia" w:ascii="宋体" w:hAnsi="宋体" w:cs="仿宋"/>
                <w:spacing w:val="-2"/>
                <w:sz w:val="24"/>
              </w:rPr>
            </w:pPr>
          </w:p>
        </w:tc>
      </w:tr>
      <w:tr w14:paraId="02EB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43C54B08">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920" w:type="dxa"/>
            <w:noWrap w:val="0"/>
            <w:vAlign w:val="center"/>
          </w:tcPr>
          <w:p w14:paraId="65173E13">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159" w:type="dxa"/>
            <w:noWrap w:val="0"/>
            <w:vAlign w:val="top"/>
          </w:tcPr>
          <w:p w14:paraId="010189B2">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6C93DF87">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79D0F389">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405" w:type="dxa"/>
            <w:noWrap w:val="0"/>
            <w:vAlign w:val="top"/>
          </w:tcPr>
          <w:p w14:paraId="1B253DCE">
            <w:pPr>
              <w:spacing w:line="360" w:lineRule="auto"/>
              <w:jc w:val="left"/>
              <w:rPr>
                <w:rFonts w:hint="eastAsia" w:ascii="宋体" w:hAnsi="宋体" w:cs="仿宋"/>
                <w:spacing w:val="-2"/>
                <w:sz w:val="24"/>
              </w:rPr>
            </w:pPr>
          </w:p>
        </w:tc>
        <w:tc>
          <w:tcPr>
            <w:tcW w:w="450" w:type="dxa"/>
            <w:noWrap w:val="0"/>
            <w:vAlign w:val="top"/>
          </w:tcPr>
          <w:p w14:paraId="039554CD">
            <w:pPr>
              <w:spacing w:line="360" w:lineRule="auto"/>
              <w:jc w:val="left"/>
              <w:rPr>
                <w:rFonts w:hint="eastAsia" w:ascii="宋体" w:hAnsi="宋体" w:cs="仿宋"/>
                <w:spacing w:val="-2"/>
                <w:sz w:val="24"/>
              </w:rPr>
            </w:pPr>
          </w:p>
        </w:tc>
        <w:tc>
          <w:tcPr>
            <w:tcW w:w="454" w:type="dxa"/>
            <w:noWrap w:val="0"/>
            <w:vAlign w:val="top"/>
          </w:tcPr>
          <w:p w14:paraId="779A6608">
            <w:pPr>
              <w:spacing w:line="360" w:lineRule="auto"/>
              <w:jc w:val="left"/>
              <w:rPr>
                <w:rFonts w:hint="eastAsia" w:ascii="宋体" w:hAnsi="宋体" w:cs="仿宋"/>
                <w:spacing w:val="-2"/>
                <w:sz w:val="24"/>
              </w:rPr>
            </w:pPr>
          </w:p>
        </w:tc>
      </w:tr>
      <w:tr w14:paraId="7D13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35" w:type="dxa"/>
            <w:noWrap w:val="0"/>
            <w:vAlign w:val="center"/>
          </w:tcPr>
          <w:p w14:paraId="0040EEBE">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920" w:type="dxa"/>
            <w:noWrap w:val="0"/>
            <w:vAlign w:val="center"/>
          </w:tcPr>
          <w:p w14:paraId="79CF066E">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159" w:type="dxa"/>
            <w:noWrap w:val="0"/>
            <w:vAlign w:val="top"/>
          </w:tcPr>
          <w:p w14:paraId="58A7947D">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年度至今任意一年的财务报告或财务报表或银行出具的资信证明</w:t>
            </w:r>
            <w:r>
              <w:rPr>
                <w:rFonts w:hint="eastAsia" w:ascii="宋体" w:hAnsi="宋体" w:cs="仿宋"/>
                <w:spacing w:val="-2"/>
                <w:sz w:val="24"/>
              </w:rPr>
              <w:t>；</w:t>
            </w:r>
          </w:p>
          <w:p w14:paraId="6133C817">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405" w:type="dxa"/>
            <w:noWrap w:val="0"/>
            <w:vAlign w:val="top"/>
          </w:tcPr>
          <w:p w14:paraId="19661633">
            <w:pPr>
              <w:spacing w:line="360" w:lineRule="auto"/>
              <w:jc w:val="left"/>
              <w:rPr>
                <w:rFonts w:hint="eastAsia" w:ascii="宋体" w:hAnsi="宋体" w:cs="仿宋"/>
                <w:spacing w:val="-2"/>
                <w:sz w:val="24"/>
              </w:rPr>
            </w:pPr>
          </w:p>
        </w:tc>
        <w:tc>
          <w:tcPr>
            <w:tcW w:w="450" w:type="dxa"/>
            <w:noWrap w:val="0"/>
            <w:vAlign w:val="top"/>
          </w:tcPr>
          <w:p w14:paraId="7C7A79F5">
            <w:pPr>
              <w:spacing w:line="360" w:lineRule="auto"/>
              <w:jc w:val="left"/>
              <w:rPr>
                <w:rFonts w:hint="eastAsia" w:ascii="宋体" w:hAnsi="宋体" w:cs="仿宋"/>
                <w:spacing w:val="-2"/>
                <w:sz w:val="24"/>
              </w:rPr>
            </w:pPr>
          </w:p>
        </w:tc>
        <w:tc>
          <w:tcPr>
            <w:tcW w:w="454" w:type="dxa"/>
            <w:noWrap w:val="0"/>
            <w:vAlign w:val="top"/>
          </w:tcPr>
          <w:p w14:paraId="233F88A2">
            <w:pPr>
              <w:spacing w:line="360" w:lineRule="auto"/>
              <w:jc w:val="left"/>
              <w:rPr>
                <w:rFonts w:hint="eastAsia" w:ascii="宋体" w:hAnsi="宋体" w:cs="仿宋"/>
                <w:spacing w:val="-2"/>
                <w:sz w:val="24"/>
              </w:rPr>
            </w:pPr>
          </w:p>
        </w:tc>
      </w:tr>
      <w:tr w14:paraId="6153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5" w:type="dxa"/>
            <w:noWrap w:val="0"/>
            <w:vAlign w:val="center"/>
          </w:tcPr>
          <w:p w14:paraId="5FFE7975">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920" w:type="dxa"/>
            <w:noWrap w:val="0"/>
            <w:vAlign w:val="center"/>
          </w:tcPr>
          <w:p w14:paraId="5FDAB35A">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159" w:type="dxa"/>
            <w:noWrap w:val="0"/>
            <w:vAlign w:val="center"/>
          </w:tcPr>
          <w:p w14:paraId="3E7F91EB">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405" w:type="dxa"/>
            <w:noWrap w:val="0"/>
            <w:vAlign w:val="top"/>
          </w:tcPr>
          <w:p w14:paraId="4A6EAEE5">
            <w:pPr>
              <w:spacing w:line="360" w:lineRule="auto"/>
              <w:jc w:val="left"/>
              <w:rPr>
                <w:rFonts w:hint="eastAsia" w:ascii="宋体" w:hAnsi="宋体" w:cs="仿宋"/>
                <w:spacing w:val="-2"/>
                <w:sz w:val="24"/>
              </w:rPr>
            </w:pPr>
          </w:p>
        </w:tc>
        <w:tc>
          <w:tcPr>
            <w:tcW w:w="450" w:type="dxa"/>
            <w:noWrap w:val="0"/>
            <w:vAlign w:val="top"/>
          </w:tcPr>
          <w:p w14:paraId="7FC90ECD">
            <w:pPr>
              <w:spacing w:line="360" w:lineRule="auto"/>
              <w:jc w:val="left"/>
              <w:rPr>
                <w:rFonts w:hint="eastAsia" w:ascii="宋体" w:hAnsi="宋体" w:cs="仿宋"/>
                <w:spacing w:val="-2"/>
                <w:sz w:val="24"/>
              </w:rPr>
            </w:pPr>
          </w:p>
        </w:tc>
        <w:tc>
          <w:tcPr>
            <w:tcW w:w="454" w:type="dxa"/>
            <w:noWrap w:val="0"/>
            <w:vAlign w:val="top"/>
          </w:tcPr>
          <w:p w14:paraId="36AEF878">
            <w:pPr>
              <w:spacing w:line="360" w:lineRule="auto"/>
              <w:jc w:val="left"/>
              <w:rPr>
                <w:rFonts w:hint="eastAsia" w:ascii="宋体" w:hAnsi="宋体" w:cs="仿宋"/>
                <w:spacing w:val="-2"/>
                <w:sz w:val="24"/>
              </w:rPr>
            </w:pPr>
          </w:p>
        </w:tc>
      </w:tr>
      <w:tr w14:paraId="553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68103055">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920" w:type="dxa"/>
            <w:noWrap w:val="0"/>
            <w:vAlign w:val="center"/>
          </w:tcPr>
          <w:p w14:paraId="7F0E4AB4">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159" w:type="dxa"/>
            <w:noWrap w:val="0"/>
            <w:vAlign w:val="top"/>
          </w:tcPr>
          <w:p w14:paraId="46561425">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z w:val="24"/>
              </w:rPr>
              <w:t>三</w:t>
            </w:r>
            <w:r>
              <w:rPr>
                <w:rFonts w:hint="eastAsia" w:ascii="宋体" w:hAnsi="宋体" w:cs="仿宋"/>
                <w:spacing w:val="-2"/>
                <w:sz w:val="24"/>
              </w:rPr>
              <w:t>个月任意一个月依法缴纳税收证明，证明材料可以是缴费的银行单据等复印件并加盖公章或免缴纳证明；</w:t>
            </w:r>
          </w:p>
          <w:p w14:paraId="1C09DC34">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z w:val="24"/>
              </w:rPr>
              <w:t>三</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405" w:type="dxa"/>
            <w:noWrap w:val="0"/>
            <w:vAlign w:val="top"/>
          </w:tcPr>
          <w:p w14:paraId="044286BB">
            <w:pPr>
              <w:spacing w:line="360" w:lineRule="auto"/>
              <w:jc w:val="left"/>
              <w:rPr>
                <w:rFonts w:hint="eastAsia" w:ascii="宋体" w:hAnsi="宋体" w:cs="仿宋"/>
                <w:spacing w:val="-2"/>
                <w:sz w:val="24"/>
              </w:rPr>
            </w:pPr>
          </w:p>
        </w:tc>
        <w:tc>
          <w:tcPr>
            <w:tcW w:w="450" w:type="dxa"/>
            <w:noWrap w:val="0"/>
            <w:vAlign w:val="top"/>
          </w:tcPr>
          <w:p w14:paraId="11255D16">
            <w:pPr>
              <w:spacing w:line="360" w:lineRule="auto"/>
              <w:jc w:val="left"/>
              <w:rPr>
                <w:rFonts w:hint="eastAsia" w:ascii="宋体" w:hAnsi="宋体" w:cs="仿宋"/>
                <w:spacing w:val="-2"/>
                <w:sz w:val="24"/>
              </w:rPr>
            </w:pPr>
          </w:p>
        </w:tc>
        <w:tc>
          <w:tcPr>
            <w:tcW w:w="454" w:type="dxa"/>
            <w:noWrap w:val="0"/>
            <w:vAlign w:val="top"/>
          </w:tcPr>
          <w:p w14:paraId="6297D564">
            <w:pPr>
              <w:spacing w:line="360" w:lineRule="auto"/>
              <w:jc w:val="left"/>
              <w:rPr>
                <w:rFonts w:hint="eastAsia" w:ascii="宋体" w:hAnsi="宋体" w:cs="仿宋"/>
                <w:spacing w:val="-2"/>
                <w:sz w:val="24"/>
              </w:rPr>
            </w:pPr>
          </w:p>
        </w:tc>
      </w:tr>
      <w:tr w14:paraId="4D46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3B55764A">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920" w:type="dxa"/>
            <w:noWrap w:val="0"/>
            <w:vAlign w:val="center"/>
          </w:tcPr>
          <w:p w14:paraId="2443ABC5">
            <w:pPr>
              <w:spacing w:line="360" w:lineRule="auto"/>
              <w:jc w:val="center"/>
              <w:rPr>
                <w:rFonts w:hint="eastAsia" w:ascii="宋体" w:hAnsi="宋体" w:cs="仿宋"/>
                <w:sz w:val="24"/>
              </w:rPr>
            </w:pPr>
            <w:r>
              <w:rPr>
                <w:rFonts w:hint="eastAsia" w:ascii="宋体" w:hAnsi="宋体" w:cs="仿宋"/>
                <w:sz w:val="24"/>
              </w:rPr>
              <w:t>投标人声明函</w:t>
            </w:r>
          </w:p>
        </w:tc>
        <w:tc>
          <w:tcPr>
            <w:tcW w:w="6159" w:type="dxa"/>
            <w:noWrap w:val="0"/>
            <w:vAlign w:val="top"/>
          </w:tcPr>
          <w:p w14:paraId="61D63249">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78CC8BDA">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405" w:type="dxa"/>
            <w:noWrap w:val="0"/>
            <w:vAlign w:val="top"/>
          </w:tcPr>
          <w:p w14:paraId="20EDF14A">
            <w:pPr>
              <w:spacing w:line="360" w:lineRule="auto"/>
              <w:jc w:val="left"/>
              <w:rPr>
                <w:rFonts w:hint="eastAsia" w:ascii="宋体" w:hAnsi="宋体" w:cs="仿宋"/>
                <w:spacing w:val="-2"/>
                <w:sz w:val="24"/>
              </w:rPr>
            </w:pPr>
          </w:p>
        </w:tc>
        <w:tc>
          <w:tcPr>
            <w:tcW w:w="450" w:type="dxa"/>
            <w:noWrap w:val="0"/>
            <w:vAlign w:val="top"/>
          </w:tcPr>
          <w:p w14:paraId="06D1A645">
            <w:pPr>
              <w:spacing w:line="360" w:lineRule="auto"/>
              <w:jc w:val="left"/>
              <w:rPr>
                <w:rFonts w:hint="eastAsia" w:ascii="宋体" w:hAnsi="宋体" w:cs="仿宋"/>
                <w:spacing w:val="-2"/>
                <w:sz w:val="24"/>
              </w:rPr>
            </w:pPr>
          </w:p>
        </w:tc>
        <w:tc>
          <w:tcPr>
            <w:tcW w:w="454" w:type="dxa"/>
            <w:noWrap w:val="0"/>
            <w:vAlign w:val="top"/>
          </w:tcPr>
          <w:p w14:paraId="3B7D5620">
            <w:pPr>
              <w:spacing w:line="360" w:lineRule="auto"/>
              <w:jc w:val="left"/>
              <w:rPr>
                <w:rFonts w:hint="eastAsia" w:ascii="宋体" w:hAnsi="宋体" w:cs="仿宋"/>
                <w:spacing w:val="-2"/>
                <w:sz w:val="24"/>
              </w:rPr>
            </w:pPr>
          </w:p>
        </w:tc>
      </w:tr>
      <w:tr w14:paraId="482F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434EF192">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920" w:type="dxa"/>
            <w:noWrap w:val="0"/>
            <w:vAlign w:val="center"/>
          </w:tcPr>
          <w:p w14:paraId="4798FCE4">
            <w:pPr>
              <w:spacing w:line="360" w:lineRule="auto"/>
              <w:jc w:val="center"/>
              <w:rPr>
                <w:rFonts w:hint="eastAsia" w:ascii="宋体" w:hAnsi="宋体" w:cs="仿宋"/>
                <w:sz w:val="24"/>
              </w:rPr>
            </w:pPr>
            <w:r>
              <w:rPr>
                <w:rFonts w:hint="eastAsia" w:ascii="宋体" w:hAnsi="宋体" w:cs="仿宋"/>
                <w:sz w:val="24"/>
              </w:rPr>
              <w:t>信用信息查询</w:t>
            </w:r>
          </w:p>
        </w:tc>
        <w:tc>
          <w:tcPr>
            <w:tcW w:w="6159" w:type="dxa"/>
            <w:noWrap w:val="0"/>
            <w:vAlign w:val="top"/>
          </w:tcPr>
          <w:p w14:paraId="52E0D9A1">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）中列入失信被执行人和税收违法黑名单的投标人，不得为中国政府采购网（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405" w:type="dxa"/>
            <w:noWrap w:val="0"/>
            <w:vAlign w:val="top"/>
          </w:tcPr>
          <w:p w14:paraId="43552C70">
            <w:pPr>
              <w:spacing w:line="360" w:lineRule="auto"/>
              <w:jc w:val="left"/>
              <w:rPr>
                <w:rFonts w:hint="eastAsia" w:ascii="宋体" w:hAnsi="宋体" w:cs="仿宋"/>
                <w:spacing w:val="-2"/>
                <w:sz w:val="24"/>
              </w:rPr>
            </w:pPr>
          </w:p>
        </w:tc>
        <w:tc>
          <w:tcPr>
            <w:tcW w:w="450" w:type="dxa"/>
            <w:noWrap w:val="0"/>
            <w:vAlign w:val="top"/>
          </w:tcPr>
          <w:p w14:paraId="46171492">
            <w:pPr>
              <w:spacing w:line="360" w:lineRule="auto"/>
              <w:jc w:val="left"/>
              <w:rPr>
                <w:rFonts w:hint="eastAsia" w:ascii="宋体" w:hAnsi="宋体" w:cs="仿宋"/>
                <w:spacing w:val="-2"/>
                <w:sz w:val="24"/>
              </w:rPr>
            </w:pPr>
          </w:p>
        </w:tc>
        <w:tc>
          <w:tcPr>
            <w:tcW w:w="454" w:type="dxa"/>
            <w:noWrap w:val="0"/>
            <w:vAlign w:val="top"/>
          </w:tcPr>
          <w:p w14:paraId="14D679B4">
            <w:pPr>
              <w:spacing w:line="360" w:lineRule="auto"/>
              <w:jc w:val="left"/>
              <w:rPr>
                <w:rFonts w:hint="eastAsia" w:ascii="宋体" w:hAnsi="宋体" w:cs="仿宋"/>
                <w:spacing w:val="-2"/>
                <w:sz w:val="24"/>
              </w:rPr>
            </w:pPr>
          </w:p>
        </w:tc>
      </w:tr>
      <w:tr w14:paraId="4A79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35" w:type="dxa"/>
            <w:noWrap w:val="0"/>
            <w:vAlign w:val="center"/>
          </w:tcPr>
          <w:p w14:paraId="570396C2">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8</w:t>
            </w:r>
          </w:p>
        </w:tc>
        <w:tc>
          <w:tcPr>
            <w:tcW w:w="1920" w:type="dxa"/>
            <w:noWrap w:val="0"/>
            <w:vAlign w:val="center"/>
          </w:tcPr>
          <w:p w14:paraId="42C5A32A">
            <w:pPr>
              <w:spacing w:line="360" w:lineRule="auto"/>
              <w:jc w:val="center"/>
              <w:rPr>
                <w:rFonts w:hint="eastAsia" w:ascii="宋体" w:hAnsi="宋体" w:cs="仿宋" w:eastAsiaTheme="minorEastAsia"/>
                <w:sz w:val="24"/>
                <w:lang w:eastAsia="zh-CN"/>
              </w:rPr>
            </w:pPr>
            <w:r>
              <w:rPr>
                <w:rFonts w:hint="eastAsia" w:ascii="宋体" w:hAnsi="宋体" w:cs="仿宋"/>
                <w:sz w:val="24"/>
                <w:lang w:eastAsia="zh-CN"/>
              </w:rPr>
              <w:t>落实政府采购政策</w:t>
            </w:r>
          </w:p>
        </w:tc>
        <w:tc>
          <w:tcPr>
            <w:tcW w:w="6159" w:type="dxa"/>
            <w:noWrap w:val="0"/>
            <w:vAlign w:val="top"/>
          </w:tcPr>
          <w:p w14:paraId="3760304F">
            <w:pPr>
              <w:spacing w:line="360" w:lineRule="auto"/>
              <w:jc w:val="left"/>
              <w:rPr>
                <w:rFonts w:hint="eastAsia" w:ascii="宋体" w:hAnsi="宋体" w:cs="仿宋"/>
                <w:sz w:val="24"/>
              </w:rPr>
            </w:pPr>
            <w:r>
              <w:rPr>
                <w:rFonts w:hint="eastAsia" w:ascii="宋体" w:hAnsi="宋体" w:cs="仿宋"/>
                <w:sz w:val="24"/>
              </w:rPr>
              <w:t>供应商应为中小企业或 供应商以联合体形式参加采购活动，且联合体中中小企业承担的部分达到30%。</w:t>
            </w:r>
          </w:p>
        </w:tc>
        <w:tc>
          <w:tcPr>
            <w:tcW w:w="405" w:type="dxa"/>
            <w:noWrap w:val="0"/>
            <w:vAlign w:val="top"/>
          </w:tcPr>
          <w:p w14:paraId="0F518AA8">
            <w:pPr>
              <w:spacing w:line="360" w:lineRule="auto"/>
              <w:jc w:val="left"/>
              <w:rPr>
                <w:rFonts w:hint="eastAsia" w:ascii="宋体" w:hAnsi="宋体" w:cs="仿宋"/>
                <w:spacing w:val="-2"/>
                <w:sz w:val="24"/>
              </w:rPr>
            </w:pPr>
          </w:p>
        </w:tc>
        <w:tc>
          <w:tcPr>
            <w:tcW w:w="450" w:type="dxa"/>
            <w:noWrap w:val="0"/>
            <w:vAlign w:val="top"/>
          </w:tcPr>
          <w:p w14:paraId="79322912">
            <w:pPr>
              <w:spacing w:line="360" w:lineRule="auto"/>
              <w:jc w:val="left"/>
              <w:rPr>
                <w:rFonts w:hint="eastAsia" w:ascii="宋体" w:hAnsi="宋体" w:cs="仿宋"/>
                <w:spacing w:val="-2"/>
                <w:sz w:val="24"/>
              </w:rPr>
            </w:pPr>
          </w:p>
        </w:tc>
        <w:tc>
          <w:tcPr>
            <w:tcW w:w="454" w:type="dxa"/>
            <w:noWrap w:val="0"/>
            <w:vAlign w:val="top"/>
          </w:tcPr>
          <w:p w14:paraId="239782DD">
            <w:pPr>
              <w:spacing w:line="360" w:lineRule="auto"/>
              <w:jc w:val="left"/>
              <w:rPr>
                <w:rFonts w:hint="eastAsia" w:ascii="宋体" w:hAnsi="宋体" w:cs="仿宋"/>
                <w:spacing w:val="-2"/>
                <w:sz w:val="24"/>
              </w:rPr>
            </w:pPr>
          </w:p>
        </w:tc>
      </w:tr>
      <w:tr w14:paraId="0163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55" w:type="dxa"/>
            <w:gridSpan w:val="2"/>
            <w:noWrap w:val="0"/>
            <w:vAlign w:val="center"/>
          </w:tcPr>
          <w:p w14:paraId="02E9D2FD">
            <w:pPr>
              <w:spacing w:line="360" w:lineRule="auto"/>
              <w:jc w:val="center"/>
              <w:rPr>
                <w:rFonts w:hint="eastAsia" w:ascii="宋体" w:hAnsi="宋体" w:cs="仿宋"/>
                <w:sz w:val="24"/>
              </w:rPr>
            </w:pPr>
            <w:r>
              <w:rPr>
                <w:rFonts w:hint="eastAsia" w:ascii="宋体" w:hAnsi="宋体" w:cs="仿宋"/>
                <w:spacing w:val="-2"/>
                <w:sz w:val="24"/>
              </w:rPr>
              <w:t>结论</w:t>
            </w:r>
          </w:p>
        </w:tc>
        <w:tc>
          <w:tcPr>
            <w:tcW w:w="6159" w:type="dxa"/>
            <w:noWrap w:val="0"/>
            <w:vAlign w:val="top"/>
          </w:tcPr>
          <w:p w14:paraId="5905F514">
            <w:pPr>
              <w:spacing w:line="360" w:lineRule="auto"/>
              <w:jc w:val="left"/>
              <w:rPr>
                <w:rFonts w:hint="eastAsia" w:ascii="宋体" w:hAnsi="宋体" w:cs="仿宋"/>
                <w:spacing w:val="-2"/>
                <w:sz w:val="24"/>
              </w:rPr>
            </w:pPr>
          </w:p>
        </w:tc>
        <w:tc>
          <w:tcPr>
            <w:tcW w:w="405" w:type="dxa"/>
            <w:noWrap w:val="0"/>
            <w:vAlign w:val="top"/>
          </w:tcPr>
          <w:p w14:paraId="5CCB352B">
            <w:pPr>
              <w:spacing w:line="360" w:lineRule="auto"/>
              <w:jc w:val="left"/>
              <w:rPr>
                <w:rFonts w:hint="eastAsia" w:ascii="宋体" w:hAnsi="宋体" w:cs="仿宋"/>
                <w:spacing w:val="-2"/>
                <w:sz w:val="24"/>
              </w:rPr>
            </w:pPr>
          </w:p>
        </w:tc>
        <w:tc>
          <w:tcPr>
            <w:tcW w:w="450" w:type="dxa"/>
            <w:noWrap w:val="0"/>
            <w:vAlign w:val="top"/>
          </w:tcPr>
          <w:p w14:paraId="236C675C">
            <w:pPr>
              <w:spacing w:line="360" w:lineRule="auto"/>
              <w:jc w:val="left"/>
              <w:rPr>
                <w:rFonts w:hint="eastAsia" w:ascii="宋体" w:hAnsi="宋体" w:cs="仿宋"/>
                <w:spacing w:val="-2"/>
                <w:sz w:val="24"/>
              </w:rPr>
            </w:pPr>
          </w:p>
        </w:tc>
        <w:tc>
          <w:tcPr>
            <w:tcW w:w="454" w:type="dxa"/>
            <w:noWrap w:val="0"/>
            <w:vAlign w:val="top"/>
          </w:tcPr>
          <w:p w14:paraId="52598BA2">
            <w:pPr>
              <w:spacing w:line="360" w:lineRule="auto"/>
              <w:jc w:val="left"/>
              <w:rPr>
                <w:rFonts w:hint="eastAsia" w:ascii="宋体" w:hAnsi="宋体" w:cs="仿宋"/>
                <w:spacing w:val="-2"/>
                <w:sz w:val="24"/>
              </w:rPr>
            </w:pPr>
          </w:p>
        </w:tc>
      </w:tr>
    </w:tbl>
    <w:p w14:paraId="4C4FF2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607441A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3" w:name="_Toc13790"/>
      <w:r>
        <w:rPr>
          <w:rFonts w:hint="eastAsia" w:ascii="宋体" w:hAnsi="宋体" w:eastAsia="宋体" w:cs="宋体"/>
          <w:b/>
          <w:bCs/>
          <w:sz w:val="40"/>
          <w:szCs w:val="40"/>
          <w:lang w:val="en-US" w:eastAsia="zh-CN"/>
        </w:rPr>
        <w:t xml:space="preserve">第四章  </w:t>
      </w:r>
      <w:r>
        <w:rPr>
          <w:rFonts w:ascii="宋体" w:hAnsi="宋体" w:eastAsia="宋体" w:cs="宋体"/>
          <w:b/>
          <w:bCs/>
          <w:sz w:val="40"/>
          <w:szCs w:val="40"/>
        </w:rPr>
        <w:t>评标程序、评标方法和评标标准</w:t>
      </w:r>
      <w:bookmarkEnd w:id="3"/>
    </w:p>
    <w:p w14:paraId="30059B3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一、评标方法</w:t>
      </w:r>
    </w:p>
    <w:p w14:paraId="25372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1 投标文件的符合性审查 </w:t>
      </w:r>
    </w:p>
    <w:p w14:paraId="53692EA3">
      <w:pPr>
        <w:keepNext w:val="0"/>
        <w:keepLines w:val="0"/>
        <w:pageBreakBefore w:val="0"/>
        <w:widowControl w:val="0"/>
        <w:numPr>
          <w:ilvl w:val="1"/>
          <w:numId w:val="8"/>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评标委员会对资格审查合格的投标人的投标文件进行符合性审查，以确定其是否满足招标文件的实质性要求。 </w:t>
      </w:r>
    </w:p>
    <w:p w14:paraId="7F87C320">
      <w:pPr>
        <w:keepNext w:val="0"/>
        <w:keepLines w:val="0"/>
        <w:pageBreakBefore w:val="0"/>
        <w:widowControl w:val="0"/>
        <w:numPr>
          <w:ilvl w:val="1"/>
          <w:numId w:val="8"/>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评标委员会根据《符合性审查要求》中规定的审查因素和审查内容，对投标人的投标文件是否实质上响应招标文件进行符合性审查，并形成符合性审查 评审结果。投标人《商务技术文件》有任何一项不符合《符合性审查要求》要求的</w:t>
      </w:r>
      <w:r>
        <w:rPr>
          <w:rFonts w:hint="eastAsia" w:ascii="宋体" w:hAnsi="宋体" w:eastAsia="宋体" w:cs="宋体"/>
          <w:sz w:val="24"/>
          <w:szCs w:val="24"/>
          <w:lang w:eastAsia="zh-CN"/>
        </w:rPr>
        <w:t>，</w:t>
      </w:r>
      <w:r>
        <w:rPr>
          <w:rFonts w:ascii="宋体" w:hAnsi="宋体" w:eastAsia="宋体" w:cs="宋体"/>
          <w:b/>
          <w:bCs/>
          <w:sz w:val="24"/>
          <w:szCs w:val="24"/>
        </w:rPr>
        <w:t>投标无效</w:t>
      </w:r>
      <w:r>
        <w:rPr>
          <w:rFonts w:ascii="宋体" w:hAnsi="宋体" w:eastAsia="宋体" w:cs="宋体"/>
          <w:sz w:val="24"/>
          <w:szCs w:val="24"/>
        </w:rPr>
        <w:t xml:space="preserve">。 </w:t>
      </w:r>
    </w:p>
    <w:p w14:paraId="50C15C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符</w:t>
      </w:r>
      <w:r>
        <w:rPr>
          <w:rFonts w:hint="eastAsia" w:ascii="宋体" w:hAnsi="宋体" w:eastAsia="宋体" w:cs="宋体"/>
          <w:b/>
          <w:bCs/>
          <w:sz w:val="28"/>
          <w:szCs w:val="28"/>
          <w:lang w:eastAsia="zh-CN"/>
        </w:rPr>
        <w:t>合</w:t>
      </w:r>
      <w:r>
        <w:rPr>
          <w:rFonts w:ascii="宋体" w:hAnsi="宋体" w:eastAsia="宋体" w:cs="宋体"/>
          <w:b/>
          <w:bCs/>
          <w:sz w:val="28"/>
          <w:szCs w:val="28"/>
        </w:rPr>
        <w:t>性审查要求</w:t>
      </w:r>
    </w:p>
    <w:tbl>
      <w:tblPr>
        <w:tblStyle w:val="18"/>
        <w:tblW w:w="10164"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080"/>
        <w:gridCol w:w="758"/>
        <w:gridCol w:w="758"/>
        <w:gridCol w:w="758"/>
      </w:tblGrid>
      <w:tr w14:paraId="1DB9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0" w:type="dxa"/>
            <w:vMerge w:val="restart"/>
            <w:noWrap w:val="0"/>
            <w:vAlign w:val="bottom"/>
          </w:tcPr>
          <w:p w14:paraId="328E08E1">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080" w:type="dxa"/>
            <w:vMerge w:val="restart"/>
            <w:noWrap w:val="0"/>
            <w:vAlign w:val="bottom"/>
          </w:tcPr>
          <w:p w14:paraId="2759B77D">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008C66F1">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15CE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0" w:type="dxa"/>
            <w:vMerge w:val="continue"/>
            <w:noWrap w:val="0"/>
            <w:vAlign w:val="bottom"/>
          </w:tcPr>
          <w:p w14:paraId="43B72EBA">
            <w:pPr>
              <w:spacing w:line="360" w:lineRule="auto"/>
              <w:jc w:val="center"/>
              <w:rPr>
                <w:rFonts w:hint="eastAsia" w:ascii="宋体" w:hAnsi="宋体" w:cs="仿宋"/>
                <w:b/>
                <w:spacing w:val="-2"/>
                <w:sz w:val="24"/>
              </w:rPr>
            </w:pPr>
          </w:p>
        </w:tc>
        <w:tc>
          <w:tcPr>
            <w:tcW w:w="7080" w:type="dxa"/>
            <w:vMerge w:val="continue"/>
            <w:noWrap w:val="0"/>
            <w:vAlign w:val="bottom"/>
          </w:tcPr>
          <w:p w14:paraId="42900B69">
            <w:pPr>
              <w:spacing w:line="360" w:lineRule="auto"/>
              <w:jc w:val="center"/>
              <w:rPr>
                <w:rFonts w:hint="eastAsia" w:ascii="宋体" w:hAnsi="宋体" w:cs="仿宋"/>
                <w:b/>
                <w:spacing w:val="-2"/>
                <w:sz w:val="24"/>
              </w:rPr>
            </w:pPr>
          </w:p>
        </w:tc>
        <w:tc>
          <w:tcPr>
            <w:tcW w:w="758" w:type="dxa"/>
            <w:noWrap w:val="0"/>
            <w:vAlign w:val="bottom"/>
          </w:tcPr>
          <w:p w14:paraId="232A828E">
            <w:pPr>
              <w:spacing w:line="360" w:lineRule="auto"/>
              <w:jc w:val="center"/>
              <w:rPr>
                <w:rFonts w:hint="eastAsia" w:ascii="宋体" w:hAnsi="宋体" w:cs="仿宋"/>
                <w:b/>
                <w:spacing w:val="-2"/>
                <w:sz w:val="24"/>
              </w:rPr>
            </w:pPr>
          </w:p>
        </w:tc>
        <w:tc>
          <w:tcPr>
            <w:tcW w:w="758" w:type="dxa"/>
            <w:noWrap w:val="0"/>
            <w:vAlign w:val="top"/>
          </w:tcPr>
          <w:p w14:paraId="616A35CA">
            <w:pPr>
              <w:spacing w:line="360" w:lineRule="auto"/>
              <w:jc w:val="center"/>
              <w:rPr>
                <w:rFonts w:hint="eastAsia" w:ascii="宋体" w:hAnsi="宋体" w:cs="仿宋"/>
                <w:b/>
                <w:spacing w:val="-2"/>
                <w:sz w:val="24"/>
              </w:rPr>
            </w:pPr>
          </w:p>
        </w:tc>
        <w:tc>
          <w:tcPr>
            <w:tcW w:w="758" w:type="dxa"/>
            <w:noWrap w:val="0"/>
            <w:vAlign w:val="top"/>
          </w:tcPr>
          <w:p w14:paraId="019E44B7">
            <w:pPr>
              <w:spacing w:line="360" w:lineRule="auto"/>
              <w:jc w:val="center"/>
              <w:rPr>
                <w:rFonts w:hint="eastAsia" w:ascii="宋体" w:hAnsi="宋体" w:cs="仿宋"/>
                <w:b/>
                <w:spacing w:val="-2"/>
                <w:sz w:val="24"/>
              </w:rPr>
            </w:pPr>
          </w:p>
        </w:tc>
      </w:tr>
      <w:tr w14:paraId="1420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10" w:type="dxa"/>
            <w:noWrap w:val="0"/>
            <w:vAlign w:val="center"/>
          </w:tcPr>
          <w:p w14:paraId="05192B89">
            <w:pPr>
              <w:pStyle w:val="7"/>
              <w:spacing w:line="360" w:lineRule="auto"/>
              <w:jc w:val="center"/>
              <w:rPr>
                <w:rFonts w:hint="eastAsia" w:ascii="宋体" w:hAnsi="宋体" w:eastAsia="宋体"/>
                <w:szCs w:val="24"/>
              </w:rPr>
            </w:pPr>
            <w:r>
              <w:rPr>
                <w:rFonts w:hint="eastAsia" w:ascii="宋体" w:hAnsi="宋体" w:eastAsia="宋体"/>
                <w:szCs w:val="24"/>
              </w:rPr>
              <w:t>1</w:t>
            </w:r>
          </w:p>
        </w:tc>
        <w:tc>
          <w:tcPr>
            <w:tcW w:w="7080" w:type="dxa"/>
            <w:noWrap w:val="0"/>
            <w:vAlign w:val="center"/>
          </w:tcPr>
          <w:p w14:paraId="2DADBB9C">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招标</w:t>
            </w:r>
            <w:r>
              <w:rPr>
                <w:rFonts w:hint="eastAsia" w:ascii="宋体" w:hAnsi="宋体" w:cs="仿宋"/>
                <w:color w:val="000000"/>
                <w:sz w:val="24"/>
              </w:rPr>
              <w:t>文件的规定提交</w:t>
            </w:r>
            <w:r>
              <w:rPr>
                <w:rFonts w:hint="eastAsia" w:ascii="宋体" w:hAnsi="宋体"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62091A00">
            <w:pPr>
              <w:pStyle w:val="7"/>
              <w:rPr>
                <w:rFonts w:hint="eastAsia" w:ascii="宋体" w:hAnsi="宋体" w:eastAsia="宋体"/>
                <w:szCs w:val="24"/>
              </w:rPr>
            </w:pPr>
          </w:p>
        </w:tc>
        <w:tc>
          <w:tcPr>
            <w:tcW w:w="758" w:type="dxa"/>
            <w:noWrap w:val="0"/>
            <w:vAlign w:val="top"/>
          </w:tcPr>
          <w:p w14:paraId="774C4362">
            <w:pPr>
              <w:pStyle w:val="7"/>
              <w:rPr>
                <w:rFonts w:hint="eastAsia" w:ascii="宋体" w:hAnsi="宋体" w:eastAsia="宋体"/>
                <w:szCs w:val="24"/>
              </w:rPr>
            </w:pPr>
          </w:p>
        </w:tc>
        <w:tc>
          <w:tcPr>
            <w:tcW w:w="758" w:type="dxa"/>
            <w:noWrap w:val="0"/>
            <w:vAlign w:val="top"/>
          </w:tcPr>
          <w:p w14:paraId="1E3DE87C">
            <w:pPr>
              <w:pStyle w:val="7"/>
              <w:rPr>
                <w:rFonts w:hint="eastAsia" w:ascii="宋体" w:hAnsi="宋体" w:eastAsia="宋体"/>
                <w:szCs w:val="24"/>
              </w:rPr>
            </w:pPr>
          </w:p>
        </w:tc>
      </w:tr>
      <w:tr w14:paraId="60D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10" w:type="dxa"/>
            <w:noWrap w:val="0"/>
            <w:vAlign w:val="center"/>
          </w:tcPr>
          <w:p w14:paraId="3269BC5E">
            <w:pPr>
              <w:pStyle w:val="7"/>
              <w:spacing w:line="360" w:lineRule="auto"/>
              <w:jc w:val="center"/>
              <w:rPr>
                <w:rFonts w:hint="eastAsia" w:ascii="宋体" w:hAnsi="宋体" w:eastAsia="宋体"/>
                <w:szCs w:val="24"/>
              </w:rPr>
            </w:pPr>
            <w:r>
              <w:rPr>
                <w:rFonts w:hint="eastAsia" w:ascii="宋体" w:hAnsi="宋体" w:eastAsia="宋体"/>
                <w:szCs w:val="24"/>
              </w:rPr>
              <w:t>2</w:t>
            </w:r>
          </w:p>
        </w:tc>
        <w:tc>
          <w:tcPr>
            <w:tcW w:w="7080" w:type="dxa"/>
            <w:noWrap w:val="0"/>
            <w:vAlign w:val="center"/>
          </w:tcPr>
          <w:p w14:paraId="6A484FC3">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52CE79E1">
            <w:pPr>
              <w:pStyle w:val="7"/>
              <w:rPr>
                <w:rFonts w:hint="eastAsia" w:ascii="宋体" w:hAnsi="宋体" w:eastAsia="宋体"/>
                <w:szCs w:val="24"/>
              </w:rPr>
            </w:pPr>
          </w:p>
        </w:tc>
        <w:tc>
          <w:tcPr>
            <w:tcW w:w="758" w:type="dxa"/>
            <w:noWrap w:val="0"/>
            <w:vAlign w:val="top"/>
          </w:tcPr>
          <w:p w14:paraId="02465801">
            <w:pPr>
              <w:pStyle w:val="7"/>
              <w:rPr>
                <w:rFonts w:hint="eastAsia" w:ascii="宋体" w:hAnsi="宋体" w:eastAsia="宋体"/>
                <w:szCs w:val="24"/>
              </w:rPr>
            </w:pPr>
          </w:p>
        </w:tc>
        <w:tc>
          <w:tcPr>
            <w:tcW w:w="758" w:type="dxa"/>
            <w:noWrap w:val="0"/>
            <w:vAlign w:val="top"/>
          </w:tcPr>
          <w:p w14:paraId="6D950AD0">
            <w:pPr>
              <w:pStyle w:val="7"/>
              <w:rPr>
                <w:rFonts w:hint="eastAsia" w:ascii="宋体" w:hAnsi="宋体" w:eastAsia="宋体"/>
                <w:szCs w:val="24"/>
              </w:rPr>
            </w:pPr>
          </w:p>
        </w:tc>
      </w:tr>
      <w:tr w14:paraId="43FC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0" w:type="dxa"/>
            <w:noWrap w:val="0"/>
            <w:vAlign w:val="center"/>
          </w:tcPr>
          <w:p w14:paraId="09B855B0">
            <w:pPr>
              <w:pStyle w:val="7"/>
              <w:spacing w:line="360" w:lineRule="auto"/>
              <w:jc w:val="center"/>
              <w:rPr>
                <w:rFonts w:hint="eastAsia" w:ascii="宋体" w:hAnsi="宋体" w:eastAsia="宋体"/>
                <w:szCs w:val="24"/>
              </w:rPr>
            </w:pPr>
            <w:r>
              <w:rPr>
                <w:rFonts w:hint="eastAsia" w:ascii="宋体" w:hAnsi="宋体" w:eastAsia="宋体"/>
                <w:szCs w:val="24"/>
              </w:rPr>
              <w:t>3</w:t>
            </w:r>
          </w:p>
        </w:tc>
        <w:tc>
          <w:tcPr>
            <w:tcW w:w="7080" w:type="dxa"/>
            <w:noWrap w:val="0"/>
            <w:vAlign w:val="center"/>
          </w:tcPr>
          <w:p w14:paraId="09766B57">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ascii="宋体" w:hAnsi="宋体"/>
                <w:color w:val="000000"/>
                <w:sz w:val="24"/>
                <w:lang w:val="en-US" w:eastAsia="zh-CN"/>
              </w:rPr>
              <w:t>招标</w:t>
            </w:r>
            <w:r>
              <w:rPr>
                <w:rFonts w:hint="eastAsia" w:ascii="宋体" w:hAnsi="宋体"/>
                <w:color w:val="000000"/>
                <w:sz w:val="24"/>
              </w:rPr>
              <w:t>文件规定的；</w:t>
            </w:r>
          </w:p>
        </w:tc>
        <w:tc>
          <w:tcPr>
            <w:tcW w:w="758" w:type="dxa"/>
            <w:noWrap w:val="0"/>
            <w:vAlign w:val="top"/>
          </w:tcPr>
          <w:p w14:paraId="78BA90F6">
            <w:pPr>
              <w:pStyle w:val="7"/>
              <w:rPr>
                <w:rFonts w:hint="eastAsia" w:ascii="宋体" w:hAnsi="宋体" w:eastAsia="宋体"/>
                <w:szCs w:val="24"/>
              </w:rPr>
            </w:pPr>
          </w:p>
        </w:tc>
        <w:tc>
          <w:tcPr>
            <w:tcW w:w="758" w:type="dxa"/>
            <w:noWrap w:val="0"/>
            <w:vAlign w:val="top"/>
          </w:tcPr>
          <w:p w14:paraId="3907FAFF">
            <w:pPr>
              <w:pStyle w:val="7"/>
              <w:rPr>
                <w:rFonts w:hint="eastAsia" w:ascii="宋体" w:hAnsi="宋体" w:eastAsia="宋体"/>
                <w:szCs w:val="24"/>
              </w:rPr>
            </w:pPr>
          </w:p>
        </w:tc>
        <w:tc>
          <w:tcPr>
            <w:tcW w:w="758" w:type="dxa"/>
            <w:noWrap w:val="0"/>
            <w:vAlign w:val="top"/>
          </w:tcPr>
          <w:p w14:paraId="4DE96DDF">
            <w:pPr>
              <w:pStyle w:val="7"/>
              <w:rPr>
                <w:rFonts w:hint="eastAsia" w:ascii="宋体" w:hAnsi="宋体" w:eastAsia="宋体"/>
                <w:szCs w:val="24"/>
              </w:rPr>
            </w:pPr>
          </w:p>
        </w:tc>
      </w:tr>
      <w:tr w14:paraId="083C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10" w:type="dxa"/>
            <w:noWrap w:val="0"/>
            <w:vAlign w:val="center"/>
          </w:tcPr>
          <w:p w14:paraId="13899F2C">
            <w:pPr>
              <w:pStyle w:val="7"/>
              <w:spacing w:line="360" w:lineRule="auto"/>
              <w:jc w:val="center"/>
              <w:rPr>
                <w:rFonts w:hint="eastAsia" w:ascii="宋体" w:hAnsi="宋体" w:eastAsia="宋体"/>
                <w:szCs w:val="24"/>
              </w:rPr>
            </w:pPr>
            <w:r>
              <w:rPr>
                <w:rFonts w:hint="eastAsia" w:ascii="宋体" w:hAnsi="宋体" w:eastAsia="宋体"/>
                <w:szCs w:val="24"/>
              </w:rPr>
              <w:t>4</w:t>
            </w:r>
          </w:p>
        </w:tc>
        <w:tc>
          <w:tcPr>
            <w:tcW w:w="7080" w:type="dxa"/>
            <w:noWrap w:val="0"/>
            <w:vAlign w:val="center"/>
          </w:tcPr>
          <w:p w14:paraId="18C183D9">
            <w:pPr>
              <w:spacing w:line="360" w:lineRule="auto"/>
              <w:rPr>
                <w:rFonts w:hint="eastAsia" w:ascii="宋体" w:hAnsi="宋体" w:cs="仿宋"/>
                <w:sz w:val="24"/>
              </w:rPr>
            </w:pPr>
            <w:r>
              <w:rPr>
                <w:rFonts w:hint="eastAsia" w:ascii="宋体" w:hAnsi="宋体" w:cs="仿宋"/>
                <w:color w:val="000000"/>
                <w:sz w:val="24"/>
                <w:lang w:val="en-US" w:eastAsia="zh-CN"/>
              </w:rPr>
              <w:t>投标</w:t>
            </w:r>
            <w:r>
              <w:rPr>
                <w:rFonts w:hint="eastAsia" w:ascii="宋体" w:hAnsi="宋体" w:cs="仿宋"/>
                <w:color w:val="000000"/>
                <w:sz w:val="24"/>
              </w:rPr>
              <w:t>报价按照规定要求报价，（包括</w:t>
            </w:r>
            <w:r>
              <w:rPr>
                <w:rFonts w:hint="eastAsia" w:ascii="宋体" w:hAnsi="宋体" w:cs="仿宋"/>
                <w:color w:val="000000"/>
                <w:sz w:val="24"/>
                <w:lang w:val="en-US" w:eastAsia="zh-CN"/>
              </w:rPr>
              <w:t>投标</w:t>
            </w:r>
            <w:r>
              <w:rPr>
                <w:rFonts w:hint="eastAsia" w:ascii="宋体" w:hAnsi="宋体" w:cs="仿宋"/>
                <w:color w:val="000000"/>
                <w:sz w:val="24"/>
              </w:rPr>
              <w:t>总报价及</w:t>
            </w:r>
            <w:r>
              <w:rPr>
                <w:rFonts w:hint="eastAsia" w:ascii="宋体" w:hAnsi="宋体" w:cs="仿宋"/>
                <w:color w:val="000000"/>
                <w:sz w:val="24"/>
                <w:lang w:eastAsia="zh-CN"/>
              </w:rPr>
              <w:t>单价</w:t>
            </w:r>
            <w:r>
              <w:rPr>
                <w:rFonts w:hint="eastAsia" w:ascii="宋体" w:hAnsi="宋体" w:cs="仿宋"/>
                <w:color w:val="000000"/>
                <w:sz w:val="24"/>
              </w:rPr>
              <w:t>）均未超最高限价，有且只有一个报价；</w:t>
            </w:r>
          </w:p>
        </w:tc>
        <w:tc>
          <w:tcPr>
            <w:tcW w:w="758" w:type="dxa"/>
            <w:noWrap w:val="0"/>
            <w:vAlign w:val="top"/>
          </w:tcPr>
          <w:p w14:paraId="1C7507F2">
            <w:pPr>
              <w:pStyle w:val="7"/>
              <w:rPr>
                <w:rFonts w:hint="eastAsia" w:ascii="宋体" w:hAnsi="宋体" w:eastAsia="宋体"/>
                <w:szCs w:val="24"/>
              </w:rPr>
            </w:pPr>
          </w:p>
        </w:tc>
        <w:tc>
          <w:tcPr>
            <w:tcW w:w="758" w:type="dxa"/>
            <w:noWrap w:val="0"/>
            <w:vAlign w:val="top"/>
          </w:tcPr>
          <w:p w14:paraId="5CBFA4E8">
            <w:pPr>
              <w:pStyle w:val="7"/>
              <w:rPr>
                <w:rFonts w:hint="eastAsia" w:ascii="宋体" w:hAnsi="宋体" w:eastAsia="宋体"/>
                <w:szCs w:val="24"/>
              </w:rPr>
            </w:pPr>
          </w:p>
        </w:tc>
        <w:tc>
          <w:tcPr>
            <w:tcW w:w="758" w:type="dxa"/>
            <w:noWrap w:val="0"/>
            <w:vAlign w:val="top"/>
          </w:tcPr>
          <w:p w14:paraId="50505DE4">
            <w:pPr>
              <w:pStyle w:val="7"/>
              <w:rPr>
                <w:rFonts w:hint="eastAsia" w:ascii="宋体" w:hAnsi="宋体" w:eastAsia="宋体"/>
                <w:szCs w:val="24"/>
              </w:rPr>
            </w:pPr>
          </w:p>
        </w:tc>
      </w:tr>
      <w:tr w14:paraId="253B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0" w:type="dxa"/>
            <w:noWrap w:val="0"/>
            <w:vAlign w:val="center"/>
          </w:tcPr>
          <w:p w14:paraId="4D9136DF">
            <w:pPr>
              <w:pStyle w:val="7"/>
              <w:spacing w:line="360" w:lineRule="auto"/>
              <w:jc w:val="center"/>
              <w:rPr>
                <w:rFonts w:hint="eastAsia" w:ascii="宋体" w:hAnsi="宋体" w:eastAsia="宋体"/>
                <w:szCs w:val="24"/>
              </w:rPr>
            </w:pPr>
            <w:r>
              <w:rPr>
                <w:rFonts w:hint="eastAsia" w:ascii="宋体" w:hAnsi="宋体" w:eastAsia="宋体"/>
                <w:szCs w:val="24"/>
              </w:rPr>
              <w:t>5</w:t>
            </w:r>
          </w:p>
        </w:tc>
        <w:tc>
          <w:tcPr>
            <w:tcW w:w="7080" w:type="dxa"/>
            <w:noWrap w:val="0"/>
            <w:vAlign w:val="center"/>
          </w:tcPr>
          <w:p w14:paraId="64DB1C3E">
            <w:pPr>
              <w:pStyle w:val="7"/>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6354671C">
            <w:pPr>
              <w:pStyle w:val="7"/>
              <w:rPr>
                <w:rFonts w:hint="eastAsia" w:ascii="宋体" w:hAnsi="宋体" w:eastAsia="宋体"/>
                <w:szCs w:val="24"/>
              </w:rPr>
            </w:pPr>
          </w:p>
        </w:tc>
        <w:tc>
          <w:tcPr>
            <w:tcW w:w="758" w:type="dxa"/>
            <w:noWrap w:val="0"/>
            <w:vAlign w:val="top"/>
          </w:tcPr>
          <w:p w14:paraId="4037321E">
            <w:pPr>
              <w:pStyle w:val="7"/>
              <w:rPr>
                <w:rFonts w:hint="eastAsia" w:ascii="宋体" w:hAnsi="宋体" w:eastAsia="宋体"/>
                <w:szCs w:val="24"/>
              </w:rPr>
            </w:pPr>
          </w:p>
        </w:tc>
        <w:tc>
          <w:tcPr>
            <w:tcW w:w="758" w:type="dxa"/>
            <w:noWrap w:val="0"/>
            <w:vAlign w:val="top"/>
          </w:tcPr>
          <w:p w14:paraId="698E93FC">
            <w:pPr>
              <w:pStyle w:val="7"/>
              <w:rPr>
                <w:rFonts w:hint="eastAsia" w:ascii="宋体" w:hAnsi="宋体" w:eastAsia="宋体"/>
                <w:szCs w:val="24"/>
              </w:rPr>
            </w:pPr>
          </w:p>
        </w:tc>
      </w:tr>
      <w:tr w14:paraId="7D20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0" w:type="dxa"/>
            <w:noWrap w:val="0"/>
            <w:vAlign w:val="center"/>
          </w:tcPr>
          <w:p w14:paraId="15E070CD">
            <w:pPr>
              <w:pStyle w:val="7"/>
              <w:spacing w:line="360" w:lineRule="auto"/>
              <w:jc w:val="center"/>
              <w:rPr>
                <w:rFonts w:hint="eastAsia" w:ascii="宋体" w:hAnsi="宋体" w:eastAsia="宋体"/>
                <w:szCs w:val="24"/>
              </w:rPr>
            </w:pPr>
            <w:r>
              <w:rPr>
                <w:rFonts w:hint="eastAsia" w:ascii="宋体" w:hAnsi="宋体" w:eastAsia="宋体"/>
                <w:szCs w:val="24"/>
              </w:rPr>
              <w:t>6</w:t>
            </w:r>
          </w:p>
        </w:tc>
        <w:tc>
          <w:tcPr>
            <w:tcW w:w="7080" w:type="dxa"/>
            <w:noWrap w:val="0"/>
            <w:vAlign w:val="center"/>
          </w:tcPr>
          <w:p w14:paraId="011EC378">
            <w:pPr>
              <w:pStyle w:val="7"/>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6F5C9719">
            <w:pPr>
              <w:pStyle w:val="7"/>
              <w:rPr>
                <w:rFonts w:hint="eastAsia" w:ascii="宋体" w:hAnsi="宋体" w:eastAsia="宋体"/>
                <w:szCs w:val="24"/>
              </w:rPr>
            </w:pPr>
          </w:p>
        </w:tc>
        <w:tc>
          <w:tcPr>
            <w:tcW w:w="758" w:type="dxa"/>
            <w:noWrap w:val="0"/>
            <w:vAlign w:val="top"/>
          </w:tcPr>
          <w:p w14:paraId="62BF877F">
            <w:pPr>
              <w:pStyle w:val="7"/>
              <w:rPr>
                <w:rFonts w:hint="eastAsia" w:ascii="宋体" w:hAnsi="宋体" w:eastAsia="宋体"/>
                <w:szCs w:val="24"/>
              </w:rPr>
            </w:pPr>
          </w:p>
        </w:tc>
        <w:tc>
          <w:tcPr>
            <w:tcW w:w="758" w:type="dxa"/>
            <w:noWrap w:val="0"/>
            <w:vAlign w:val="top"/>
          </w:tcPr>
          <w:p w14:paraId="4FDEE84D">
            <w:pPr>
              <w:pStyle w:val="7"/>
              <w:rPr>
                <w:rFonts w:hint="eastAsia" w:ascii="宋体" w:hAnsi="宋体" w:eastAsia="宋体"/>
                <w:szCs w:val="24"/>
              </w:rPr>
            </w:pPr>
          </w:p>
        </w:tc>
      </w:tr>
      <w:tr w14:paraId="0A0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0" w:type="dxa"/>
            <w:noWrap w:val="0"/>
            <w:vAlign w:val="center"/>
          </w:tcPr>
          <w:p w14:paraId="7E37685D">
            <w:pPr>
              <w:pStyle w:val="7"/>
              <w:spacing w:line="360" w:lineRule="auto"/>
              <w:jc w:val="center"/>
              <w:rPr>
                <w:rFonts w:hint="eastAsia" w:ascii="宋体" w:hAnsi="宋体" w:eastAsia="宋体"/>
                <w:szCs w:val="24"/>
              </w:rPr>
            </w:pPr>
            <w:r>
              <w:rPr>
                <w:rFonts w:hint="eastAsia" w:ascii="宋体" w:hAnsi="宋体" w:eastAsia="宋体"/>
                <w:szCs w:val="24"/>
              </w:rPr>
              <w:t>7</w:t>
            </w:r>
          </w:p>
        </w:tc>
        <w:tc>
          <w:tcPr>
            <w:tcW w:w="7080" w:type="dxa"/>
            <w:noWrap w:val="0"/>
            <w:vAlign w:val="center"/>
          </w:tcPr>
          <w:p w14:paraId="72CB47FA">
            <w:pPr>
              <w:pStyle w:val="7"/>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2306E813">
            <w:pPr>
              <w:pStyle w:val="7"/>
              <w:rPr>
                <w:rFonts w:hint="eastAsia" w:ascii="宋体" w:hAnsi="宋体" w:eastAsia="宋体"/>
                <w:szCs w:val="24"/>
              </w:rPr>
            </w:pPr>
          </w:p>
        </w:tc>
        <w:tc>
          <w:tcPr>
            <w:tcW w:w="758" w:type="dxa"/>
            <w:noWrap w:val="0"/>
            <w:vAlign w:val="top"/>
          </w:tcPr>
          <w:p w14:paraId="2034F97A">
            <w:pPr>
              <w:pStyle w:val="7"/>
              <w:rPr>
                <w:rFonts w:hint="eastAsia" w:ascii="宋体" w:hAnsi="宋体" w:eastAsia="宋体"/>
                <w:szCs w:val="24"/>
              </w:rPr>
            </w:pPr>
          </w:p>
        </w:tc>
        <w:tc>
          <w:tcPr>
            <w:tcW w:w="758" w:type="dxa"/>
            <w:noWrap w:val="0"/>
            <w:vAlign w:val="top"/>
          </w:tcPr>
          <w:p w14:paraId="49EFD23A">
            <w:pPr>
              <w:pStyle w:val="7"/>
              <w:rPr>
                <w:rFonts w:hint="eastAsia" w:ascii="宋体" w:hAnsi="宋体" w:eastAsia="宋体"/>
                <w:szCs w:val="24"/>
              </w:rPr>
            </w:pPr>
          </w:p>
        </w:tc>
      </w:tr>
      <w:tr w14:paraId="6EE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0" w:type="dxa"/>
            <w:noWrap w:val="0"/>
            <w:vAlign w:val="center"/>
          </w:tcPr>
          <w:p w14:paraId="27F71097">
            <w:pPr>
              <w:pStyle w:val="7"/>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080" w:type="dxa"/>
            <w:noWrap w:val="0"/>
            <w:vAlign w:val="center"/>
          </w:tcPr>
          <w:p w14:paraId="7CD4B60A">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346CC134">
            <w:pPr>
              <w:pStyle w:val="7"/>
              <w:rPr>
                <w:rFonts w:hint="eastAsia" w:ascii="宋体" w:hAnsi="宋体" w:eastAsia="宋体"/>
                <w:szCs w:val="24"/>
              </w:rPr>
            </w:pPr>
          </w:p>
        </w:tc>
        <w:tc>
          <w:tcPr>
            <w:tcW w:w="758" w:type="dxa"/>
            <w:noWrap w:val="0"/>
            <w:vAlign w:val="top"/>
          </w:tcPr>
          <w:p w14:paraId="035046B2">
            <w:pPr>
              <w:pStyle w:val="7"/>
              <w:rPr>
                <w:rFonts w:hint="eastAsia" w:ascii="宋体" w:hAnsi="宋体" w:eastAsia="宋体"/>
                <w:szCs w:val="24"/>
              </w:rPr>
            </w:pPr>
          </w:p>
        </w:tc>
        <w:tc>
          <w:tcPr>
            <w:tcW w:w="758" w:type="dxa"/>
            <w:noWrap w:val="0"/>
            <w:vAlign w:val="top"/>
          </w:tcPr>
          <w:p w14:paraId="2CFD03FC">
            <w:pPr>
              <w:pStyle w:val="7"/>
              <w:rPr>
                <w:rFonts w:hint="eastAsia" w:ascii="宋体" w:hAnsi="宋体" w:eastAsia="宋体"/>
                <w:szCs w:val="24"/>
              </w:rPr>
            </w:pPr>
          </w:p>
        </w:tc>
      </w:tr>
      <w:tr w14:paraId="01DA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10" w:type="dxa"/>
            <w:noWrap w:val="0"/>
            <w:vAlign w:val="top"/>
          </w:tcPr>
          <w:p w14:paraId="42EA982F">
            <w:pPr>
              <w:pStyle w:val="7"/>
              <w:spacing w:line="360" w:lineRule="auto"/>
              <w:rPr>
                <w:rFonts w:hint="eastAsia" w:ascii="宋体" w:hAnsi="宋体" w:eastAsia="宋体"/>
                <w:szCs w:val="24"/>
              </w:rPr>
            </w:pPr>
          </w:p>
        </w:tc>
        <w:tc>
          <w:tcPr>
            <w:tcW w:w="7080" w:type="dxa"/>
            <w:noWrap w:val="0"/>
            <w:vAlign w:val="top"/>
          </w:tcPr>
          <w:p w14:paraId="7949A501">
            <w:pPr>
              <w:pStyle w:val="7"/>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56A006BA">
            <w:pPr>
              <w:pStyle w:val="7"/>
              <w:rPr>
                <w:rFonts w:hint="eastAsia" w:ascii="宋体" w:hAnsi="宋体" w:eastAsia="宋体"/>
                <w:szCs w:val="24"/>
              </w:rPr>
            </w:pPr>
          </w:p>
        </w:tc>
        <w:tc>
          <w:tcPr>
            <w:tcW w:w="758" w:type="dxa"/>
            <w:noWrap w:val="0"/>
            <w:vAlign w:val="top"/>
          </w:tcPr>
          <w:p w14:paraId="560BFD14">
            <w:pPr>
              <w:pStyle w:val="7"/>
              <w:rPr>
                <w:rFonts w:hint="eastAsia" w:ascii="宋体" w:hAnsi="宋体" w:eastAsia="宋体"/>
                <w:szCs w:val="24"/>
              </w:rPr>
            </w:pPr>
          </w:p>
        </w:tc>
        <w:tc>
          <w:tcPr>
            <w:tcW w:w="758" w:type="dxa"/>
            <w:noWrap w:val="0"/>
            <w:vAlign w:val="top"/>
          </w:tcPr>
          <w:p w14:paraId="49E287F8">
            <w:pPr>
              <w:pStyle w:val="7"/>
              <w:rPr>
                <w:rFonts w:hint="eastAsia" w:ascii="宋体" w:hAnsi="宋体" w:eastAsia="宋体"/>
                <w:szCs w:val="24"/>
              </w:rPr>
            </w:pPr>
          </w:p>
        </w:tc>
      </w:tr>
    </w:tbl>
    <w:p w14:paraId="3D71B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p>
    <w:p w14:paraId="53642A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投标文件有关事项的澄清或者说明 </w:t>
      </w:r>
    </w:p>
    <w:p w14:paraId="6F448B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 </w:t>
      </w:r>
      <w:r>
        <w:rPr>
          <w:rFonts w:hint="eastAsia" w:ascii="宋体" w:hAnsi="宋体" w:eastAsia="宋体" w:cs="宋体"/>
          <w:sz w:val="24"/>
          <w:szCs w:val="24"/>
          <w:lang w:val="en-US" w:eastAsia="zh-CN"/>
        </w:rPr>
        <w:t xml:space="preserve"> </w:t>
      </w:r>
    </w:p>
    <w:p w14:paraId="593DF3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2.2 评标委员会认为投标人的报价明显低于其他通过符合性审查投标人的报价，有可能影响产品质量或者不能诚信履约的，有权要求该投标人在评标现场合 理的时间内</w:t>
      </w:r>
      <w:r>
        <w:rPr>
          <w:rFonts w:hint="eastAsia" w:ascii="宋体" w:hAnsi="宋体" w:eastAsia="宋体" w:cs="宋体"/>
          <w:sz w:val="24"/>
          <w:szCs w:val="24"/>
          <w:lang w:val="en-US" w:eastAsia="zh-CN"/>
        </w:rPr>
        <w:t>提供</w:t>
      </w:r>
      <w:r>
        <w:rPr>
          <w:rFonts w:ascii="宋体" w:hAnsi="宋体" w:eastAsia="宋体" w:cs="宋体"/>
          <w:sz w:val="24"/>
          <w:szCs w:val="24"/>
        </w:rPr>
        <w:t>书面说明，必要时</w:t>
      </w:r>
      <w:r>
        <w:rPr>
          <w:rFonts w:hint="eastAsia" w:ascii="宋体" w:hAnsi="宋体" w:eastAsia="宋体" w:cs="宋体"/>
          <w:sz w:val="24"/>
          <w:szCs w:val="24"/>
          <w:lang w:val="en-US" w:eastAsia="zh-CN"/>
        </w:rPr>
        <w:t>提交</w:t>
      </w:r>
      <w:r>
        <w:rPr>
          <w:rFonts w:ascii="宋体" w:hAnsi="宋体" w:eastAsia="宋体" w:cs="宋体"/>
          <w:sz w:val="24"/>
          <w:szCs w:val="24"/>
        </w:rPr>
        <w:t xml:space="preserve">相关证明材料；若投标人不能证明其报价合理性，评标委员会将其作为无效投标处理。 </w:t>
      </w:r>
    </w:p>
    <w:p w14:paraId="008BBC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2.3 投标报价须包含招标文件全部内容</w:t>
      </w:r>
      <w:r>
        <w:rPr>
          <w:rFonts w:hint="eastAsia" w:ascii="宋体" w:hAnsi="宋体" w:eastAsia="宋体" w:cs="宋体"/>
          <w:sz w:val="24"/>
          <w:szCs w:val="24"/>
          <w:lang w:eastAsia="zh-CN"/>
        </w:rPr>
        <w:t>，</w:t>
      </w:r>
      <w:r>
        <w:rPr>
          <w:rFonts w:ascii="宋体" w:hAnsi="宋体" w:eastAsia="宋体" w:cs="宋体"/>
          <w:sz w:val="24"/>
          <w:szCs w:val="24"/>
        </w:rPr>
        <w:t xml:space="preserve">如分项报价表有缺漏视为已含在其他各项报价中，将不对投标总价进行调整。评标委员会有权要求投标人在评标现场合理的时间内对此进行书面确认，投标人不确认的，视为将一个采购包中的内容拆分投标，其投标无效。 </w:t>
      </w:r>
    </w:p>
    <w:p w14:paraId="1F747F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 投标文件报价出现前后不一致的，按照下列规定修正： </w:t>
      </w:r>
    </w:p>
    <w:p w14:paraId="7F2664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2.4.1 招标文件对于报价修正是否另有规定：</w:t>
      </w:r>
    </w:p>
    <w:p w14:paraId="6BD92D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□有，具体规定为：______________</w:t>
      </w:r>
    </w:p>
    <w:p w14:paraId="0F009D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2.4.2-2.4.7 项规定修正。 </w:t>
      </w:r>
    </w:p>
    <w:p w14:paraId="5AF56E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2.4.2 单独递交的开标一览表（报价表）与投标文件中开标一览表（报价表） 内容不一致的，以单独递交的开标一览表（报价表）为准； </w:t>
      </w:r>
    </w:p>
    <w:p w14:paraId="6A9B9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2.4.3 投标文件中开标一览表（报价表）内容与投标文件中相应内容不一致 的，以开标一览表（报价表）为准； </w:t>
      </w:r>
    </w:p>
    <w:p w14:paraId="261095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2.4.4 大写金额和小写金额不一致的，以大写金额为准； </w:t>
      </w:r>
    </w:p>
    <w:p w14:paraId="21EF77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2.4.5 单价金额小数点或者百分比有明显错位的，以开标一览表的总价为准， 并修改单价； </w:t>
      </w:r>
    </w:p>
    <w:p w14:paraId="6615EF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2.4.6 总价金额与按单价汇总金额不一致的，以单价金额计算结果为准。 </w:t>
      </w:r>
    </w:p>
    <w:p w14:paraId="1756D2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2.4.7 同时出现两种以上不一致的，按照前款规定的顺序修正。修正后的报 价经投标人书面确认后产生约束力，投标人不确认的，其投标无效。</w:t>
      </w:r>
    </w:p>
    <w:p w14:paraId="1AEEC8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 落实政府采购政策的价格调整：只有符合第二章《投标人须知》5.2 条规定情形的，可以享受中小企业扶持政策，用扣除后的价格参加评审；否则，评标时价格不予扣除。 </w:t>
      </w:r>
    </w:p>
    <w:p w14:paraId="79B26F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2.5.1 对于未预留份额专门面向中小企业采购的采购项目，以及预留份额项 目中的非预留部分采购包，对小微企业报价给予</w:t>
      </w:r>
      <w:r>
        <w:rPr>
          <w:rFonts w:hint="eastAsia" w:ascii="宋体" w:hAnsi="宋体" w:eastAsia="宋体" w:cs="宋体"/>
          <w:sz w:val="24"/>
          <w:szCs w:val="24"/>
          <w:lang w:val="en-US" w:eastAsia="zh-CN"/>
        </w:rPr>
        <w:t>10</w:t>
      </w:r>
      <w:r>
        <w:rPr>
          <w:rFonts w:ascii="宋体" w:hAnsi="宋体" w:eastAsia="宋体" w:cs="宋体"/>
          <w:sz w:val="24"/>
          <w:szCs w:val="24"/>
        </w:rPr>
        <w:t xml:space="preserve">%的扣除，用扣除后的价格参加评审。 </w:t>
      </w:r>
    </w:p>
    <w:p w14:paraId="708D74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sz w:val="24"/>
          <w:szCs w:val="24"/>
          <w:lang w:val="en-US" w:eastAsia="zh-CN"/>
        </w:rPr>
        <w:t>4</w:t>
      </w:r>
      <w:r>
        <w:rPr>
          <w:rFonts w:ascii="宋体" w:hAnsi="宋体" w:eastAsia="宋体" w:cs="宋体"/>
          <w:sz w:val="24"/>
          <w:szCs w:val="24"/>
        </w:rPr>
        <w:t xml:space="preserve">%的扣除，用扣除后的价格参加评审。 </w:t>
      </w:r>
    </w:p>
    <w:p w14:paraId="4B6643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2.5.3 组成联合体或者接受分包的小微企业与联合体内其他企业、分包企业 之间存在直接控股、管理关系的，不享受价格扣除优惠政策。 </w:t>
      </w:r>
    </w:p>
    <w:p w14:paraId="66D642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0773E7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2.5.5 中小企业参加政府采购活动，应当按照招标文件给定的格式出具《中小企业声明函》，否则不得享受相关中小企业扶持政策。 </w:t>
      </w:r>
    </w:p>
    <w:p w14:paraId="63250B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了由省级以上监狱管理局、戒毒管理局（含新疆生产建设兵团）出具的属于监狱企业的证明文件的，视同小微企业。 </w:t>
      </w:r>
    </w:p>
    <w:p w14:paraId="4C0941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2.5.7 残疾人福利性单位按招标文件要求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了《残疾人福利性单位声明函》 的，视同小微企业。 </w:t>
      </w:r>
    </w:p>
    <w:p w14:paraId="351330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2.5.8 若投标人同时属于小型或微型企业、监狱企业、残疾人福利性单位中的两种及以上，将不重复享受小微企业价格扣减的优惠政策。 </w:t>
      </w:r>
    </w:p>
    <w:p w14:paraId="528C3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 投标文件的比较和评价 </w:t>
      </w:r>
    </w:p>
    <w:p w14:paraId="188375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3.1 评标委员会将按照招标文件中规定的评标方法和标准，对符合性审查合格的投标文件进行商务和技术评估，综合比较与评价；未通过符合性审查的投标文件不得进入比较与评价。 </w:t>
      </w:r>
    </w:p>
    <w:p w14:paraId="50B4F4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3.2 评标方法和评标标准 </w:t>
      </w:r>
    </w:p>
    <w:p w14:paraId="034126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3.2.1 本项目采用的评标方法为： </w:t>
      </w:r>
    </w:p>
    <w:p w14:paraId="7E4E8F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综合评分法，指投标文件满足招标文件全部实质性要求，且按照评审因素的量化指标评审得分最高的投标人为中标候选人的评标方法，见《评标标准》，招标文件中没有规定的评标标准不得作为评审的依据。 </w:t>
      </w:r>
    </w:p>
    <w:p w14:paraId="63CA9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□最低评标价法，指投标文件满足招标文件全部实质性要求，且投标 报价最低的投标人为中标候选人的评标方法。 </w:t>
      </w:r>
    </w:p>
    <w:p w14:paraId="08A821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3.2.2 采用最低评标价法时，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 相同）的不同投标人参加同一合同项下投标的，以其中通过资格审查、符合性审查且报价最低的参加评标</w:t>
      </w:r>
      <w:r>
        <w:rPr>
          <w:rFonts w:hint="eastAsia" w:ascii="宋体" w:hAnsi="宋体" w:eastAsia="宋体" w:cs="宋体"/>
          <w:sz w:val="24"/>
          <w:szCs w:val="24"/>
          <w:lang w:eastAsia="zh-CN"/>
        </w:rPr>
        <w:t>；</w:t>
      </w:r>
      <w:r>
        <w:rPr>
          <w:rFonts w:ascii="宋体" w:hAnsi="宋体" w:eastAsia="宋体" w:cs="宋体"/>
          <w:sz w:val="24"/>
          <w:szCs w:val="24"/>
        </w:rPr>
        <w:t xml:space="preserve">报价相同的，由采购人或者采购人委托评标委员会按照下述方法确定一个参加评标的投标人，其他投标无效。 </w:t>
      </w:r>
    </w:p>
    <w:p w14:paraId="2B2CCD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E7F41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其他方式，具体要求：_____ </w:t>
      </w:r>
    </w:p>
    <w:p w14:paraId="63939D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3.2.3 非政府强制采购的节能产品或环境标志产品，依据品目清单和认证证 书实施政府优先采购。优先采购的具体规定（如涉及）__</w:t>
      </w:r>
      <w:r>
        <w:rPr>
          <w:rFonts w:hint="eastAsia" w:ascii="宋体" w:hAnsi="宋体" w:eastAsia="宋体" w:cs="宋体"/>
          <w:sz w:val="24"/>
          <w:szCs w:val="24"/>
          <w:lang w:val="en-US" w:eastAsia="zh-CN"/>
        </w:rPr>
        <w:t>/</w:t>
      </w:r>
      <w:r>
        <w:rPr>
          <w:rFonts w:ascii="宋体" w:hAnsi="宋体" w:eastAsia="宋体" w:cs="宋体"/>
          <w:sz w:val="24"/>
          <w:szCs w:val="24"/>
        </w:rPr>
        <w:t xml:space="preserve">___。 </w:t>
      </w:r>
    </w:p>
    <w:p w14:paraId="079D4C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3.2.4 关于无线局域网认证产品政府采购清单中的产品，优先采购的具体规 定（如涉及）_</w:t>
      </w:r>
      <w:r>
        <w:rPr>
          <w:rFonts w:hint="eastAsia" w:ascii="宋体" w:hAnsi="宋体" w:eastAsia="宋体" w:cs="宋体"/>
          <w:sz w:val="24"/>
          <w:szCs w:val="24"/>
          <w:lang w:val="en-US" w:eastAsia="zh-CN"/>
        </w:rPr>
        <w:t>/</w:t>
      </w:r>
      <w:r>
        <w:rPr>
          <w:rFonts w:ascii="宋体" w:hAnsi="宋体" w:eastAsia="宋体" w:cs="宋体"/>
          <w:sz w:val="24"/>
          <w:szCs w:val="24"/>
        </w:rPr>
        <w:t xml:space="preserve">____。 </w:t>
      </w:r>
    </w:p>
    <w:p w14:paraId="1BBBF3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 确定中标候选人名单 </w:t>
      </w:r>
    </w:p>
    <w:p w14:paraId="097E4C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4.1 采用综合评分法时，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相同品牌产品（单一产品或核心产品品牌相同）且通过资格审查、符合性审查的不同投标人参加同一合同项下投标的，按一家投标人计算，评审后得分最高的同品牌投标人获得中标人推荐资格；评审得分相同的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z w:val="24"/>
          <w:szCs w:val="24"/>
          <w:lang w:eastAsia="zh-CN"/>
        </w:rPr>
        <w:t>，</w:t>
      </w:r>
      <w:r>
        <w:rPr>
          <w:rFonts w:ascii="宋体" w:hAnsi="宋体" w:eastAsia="宋体" w:cs="宋体"/>
          <w:sz w:val="24"/>
          <w:szCs w:val="24"/>
        </w:rPr>
        <w:t xml:space="preserve">评标委员会按照下述规定确定一个投标人获得中标人推荐资格，其他同品牌投标人不作为中标候选人。 </w:t>
      </w:r>
    </w:p>
    <w:p w14:paraId="335DBA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770A6D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其他方式，具体要求：评审得分相同的，</w:t>
      </w:r>
      <w:r>
        <w:rPr>
          <w:rFonts w:hint="eastAsia" w:ascii="宋体" w:hAnsi="宋体" w:eastAsia="宋体" w:cs="宋体"/>
          <w:sz w:val="24"/>
          <w:szCs w:val="24"/>
        </w:rPr>
        <w:t>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eastAsia="宋体" w:cs="宋体"/>
          <w:sz w:val="24"/>
          <w:szCs w:val="24"/>
        </w:rPr>
        <w:t xml:space="preserve"> </w:t>
      </w:r>
    </w:p>
    <w:p w14:paraId="02D242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4.2 采用综合评分法时，评标结果按评审后得分由高到低顺序排列。得分相同的，按投标报价由低到高顺序排列。得分且投标报价相同的并列。投标文件满足 招标文件全部实质性要求，且按照评审因素的量化指标评审得分最高的投标人为排名第一的中标候选人。评分分值计算保留小数点后两位，第三位四舍五入。 </w:t>
      </w:r>
    </w:p>
    <w:p w14:paraId="4EB0C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4.3 采用最低评标价法时，评标结果按本章 2.4、2.5 调整后的投标报价由低到高顺序排列。投标报价相同的并列。投标文件满足招标文件全部实质性要求且 投标报价最低的投标人为排名第一的中标候选人。 </w:t>
      </w:r>
    </w:p>
    <w:p w14:paraId="391191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4.4 评标委员会要对评分汇总情况进行复核，特别是对排名第一的、报价最低的、投标或响应文件被认定为无效的情形进行重点复核。 </w:t>
      </w:r>
    </w:p>
    <w:p w14:paraId="387E30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lang w:val="en-US" w:eastAsia="zh-CN"/>
        </w:rPr>
        <w:t xml:space="preserve"> 3 </w:t>
      </w:r>
      <w:r>
        <w:rPr>
          <w:rFonts w:ascii="宋体" w:hAnsi="宋体" w:eastAsia="宋体" w:cs="宋体"/>
          <w:sz w:val="24"/>
          <w:szCs w:val="24"/>
        </w:rPr>
        <w:t xml:space="preserve">名中标候选人。 </w:t>
      </w:r>
    </w:p>
    <w:p w14:paraId="24BB1F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5 报告违法行为 </w:t>
      </w:r>
    </w:p>
    <w:p w14:paraId="788083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5.1 评标委员会在评标过程中发现投标人有行贿、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404DF1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p>
    <w:p w14:paraId="24CEC73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highlight w:val="none"/>
          <w:lang w:val="en-US" w:eastAsia="zh-CN"/>
        </w:rPr>
        <w:t>二、</w:t>
      </w:r>
      <w:r>
        <w:rPr>
          <w:rFonts w:ascii="宋体" w:hAnsi="宋体" w:eastAsia="宋体" w:cs="宋体"/>
          <w:b/>
          <w:bCs/>
          <w:sz w:val="28"/>
          <w:szCs w:val="28"/>
          <w:highlight w:val="none"/>
        </w:rPr>
        <w:t>评标标准</w:t>
      </w:r>
    </w:p>
    <w:tbl>
      <w:tblPr>
        <w:tblStyle w:val="18"/>
        <w:tblpPr w:leftFromText="180" w:rightFromText="180" w:vertAnchor="text" w:horzAnchor="page" w:tblpXSpec="center" w:tblpY="873"/>
        <w:tblOverlap w:val="never"/>
        <w:tblW w:w="90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0"/>
        <w:gridCol w:w="1268"/>
        <w:gridCol w:w="791"/>
        <w:gridCol w:w="6250"/>
      </w:tblGrid>
      <w:tr w14:paraId="51FA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834C30D">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348EEC44">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4E4F9A4">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716D7CA0">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评分范围</w:t>
            </w:r>
          </w:p>
        </w:tc>
      </w:tr>
      <w:tr w14:paraId="04EB7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F57B6B5">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1714209">
            <w:pPr>
              <w:pStyle w:val="36"/>
              <w:spacing w:line="360" w:lineRule="auto"/>
              <w:ind w:left="0" w:leftChars="0" w:firstLine="0" w:firstLineChars="0"/>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绿化养护</w:t>
            </w:r>
          </w:p>
          <w:p w14:paraId="7854896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lang w:val="en-US" w:eastAsia="zh-CN"/>
              </w:rPr>
              <w:t>及配套服务方案</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E2A94D9">
            <w:pPr>
              <w:pStyle w:val="37"/>
              <w:keepNext w:val="0"/>
              <w:keepLines w:val="0"/>
              <w:pageBreakBefore w:val="0"/>
              <w:kinsoku/>
              <w:wordWrap/>
              <w:overflowPunct/>
              <w:topLinePunct w:val="0"/>
              <w:autoSpaceDE/>
              <w:autoSpaceDN/>
              <w:bidi w:val="0"/>
              <w:snapToGrid/>
              <w:spacing w:before="0" w:after="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2CE8DF92">
            <w:pPr>
              <w:pStyle w:val="36"/>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 xml:space="preserve">投标人根据本项目需求提供详细的项目绿化养护实施方案，绿化养护方案结合当地环境及季节变化，考虑各类园林植物特性，养护计划周密，措施有效，且方案能结合实地现场，内容包括但不限于： </w:t>
            </w:r>
          </w:p>
          <w:p w14:paraId="56793587">
            <w:pPr>
              <w:pStyle w:val="36"/>
              <w:spacing w:line="360" w:lineRule="auto"/>
              <w:ind w:left="0" w:leftChars="0" w:firstLine="0" w:firstLineChars="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（1）植被存活率、完整率保证措施（2）</w:t>
            </w:r>
            <w:r>
              <w:rPr>
                <w:rFonts w:hint="default" w:ascii="宋体" w:hAnsi="宋体" w:eastAsia="宋体" w:cs="宋体"/>
                <w:b w:val="0"/>
                <w:bCs/>
                <w:color w:val="auto"/>
                <w:sz w:val="24"/>
                <w:highlight w:val="none"/>
                <w:lang w:val="en-US" w:eastAsia="zh-CN"/>
              </w:rPr>
              <w:t>服务区域所有植被的浇水灌溉</w:t>
            </w:r>
            <w:r>
              <w:rPr>
                <w:rFonts w:hint="eastAsia" w:ascii="宋体" w:hAnsi="宋体" w:eastAsia="宋体" w:cs="宋体"/>
                <w:b w:val="0"/>
                <w:bCs/>
                <w:color w:val="auto"/>
                <w:sz w:val="24"/>
                <w:highlight w:val="none"/>
                <w:lang w:val="en-US" w:eastAsia="zh-CN"/>
              </w:rPr>
              <w:t>（3）</w:t>
            </w:r>
            <w:r>
              <w:rPr>
                <w:rFonts w:hint="default" w:ascii="宋体" w:hAnsi="宋体" w:eastAsia="宋体" w:cs="宋体"/>
                <w:b w:val="0"/>
                <w:bCs/>
                <w:color w:val="auto"/>
                <w:sz w:val="24"/>
                <w:highlight w:val="none"/>
                <w:lang w:val="en-US" w:eastAsia="zh-CN"/>
              </w:rPr>
              <w:t>施肥</w:t>
            </w:r>
            <w:r>
              <w:rPr>
                <w:rFonts w:hint="eastAsia" w:ascii="宋体" w:hAnsi="宋体" w:eastAsia="宋体" w:cs="宋体"/>
                <w:b w:val="0"/>
                <w:bCs/>
                <w:color w:val="auto"/>
                <w:sz w:val="24"/>
                <w:highlight w:val="none"/>
                <w:lang w:val="en-US" w:eastAsia="zh-CN"/>
              </w:rPr>
              <w:t>（4）</w:t>
            </w:r>
            <w:r>
              <w:rPr>
                <w:rFonts w:hint="default" w:ascii="宋体" w:hAnsi="宋体" w:eastAsia="宋体" w:cs="宋体"/>
                <w:b w:val="0"/>
                <w:bCs/>
                <w:color w:val="auto"/>
                <w:sz w:val="24"/>
                <w:highlight w:val="none"/>
                <w:lang w:val="en-US" w:eastAsia="zh-CN"/>
              </w:rPr>
              <w:t>病虫害防治</w:t>
            </w:r>
            <w:r>
              <w:rPr>
                <w:rFonts w:hint="eastAsia" w:ascii="宋体" w:hAnsi="宋体" w:eastAsia="宋体" w:cs="宋体"/>
                <w:b w:val="0"/>
                <w:bCs/>
                <w:color w:val="auto"/>
                <w:sz w:val="24"/>
                <w:highlight w:val="none"/>
                <w:lang w:val="en-US" w:eastAsia="zh-CN"/>
              </w:rPr>
              <w:t>（5）</w:t>
            </w:r>
            <w:r>
              <w:rPr>
                <w:rFonts w:hint="default" w:ascii="宋体" w:hAnsi="宋体" w:eastAsia="宋体" w:cs="宋体"/>
                <w:b w:val="0"/>
                <w:bCs/>
                <w:color w:val="auto"/>
                <w:sz w:val="24"/>
                <w:highlight w:val="none"/>
                <w:lang w:val="en-US" w:eastAsia="zh-CN"/>
              </w:rPr>
              <w:t>树木草坪修剪</w:t>
            </w:r>
            <w:r>
              <w:rPr>
                <w:rFonts w:hint="eastAsia" w:ascii="宋体" w:hAnsi="宋体" w:eastAsia="宋体" w:cs="宋体"/>
                <w:b w:val="0"/>
                <w:bCs/>
                <w:color w:val="auto"/>
                <w:sz w:val="24"/>
                <w:highlight w:val="none"/>
                <w:lang w:val="en-US" w:eastAsia="zh-CN"/>
              </w:rPr>
              <w:t>（6）</w:t>
            </w:r>
            <w:r>
              <w:rPr>
                <w:rFonts w:hint="default" w:ascii="宋体" w:hAnsi="宋体" w:eastAsia="宋体" w:cs="宋体"/>
                <w:b w:val="0"/>
                <w:bCs/>
                <w:color w:val="auto"/>
                <w:sz w:val="24"/>
                <w:highlight w:val="none"/>
                <w:lang w:val="en-US" w:eastAsia="zh-CN"/>
              </w:rPr>
              <w:t>管线梳理及维修</w:t>
            </w:r>
            <w:r>
              <w:rPr>
                <w:rFonts w:hint="eastAsia" w:ascii="宋体" w:hAnsi="宋体" w:eastAsia="宋体" w:cs="宋体"/>
                <w:b w:val="0"/>
                <w:bCs/>
                <w:color w:val="auto"/>
                <w:sz w:val="24"/>
                <w:highlight w:val="none"/>
                <w:lang w:val="en-US" w:eastAsia="zh-CN"/>
              </w:rPr>
              <w:t>（7）</w:t>
            </w:r>
            <w:r>
              <w:rPr>
                <w:rFonts w:hint="default" w:ascii="宋体" w:hAnsi="宋体" w:eastAsia="宋体" w:cs="宋体"/>
                <w:b w:val="0"/>
                <w:bCs/>
                <w:color w:val="auto"/>
                <w:sz w:val="24"/>
                <w:highlight w:val="none"/>
                <w:lang w:val="en-US" w:eastAsia="zh-CN"/>
              </w:rPr>
              <w:t>水泵操作</w:t>
            </w:r>
            <w:r>
              <w:rPr>
                <w:rFonts w:hint="eastAsia" w:ascii="宋体" w:hAnsi="宋体" w:eastAsia="宋体" w:cs="宋体"/>
                <w:b w:val="0"/>
                <w:bCs/>
                <w:color w:val="auto"/>
                <w:sz w:val="24"/>
                <w:highlight w:val="none"/>
                <w:lang w:val="en-US" w:eastAsia="zh-CN"/>
              </w:rPr>
              <w:t>（8）</w:t>
            </w:r>
            <w:r>
              <w:rPr>
                <w:rFonts w:hint="default" w:ascii="宋体" w:hAnsi="宋体" w:eastAsia="宋体" w:cs="宋体"/>
                <w:b w:val="0"/>
                <w:bCs/>
                <w:color w:val="auto"/>
                <w:sz w:val="24"/>
                <w:highlight w:val="none"/>
                <w:lang w:val="en-US" w:eastAsia="zh-CN"/>
              </w:rPr>
              <w:t>日常巡护</w:t>
            </w:r>
            <w:r>
              <w:rPr>
                <w:rFonts w:hint="eastAsia" w:ascii="宋体" w:hAnsi="宋体" w:eastAsia="宋体" w:cs="宋体"/>
                <w:b w:val="0"/>
                <w:bCs/>
                <w:color w:val="auto"/>
                <w:sz w:val="24"/>
                <w:highlight w:val="none"/>
                <w:lang w:val="en-US" w:eastAsia="zh-CN"/>
              </w:rPr>
              <w:t>（9）</w:t>
            </w:r>
            <w:r>
              <w:rPr>
                <w:rFonts w:hint="default" w:ascii="宋体" w:hAnsi="宋体" w:eastAsia="宋体" w:cs="宋体"/>
                <w:b w:val="0"/>
                <w:bCs/>
                <w:color w:val="auto"/>
                <w:sz w:val="24"/>
                <w:highlight w:val="none"/>
                <w:lang w:val="en-US" w:eastAsia="zh-CN"/>
              </w:rPr>
              <w:t>突发灾害应急处理及恢复</w:t>
            </w:r>
            <w:r>
              <w:rPr>
                <w:rFonts w:hint="eastAsia" w:ascii="宋体" w:hAnsi="宋体" w:eastAsia="宋体" w:cs="宋体"/>
                <w:b w:val="0"/>
                <w:bCs/>
                <w:color w:val="auto"/>
                <w:sz w:val="24"/>
                <w:highlight w:val="none"/>
                <w:lang w:val="en-US" w:eastAsia="zh-CN"/>
              </w:rPr>
              <w:t>（10）</w:t>
            </w:r>
            <w:r>
              <w:rPr>
                <w:rFonts w:hint="default" w:ascii="宋体" w:hAnsi="宋体" w:eastAsia="宋体" w:cs="宋体"/>
                <w:b w:val="0"/>
                <w:bCs/>
                <w:color w:val="auto"/>
                <w:sz w:val="24"/>
                <w:highlight w:val="none"/>
                <w:lang w:val="en-US" w:eastAsia="zh-CN"/>
              </w:rPr>
              <w:t>绿化带垃圾清理</w:t>
            </w:r>
          </w:p>
          <w:p w14:paraId="2B4C0EE1">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lang w:val="en-US" w:eastAsia="zh-CN"/>
              </w:rPr>
              <w:t>以上方案内容完整清晰明确且科学合理、可行性高具有针对性并满足采购需求的，每项计2分，最高得20分。每有一项内容不完整或每有一处不具有针对性或逻辑性错误且不完整的得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lang w:val="en-US" w:eastAsia="zh-CN"/>
              </w:rPr>
              <w:t>分；每有一项未提供方案</w:t>
            </w:r>
            <w:r>
              <w:rPr>
                <w:rFonts w:hint="eastAsia" w:ascii="宋体" w:hAnsi="宋体" w:cs="宋体"/>
                <w:b w:val="0"/>
                <w:bCs/>
                <w:color w:val="auto"/>
                <w:sz w:val="24"/>
                <w:highlight w:val="none"/>
                <w:lang w:val="en-US" w:eastAsia="zh-CN"/>
              </w:rPr>
              <w:t>的</w:t>
            </w:r>
            <w:r>
              <w:rPr>
                <w:rFonts w:hint="eastAsia" w:ascii="宋体" w:hAnsi="宋体" w:eastAsia="宋体" w:cs="宋体"/>
                <w:b w:val="0"/>
                <w:bCs/>
                <w:color w:val="auto"/>
                <w:sz w:val="24"/>
                <w:highlight w:val="none"/>
                <w:lang w:val="en-US" w:eastAsia="zh-CN"/>
              </w:rPr>
              <w:t>该项不得分。</w:t>
            </w:r>
          </w:p>
        </w:tc>
      </w:tr>
      <w:tr w14:paraId="2FCB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A38EE9B">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6A5A2E5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lang w:eastAsia="zh-CN"/>
              </w:rPr>
              <w:t>养护设备及作业工具</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29E9B4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401E4469">
            <w:pPr>
              <w:keepNext w:val="0"/>
              <w:keepLines w:val="0"/>
              <w:pageBreakBefore w:val="0"/>
              <w:kinsoku/>
              <w:wordWrap/>
              <w:overflowPunct/>
              <w:topLinePunct w:val="0"/>
              <w:autoSpaceDE/>
              <w:autoSpaceDN/>
              <w:bidi w:val="0"/>
              <w:snapToGrid/>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投标人提供的养护设备（包括以下设备要求）：</w:t>
            </w:r>
          </w:p>
          <w:p w14:paraId="042ECD33">
            <w:pPr>
              <w:keepNext w:val="0"/>
              <w:keepLines w:val="0"/>
              <w:pageBreakBefore w:val="0"/>
              <w:kinsoku/>
              <w:wordWrap/>
              <w:overflowPunct/>
              <w:topLinePunct w:val="0"/>
              <w:autoSpaceDE/>
              <w:autoSpaceDN/>
              <w:bidi w:val="0"/>
              <w:snapToGrid/>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高空作业车1辆得0.5分，满分</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w:t>
            </w:r>
          </w:p>
          <w:p w14:paraId="39E21205">
            <w:pPr>
              <w:keepNext w:val="0"/>
              <w:keepLines w:val="0"/>
              <w:pageBreakBefore w:val="0"/>
              <w:kinsoku/>
              <w:wordWrap/>
              <w:overflowPunct/>
              <w:topLinePunct w:val="0"/>
              <w:autoSpaceDE/>
              <w:autoSpaceDN/>
              <w:bidi w:val="0"/>
              <w:snapToGrid/>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总质量18吨及以上的洒水车或洒水功能的清洗车，1辆得0.5分，满分</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w:t>
            </w:r>
          </w:p>
          <w:p w14:paraId="1981FCE7">
            <w:pPr>
              <w:keepNext w:val="0"/>
              <w:keepLines w:val="0"/>
              <w:pageBreakBefore w:val="0"/>
              <w:kinsoku/>
              <w:wordWrap/>
              <w:overflowPunct/>
              <w:topLinePunct w:val="0"/>
              <w:autoSpaceDE/>
              <w:autoSpaceDN/>
              <w:bidi w:val="0"/>
              <w:snapToGrid/>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园林相关机器（包含</w:t>
            </w:r>
            <w:r>
              <w:rPr>
                <w:rFonts w:hint="eastAsia" w:ascii="宋体" w:hAnsi="宋体" w:eastAsia="宋体" w:cs="宋体"/>
                <w:b w:val="0"/>
                <w:bCs/>
                <w:color w:val="auto"/>
                <w:sz w:val="24"/>
                <w:szCs w:val="24"/>
                <w:lang w:val="en-US" w:eastAsia="zh-CN"/>
              </w:rPr>
              <w:t>高枝油锯</w:t>
            </w:r>
            <w:r>
              <w:rPr>
                <w:rFonts w:hint="eastAsia" w:ascii="宋体" w:hAnsi="宋体" w:eastAsia="宋体" w:cs="宋体"/>
                <w:bCs/>
                <w:color w:val="auto"/>
                <w:sz w:val="24"/>
                <w:szCs w:val="24"/>
                <w:highlight w:val="none"/>
              </w:rPr>
              <w:t>、</w:t>
            </w:r>
            <w:r>
              <w:rPr>
                <w:rFonts w:hint="eastAsia" w:ascii="宋体" w:hAnsi="宋体" w:eastAsia="宋体" w:cs="宋体"/>
                <w:b w:val="0"/>
                <w:bCs/>
                <w:color w:val="auto"/>
                <w:sz w:val="24"/>
                <w:szCs w:val="24"/>
                <w:lang w:val="en-US" w:eastAsia="zh-CN"/>
              </w:rPr>
              <w:t>油锯、</w:t>
            </w:r>
            <w:r>
              <w:rPr>
                <w:rFonts w:hint="eastAsia" w:ascii="宋体" w:hAnsi="宋体" w:eastAsia="宋体" w:cs="宋体"/>
                <w:bCs/>
                <w:color w:val="auto"/>
                <w:sz w:val="24"/>
                <w:szCs w:val="24"/>
                <w:highlight w:val="none"/>
              </w:rPr>
              <w:t>打药机、剪草机、冷水机、绿篱机、草坪修剪机、割草机、扫雪机</w:t>
            </w:r>
            <w:r>
              <w:rPr>
                <w:rFonts w:hint="eastAsia" w:ascii="宋体" w:hAnsi="宋体" w:eastAsia="宋体" w:cs="宋体"/>
                <w:bCs/>
                <w:color w:val="auto"/>
                <w:sz w:val="24"/>
                <w:szCs w:val="24"/>
                <w:highlight w:val="none"/>
                <w:lang w:eastAsia="zh-CN"/>
              </w:rPr>
              <w:t>、清运车</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每提供</w:t>
            </w:r>
            <w:r>
              <w:rPr>
                <w:rFonts w:hint="eastAsia" w:ascii="宋体" w:hAnsi="宋体" w:eastAsia="宋体" w:cs="宋体"/>
                <w:bCs/>
                <w:color w:val="auto"/>
                <w:sz w:val="24"/>
                <w:szCs w:val="24"/>
                <w:highlight w:val="none"/>
              </w:rPr>
              <w:t>一台得0.5分，满分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w:t>
            </w:r>
          </w:p>
          <w:p w14:paraId="1799CD86">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lang w:val="en-US" w:eastAsia="zh-CN"/>
              </w:rPr>
              <w:t>需提供清单、设备照片、自购的机械设备须有原始发票/租赁设备须有租赁合同</w:t>
            </w:r>
            <w:r>
              <w:rPr>
                <w:rFonts w:hint="eastAsia" w:ascii="宋体" w:hAnsi="宋体" w:eastAsia="宋体" w:cs="宋体"/>
                <w:bCs/>
                <w:color w:val="auto"/>
                <w:sz w:val="24"/>
                <w:szCs w:val="24"/>
                <w:highlight w:val="none"/>
              </w:rPr>
              <w:t>。</w:t>
            </w:r>
          </w:p>
        </w:tc>
      </w:tr>
      <w:tr w14:paraId="08DE2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3DDA7F65">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41A50F4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项目负责人能力</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A094690">
            <w:pPr>
              <w:pStyle w:val="37"/>
              <w:keepNext w:val="0"/>
              <w:keepLines w:val="0"/>
              <w:pageBreakBefore w:val="0"/>
              <w:kinsoku/>
              <w:wordWrap/>
              <w:overflowPunct/>
              <w:topLinePunct w:val="0"/>
              <w:autoSpaceDE/>
              <w:autoSpaceDN/>
              <w:bidi w:val="0"/>
              <w:snapToGrid/>
              <w:spacing w:before="0" w:after="0"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06975DB8">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根据投标人公司拟定指派的项目负责人能力情况进行打分</w:t>
            </w:r>
          </w:p>
          <w:p w14:paraId="094941BA">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投标公司需提供项目负责人主持工作简历</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1分；</w:t>
            </w:r>
          </w:p>
          <w:p w14:paraId="4CE38213">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）项目负责人具备</w:t>
            </w:r>
            <w:r>
              <w:rPr>
                <w:rFonts w:hint="eastAsia" w:ascii="宋体" w:hAnsi="宋体" w:eastAsia="宋体" w:cs="宋体"/>
                <w:b w:val="0"/>
                <w:bCs/>
                <w:color w:val="auto"/>
                <w:sz w:val="24"/>
                <w:lang w:val="en-US" w:eastAsia="zh-CN"/>
              </w:rPr>
              <w:t>园林绿化相关专业</w:t>
            </w:r>
            <w:r>
              <w:rPr>
                <w:rFonts w:hint="eastAsia" w:ascii="宋体" w:hAnsi="宋体" w:cs="宋体"/>
                <w:b w:val="0"/>
                <w:bCs/>
                <w:color w:val="auto"/>
                <w:sz w:val="24"/>
                <w:lang w:val="en-US" w:eastAsia="zh-CN"/>
              </w:rPr>
              <w:t>高级</w:t>
            </w:r>
            <w:r>
              <w:rPr>
                <w:rFonts w:hint="eastAsia" w:ascii="宋体" w:hAnsi="宋体" w:eastAsia="宋体" w:cs="宋体"/>
                <w:b w:val="0"/>
                <w:bCs/>
                <w:color w:val="auto"/>
                <w:sz w:val="24"/>
                <w:lang w:val="en-US" w:eastAsia="zh-CN"/>
              </w:rPr>
              <w:t>工程师证书</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1分；</w:t>
            </w:r>
          </w:p>
          <w:p w14:paraId="0D9A3C7F">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2022年7月1日至今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项目负责人主持过养护业绩，每提供一项有效业绩</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分；无有效业绩或无证明材料不得分。</w:t>
            </w:r>
          </w:p>
          <w:p w14:paraId="2DEDF459">
            <w:pPr>
              <w:keepNext w:val="0"/>
              <w:keepLines w:val="0"/>
              <w:pageBreakBefore w:val="0"/>
              <w:kinsoku/>
              <w:wordWrap/>
              <w:overflowPunct/>
              <w:topLinePunct w:val="0"/>
              <w:autoSpaceDE/>
              <w:autoSpaceDN/>
              <w:bidi w:val="0"/>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证明材料为：合同协议书</w:t>
            </w:r>
            <w:r>
              <w:rPr>
                <w:rFonts w:hint="eastAsia" w:ascii="宋体" w:hAnsi="宋体" w:eastAsia="宋体" w:cs="宋体"/>
                <w:color w:val="auto"/>
                <w:sz w:val="24"/>
                <w:szCs w:val="24"/>
                <w:highlight w:val="none"/>
                <w:lang w:eastAsia="zh-CN"/>
              </w:rPr>
              <w:t>（包括合同首页、合同金额所在页、签字盖章页及合同标的页）</w:t>
            </w:r>
            <w:r>
              <w:rPr>
                <w:rFonts w:hint="eastAsia" w:ascii="宋体" w:hAnsi="宋体" w:eastAsia="宋体" w:cs="宋体"/>
                <w:color w:val="auto"/>
                <w:sz w:val="24"/>
                <w:szCs w:val="24"/>
                <w:highlight w:val="none"/>
              </w:rPr>
              <w:t>或中标（成交）通知书。业绩</w:t>
            </w:r>
            <w:r>
              <w:rPr>
                <w:rFonts w:hint="eastAsia" w:ascii="宋体" w:hAnsi="宋体" w:eastAsia="宋体" w:cs="宋体"/>
                <w:color w:val="auto"/>
                <w:sz w:val="24"/>
                <w:szCs w:val="24"/>
                <w:highlight w:val="none"/>
                <w:lang w:eastAsia="zh-CN"/>
              </w:rPr>
              <w:t>需反映项目负责人，否则视为无效业绩。</w:t>
            </w:r>
          </w:p>
        </w:tc>
      </w:tr>
      <w:tr w14:paraId="359D5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8815DD0">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6CA64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人员配备</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DA0C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12分</w:t>
            </w:r>
          </w:p>
        </w:tc>
        <w:tc>
          <w:tcPr>
            <w:tcW w:w="62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A7F8F">
            <w:pPr>
              <w:keepNext w:val="0"/>
              <w:keepLines w:val="0"/>
              <w:pageBreakBefore w:val="0"/>
              <w:kinsoku/>
              <w:wordWrap/>
              <w:overflowPunct/>
              <w:topLinePunct w:val="0"/>
              <w:autoSpaceDE/>
              <w:autoSpaceDN/>
              <w:bidi w:val="0"/>
              <w:snapToGrid/>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）除项目负责人外，每提供一个</w:t>
            </w:r>
            <w:r>
              <w:rPr>
                <w:rFonts w:hint="eastAsia" w:ascii="宋体" w:hAnsi="宋体" w:eastAsia="宋体" w:cs="宋体"/>
                <w:b w:val="0"/>
                <w:bCs/>
                <w:color w:val="auto"/>
                <w:sz w:val="24"/>
                <w:lang w:val="en-US" w:eastAsia="zh-CN"/>
              </w:rPr>
              <w:t>园林绿化相关专业</w:t>
            </w:r>
            <w:r>
              <w:rPr>
                <w:rFonts w:hint="eastAsia" w:ascii="宋体" w:hAnsi="宋体" w:cs="宋体"/>
                <w:b w:val="0"/>
                <w:bCs/>
                <w:color w:val="auto"/>
                <w:sz w:val="24"/>
                <w:lang w:val="en-US" w:eastAsia="zh-CN"/>
              </w:rPr>
              <w:t>高级</w:t>
            </w:r>
            <w:r>
              <w:rPr>
                <w:rFonts w:hint="eastAsia" w:ascii="宋体" w:hAnsi="宋体" w:eastAsia="宋体" w:cs="宋体"/>
                <w:b w:val="0"/>
                <w:bCs/>
                <w:color w:val="auto"/>
                <w:sz w:val="24"/>
                <w:lang w:val="en-US" w:eastAsia="zh-CN"/>
              </w:rPr>
              <w:t>工程师证书</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得</w:t>
            </w:r>
            <w:r>
              <w:rPr>
                <w:rFonts w:hint="eastAsia" w:ascii="宋体" w:hAnsi="宋体" w:eastAsia="宋体" w:cs="宋体"/>
                <w:kern w:val="0"/>
                <w:sz w:val="24"/>
                <w:szCs w:val="24"/>
                <w:lang w:val="en-US" w:eastAsia="zh-CN"/>
              </w:rPr>
              <w:t>2分</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满分</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每提供一个</w:t>
            </w:r>
            <w:r>
              <w:rPr>
                <w:rFonts w:hint="eastAsia" w:ascii="宋体" w:hAnsi="宋体" w:eastAsia="宋体" w:cs="宋体"/>
                <w:b w:val="0"/>
                <w:bCs/>
                <w:color w:val="auto"/>
                <w:sz w:val="24"/>
                <w:lang w:val="en-US" w:eastAsia="zh-CN"/>
              </w:rPr>
              <w:t>园林绿化相关专业</w:t>
            </w:r>
            <w:r>
              <w:rPr>
                <w:rFonts w:hint="eastAsia" w:ascii="宋体" w:hAnsi="宋体" w:cs="宋体"/>
                <w:b w:val="0"/>
                <w:bCs/>
                <w:color w:val="auto"/>
                <w:sz w:val="24"/>
                <w:lang w:val="en-US" w:eastAsia="zh-CN"/>
              </w:rPr>
              <w:t>中级</w:t>
            </w:r>
            <w:r>
              <w:rPr>
                <w:rFonts w:hint="eastAsia" w:ascii="宋体" w:hAnsi="宋体" w:eastAsia="宋体" w:cs="宋体"/>
                <w:b w:val="0"/>
                <w:bCs/>
                <w:color w:val="auto"/>
                <w:sz w:val="24"/>
                <w:lang w:val="en-US" w:eastAsia="zh-CN"/>
              </w:rPr>
              <w:t>工程师证书</w:t>
            </w:r>
            <w:r>
              <w:rPr>
                <w:rFonts w:hint="eastAsia" w:ascii="宋体" w:hAnsi="宋体" w:eastAsia="宋体" w:cs="宋体"/>
                <w:kern w:val="0"/>
                <w:sz w:val="24"/>
                <w:szCs w:val="24"/>
                <w:lang w:eastAsia="zh-CN"/>
              </w:rPr>
              <w:t>得</w:t>
            </w:r>
            <w:r>
              <w:rPr>
                <w:rFonts w:hint="eastAsia" w:ascii="宋体" w:hAnsi="宋体" w:eastAsia="宋体" w:cs="宋体"/>
                <w:kern w:val="0"/>
                <w:sz w:val="24"/>
                <w:szCs w:val="24"/>
                <w:lang w:val="en-US" w:eastAsia="zh-CN"/>
              </w:rPr>
              <w:t>1分</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满分</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eastAsia="zh-CN"/>
              </w:rPr>
              <w:t>（需提供身份证、职称证、劳务合同）</w:t>
            </w:r>
          </w:p>
          <w:p w14:paraId="48324C2E">
            <w:pPr>
              <w:keepNext w:val="0"/>
              <w:keepLines w:val="0"/>
              <w:pageBreakBefore w:val="0"/>
              <w:kinsoku/>
              <w:wordWrap/>
              <w:overflowPunct/>
              <w:topLinePunct w:val="0"/>
              <w:autoSpaceDE/>
              <w:autoSpaceDN/>
              <w:bidi w:val="0"/>
              <w:snapToGrid/>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拟派本项目的其他管理人员中具有花卉工、绿化工、植保工、花卉园艺师、有害生物防治员等相关证书的，</w:t>
            </w:r>
            <w:r>
              <w:rPr>
                <w:rFonts w:hint="eastAsia" w:ascii="宋体" w:hAnsi="宋体" w:eastAsia="宋体" w:cs="宋体"/>
                <w:kern w:val="0"/>
                <w:sz w:val="24"/>
                <w:szCs w:val="24"/>
                <w:lang w:eastAsia="zh-CN"/>
              </w:rPr>
              <w:t>每提供一个</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分，满分</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r>
      <w:tr w14:paraId="15B6E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DAA2CBD">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400A2463">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应急措施方案</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9815BE7">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78752EF0">
            <w:pPr>
              <w:pStyle w:val="36"/>
              <w:keepNext w:val="0"/>
              <w:keepLines w:val="0"/>
              <w:pageBreakBefore w:val="0"/>
              <w:kinsoku/>
              <w:wordWrap/>
              <w:overflowPunct/>
              <w:topLinePunct w:val="0"/>
              <w:autoSpaceDE/>
              <w:autoSpaceDN/>
              <w:bidi w:val="0"/>
              <w:snapToGrid/>
              <w:spacing w:line="360" w:lineRule="auto"/>
              <w:ind w:left="0" w:leftChars="0" w:firstLine="0" w:firstLineChars="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投标人针对本项目提供的应急预案及风险控制</w:t>
            </w:r>
            <w:r>
              <w:rPr>
                <w:rFonts w:hint="eastAsia" w:ascii="宋体" w:hAnsi="宋体" w:eastAsia="宋体" w:cs="宋体"/>
                <w:b w:val="0"/>
                <w:bCs/>
                <w:color w:val="auto"/>
                <w:sz w:val="24"/>
                <w:szCs w:val="24"/>
                <w:highlight w:val="none"/>
              </w:rPr>
              <w:t>包括</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①突发应急情况预测②突发应急情况应对措施（包括但不限于极端天气、树木死亡等情况）</w:t>
            </w:r>
            <w:r>
              <w:rPr>
                <w:rFonts w:hint="eastAsia" w:ascii="宋体" w:hAnsi="宋体" w:eastAsia="宋体" w:cs="宋体"/>
                <w:b w:val="0"/>
                <w:bCs/>
                <w:color w:val="auto"/>
                <w:sz w:val="24"/>
                <w:szCs w:val="24"/>
                <w:highlight w:val="none"/>
              </w:rPr>
              <w:t>③</w:t>
            </w:r>
            <w:r>
              <w:rPr>
                <w:rFonts w:hint="eastAsia" w:ascii="宋体" w:hAnsi="宋体" w:eastAsia="宋体" w:cs="宋体"/>
                <w:b w:val="0"/>
                <w:bCs/>
                <w:color w:val="auto"/>
                <w:sz w:val="24"/>
                <w:szCs w:val="24"/>
                <w:highlight w:val="none"/>
                <w:lang w:val="en-US" w:eastAsia="zh-CN"/>
              </w:rPr>
              <w:t>应急响应时间</w:t>
            </w:r>
          </w:p>
          <w:p w14:paraId="476638AB">
            <w:pPr>
              <w:keepNext w:val="0"/>
              <w:keepLines w:val="0"/>
              <w:pageBreakBefore w:val="0"/>
              <w:widowControl/>
              <w:kinsoku/>
              <w:wordWrap/>
              <w:overflowPunct/>
              <w:topLinePunct w:val="0"/>
              <w:autoSpaceDE/>
              <w:autoSpaceDN/>
              <w:bidi w:val="0"/>
              <w:snapToGri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val="0"/>
                <w:bCs/>
                <w:color w:val="auto"/>
                <w:sz w:val="24"/>
                <w:szCs w:val="24"/>
                <w:highlight w:val="none"/>
                <w:lang w:val="en-US" w:eastAsia="zh-CN"/>
              </w:rPr>
              <w:t>以上方案内容完整清晰明确且科学合理、可行性高具有针对性并满足采购需求的，每项计4分，最高得12分。每有一项内容不完整或每有一处不具有针对性或逻辑性错误且不完整的得2分；每有一项未提供方案的该项不得分。</w:t>
            </w:r>
          </w:p>
        </w:tc>
      </w:tr>
      <w:tr w14:paraId="6536B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266E0644">
            <w:pPr>
              <w:pStyle w:val="37"/>
              <w:keepNext w:val="0"/>
              <w:keepLines w:val="0"/>
              <w:pageBreakBefore w:val="0"/>
              <w:kinsoku/>
              <w:wordWrap/>
              <w:overflowPunct/>
              <w:topLinePunct w:val="0"/>
              <w:autoSpaceDE/>
              <w:autoSpaceDN/>
              <w:bidi w:val="0"/>
              <w:snapToGrid/>
              <w:spacing w:before="0" w:after="0" w:line="360" w:lineRule="auto"/>
              <w:ind w:firstLine="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7807F738">
            <w:pPr>
              <w:pStyle w:val="3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lang w:val="en-US" w:eastAsia="zh-CN"/>
              </w:rPr>
              <w:t>安全保障措施</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A524E81">
            <w:pPr>
              <w:pStyle w:val="36"/>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lang w:val="en-US" w:eastAsia="zh-CN"/>
              </w:rPr>
              <w:t>20分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20DD9DFF">
            <w:pPr>
              <w:pStyle w:val="36"/>
              <w:spacing w:line="360" w:lineRule="auto"/>
              <w:ind w:left="0" w:leftChars="0" w:firstLine="0" w:firstLineChars="0"/>
              <w:jc w:val="both"/>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投标人</w:t>
            </w:r>
            <w:r>
              <w:rPr>
                <w:rFonts w:hint="eastAsia" w:ascii="宋体" w:hAnsi="宋体" w:eastAsia="宋体" w:cs="宋体"/>
                <w:b w:val="0"/>
                <w:bCs/>
                <w:color w:val="auto"/>
                <w:sz w:val="24"/>
                <w:highlight w:val="none"/>
              </w:rPr>
              <w:t>提供的针对本项目的作业管理制度方案包括</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①对人员的管理与培训方案；②对</w:t>
            </w:r>
            <w:r>
              <w:rPr>
                <w:rFonts w:hint="eastAsia" w:ascii="宋体" w:hAnsi="宋体" w:eastAsia="宋体" w:cs="宋体"/>
                <w:b w:val="0"/>
                <w:bCs/>
                <w:color w:val="auto"/>
                <w:sz w:val="24"/>
                <w:highlight w:val="none"/>
                <w:lang w:eastAsia="zh-CN"/>
              </w:rPr>
              <w:t>机械设备</w:t>
            </w:r>
            <w:r>
              <w:rPr>
                <w:rFonts w:hint="eastAsia" w:ascii="宋体" w:hAnsi="宋体" w:eastAsia="宋体" w:cs="宋体"/>
                <w:b w:val="0"/>
                <w:bCs/>
                <w:color w:val="auto"/>
                <w:sz w:val="24"/>
                <w:highlight w:val="none"/>
              </w:rPr>
              <w:t>的管理；③针对各项维护内容的巡查措施</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④</w:t>
            </w:r>
            <w:r>
              <w:rPr>
                <w:rFonts w:hint="eastAsia" w:ascii="宋体" w:hAnsi="宋体" w:eastAsia="宋体" w:cs="宋体"/>
                <w:b w:val="0"/>
                <w:bCs/>
                <w:color w:val="auto"/>
                <w:sz w:val="24"/>
                <w:highlight w:val="none"/>
              </w:rPr>
              <w:t>巡查岗位职责</w:t>
            </w:r>
            <w:r>
              <w:rPr>
                <w:rFonts w:hint="eastAsia" w:ascii="宋体" w:hAnsi="宋体" w:eastAsia="宋体" w:cs="宋体"/>
                <w:b w:val="0"/>
                <w:bCs/>
                <w:color w:val="auto"/>
                <w:sz w:val="24"/>
                <w:highlight w:val="none"/>
                <w:lang w:val="en-US" w:eastAsia="zh-CN"/>
              </w:rPr>
              <w:t>及</w:t>
            </w:r>
            <w:r>
              <w:rPr>
                <w:rFonts w:hint="eastAsia" w:ascii="宋体" w:hAnsi="宋体" w:eastAsia="宋体" w:cs="宋体"/>
                <w:b w:val="0"/>
                <w:bCs/>
                <w:color w:val="auto"/>
                <w:sz w:val="24"/>
                <w:highlight w:val="none"/>
              </w:rPr>
              <w:t>巡查流程</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⑤</w:t>
            </w:r>
            <w:r>
              <w:rPr>
                <w:rFonts w:hint="eastAsia" w:ascii="宋体" w:hAnsi="宋体" w:eastAsia="宋体" w:cs="宋体"/>
                <w:b w:val="0"/>
                <w:bCs/>
                <w:color w:val="auto"/>
                <w:sz w:val="24"/>
                <w:highlight w:val="none"/>
              </w:rPr>
              <w:t>发现问题、上报及处置机制</w:t>
            </w:r>
          </w:p>
          <w:p w14:paraId="5FB5CE59">
            <w:pPr>
              <w:pStyle w:val="36"/>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lang w:val="en-US" w:eastAsia="zh-CN"/>
              </w:rPr>
              <w:t>以上方案内容完整清晰明确且科学合理、可行性高具有针对性并满足采购需求的，每项计4分，最高得20分。每有一项内容不完整或每有一处不具有针对性或逻辑性错误且不完整的得2分；每有一项未提供方案或未能满足采购需求的，该项不得分。</w:t>
            </w:r>
          </w:p>
        </w:tc>
      </w:tr>
      <w:tr w14:paraId="0DFC6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057186BF">
            <w:pPr>
              <w:pStyle w:val="37"/>
              <w:keepNext w:val="0"/>
              <w:keepLines w:val="0"/>
              <w:pageBreakBefore w:val="0"/>
              <w:kinsoku/>
              <w:wordWrap/>
              <w:overflowPunct/>
              <w:topLinePunct w:val="0"/>
              <w:autoSpaceDE/>
              <w:autoSpaceDN/>
              <w:bidi w:val="0"/>
              <w:snapToGrid/>
              <w:spacing w:before="0" w:after="0" w:line="360" w:lineRule="auto"/>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1F4B5001">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B955229">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77D45721">
            <w:pPr>
              <w:keepNext w:val="0"/>
              <w:keepLines w:val="0"/>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2022年7月1日至今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eastAsia="zh-CN"/>
              </w:rPr>
              <w:t>类似</w:t>
            </w:r>
            <w:r>
              <w:rPr>
                <w:rFonts w:hint="eastAsia" w:ascii="宋体" w:hAnsi="宋体" w:eastAsia="宋体" w:cs="宋体"/>
                <w:color w:val="auto"/>
                <w:kern w:val="0"/>
                <w:sz w:val="24"/>
                <w:szCs w:val="24"/>
                <w:highlight w:val="none"/>
              </w:rPr>
              <w:t>项目业绩,提供合同</w:t>
            </w:r>
            <w:r>
              <w:rPr>
                <w:rFonts w:hint="eastAsia" w:ascii="宋体" w:hAnsi="宋体" w:eastAsia="宋体" w:cs="宋体"/>
                <w:color w:val="auto"/>
                <w:sz w:val="24"/>
                <w:szCs w:val="24"/>
                <w:highlight w:val="none"/>
                <w:lang w:eastAsia="zh-CN"/>
              </w:rPr>
              <w:t>（包括合同首页、合同金额所在页、签字盖章页及合同标的页）</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中标</w:t>
            </w:r>
            <w:r>
              <w:rPr>
                <w:rFonts w:hint="eastAsia" w:ascii="宋体" w:hAnsi="宋体" w:eastAsia="宋体" w:cs="宋体"/>
                <w:color w:val="auto"/>
                <w:kern w:val="0"/>
                <w:sz w:val="24"/>
                <w:szCs w:val="24"/>
                <w:highlight w:val="none"/>
                <w:lang w:eastAsia="zh-CN"/>
              </w:rPr>
              <w:t>（成交）</w:t>
            </w:r>
            <w:r>
              <w:rPr>
                <w:rFonts w:hint="eastAsia" w:ascii="宋体" w:hAnsi="宋体" w:eastAsia="宋体" w:cs="宋体"/>
                <w:color w:val="auto"/>
                <w:kern w:val="0"/>
                <w:sz w:val="24"/>
                <w:szCs w:val="24"/>
                <w:highlight w:val="none"/>
              </w:rPr>
              <w:t>通知书复印件，一个</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r>
      <w:tr w14:paraId="2BF0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1CC3F65A">
            <w:pPr>
              <w:pStyle w:val="37"/>
              <w:keepNext w:val="0"/>
              <w:keepLines w:val="0"/>
              <w:pageBreakBefore w:val="0"/>
              <w:kinsoku/>
              <w:wordWrap/>
              <w:overflowPunct/>
              <w:topLinePunct w:val="0"/>
              <w:autoSpaceDE/>
              <w:autoSpaceDN/>
              <w:bidi w:val="0"/>
              <w:snapToGrid/>
              <w:spacing w:before="0" w:after="0" w:line="360" w:lineRule="auto"/>
              <w:ind w:firstLine="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E500026">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价格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E514073">
            <w:pPr>
              <w:keepNext w:val="0"/>
              <w:keepLines w:val="0"/>
              <w:pageBreakBefore w:val="0"/>
              <w:widowControl/>
              <w:kinsoku/>
              <w:wordWrap/>
              <w:overflowPunct/>
              <w:topLinePunct w:val="0"/>
              <w:autoSpaceDE/>
              <w:autoSpaceDN/>
              <w:bidi w:val="0"/>
              <w:snapToGrid/>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c>
          <w:tcPr>
            <w:tcW w:w="6250" w:type="dxa"/>
            <w:tcBorders>
              <w:top w:val="single" w:color="auto" w:sz="4" w:space="0"/>
              <w:left w:val="single" w:color="auto" w:sz="4" w:space="0"/>
              <w:bottom w:val="single" w:color="auto" w:sz="4" w:space="0"/>
              <w:right w:val="single" w:color="auto" w:sz="4" w:space="0"/>
            </w:tcBorders>
            <w:noWrap w:val="0"/>
            <w:vAlign w:val="center"/>
          </w:tcPr>
          <w:p w14:paraId="62966AC2">
            <w:pPr>
              <w:keepNext w:val="0"/>
              <w:keepLines w:val="0"/>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投标价格的平均价作为评标基准价，其价格分为满分。其他投标人的价格分统一按照下列公式计算：投标报价得分=(评标基准价／投标报价)×价格权值（10%）×100。若投标人的投标报价超出预算价的，投标无效。</w:t>
            </w:r>
          </w:p>
        </w:tc>
      </w:tr>
    </w:tbl>
    <w:p w14:paraId="60B034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szCs w:val="24"/>
        </w:rPr>
        <w:t>计算综合评分时，如有小数，应保留两位小数。</w:t>
      </w:r>
    </w:p>
    <w:p w14:paraId="65C5A158">
      <w:pPr>
        <w:keepNext w:val="0"/>
        <w:keepLines w:val="0"/>
        <w:pageBreakBefore w:val="0"/>
        <w:widowControl w:val="0"/>
        <w:numPr>
          <w:ilvl w:val="0"/>
          <w:numId w:val="9"/>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highlight w:val="none"/>
          <w:lang w:val="en-US" w:eastAsia="zh-CN"/>
        </w:rPr>
      </w:pPr>
      <w:bookmarkStart w:id="4" w:name="_Toc28339"/>
      <w:r>
        <w:rPr>
          <w:rFonts w:hint="eastAsia" w:ascii="宋体" w:hAnsi="宋体" w:eastAsia="宋体" w:cs="宋体"/>
          <w:b/>
          <w:bCs/>
          <w:sz w:val="40"/>
          <w:szCs w:val="40"/>
          <w:highlight w:val="none"/>
          <w:lang w:val="en-US" w:eastAsia="zh-CN"/>
        </w:rPr>
        <w:t xml:space="preserve"> 采购需求</w:t>
      </w:r>
      <w:bookmarkEnd w:id="4"/>
      <w:bookmarkStart w:id="5" w:name="_Toc8874"/>
    </w:p>
    <w:tbl>
      <w:tblPr>
        <w:tblStyle w:val="18"/>
        <w:tblW w:w="95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2760"/>
        <w:gridCol w:w="2325"/>
        <w:gridCol w:w="2130"/>
        <w:gridCol w:w="1363"/>
      </w:tblGrid>
      <w:tr w14:paraId="7453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959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3CC7E3">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水磨沟区公共绿地市场化养护</w:t>
            </w:r>
          </w:p>
        </w:tc>
      </w:tr>
      <w:tr w14:paraId="7C7B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1464359">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0F4BCC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道路名称</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6954F4">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养护等级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top"/>
          </w:tcPr>
          <w:p w14:paraId="4D89451D">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面积</w:t>
            </w:r>
          </w:p>
        </w:tc>
        <w:tc>
          <w:tcPr>
            <w:tcW w:w="1363" w:type="dxa"/>
            <w:vMerge w:val="restart"/>
            <w:tcBorders>
              <w:top w:val="single" w:color="000000" w:sz="4" w:space="0"/>
              <w:left w:val="single" w:color="000000" w:sz="4" w:space="0"/>
              <w:right w:val="single" w:color="000000" w:sz="4" w:space="0"/>
            </w:tcBorders>
            <w:shd w:val="clear" w:color="auto" w:fill="auto"/>
            <w:noWrap/>
            <w:vAlign w:val="center"/>
          </w:tcPr>
          <w:p w14:paraId="64969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r>
      <w:tr w14:paraId="4182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346BF4">
            <w:pPr>
              <w:jc w:val="center"/>
              <w:rPr>
                <w:rFonts w:hint="eastAsia" w:ascii="宋体" w:hAnsi="宋体" w:eastAsia="宋体" w:cs="宋体"/>
                <w:b/>
                <w:bCs/>
                <w:i w:val="0"/>
                <w:iCs w:val="0"/>
                <w:color w:val="000000"/>
                <w:sz w:val="28"/>
                <w:szCs w:val="28"/>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4CAD97">
            <w:pPr>
              <w:jc w:val="center"/>
              <w:rPr>
                <w:rFonts w:hint="eastAsia" w:ascii="宋体" w:hAnsi="宋体" w:eastAsia="宋体" w:cs="宋体"/>
                <w:b/>
                <w:bCs/>
                <w:i w:val="0"/>
                <w:iCs w:val="0"/>
                <w:color w:val="000000"/>
                <w:sz w:val="28"/>
                <w:szCs w:val="2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1C7991">
            <w:pPr>
              <w:jc w:val="center"/>
              <w:rPr>
                <w:rFonts w:hint="eastAsia" w:ascii="宋体" w:hAnsi="宋体" w:eastAsia="宋体" w:cs="宋体"/>
                <w:b/>
                <w:bCs/>
                <w:i w:val="0"/>
                <w:iCs w:val="0"/>
                <w:color w:val="000000"/>
                <w:sz w:val="28"/>
                <w:szCs w:val="2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top"/>
          </w:tcPr>
          <w:p w14:paraId="50F9BD40">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w:t>
            </w:r>
          </w:p>
        </w:tc>
        <w:tc>
          <w:tcPr>
            <w:tcW w:w="1363" w:type="dxa"/>
            <w:vMerge w:val="continue"/>
            <w:tcBorders>
              <w:left w:val="single" w:color="000000" w:sz="4" w:space="0"/>
              <w:bottom w:val="single" w:color="000000" w:sz="4" w:space="0"/>
              <w:right w:val="single" w:color="000000" w:sz="4" w:space="0"/>
            </w:tcBorders>
            <w:shd w:val="clear" w:color="auto" w:fill="auto"/>
            <w:noWrap/>
            <w:vAlign w:val="center"/>
          </w:tcPr>
          <w:p w14:paraId="13D50C8E">
            <w:pPr>
              <w:jc w:val="center"/>
              <w:rPr>
                <w:rFonts w:hint="eastAsia" w:ascii="宋体" w:hAnsi="宋体" w:eastAsia="宋体" w:cs="宋体"/>
                <w:i w:val="0"/>
                <w:iCs w:val="0"/>
                <w:color w:val="000000"/>
                <w:sz w:val="24"/>
                <w:szCs w:val="24"/>
                <w:u w:val="none"/>
              </w:rPr>
            </w:pPr>
          </w:p>
        </w:tc>
      </w:tr>
      <w:tr w14:paraId="2020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CC4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14:paraId="037742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75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30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6333.88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7F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575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F5C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92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府南路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6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89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40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071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D11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74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红山东路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5E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74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3821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B9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AA8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87C5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08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08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63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2068.61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EE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1BA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AC3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5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52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F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4498.47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6E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494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AFFB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D2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西虹东路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8C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E3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14784.86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8D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060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B09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FC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1C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75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36629.6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0F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931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2EA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C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20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08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12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266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BB8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30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60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00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26209.31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BF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0A0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7FF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DF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南湖北路北延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B7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9A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13495.7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26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95A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659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4B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凤起街（会展南路至七道湾路）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D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4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18856.1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AE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B01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0B9D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3E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龙腾路（准葛尔路至会展中街）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E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CE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10603.86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F4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E9F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12FA3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40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会展纬二路（凤翔街）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28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AF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5893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10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1F6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9BA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64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会展纬三路（凤仪街）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0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63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534.4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16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B73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711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4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龙鹏路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9C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F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7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59DD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3654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F1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观园路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C5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9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219350.4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22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1E3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DF6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BA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水磨沟路（包括虹桥彩门、三角地）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54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E2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8121.52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E1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0CB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D665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4B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02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7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78099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6E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1B1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9F71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B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72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D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268612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61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3A4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0FD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A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9B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D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124366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6C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A37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95A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AB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观景路（大学路）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6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30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161828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58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605A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EFB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98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书苑路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B3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8B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73143.48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85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D1B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7C3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AE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规划八路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D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98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3228.74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F1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D8E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147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74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景辉路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5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B6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8404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2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D54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801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50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03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A1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9004.1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F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9EF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3BE1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B7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CE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F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2548.32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97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887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A11D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55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南湖南路西二巷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15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52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1378.1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B7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EC5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A17A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AB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南湖南路西三巷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F5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16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1619.28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A2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6DE4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C09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56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天平巷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97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B7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AA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4690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D0F8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C9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F4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C5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4467.2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25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E08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7D0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4D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红山西路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6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2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1694.17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5E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BD6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AED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6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C0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9E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37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6C4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9E3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DE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犁铧街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C7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22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431.9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FD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F75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9E22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E3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新兴北街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B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2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1293.86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24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D94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23E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07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新兴南街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03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28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953.7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81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36E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D79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8F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EB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3A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16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2AC8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2B9A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29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56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0C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80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B8E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873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4F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5A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BE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1250.2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1D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AC2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D6B4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B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南湖北路与东八家户街相交地四块绿地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0A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6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2588.78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A6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692D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A08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DF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南湖东路南二巷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C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FD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681.16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96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F63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3C9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7C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37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5A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2961.37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E9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5C67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335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58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CC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C1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1250.01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02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981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A31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D3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昆仑路（新医路段）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AE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57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4144.35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03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3C7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F4A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1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D3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B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9143.8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2B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3BE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3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9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12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A8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19083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1A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722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51D6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F5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昆仑东街北三巷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1C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5A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862.03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95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298E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B3FC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E6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昆仑东街北四巷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F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E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1177.46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28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59B6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8E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11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昆仑东街东延</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9F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D5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7809.8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65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B5F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2112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B5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帕米尔街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2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4E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8613.91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A0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B23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358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6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七道湾南路西测绿地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47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4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24423.28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9C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AA8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6BF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4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3A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3C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17509.25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8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DB5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7E5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0D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七道湾东街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03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B7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10360.6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E5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A7C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51D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80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鸿园南路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BF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9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5644.8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A2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7FD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6F3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72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法院入口及春景巷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64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A1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0B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5281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8A9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C7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九道湾路（八道湾桥至腾汇三路路口）</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36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29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34787.8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0F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6F4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18E8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9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腾汇一路（经二路）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54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0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4390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10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618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2C6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54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腾汇二路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18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0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1538.67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A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54AC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EEC9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A6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腾汇三路（经五路）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2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4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95362.63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9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CD1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70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F6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欣园一街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6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8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5294.59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8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286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E4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74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欣园二街（腾汇三路西二巷）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A3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E6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4985.56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2E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EB1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2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B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欣园一街与欣园二街交汇处（天山明月城西门口路段）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A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01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1628.8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76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5E05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26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A3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振安街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3B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4A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C7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5F52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02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15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振安街北六巷（经一路）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04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5E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C2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021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47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B3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会展中街（会展大道--七道湾路）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4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12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5787.67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54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378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A2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BF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会展南路东一巷（会展纬五路）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E7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47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2952.61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38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6FD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3B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B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融飞巷（会展经四路南北路段绿化带）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B1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96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1413.23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7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455A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B2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91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纬四路（欣园一街交叉口至腾汇一路交叉口）</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D1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4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EA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022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0D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8A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规划五路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D9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F6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4222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1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7CD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31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B1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规划九路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5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1B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3563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4E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7BB6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D8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B9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会展纬十路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F2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43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3283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F9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828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5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DB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龙舞街（会展经九东路）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4B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55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99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7EAB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2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5A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美丰街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4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D1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51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CF9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D2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42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准格尔路（会展大道--规划十路）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3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1A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4374.5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C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5F8C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1C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92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克南高架桥下世界公元段绿地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11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85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11019.85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86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CB8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64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92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沿河路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B0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FF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2519.89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D2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6341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55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5E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1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3A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3483.08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58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99B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E6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A7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仁园路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B3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8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A6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6FCA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65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39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仁里路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9B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23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2430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D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6A9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1A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40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A0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D4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801.1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32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4BC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0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7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六道湾路立井街交汇处右侧绿化带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B5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0BA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3634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01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111D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DA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6B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华祥五巷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2D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D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4556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23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98D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44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3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华祥六巷安居南路东一巷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4A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E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1934.5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E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2F9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2BA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C0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华祥七巷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95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DA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1012.48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B9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0F29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EDF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6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红山东路北十六巷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A8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19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2742.05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C0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7DB9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935B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C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红山东路北十七巷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1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7D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A5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4D4A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296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8E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新民西街南一巷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CD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40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16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ACB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780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C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新民西街社区门前</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E3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83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7A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F65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59C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2D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药材巷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27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BA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117.67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26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524A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137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1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新兴街东一巷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C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5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4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7DC8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DA0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4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新兴街北一巷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A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D5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D2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46AF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73E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E2F1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新兴街北二巷、北三巷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8C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6A6D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25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C48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3BF7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05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西虹东路北十三巷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8C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02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23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40AB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45BF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D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西虹东路北十四巷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46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76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79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112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C6A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1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南湖北路西三、四巷、惠民巷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D3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C9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5120.7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18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26DA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9DA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00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南湖北路友好花园一期西侧废弃铁道两侧林地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31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0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9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0CC5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A26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20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河滩路天山景轩小区门口巷道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2B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C7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497.62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D3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5448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85A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8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南湖北路东四巷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44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6F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0F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5FE1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86B9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68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南湖北路东五巷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F5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327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1755.8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7D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E4E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FDF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94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康兴巷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E5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81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1196.6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E0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9C6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63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11023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南湖东路北五巷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FC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542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935.22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6B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239E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C9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025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南湖东路北六巷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67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F29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FB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8CA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A9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E9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青玉十三巷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E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8A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817.8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D7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280B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AC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13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长青五巷（六中分校门口路段）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1A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29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8F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774F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60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83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恒翠巷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9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1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1907.02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31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17D2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FFE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75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南湖西路北一巷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BF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3F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9A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7763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D744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9A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南湖西路北二巷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3B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F0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B0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4AD6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9D8E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50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昆仑路北一巷、二巷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8B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F4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4050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CC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D7B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AE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9F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安居北路西五巷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F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8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2341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1B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24F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38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ED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五星北路东二巷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DD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8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2380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F9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7955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4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B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三路车站上彩门路口</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3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03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911.06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CE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7461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32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75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D5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C4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1A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66A2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97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59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五星北路西二巷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24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40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10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9D7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82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5B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同心路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2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39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4346.38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E8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65A4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FA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10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五星北路市刑侦队外墙路段绿化带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4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F9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48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3292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5D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2C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六道湾路东二巷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3F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top"/>
          </w:tcPr>
          <w:p w14:paraId="7279AD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44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5104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8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E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B3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CD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8C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BE5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B5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AE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4E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76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F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2107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17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14:paraId="7417EC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C3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C9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DB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5030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68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14:paraId="67E0CF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八道湾叉路口巷道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6F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AE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26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AB4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AC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15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1E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4B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4693.8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23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33EA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6D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A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和顺巷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6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1E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ED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70E8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4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3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龙瑞街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9D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E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54029.81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42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C5C0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1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B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立井街南侧绿地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0D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FC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3564.2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D8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00D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63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A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C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DB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04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6EEC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D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2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康明园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2D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AC4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AF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58A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EA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C1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东八家户北二巷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93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2C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1D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5530E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7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77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环卫基地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4A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1B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7B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017C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E9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17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红光山路南一巷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12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79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DC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3C72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78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E2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春晖巷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25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40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5880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1C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4416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64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19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龙翔路（龙盛街--苇湖梁一路二标）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EA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14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4143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59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247B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5C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4A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八道湾经一路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60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8D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6D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3A41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40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9D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观园路高跑团巷道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CF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CD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FE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55FF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6D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CB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安平路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0D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E0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4205.35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CD8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453A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69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21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温泉东路北四巷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08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D6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D3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6A6D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4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72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温泉东路北一、二、三巷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2C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25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1088.5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1E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1A42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7A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D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高尔夫路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69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EF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7121.28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45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65E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D4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2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92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07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785.7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71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9D9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2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16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七纺四路（温泉北路西一巷）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F4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CE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42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2F42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E9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26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温泉东路三角地人行道</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5A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E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590.04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94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0A46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E8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74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沿河路西一巷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56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87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1664.05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7D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2038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2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E4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沿河路东一巷（北山大桥）</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F4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2D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26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0019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8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66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温泉西路北一、二巷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68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41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54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408B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B6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1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温泉西路北五巷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C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9B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1116.65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F5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904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8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A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温泉西路南四巷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3D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D9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401.5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65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600B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BC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41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温泉西路南五巷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BC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8A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617.5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9C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717CC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7A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3A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温泉西路南五巷31中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F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D2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50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r>
      <w:tr w14:paraId="1E0C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7A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AE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山景巷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D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24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B1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r>
      <w:tr w14:paraId="1713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28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81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水磨沟硫磺河游园世界公园段</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5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9A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15330.44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A7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0C25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90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8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华光街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E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50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59245.07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5C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7252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59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D8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七纺锦绣园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72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B3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A0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1A0F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BD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23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和谐园游园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D8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04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64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0A8C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78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C4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龙盛街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7A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C1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49832.12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D7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3A21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43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A8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帕米尔游园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77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85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26412.6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33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2A9B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BB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7A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92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D0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3970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CF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72D2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8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68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水区政府大院绿地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5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19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2987.67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0C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5F09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84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35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新民东街游园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53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BD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4979.23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48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0D38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44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0F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温泉西路南二巷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9D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5A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8589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8D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4FC8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8E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0D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美食街南侧游园（南湖东路南二巷长青二队）</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1F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02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A0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57C0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9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37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焦煤集团两侧游园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13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7B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3684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DA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6FDC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23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7A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一号立井与南湖北路交叉路口</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BC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CD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9950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3A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1474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A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5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东八家户水库绿地建设项目</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84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F7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E4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1A3F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FF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3D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北郊客运站路对面游园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D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9F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3771.2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74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2F4C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A6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79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苇美小区小游园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06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51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2440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33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55E7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15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0D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温泉东路三角地游园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1F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23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22117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18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7F7E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CB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83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吉兴巷及游园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66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DB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B0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6B48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07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7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北山坡游园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5E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CD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6330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5B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722E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D2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1E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新大地纺校游园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33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8C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A3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473F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67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40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4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82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0A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54F9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E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DB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华光街光华园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8D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0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FD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674C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90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D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和顺巷游园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F1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5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3078.28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23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6504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78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31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东绕城绿化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F8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EF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119988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68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r>
      <w:tr w14:paraId="0A6E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F6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6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依岚山庄</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88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69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22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r>
      <w:tr w14:paraId="1F00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1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64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八道湾苗圃基地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DD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28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133334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57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r>
      <w:tr w14:paraId="0E29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12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B3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水墨嘉苑后山绿化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5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E3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59994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39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r>
      <w:tr w14:paraId="5E0A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30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AE0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万科大都会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14:paraId="70AA94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B119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C0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1DCB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1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23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六道湾路立井街对面游园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EA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0F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34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5EB1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E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13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东八家户自建房片区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B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0B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703.5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13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1C8E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FF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D2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成功街自建房片区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C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EB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80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2E1D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33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4B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水塔山自建房片区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A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21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04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037D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B2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7B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南大湖自建房片区（西虹东路南三巷）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10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6C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A5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011B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6B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2F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新民社区自建房片区（西虹东路南四巷至南十巷）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E7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A2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25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3CFA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65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0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兴惠社区自建房片区（新民东街南三巷）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8B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E2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99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64D4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AC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67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新民西街北社区自建房片区（犁铧街西一巷）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69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8C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C7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3D65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BE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B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安居南路自建房片区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1B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13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9F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513E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AA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5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安居北路自建房片区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E8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2A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652.5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4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7E62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2B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99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劳动街自建房片区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13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DE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65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0834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4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35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长青四队自建房片区（南湖东路北五、北六巷）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51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91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E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1D58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98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F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华凌公寓自建房片区（二附医院周边）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0C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ED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454.5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B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5562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55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55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王家梁自建房片区（南湖北路东四巷至东五巷里面）</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47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56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9A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5C42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D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5D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百万庄自建房片区（南湖北路）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4B3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36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427.5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82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49D7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17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3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昆仑北社区自建房片区（高级法院后边片区）</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7C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D6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442.5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94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202A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9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99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红山路北六、北七、北八巷、军民巷树穴面积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C5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8E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BB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0DA8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12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BA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七道湾南路苇湖庄东侧自建房</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CB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E2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3C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356A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9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3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七道湾南路苇湖庄西侧自建房</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DF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B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83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1E2C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FA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C2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苇湖梁派出所巷道自建房</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3A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D5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B4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r>
      <w:tr w14:paraId="390A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24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D9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会展南路东一巷北侧平台</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1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D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31468.2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F0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13F5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9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C4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恒大绿洲三期中间绿地</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DF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54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4493.4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00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2DB1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21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0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七纺二街边坡绿化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A5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03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11469.45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CC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3789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0D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18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景辉路边坡绿化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F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E5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4128.54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8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7509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1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F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静园路边坡绿化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C7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E4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3812.68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11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203A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CC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38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泽泰雅居边坡绿化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D4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87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4647.75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9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3CF0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D1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0A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榆盛巷道路绿化及边坡绿化</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81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46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5486.5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E2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2C69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9B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0E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清新路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1F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FF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AB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698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B4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EA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清新路游园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A3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59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91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254F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E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F9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书苑路北段</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07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44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3619.62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F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4DED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B1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61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筑牢中华民族共同体意识主题游园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A0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0E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12938.97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CB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2670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88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5C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丽景丰华园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16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D4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B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3479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72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43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东街游园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44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30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2B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09D2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F3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66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华祥幸福园</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1E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27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F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r>
      <w:tr w14:paraId="311F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F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E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华光街东延——七纺二路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53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72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4584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8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208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92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83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苇电南路——七坊六路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C1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47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3915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99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08C3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B7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26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七纺七路——华光街东延</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1D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61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4995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27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1584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11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8B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春涌路现状道路——龙腾路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C3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09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CC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507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4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61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立井街——龙盛街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F4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87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06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46A7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FB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2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秋实路——彩霞路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4D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88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FC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00B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3A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20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梅兰街——华强街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92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BD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7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5EA4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27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217</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3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红光山路——创业路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6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54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11460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8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346A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B0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5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振安街精细化一期（创业路南南六巷、南四巷、南三巷、八道湾路、春景街）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66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44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16100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5E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r w14:paraId="43A2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D8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44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工业园纬七路</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05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92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12965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07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r>
    </w:tbl>
    <w:p w14:paraId="66D3C3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lang w:val="en-US" w:eastAsia="zh-CN"/>
        </w:rPr>
        <w:sectPr>
          <w:headerReference r:id="rId4" w:type="default"/>
          <w:footerReference r:id="rId5" w:type="default"/>
          <w:pgSz w:w="11907" w:h="16840"/>
          <w:pgMar w:top="1474" w:right="1814" w:bottom="1247" w:left="1814" w:header="850" w:footer="992" w:gutter="0"/>
          <w:pgNumType w:fmt="decimal"/>
          <w:cols w:space="720" w:num="1"/>
          <w:docGrid w:linePitch="462" w:charSpace="0"/>
        </w:sectPr>
      </w:pPr>
    </w:p>
    <w:p w14:paraId="10205630">
      <w:pPr>
        <w:spacing w:before="68" w:line="223" w:lineRule="auto"/>
        <w:ind w:left="99"/>
        <w:rPr>
          <w:rFonts w:hint="eastAsia" w:ascii="宋体" w:hAnsi="宋体" w:eastAsia="宋体" w:cs="宋体"/>
          <w:sz w:val="24"/>
          <w:szCs w:val="24"/>
        </w:rPr>
      </w:pPr>
      <w:r>
        <w:rPr>
          <w:rFonts w:hint="eastAsia" w:ascii="宋体" w:hAnsi="宋体" w:eastAsia="宋体" w:cs="宋体"/>
          <w:spacing w:val="28"/>
          <w:sz w:val="24"/>
          <w:szCs w:val="24"/>
        </w:rPr>
        <w:t>(</w:t>
      </w:r>
      <w:r>
        <w:rPr>
          <w:rFonts w:hint="eastAsia" w:ascii="宋体" w:hAnsi="宋体" w:eastAsia="宋体" w:cs="宋体"/>
          <w:spacing w:val="-87"/>
          <w:sz w:val="24"/>
          <w:szCs w:val="24"/>
        </w:rPr>
        <w:t xml:space="preserve"> </w:t>
      </w:r>
      <w:r>
        <w:rPr>
          <w:rFonts w:hint="eastAsia" w:ascii="宋体" w:hAnsi="宋体" w:eastAsia="宋体" w:cs="宋体"/>
          <w:spacing w:val="28"/>
          <w:sz w:val="24"/>
          <w:szCs w:val="24"/>
        </w:rPr>
        <w:t>一)工作内容</w:t>
      </w:r>
    </w:p>
    <w:p w14:paraId="0C739B49">
      <w:pPr>
        <w:spacing w:before="229" w:line="338" w:lineRule="auto"/>
        <w:ind w:right="2" w:firstLine="709"/>
        <w:rPr>
          <w:rFonts w:ascii="宋体" w:hAnsi="宋体" w:eastAsia="宋体" w:cs="宋体"/>
          <w:sz w:val="24"/>
          <w:szCs w:val="24"/>
        </w:rPr>
      </w:pPr>
      <w:r>
        <w:rPr>
          <w:rFonts w:ascii="宋体" w:hAnsi="宋体" w:eastAsia="宋体" w:cs="宋体"/>
          <w:spacing w:val="17"/>
          <w:sz w:val="24"/>
          <w:szCs w:val="24"/>
        </w:rPr>
        <w:t>草坪管养：包括修剪、灌溉、施肥、中耕除草、填平坑</w:t>
      </w:r>
      <w:r>
        <w:rPr>
          <w:rFonts w:ascii="宋体" w:hAnsi="宋体" w:eastAsia="宋体" w:cs="宋体"/>
          <w:spacing w:val="14"/>
          <w:sz w:val="24"/>
          <w:szCs w:val="24"/>
        </w:rPr>
        <w:t>洼裸露土地、补植、病虫害防治。</w:t>
      </w:r>
    </w:p>
    <w:p w14:paraId="2D9FFC1B">
      <w:pPr>
        <w:spacing w:before="11" w:line="341" w:lineRule="auto"/>
        <w:ind w:right="39" w:firstLine="709"/>
        <w:rPr>
          <w:rFonts w:ascii="宋体" w:hAnsi="宋体" w:eastAsia="宋体" w:cs="宋体"/>
          <w:sz w:val="24"/>
          <w:szCs w:val="24"/>
        </w:rPr>
      </w:pPr>
      <w:r>
        <w:rPr>
          <w:rFonts w:ascii="宋体" w:hAnsi="宋体" w:eastAsia="宋体" w:cs="宋体"/>
          <w:spacing w:val="16"/>
          <w:sz w:val="24"/>
          <w:szCs w:val="24"/>
        </w:rPr>
        <w:t>灌木管养：包括整形修剪、灌溉、施肥、除杂草，填平</w:t>
      </w:r>
      <w:r>
        <w:rPr>
          <w:rFonts w:ascii="宋体" w:hAnsi="宋体" w:eastAsia="宋体" w:cs="宋体"/>
          <w:spacing w:val="15"/>
          <w:sz w:val="24"/>
          <w:szCs w:val="24"/>
        </w:rPr>
        <w:t>坑洼裸露土地、改植、除干枝、病虫害防治、攀援或寄生植</w:t>
      </w:r>
      <w:r>
        <w:rPr>
          <w:rFonts w:ascii="宋体" w:hAnsi="宋体" w:eastAsia="宋体" w:cs="宋体"/>
          <w:spacing w:val="3"/>
          <w:sz w:val="24"/>
          <w:szCs w:val="24"/>
        </w:rPr>
        <w:t xml:space="preserve"> </w:t>
      </w:r>
      <w:r>
        <w:rPr>
          <w:rFonts w:ascii="宋体" w:hAnsi="宋体" w:eastAsia="宋体" w:cs="宋体"/>
          <w:spacing w:val="13"/>
          <w:sz w:val="24"/>
          <w:szCs w:val="24"/>
        </w:rPr>
        <w:t>物清理必须及时，不能影响灌木正常生长。在日常管护中，</w:t>
      </w:r>
      <w:r>
        <w:rPr>
          <w:rFonts w:ascii="宋体" w:hAnsi="宋体" w:eastAsia="宋体" w:cs="宋体"/>
          <w:spacing w:val="6"/>
          <w:sz w:val="24"/>
          <w:szCs w:val="24"/>
        </w:rPr>
        <w:t xml:space="preserve"> </w:t>
      </w:r>
      <w:r>
        <w:rPr>
          <w:rFonts w:ascii="宋体" w:hAnsi="宋体" w:eastAsia="宋体" w:cs="宋体"/>
          <w:spacing w:val="13"/>
          <w:sz w:val="24"/>
          <w:szCs w:val="24"/>
        </w:rPr>
        <w:t>缺失灌木需在春、秋两季，按实际同一品种、数量、冠幅、</w:t>
      </w:r>
      <w:r>
        <w:rPr>
          <w:rFonts w:ascii="宋体" w:hAnsi="宋体" w:eastAsia="宋体" w:cs="宋体"/>
          <w:spacing w:val="5"/>
          <w:sz w:val="24"/>
          <w:szCs w:val="24"/>
        </w:rPr>
        <w:t xml:space="preserve"> </w:t>
      </w:r>
      <w:r>
        <w:rPr>
          <w:rFonts w:ascii="宋体" w:hAnsi="宋体" w:eastAsia="宋体" w:cs="宋体"/>
          <w:spacing w:val="14"/>
          <w:sz w:val="24"/>
          <w:szCs w:val="24"/>
        </w:rPr>
        <w:t>面积由乙方负责补植完成。如不能按期补植，按政府中标价</w:t>
      </w:r>
      <w:r>
        <w:rPr>
          <w:rFonts w:ascii="宋体" w:hAnsi="宋体" w:eastAsia="宋体" w:cs="宋体"/>
          <w:sz w:val="24"/>
          <w:szCs w:val="24"/>
        </w:rPr>
        <w:t xml:space="preserve"> </w:t>
      </w:r>
      <w:r>
        <w:rPr>
          <w:rFonts w:ascii="宋体" w:hAnsi="宋体" w:eastAsia="宋体" w:cs="宋体"/>
          <w:spacing w:val="23"/>
          <w:sz w:val="24"/>
          <w:szCs w:val="24"/>
        </w:rPr>
        <w:t>(附：苗木费、机械费、人工费等)从管养经费中扣除一切</w:t>
      </w:r>
      <w:r>
        <w:rPr>
          <w:rFonts w:ascii="宋体" w:hAnsi="宋体" w:eastAsia="宋体" w:cs="宋体"/>
          <w:spacing w:val="11"/>
          <w:sz w:val="24"/>
          <w:szCs w:val="24"/>
        </w:rPr>
        <w:t>费用。甲乙双方签字认可并存档。</w:t>
      </w:r>
    </w:p>
    <w:p w14:paraId="7DCCA469">
      <w:pPr>
        <w:spacing w:before="10" w:line="331" w:lineRule="auto"/>
        <w:ind w:right="142" w:firstLine="709"/>
        <w:jc w:val="both"/>
        <w:rPr>
          <w:rFonts w:ascii="宋体" w:hAnsi="宋体" w:eastAsia="宋体" w:cs="宋体"/>
          <w:sz w:val="24"/>
          <w:szCs w:val="24"/>
        </w:rPr>
      </w:pPr>
      <w:r>
        <w:rPr>
          <w:rFonts w:ascii="宋体" w:hAnsi="宋体" w:eastAsia="宋体" w:cs="宋体"/>
          <w:spacing w:val="11"/>
          <w:sz w:val="24"/>
          <w:szCs w:val="24"/>
        </w:rPr>
        <w:t>花卉管养：包括灌溉、施肥、除杂草、补植、改植、清</w:t>
      </w:r>
      <w:r>
        <w:rPr>
          <w:rFonts w:ascii="宋体" w:hAnsi="宋体" w:eastAsia="宋体" w:cs="宋体"/>
          <w:spacing w:val="12"/>
          <w:sz w:val="24"/>
          <w:szCs w:val="24"/>
        </w:rPr>
        <w:t>除攀援或寄生植物，清理残梗残花、病虫害防治、修剪、冬季越冬储藏、覆盖。如不按甲方要求出现宿根花卉死亡，由</w:t>
      </w:r>
      <w:r>
        <w:rPr>
          <w:rFonts w:ascii="宋体" w:hAnsi="宋体" w:eastAsia="宋体" w:cs="宋体"/>
          <w:spacing w:val="10"/>
          <w:sz w:val="24"/>
          <w:szCs w:val="24"/>
        </w:rPr>
        <w:t>乙方按同品种、同数量、同面积进行如期补植完成。如不能</w:t>
      </w:r>
      <w:r>
        <w:rPr>
          <w:rFonts w:ascii="宋体" w:hAnsi="宋体" w:eastAsia="宋体" w:cs="宋体"/>
          <w:spacing w:val="12"/>
          <w:sz w:val="24"/>
          <w:szCs w:val="24"/>
        </w:rPr>
        <w:t>按期补植，按政府中标价(附：苗木费、机械费、人工费等)</w:t>
      </w:r>
      <w:r>
        <w:rPr>
          <w:rFonts w:ascii="宋体" w:hAnsi="宋体" w:eastAsia="宋体" w:cs="宋体"/>
          <w:spacing w:val="7"/>
          <w:sz w:val="24"/>
          <w:szCs w:val="24"/>
        </w:rPr>
        <w:t xml:space="preserve"> </w:t>
      </w:r>
      <w:r>
        <w:rPr>
          <w:rFonts w:ascii="宋体" w:hAnsi="宋体" w:eastAsia="宋体" w:cs="宋体"/>
          <w:spacing w:val="8"/>
          <w:sz w:val="24"/>
          <w:szCs w:val="24"/>
        </w:rPr>
        <w:t>从管养经费中扣除一切费用。甲乙双方签字认可并存档。</w:t>
      </w:r>
    </w:p>
    <w:p w14:paraId="1F7DE5CF">
      <w:pPr>
        <w:spacing w:before="3" w:line="325" w:lineRule="auto"/>
        <w:ind w:right="129" w:firstLine="749"/>
        <w:rPr>
          <w:rFonts w:ascii="宋体" w:hAnsi="宋体" w:eastAsia="宋体" w:cs="宋体"/>
          <w:sz w:val="24"/>
          <w:szCs w:val="24"/>
        </w:rPr>
      </w:pPr>
      <w:r>
        <w:rPr>
          <w:rFonts w:ascii="宋体" w:hAnsi="宋体" w:eastAsia="宋体" w:cs="宋体"/>
          <w:spacing w:val="7"/>
          <w:sz w:val="24"/>
          <w:szCs w:val="24"/>
        </w:rPr>
        <w:t>乔木管养：包括修剪、灌溉、施肥、抹芽、死</w:t>
      </w:r>
      <w:r>
        <w:rPr>
          <w:rFonts w:ascii="宋体" w:hAnsi="宋体" w:eastAsia="宋体" w:cs="宋体"/>
          <w:spacing w:val="6"/>
          <w:sz w:val="24"/>
          <w:szCs w:val="24"/>
        </w:rPr>
        <w:t>树枯枝、</w:t>
      </w:r>
      <w:r>
        <w:rPr>
          <w:rFonts w:ascii="宋体" w:hAnsi="宋体" w:eastAsia="宋体" w:cs="宋体"/>
          <w:spacing w:val="7"/>
          <w:sz w:val="24"/>
          <w:szCs w:val="24"/>
        </w:rPr>
        <w:t>断枝清理，病虫害防治、防风雪、意外事故、自然灾害。为</w:t>
      </w:r>
      <w:r>
        <w:rPr>
          <w:rFonts w:ascii="宋体" w:hAnsi="宋体" w:eastAsia="宋体" w:cs="宋体"/>
          <w:spacing w:val="6"/>
          <w:sz w:val="24"/>
          <w:szCs w:val="24"/>
        </w:rPr>
        <w:t xml:space="preserve"> </w:t>
      </w:r>
      <w:r>
        <w:rPr>
          <w:rFonts w:ascii="宋体" w:hAnsi="宋体" w:eastAsia="宋体" w:cs="宋体"/>
          <w:spacing w:val="10"/>
          <w:sz w:val="24"/>
          <w:szCs w:val="24"/>
        </w:rPr>
        <w:t>保证道路景观，在日常养护当中，由乙方养护不当，督查中发现死亡的行道树必须按品种、胸径、冠幅、同</w:t>
      </w:r>
      <w:r>
        <w:rPr>
          <w:rFonts w:ascii="宋体" w:hAnsi="宋体" w:eastAsia="宋体" w:cs="宋体"/>
          <w:spacing w:val="9"/>
          <w:sz w:val="24"/>
          <w:szCs w:val="24"/>
        </w:rPr>
        <w:t>等树木必须</w:t>
      </w:r>
      <w:r>
        <w:rPr>
          <w:rFonts w:ascii="宋体" w:hAnsi="宋体" w:eastAsia="宋体" w:cs="宋体"/>
          <w:sz w:val="24"/>
          <w:szCs w:val="24"/>
        </w:rPr>
        <w:t xml:space="preserve"> </w:t>
      </w:r>
      <w:r>
        <w:rPr>
          <w:rFonts w:ascii="宋体" w:hAnsi="宋体" w:eastAsia="宋体" w:cs="宋体"/>
          <w:spacing w:val="6"/>
          <w:sz w:val="24"/>
          <w:szCs w:val="24"/>
        </w:rPr>
        <w:t>在春秋两季完成补植。如不能按期补植，按政府中标价(附：</w:t>
      </w:r>
      <w:r>
        <w:rPr>
          <w:rFonts w:ascii="宋体" w:hAnsi="宋体" w:eastAsia="宋体" w:cs="宋体"/>
          <w:spacing w:val="16"/>
          <w:sz w:val="24"/>
          <w:szCs w:val="24"/>
        </w:rPr>
        <w:t xml:space="preserve"> </w:t>
      </w:r>
      <w:r>
        <w:rPr>
          <w:rFonts w:ascii="宋体" w:hAnsi="宋体" w:eastAsia="宋体" w:cs="宋体"/>
          <w:spacing w:val="14"/>
          <w:sz w:val="24"/>
          <w:szCs w:val="24"/>
        </w:rPr>
        <w:t>苗木费、机械费、人工费等)从管养经费中扣除一切费用。</w:t>
      </w:r>
      <w:r>
        <w:rPr>
          <w:rFonts w:ascii="宋体" w:hAnsi="宋体" w:eastAsia="宋体" w:cs="宋体"/>
          <w:spacing w:val="5"/>
          <w:sz w:val="24"/>
          <w:szCs w:val="24"/>
        </w:rPr>
        <w:t xml:space="preserve"> </w:t>
      </w:r>
      <w:r>
        <w:rPr>
          <w:rFonts w:ascii="宋体" w:hAnsi="宋体" w:eastAsia="宋体" w:cs="宋体"/>
          <w:spacing w:val="8"/>
          <w:sz w:val="24"/>
          <w:szCs w:val="24"/>
        </w:rPr>
        <w:t>甲乙双方签字认可并存档。</w:t>
      </w:r>
    </w:p>
    <w:p w14:paraId="19ACB88F">
      <w:pPr>
        <w:spacing w:before="10" w:line="331" w:lineRule="auto"/>
        <w:ind w:right="142" w:firstLine="492" w:firstLineChars="200"/>
        <w:jc w:val="both"/>
        <w:rPr>
          <w:rFonts w:ascii="宋体" w:hAnsi="宋体" w:eastAsia="宋体" w:cs="宋体"/>
          <w:spacing w:val="11"/>
          <w:sz w:val="24"/>
          <w:szCs w:val="24"/>
        </w:rPr>
      </w:pPr>
      <w:r>
        <w:rPr>
          <w:rFonts w:ascii="宋体" w:hAnsi="宋体" w:eastAsia="宋体" w:cs="宋体"/>
          <w:spacing w:val="3"/>
          <w:sz w:val="24"/>
          <w:szCs w:val="24"/>
        </w:rPr>
        <w:t>古树景观树的管养：古树景观树的管养中必须考虑树种</w:t>
      </w:r>
      <w:r>
        <w:rPr>
          <w:rFonts w:ascii="宋体" w:hAnsi="宋体" w:eastAsia="宋体" w:cs="宋体"/>
          <w:spacing w:val="11"/>
          <w:sz w:val="24"/>
          <w:szCs w:val="24"/>
        </w:rPr>
        <w:t>的特性、和景观效果。包括日常管护中修剪、灌溉、施肥、病虫害防治、外事防风雪、意故、自然灾害、创伤修复等棵棵有特色、发挥每一棵景观树在园林设计中的社会效益。</w:t>
      </w:r>
    </w:p>
    <w:p w14:paraId="50E93939">
      <w:pPr>
        <w:spacing w:before="10" w:line="331" w:lineRule="auto"/>
        <w:ind w:right="142" w:firstLine="524" w:firstLineChars="200"/>
        <w:jc w:val="both"/>
        <w:rPr>
          <w:rFonts w:ascii="宋体" w:hAnsi="宋体" w:eastAsia="宋体" w:cs="宋体"/>
          <w:spacing w:val="11"/>
          <w:sz w:val="24"/>
          <w:szCs w:val="24"/>
        </w:rPr>
      </w:pPr>
      <w:r>
        <w:rPr>
          <w:rFonts w:ascii="宋体" w:hAnsi="宋体" w:eastAsia="宋体" w:cs="宋体"/>
          <w:spacing w:val="11"/>
          <w:sz w:val="24"/>
          <w:szCs w:val="24"/>
        </w:rPr>
        <w:t>绿地卫生：包括绿地内的清洁、保洁、清运、必须做到日产日清</w:t>
      </w:r>
      <w:r>
        <w:rPr>
          <w:rFonts w:hint="eastAsia" w:ascii="宋体" w:hAnsi="宋体" w:eastAsia="宋体" w:cs="宋体"/>
          <w:spacing w:val="11"/>
          <w:sz w:val="24"/>
          <w:szCs w:val="24"/>
          <w:lang w:eastAsia="zh-CN"/>
        </w:rPr>
        <w:t>。</w:t>
      </w:r>
    </w:p>
    <w:p w14:paraId="42739CD9">
      <w:pPr>
        <w:spacing w:before="10" w:line="331" w:lineRule="auto"/>
        <w:ind w:right="142" w:firstLine="524" w:firstLineChars="200"/>
        <w:jc w:val="both"/>
        <w:rPr>
          <w:rFonts w:ascii="宋体" w:hAnsi="宋体" w:eastAsia="宋体" w:cs="宋体"/>
          <w:spacing w:val="11"/>
          <w:sz w:val="24"/>
          <w:szCs w:val="24"/>
        </w:rPr>
      </w:pPr>
      <w:r>
        <w:rPr>
          <w:rFonts w:ascii="宋体" w:hAnsi="宋体" w:eastAsia="宋体" w:cs="宋体"/>
          <w:spacing w:val="11"/>
          <w:sz w:val="24"/>
          <w:szCs w:val="24"/>
        </w:rPr>
        <w:t>园林设施：包括灌溉系统、绿化护栏、游园桌椅、石凳、园路、花坛、小品、健身器材、路档等，维护和监管。</w:t>
      </w:r>
    </w:p>
    <w:p w14:paraId="70E9395D">
      <w:pPr>
        <w:spacing w:before="10" w:line="331" w:lineRule="auto"/>
        <w:ind w:right="142" w:firstLine="524" w:firstLineChars="200"/>
        <w:jc w:val="both"/>
        <w:rPr>
          <w:rFonts w:ascii="宋体" w:hAnsi="宋体" w:eastAsia="宋体" w:cs="宋体"/>
          <w:spacing w:val="11"/>
          <w:sz w:val="24"/>
          <w:szCs w:val="24"/>
        </w:rPr>
      </w:pPr>
      <w:r>
        <w:rPr>
          <w:rFonts w:ascii="宋体" w:hAnsi="宋体" w:eastAsia="宋体" w:cs="宋体"/>
          <w:spacing w:val="11"/>
          <w:sz w:val="24"/>
          <w:szCs w:val="24"/>
        </w:rPr>
        <w:t>绿地保护：对人为开挖、</w:t>
      </w:r>
      <w:r>
        <w:rPr>
          <w:rFonts w:hint="eastAsia" w:ascii="宋体" w:hAnsi="宋体" w:eastAsia="宋体" w:cs="宋体"/>
          <w:spacing w:val="11"/>
          <w:sz w:val="24"/>
          <w:szCs w:val="24"/>
        </w:rPr>
        <w:t>水磨沟区公共绿地市场化养护</w:t>
      </w:r>
      <w:r>
        <w:rPr>
          <w:rFonts w:ascii="宋体" w:hAnsi="宋体" w:eastAsia="宋体" w:cs="宋体"/>
          <w:spacing w:val="11"/>
          <w:sz w:val="24"/>
          <w:szCs w:val="24"/>
        </w:rPr>
        <w:t>辆肇事等行为，有责任询问、阻止、上报甲方。未能及时发现，造成一切损失由乙方自行负责。</w:t>
      </w:r>
    </w:p>
    <w:p w14:paraId="45725777">
      <w:pPr>
        <w:spacing w:before="10" w:line="331" w:lineRule="auto"/>
        <w:ind w:right="142" w:firstLine="524" w:firstLineChars="200"/>
        <w:jc w:val="both"/>
        <w:rPr>
          <w:rFonts w:ascii="宋体" w:hAnsi="宋体" w:eastAsia="宋体" w:cs="宋体"/>
          <w:spacing w:val="11"/>
          <w:sz w:val="24"/>
          <w:szCs w:val="24"/>
        </w:rPr>
      </w:pPr>
      <w:r>
        <w:rPr>
          <w:rFonts w:ascii="宋体" w:hAnsi="宋体" w:eastAsia="宋体" w:cs="宋体"/>
          <w:spacing w:val="11"/>
          <w:sz w:val="24"/>
          <w:szCs w:val="24"/>
        </w:rPr>
        <w:t>绿地养护参照《乌鲁木齐市道路绿地养护管理标准》按等级分别实施养护管理。</w:t>
      </w:r>
    </w:p>
    <w:p w14:paraId="1EA95812">
      <w:pPr>
        <w:spacing w:before="1" w:line="226" w:lineRule="auto"/>
        <w:rPr>
          <w:rFonts w:hint="eastAsia" w:ascii="宋体" w:hAnsi="宋体" w:eastAsia="宋体" w:cs="宋体"/>
          <w:spacing w:val="31"/>
          <w:sz w:val="24"/>
          <w:szCs w:val="24"/>
        </w:rPr>
      </w:pPr>
    </w:p>
    <w:p w14:paraId="3607474D">
      <w:pPr>
        <w:spacing w:before="1" w:line="226" w:lineRule="auto"/>
        <w:rPr>
          <w:rFonts w:hint="eastAsia" w:ascii="宋体" w:hAnsi="宋体" w:eastAsia="宋体" w:cs="宋体"/>
          <w:spacing w:val="31"/>
          <w:sz w:val="24"/>
          <w:szCs w:val="24"/>
        </w:rPr>
      </w:pPr>
    </w:p>
    <w:p w14:paraId="1957E09D">
      <w:pPr>
        <w:spacing w:before="1" w:line="226" w:lineRule="auto"/>
        <w:rPr>
          <w:rFonts w:hint="eastAsia" w:ascii="宋体" w:hAnsi="宋体" w:eastAsia="宋体" w:cs="宋体"/>
          <w:spacing w:val="31"/>
          <w:sz w:val="24"/>
          <w:szCs w:val="24"/>
        </w:rPr>
      </w:pPr>
    </w:p>
    <w:p w14:paraId="20C8FBD3">
      <w:pPr>
        <w:spacing w:before="1" w:line="226" w:lineRule="auto"/>
        <w:rPr>
          <w:rFonts w:hint="eastAsia" w:ascii="宋体" w:hAnsi="宋体" w:eastAsia="宋体" w:cs="宋体"/>
          <w:spacing w:val="31"/>
          <w:sz w:val="24"/>
          <w:szCs w:val="24"/>
        </w:rPr>
      </w:pPr>
    </w:p>
    <w:p w14:paraId="27119104">
      <w:pPr>
        <w:spacing w:before="1" w:line="226" w:lineRule="auto"/>
        <w:rPr>
          <w:rFonts w:hint="eastAsia" w:ascii="宋体" w:hAnsi="宋体" w:eastAsia="宋体" w:cs="宋体"/>
          <w:spacing w:val="31"/>
          <w:sz w:val="24"/>
          <w:szCs w:val="24"/>
        </w:rPr>
      </w:pPr>
    </w:p>
    <w:p w14:paraId="26A4D6B3">
      <w:pPr>
        <w:spacing w:before="1" w:line="226" w:lineRule="auto"/>
        <w:rPr>
          <w:rFonts w:hint="eastAsia" w:ascii="宋体" w:hAnsi="宋体" w:eastAsia="宋体" w:cs="宋体"/>
          <w:spacing w:val="31"/>
          <w:sz w:val="24"/>
          <w:szCs w:val="24"/>
        </w:rPr>
      </w:pPr>
    </w:p>
    <w:p w14:paraId="6F244315">
      <w:pPr>
        <w:spacing w:before="1" w:line="226" w:lineRule="auto"/>
        <w:rPr>
          <w:rFonts w:hint="eastAsia" w:ascii="宋体" w:hAnsi="宋体" w:eastAsia="宋体" w:cs="宋体"/>
          <w:spacing w:val="31"/>
          <w:sz w:val="24"/>
          <w:szCs w:val="24"/>
        </w:rPr>
      </w:pPr>
    </w:p>
    <w:p w14:paraId="4A5C8EEE">
      <w:pPr>
        <w:spacing w:before="1" w:line="226" w:lineRule="auto"/>
        <w:rPr>
          <w:rFonts w:hint="eastAsia" w:ascii="宋体" w:hAnsi="宋体" w:eastAsia="宋体" w:cs="宋体"/>
          <w:sz w:val="24"/>
          <w:szCs w:val="24"/>
        </w:rPr>
      </w:pPr>
      <w:r>
        <w:rPr>
          <w:rFonts w:hint="eastAsia" w:ascii="宋体" w:hAnsi="宋体" w:eastAsia="宋体" w:cs="宋体"/>
          <w:spacing w:val="31"/>
          <w:sz w:val="24"/>
          <w:szCs w:val="24"/>
        </w:rPr>
        <w:t>(二)质量标准：</w:t>
      </w:r>
    </w:p>
    <w:p w14:paraId="3B689DF3">
      <w:pPr>
        <w:spacing w:before="104" w:line="219" w:lineRule="auto"/>
        <w:jc w:val="both"/>
        <w:rPr>
          <w:rFonts w:ascii="宋体" w:hAnsi="宋体" w:eastAsia="宋体" w:cs="宋体"/>
          <w:sz w:val="24"/>
          <w:szCs w:val="24"/>
        </w:rPr>
      </w:pPr>
      <w:r>
        <w:rPr>
          <w:rFonts w:ascii="宋体" w:hAnsi="宋体" w:eastAsia="宋体" w:cs="宋体"/>
          <w:spacing w:val="11"/>
          <w:sz w:val="24"/>
          <w:szCs w:val="24"/>
        </w:rPr>
        <w:t>1、</w:t>
      </w:r>
      <w:r>
        <w:rPr>
          <w:rFonts w:hint="eastAsia" w:ascii="宋体" w:hAnsi="宋体" w:eastAsia="宋体" w:cs="宋体"/>
          <w:spacing w:val="11"/>
          <w:sz w:val="24"/>
          <w:szCs w:val="24"/>
          <w:lang w:val="en-US" w:eastAsia="zh-CN"/>
        </w:rPr>
        <w:t>道路及游园</w:t>
      </w:r>
      <w:r>
        <w:rPr>
          <w:rFonts w:ascii="宋体" w:hAnsi="宋体" w:eastAsia="宋体" w:cs="宋体"/>
          <w:spacing w:val="11"/>
          <w:sz w:val="24"/>
          <w:szCs w:val="24"/>
        </w:rPr>
        <w:t>养护标准</w:t>
      </w:r>
    </w:p>
    <w:p w14:paraId="409299D3">
      <w:pPr>
        <w:spacing w:line="112" w:lineRule="exact"/>
        <w:rPr>
          <w:sz w:val="24"/>
          <w:szCs w:val="24"/>
        </w:rPr>
      </w:pPr>
    </w:p>
    <w:tbl>
      <w:tblPr>
        <w:tblStyle w:val="32"/>
        <w:tblW w:w="9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445"/>
        <w:gridCol w:w="1500"/>
        <w:gridCol w:w="5796"/>
      </w:tblGrid>
      <w:tr w14:paraId="13A1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202" w:type="dxa"/>
            <w:vAlign w:val="top"/>
          </w:tcPr>
          <w:p w14:paraId="290AA38B">
            <w:pPr>
              <w:pStyle w:val="39"/>
              <w:spacing w:before="95" w:line="219" w:lineRule="auto"/>
              <w:jc w:val="center"/>
              <w:rPr>
                <w:sz w:val="24"/>
                <w:szCs w:val="24"/>
              </w:rPr>
            </w:pPr>
            <w:r>
              <w:rPr>
                <w:b/>
                <w:bCs/>
                <w:spacing w:val="-5"/>
                <w:sz w:val="24"/>
                <w:szCs w:val="24"/>
              </w:rPr>
              <w:t>序号</w:t>
            </w:r>
          </w:p>
        </w:tc>
        <w:tc>
          <w:tcPr>
            <w:tcW w:w="2945" w:type="dxa"/>
            <w:gridSpan w:val="2"/>
            <w:vAlign w:val="top"/>
          </w:tcPr>
          <w:p w14:paraId="319D9AEC">
            <w:pPr>
              <w:pStyle w:val="39"/>
              <w:spacing w:before="95" w:line="219" w:lineRule="auto"/>
              <w:jc w:val="center"/>
              <w:rPr>
                <w:sz w:val="24"/>
                <w:szCs w:val="24"/>
              </w:rPr>
            </w:pPr>
            <w:r>
              <w:rPr>
                <w:b/>
                <w:bCs/>
                <w:spacing w:val="-5"/>
                <w:sz w:val="24"/>
                <w:szCs w:val="24"/>
              </w:rPr>
              <w:t>养护管理项目</w:t>
            </w:r>
          </w:p>
        </w:tc>
        <w:tc>
          <w:tcPr>
            <w:tcW w:w="5796" w:type="dxa"/>
            <w:vAlign w:val="top"/>
          </w:tcPr>
          <w:p w14:paraId="54C7C75E">
            <w:pPr>
              <w:pStyle w:val="39"/>
              <w:spacing w:before="91" w:line="219" w:lineRule="auto"/>
              <w:ind w:left="1569"/>
              <w:rPr>
                <w:sz w:val="24"/>
                <w:szCs w:val="24"/>
              </w:rPr>
            </w:pPr>
            <w:r>
              <w:rPr>
                <w:b/>
                <w:bCs/>
                <w:spacing w:val="-5"/>
                <w:sz w:val="24"/>
                <w:szCs w:val="24"/>
              </w:rPr>
              <w:t>养护管理标准</w:t>
            </w:r>
          </w:p>
        </w:tc>
      </w:tr>
      <w:tr w14:paraId="52EB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jc w:val="center"/>
        </w:trPr>
        <w:tc>
          <w:tcPr>
            <w:tcW w:w="1202" w:type="dxa"/>
            <w:vMerge w:val="restart"/>
            <w:tcBorders>
              <w:bottom w:val="nil"/>
            </w:tcBorders>
            <w:vAlign w:val="top"/>
          </w:tcPr>
          <w:p w14:paraId="23BE04AA">
            <w:pPr>
              <w:spacing w:line="244" w:lineRule="auto"/>
              <w:rPr>
                <w:rFonts w:ascii="Arial"/>
                <w:sz w:val="24"/>
                <w:szCs w:val="24"/>
              </w:rPr>
            </w:pPr>
          </w:p>
          <w:p w14:paraId="41F1225B">
            <w:pPr>
              <w:spacing w:line="245" w:lineRule="auto"/>
              <w:rPr>
                <w:rFonts w:ascii="Arial"/>
                <w:sz w:val="24"/>
                <w:szCs w:val="24"/>
              </w:rPr>
            </w:pPr>
          </w:p>
          <w:p w14:paraId="51B7D18D">
            <w:pPr>
              <w:spacing w:line="245" w:lineRule="auto"/>
              <w:rPr>
                <w:rFonts w:ascii="Arial"/>
                <w:sz w:val="24"/>
                <w:szCs w:val="24"/>
              </w:rPr>
            </w:pPr>
          </w:p>
          <w:p w14:paraId="6802E50A">
            <w:pPr>
              <w:spacing w:line="245" w:lineRule="auto"/>
              <w:rPr>
                <w:rFonts w:ascii="Arial"/>
                <w:sz w:val="24"/>
                <w:szCs w:val="24"/>
              </w:rPr>
            </w:pPr>
          </w:p>
          <w:p w14:paraId="14271B08">
            <w:pPr>
              <w:spacing w:line="245" w:lineRule="auto"/>
              <w:rPr>
                <w:rFonts w:ascii="Arial"/>
                <w:sz w:val="24"/>
                <w:szCs w:val="24"/>
              </w:rPr>
            </w:pPr>
          </w:p>
          <w:p w14:paraId="182FACD7">
            <w:pPr>
              <w:spacing w:line="245" w:lineRule="auto"/>
              <w:rPr>
                <w:rFonts w:ascii="Arial"/>
                <w:sz w:val="24"/>
                <w:szCs w:val="24"/>
              </w:rPr>
            </w:pPr>
          </w:p>
          <w:p w14:paraId="68B9BBD7">
            <w:pPr>
              <w:spacing w:line="245" w:lineRule="auto"/>
              <w:rPr>
                <w:rFonts w:ascii="Arial"/>
                <w:sz w:val="24"/>
                <w:szCs w:val="24"/>
              </w:rPr>
            </w:pPr>
          </w:p>
          <w:p w14:paraId="2C48654B">
            <w:pPr>
              <w:spacing w:line="245" w:lineRule="auto"/>
              <w:rPr>
                <w:rFonts w:ascii="Arial"/>
                <w:sz w:val="24"/>
                <w:szCs w:val="24"/>
              </w:rPr>
            </w:pPr>
          </w:p>
          <w:p w14:paraId="7C3788A8">
            <w:pPr>
              <w:spacing w:line="245" w:lineRule="auto"/>
              <w:rPr>
                <w:rFonts w:ascii="Arial"/>
                <w:sz w:val="24"/>
                <w:szCs w:val="24"/>
              </w:rPr>
            </w:pPr>
          </w:p>
          <w:p w14:paraId="176EEDBA">
            <w:pPr>
              <w:spacing w:line="245" w:lineRule="auto"/>
              <w:rPr>
                <w:rFonts w:ascii="Arial"/>
                <w:sz w:val="24"/>
                <w:szCs w:val="24"/>
              </w:rPr>
            </w:pPr>
          </w:p>
          <w:p w14:paraId="61CAAE93">
            <w:pPr>
              <w:pStyle w:val="39"/>
              <w:spacing w:before="82" w:line="241" w:lineRule="auto"/>
              <w:ind w:left="464"/>
              <w:rPr>
                <w:sz w:val="24"/>
                <w:szCs w:val="24"/>
              </w:rPr>
            </w:pPr>
            <w:r>
              <w:rPr>
                <w:sz w:val="24"/>
                <w:szCs w:val="24"/>
              </w:rPr>
              <w:t>1</w:t>
            </w:r>
          </w:p>
        </w:tc>
        <w:tc>
          <w:tcPr>
            <w:tcW w:w="1445" w:type="dxa"/>
            <w:vMerge w:val="restart"/>
            <w:tcBorders>
              <w:bottom w:val="nil"/>
            </w:tcBorders>
            <w:vAlign w:val="top"/>
          </w:tcPr>
          <w:p w14:paraId="14213A79">
            <w:pPr>
              <w:spacing w:line="242" w:lineRule="auto"/>
              <w:jc w:val="center"/>
              <w:rPr>
                <w:rFonts w:ascii="Arial"/>
                <w:sz w:val="24"/>
                <w:szCs w:val="24"/>
              </w:rPr>
            </w:pPr>
          </w:p>
          <w:p w14:paraId="78F73406">
            <w:pPr>
              <w:spacing w:line="242" w:lineRule="auto"/>
              <w:jc w:val="center"/>
              <w:rPr>
                <w:rFonts w:ascii="Arial"/>
                <w:sz w:val="24"/>
                <w:szCs w:val="24"/>
              </w:rPr>
            </w:pPr>
          </w:p>
          <w:p w14:paraId="7F8A1607">
            <w:pPr>
              <w:spacing w:line="242" w:lineRule="auto"/>
              <w:jc w:val="center"/>
              <w:rPr>
                <w:rFonts w:ascii="Arial"/>
                <w:sz w:val="24"/>
                <w:szCs w:val="24"/>
              </w:rPr>
            </w:pPr>
          </w:p>
          <w:p w14:paraId="6E0ADD13">
            <w:pPr>
              <w:spacing w:line="242" w:lineRule="auto"/>
              <w:jc w:val="center"/>
              <w:rPr>
                <w:rFonts w:ascii="Arial"/>
                <w:sz w:val="24"/>
                <w:szCs w:val="24"/>
              </w:rPr>
            </w:pPr>
          </w:p>
          <w:p w14:paraId="1D28658D">
            <w:pPr>
              <w:spacing w:line="242" w:lineRule="auto"/>
              <w:jc w:val="center"/>
              <w:rPr>
                <w:rFonts w:ascii="Arial"/>
                <w:sz w:val="24"/>
                <w:szCs w:val="24"/>
              </w:rPr>
            </w:pPr>
          </w:p>
          <w:p w14:paraId="7E3EA93C">
            <w:pPr>
              <w:spacing w:line="243" w:lineRule="auto"/>
              <w:jc w:val="center"/>
              <w:rPr>
                <w:rFonts w:ascii="Arial"/>
                <w:sz w:val="24"/>
                <w:szCs w:val="24"/>
              </w:rPr>
            </w:pPr>
          </w:p>
          <w:p w14:paraId="2F982C6B">
            <w:pPr>
              <w:spacing w:line="243" w:lineRule="auto"/>
              <w:jc w:val="center"/>
              <w:rPr>
                <w:rFonts w:ascii="Arial"/>
                <w:sz w:val="24"/>
                <w:szCs w:val="24"/>
              </w:rPr>
            </w:pPr>
          </w:p>
          <w:p w14:paraId="45B7330C">
            <w:pPr>
              <w:spacing w:line="243" w:lineRule="auto"/>
              <w:jc w:val="center"/>
              <w:rPr>
                <w:rFonts w:ascii="Arial"/>
                <w:sz w:val="24"/>
                <w:szCs w:val="24"/>
              </w:rPr>
            </w:pPr>
          </w:p>
          <w:p w14:paraId="16A9D351">
            <w:pPr>
              <w:spacing w:line="243" w:lineRule="auto"/>
              <w:jc w:val="center"/>
              <w:rPr>
                <w:rFonts w:ascii="Arial"/>
                <w:sz w:val="24"/>
                <w:szCs w:val="24"/>
              </w:rPr>
            </w:pPr>
          </w:p>
          <w:p w14:paraId="27F633F8">
            <w:pPr>
              <w:spacing w:line="243" w:lineRule="auto"/>
              <w:jc w:val="center"/>
              <w:rPr>
                <w:rFonts w:ascii="Arial"/>
                <w:sz w:val="24"/>
                <w:szCs w:val="24"/>
              </w:rPr>
            </w:pPr>
          </w:p>
          <w:p w14:paraId="2CEBE260">
            <w:pPr>
              <w:pStyle w:val="39"/>
              <w:spacing w:before="88" w:line="219" w:lineRule="auto"/>
              <w:ind w:left="70"/>
              <w:jc w:val="center"/>
              <w:rPr>
                <w:sz w:val="24"/>
                <w:szCs w:val="24"/>
              </w:rPr>
            </w:pPr>
            <w:r>
              <w:rPr>
                <w:spacing w:val="2"/>
                <w:sz w:val="24"/>
                <w:szCs w:val="24"/>
              </w:rPr>
              <w:t>乔木管理</w:t>
            </w:r>
          </w:p>
        </w:tc>
        <w:tc>
          <w:tcPr>
            <w:tcW w:w="1500" w:type="dxa"/>
            <w:vAlign w:val="top"/>
          </w:tcPr>
          <w:p w14:paraId="32E3D317">
            <w:pPr>
              <w:spacing w:line="333" w:lineRule="auto"/>
              <w:jc w:val="center"/>
              <w:rPr>
                <w:rFonts w:ascii="宋体" w:hAnsi="宋体" w:eastAsia="宋体" w:cs="宋体"/>
                <w:spacing w:val="3"/>
                <w:kern w:val="2"/>
                <w:sz w:val="24"/>
                <w:szCs w:val="24"/>
                <w:lang w:val="en-US" w:eastAsia="en-US" w:bidi="ar-SA"/>
              </w:rPr>
            </w:pPr>
          </w:p>
          <w:p w14:paraId="7E5616D7">
            <w:pPr>
              <w:spacing w:line="333" w:lineRule="auto"/>
              <w:jc w:val="center"/>
              <w:rPr>
                <w:rFonts w:ascii="宋体" w:hAnsi="宋体" w:eastAsia="宋体" w:cs="宋体"/>
                <w:spacing w:val="3"/>
                <w:kern w:val="2"/>
                <w:sz w:val="24"/>
                <w:szCs w:val="24"/>
                <w:lang w:val="en-US" w:eastAsia="en-US" w:bidi="ar-SA"/>
              </w:rPr>
            </w:pPr>
          </w:p>
          <w:p w14:paraId="1713B8AA">
            <w:pPr>
              <w:pStyle w:val="39"/>
              <w:spacing w:before="81" w:line="219" w:lineRule="auto"/>
              <w:ind w:left="63"/>
              <w:jc w:val="center"/>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生长势</w:t>
            </w:r>
          </w:p>
        </w:tc>
        <w:tc>
          <w:tcPr>
            <w:tcW w:w="5796" w:type="dxa"/>
            <w:vAlign w:val="top"/>
          </w:tcPr>
          <w:p w14:paraId="0005FDE1">
            <w:pPr>
              <w:pStyle w:val="39"/>
              <w:spacing w:before="135" w:line="256" w:lineRule="auto"/>
              <w:ind w:left="84" w:right="5" w:hanging="70"/>
              <w:rPr>
                <w:spacing w:val="-4"/>
                <w:sz w:val="24"/>
                <w:szCs w:val="24"/>
              </w:rPr>
            </w:pPr>
            <w:r>
              <w:rPr>
                <w:spacing w:val="-4"/>
                <w:sz w:val="24"/>
                <w:szCs w:val="24"/>
              </w:rPr>
              <w:t>树形符合生物形态和景观设计要求；树冠完整，生长势强，枝条粗壮，高矮一致， 叶色政策有光泽；无死树、缺株、枯死枝、 无黄叶、焦叶、卷叶；</w:t>
            </w:r>
          </w:p>
        </w:tc>
      </w:tr>
      <w:tr w14:paraId="0961A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1202" w:type="dxa"/>
            <w:vMerge w:val="continue"/>
            <w:tcBorders>
              <w:top w:val="nil"/>
              <w:bottom w:val="nil"/>
            </w:tcBorders>
            <w:vAlign w:val="top"/>
          </w:tcPr>
          <w:p w14:paraId="17849E9A">
            <w:pPr>
              <w:rPr>
                <w:rFonts w:ascii="Arial"/>
                <w:sz w:val="24"/>
                <w:szCs w:val="24"/>
              </w:rPr>
            </w:pPr>
          </w:p>
        </w:tc>
        <w:tc>
          <w:tcPr>
            <w:tcW w:w="1445" w:type="dxa"/>
            <w:vMerge w:val="continue"/>
            <w:tcBorders>
              <w:top w:val="nil"/>
              <w:bottom w:val="nil"/>
            </w:tcBorders>
            <w:vAlign w:val="top"/>
          </w:tcPr>
          <w:p w14:paraId="0B9814B4">
            <w:pPr>
              <w:jc w:val="center"/>
              <w:rPr>
                <w:rFonts w:ascii="Arial"/>
                <w:sz w:val="24"/>
                <w:szCs w:val="24"/>
              </w:rPr>
            </w:pPr>
          </w:p>
        </w:tc>
        <w:tc>
          <w:tcPr>
            <w:tcW w:w="1500" w:type="dxa"/>
            <w:vAlign w:val="top"/>
          </w:tcPr>
          <w:p w14:paraId="50A56FBC">
            <w:pPr>
              <w:spacing w:line="450" w:lineRule="auto"/>
              <w:jc w:val="center"/>
              <w:rPr>
                <w:rFonts w:ascii="宋体" w:hAnsi="宋体" w:eastAsia="宋体" w:cs="宋体"/>
                <w:spacing w:val="3"/>
                <w:kern w:val="2"/>
                <w:sz w:val="24"/>
                <w:szCs w:val="24"/>
                <w:lang w:val="en-US" w:eastAsia="en-US" w:bidi="ar-SA"/>
              </w:rPr>
            </w:pPr>
          </w:p>
          <w:p w14:paraId="6DE7EF11">
            <w:pPr>
              <w:pStyle w:val="39"/>
              <w:spacing w:before="81" w:line="219" w:lineRule="auto"/>
              <w:ind w:left="63"/>
              <w:jc w:val="center"/>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修剪</w:t>
            </w:r>
          </w:p>
        </w:tc>
        <w:tc>
          <w:tcPr>
            <w:tcW w:w="5796" w:type="dxa"/>
            <w:vAlign w:val="top"/>
          </w:tcPr>
          <w:p w14:paraId="1F99D265">
            <w:pPr>
              <w:pStyle w:val="39"/>
              <w:spacing w:before="135" w:line="256" w:lineRule="auto"/>
              <w:ind w:left="84" w:right="5" w:hanging="70"/>
              <w:rPr>
                <w:spacing w:val="-4"/>
                <w:sz w:val="24"/>
                <w:szCs w:val="24"/>
              </w:rPr>
            </w:pPr>
            <w:r>
              <w:rPr>
                <w:spacing w:val="-4"/>
                <w:sz w:val="24"/>
                <w:szCs w:val="24"/>
              </w:rPr>
              <w:t>适树适时修剪2次以上，修剪时应尽量减少伤口面，剪口较平，涂敷得当；枯、死、病虫等枝要及时剪除。</w:t>
            </w:r>
          </w:p>
        </w:tc>
      </w:tr>
      <w:tr w14:paraId="3E98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jc w:val="center"/>
        </w:trPr>
        <w:tc>
          <w:tcPr>
            <w:tcW w:w="1202" w:type="dxa"/>
            <w:vMerge w:val="continue"/>
            <w:tcBorders>
              <w:top w:val="nil"/>
            </w:tcBorders>
            <w:vAlign w:val="top"/>
          </w:tcPr>
          <w:p w14:paraId="292D0C40">
            <w:pPr>
              <w:rPr>
                <w:rFonts w:ascii="Arial"/>
                <w:sz w:val="24"/>
                <w:szCs w:val="24"/>
              </w:rPr>
            </w:pPr>
          </w:p>
        </w:tc>
        <w:tc>
          <w:tcPr>
            <w:tcW w:w="1445" w:type="dxa"/>
            <w:vMerge w:val="continue"/>
            <w:tcBorders>
              <w:top w:val="nil"/>
            </w:tcBorders>
            <w:vAlign w:val="top"/>
          </w:tcPr>
          <w:p w14:paraId="229D8FBC">
            <w:pPr>
              <w:jc w:val="center"/>
              <w:rPr>
                <w:rFonts w:ascii="Arial"/>
                <w:sz w:val="24"/>
                <w:szCs w:val="24"/>
              </w:rPr>
            </w:pPr>
          </w:p>
        </w:tc>
        <w:tc>
          <w:tcPr>
            <w:tcW w:w="1500" w:type="dxa"/>
            <w:vAlign w:val="top"/>
          </w:tcPr>
          <w:p w14:paraId="0EE0EC06">
            <w:pPr>
              <w:spacing w:line="303" w:lineRule="auto"/>
              <w:jc w:val="both"/>
              <w:rPr>
                <w:rFonts w:ascii="宋体" w:hAnsi="宋体" w:eastAsia="宋体" w:cs="宋体"/>
                <w:spacing w:val="3"/>
                <w:kern w:val="2"/>
                <w:sz w:val="24"/>
                <w:szCs w:val="24"/>
                <w:lang w:val="en-US" w:eastAsia="en-US" w:bidi="ar-SA"/>
              </w:rPr>
            </w:pPr>
          </w:p>
          <w:p w14:paraId="3BA47B5C">
            <w:pPr>
              <w:pStyle w:val="39"/>
              <w:spacing w:before="81" w:line="219" w:lineRule="auto"/>
              <w:ind w:left="63"/>
              <w:jc w:val="center"/>
              <w:rPr>
                <w:rFonts w:ascii="宋体" w:hAnsi="宋体" w:eastAsia="宋体" w:cs="宋体"/>
                <w:spacing w:val="3"/>
                <w:kern w:val="2"/>
                <w:sz w:val="24"/>
                <w:szCs w:val="24"/>
                <w:lang w:val="en-US" w:eastAsia="en-US" w:bidi="ar-SA"/>
              </w:rPr>
            </w:pPr>
          </w:p>
          <w:p w14:paraId="69E1D047">
            <w:pPr>
              <w:pStyle w:val="39"/>
              <w:spacing w:before="81" w:line="219" w:lineRule="auto"/>
              <w:ind w:left="63"/>
              <w:jc w:val="center"/>
              <w:rPr>
                <w:rFonts w:ascii="宋体" w:hAnsi="宋体" w:eastAsia="宋体" w:cs="宋体"/>
                <w:spacing w:val="3"/>
                <w:kern w:val="2"/>
                <w:sz w:val="24"/>
                <w:szCs w:val="24"/>
                <w:lang w:val="en-US" w:eastAsia="en-US" w:bidi="ar-SA"/>
              </w:rPr>
            </w:pPr>
            <w:r>
              <w:rPr>
                <w:rFonts w:ascii="宋体" w:hAnsi="宋体" w:eastAsia="宋体" w:cs="宋体"/>
                <w:spacing w:val="3"/>
                <w:kern w:val="2"/>
                <w:sz w:val="24"/>
                <w:szCs w:val="24"/>
                <w:lang w:val="en-US" w:eastAsia="en-US" w:bidi="ar-SA"/>
              </w:rPr>
              <w:t>补植</w:t>
            </w:r>
          </w:p>
        </w:tc>
        <w:tc>
          <w:tcPr>
            <w:tcW w:w="5796" w:type="dxa"/>
            <w:vAlign w:val="top"/>
          </w:tcPr>
          <w:p w14:paraId="7B548683">
            <w:pPr>
              <w:pStyle w:val="39"/>
              <w:spacing w:before="135" w:line="256" w:lineRule="auto"/>
              <w:ind w:right="5"/>
              <w:rPr>
                <w:spacing w:val="-4"/>
                <w:sz w:val="24"/>
                <w:szCs w:val="24"/>
              </w:rPr>
            </w:pPr>
            <w:r>
              <w:rPr>
                <w:spacing w:val="-4"/>
                <w:sz w:val="24"/>
                <w:szCs w:val="24"/>
              </w:rPr>
              <w:t>及时清理死树，应在当年植树季节内采用 带土球苗木按原种类，并做到规格与原来 植株接近，以保证较好的景观效果，补植成活率应达100%以上，保存率应达到98% 以上。</w:t>
            </w:r>
          </w:p>
        </w:tc>
      </w:tr>
    </w:tbl>
    <w:p w14:paraId="37C96FCB">
      <w:pPr>
        <w:spacing w:before="10" w:line="331" w:lineRule="auto"/>
        <w:ind w:right="142"/>
        <w:jc w:val="both"/>
        <w:rPr>
          <w:rFonts w:ascii="宋体" w:hAnsi="宋体" w:eastAsia="宋体" w:cs="宋体"/>
          <w:spacing w:val="11"/>
          <w:sz w:val="24"/>
          <w:szCs w:val="24"/>
        </w:rPr>
        <w:sectPr>
          <w:footerReference r:id="rId6" w:type="default"/>
          <w:pgSz w:w="11900" w:h="16840"/>
          <w:pgMar w:top="806" w:right="1785" w:bottom="954" w:left="1060" w:header="0" w:footer="819" w:gutter="0"/>
          <w:pgNumType w:fmt="decimal"/>
          <w:cols w:space="720" w:num="1"/>
        </w:sectPr>
      </w:pPr>
    </w:p>
    <w:tbl>
      <w:tblPr>
        <w:tblStyle w:val="32"/>
        <w:tblpPr w:leftFromText="180" w:rightFromText="180" w:vertAnchor="text" w:horzAnchor="page" w:tblpXSpec="center" w:tblpY="98"/>
        <w:tblOverlap w:val="never"/>
        <w:tblW w:w="96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459"/>
        <w:gridCol w:w="1472"/>
        <w:gridCol w:w="5769"/>
      </w:tblGrid>
      <w:tr w14:paraId="3665A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941" w:type="dxa"/>
            <w:vMerge w:val="restart"/>
            <w:tcBorders>
              <w:bottom w:val="nil"/>
            </w:tcBorders>
            <w:vAlign w:val="top"/>
          </w:tcPr>
          <w:p w14:paraId="70BCA068">
            <w:pPr>
              <w:rPr>
                <w:rFonts w:ascii="Arial"/>
                <w:sz w:val="24"/>
                <w:szCs w:val="24"/>
              </w:rPr>
            </w:pPr>
          </w:p>
        </w:tc>
        <w:tc>
          <w:tcPr>
            <w:tcW w:w="1459" w:type="dxa"/>
            <w:vMerge w:val="restart"/>
            <w:tcBorders>
              <w:bottom w:val="nil"/>
            </w:tcBorders>
            <w:vAlign w:val="top"/>
          </w:tcPr>
          <w:p w14:paraId="64CF0677">
            <w:pPr>
              <w:jc w:val="center"/>
              <w:rPr>
                <w:rFonts w:ascii="Arial"/>
                <w:sz w:val="24"/>
                <w:szCs w:val="24"/>
              </w:rPr>
            </w:pPr>
          </w:p>
        </w:tc>
        <w:tc>
          <w:tcPr>
            <w:tcW w:w="1472" w:type="dxa"/>
            <w:vAlign w:val="top"/>
          </w:tcPr>
          <w:p w14:paraId="010368AB">
            <w:pPr>
              <w:pStyle w:val="39"/>
              <w:spacing w:before="316" w:line="219" w:lineRule="auto"/>
              <w:ind w:left="72"/>
              <w:jc w:val="center"/>
              <w:rPr>
                <w:sz w:val="24"/>
                <w:szCs w:val="24"/>
              </w:rPr>
            </w:pPr>
            <w:r>
              <w:rPr>
                <w:spacing w:val="3"/>
                <w:sz w:val="24"/>
                <w:szCs w:val="24"/>
              </w:rPr>
              <w:t>灌溉浇水</w:t>
            </w:r>
          </w:p>
        </w:tc>
        <w:tc>
          <w:tcPr>
            <w:tcW w:w="5769" w:type="dxa"/>
            <w:vAlign w:val="top"/>
          </w:tcPr>
          <w:p w14:paraId="2CB6AE4A">
            <w:pPr>
              <w:pStyle w:val="39"/>
              <w:spacing w:before="135" w:line="256" w:lineRule="auto"/>
              <w:ind w:left="84" w:right="5" w:hanging="70"/>
              <w:rPr>
                <w:sz w:val="24"/>
                <w:szCs w:val="24"/>
              </w:rPr>
            </w:pPr>
            <w:r>
              <w:rPr>
                <w:spacing w:val="-4"/>
                <w:sz w:val="24"/>
                <w:szCs w:val="24"/>
              </w:rPr>
              <w:t>满足植物生长期水量的需要，无跑水和外</w:t>
            </w:r>
            <w:r>
              <w:rPr>
                <w:spacing w:val="-1"/>
                <w:sz w:val="24"/>
                <w:szCs w:val="24"/>
              </w:rPr>
              <w:t>溢现象，树木无旱情。</w:t>
            </w:r>
          </w:p>
        </w:tc>
      </w:tr>
      <w:tr w14:paraId="3B5ED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941" w:type="dxa"/>
            <w:vMerge w:val="continue"/>
            <w:tcBorders>
              <w:top w:val="nil"/>
            </w:tcBorders>
            <w:vAlign w:val="top"/>
          </w:tcPr>
          <w:p w14:paraId="0C0CCF51">
            <w:pPr>
              <w:rPr>
                <w:rFonts w:ascii="Arial"/>
                <w:sz w:val="24"/>
                <w:szCs w:val="24"/>
              </w:rPr>
            </w:pPr>
          </w:p>
        </w:tc>
        <w:tc>
          <w:tcPr>
            <w:tcW w:w="1459" w:type="dxa"/>
            <w:vMerge w:val="continue"/>
            <w:tcBorders>
              <w:top w:val="nil"/>
            </w:tcBorders>
            <w:vAlign w:val="top"/>
          </w:tcPr>
          <w:p w14:paraId="2F1E9FE2">
            <w:pPr>
              <w:jc w:val="center"/>
              <w:rPr>
                <w:rFonts w:ascii="Arial"/>
                <w:sz w:val="24"/>
                <w:szCs w:val="24"/>
              </w:rPr>
            </w:pPr>
          </w:p>
        </w:tc>
        <w:tc>
          <w:tcPr>
            <w:tcW w:w="1472" w:type="dxa"/>
            <w:vAlign w:val="top"/>
          </w:tcPr>
          <w:p w14:paraId="06892456">
            <w:pPr>
              <w:pStyle w:val="39"/>
              <w:spacing w:before="88" w:line="219" w:lineRule="auto"/>
              <w:jc w:val="both"/>
              <w:rPr>
                <w:spacing w:val="3"/>
                <w:sz w:val="24"/>
                <w:szCs w:val="24"/>
              </w:rPr>
            </w:pPr>
          </w:p>
          <w:p w14:paraId="1E9A8326">
            <w:pPr>
              <w:pStyle w:val="39"/>
              <w:spacing w:before="88" w:line="219" w:lineRule="auto"/>
              <w:jc w:val="center"/>
              <w:rPr>
                <w:sz w:val="24"/>
                <w:szCs w:val="24"/>
              </w:rPr>
            </w:pPr>
            <w:r>
              <w:rPr>
                <w:spacing w:val="3"/>
                <w:sz w:val="24"/>
                <w:szCs w:val="24"/>
              </w:rPr>
              <w:t>施肥标准</w:t>
            </w:r>
          </w:p>
        </w:tc>
        <w:tc>
          <w:tcPr>
            <w:tcW w:w="5769" w:type="dxa"/>
            <w:vAlign w:val="top"/>
          </w:tcPr>
          <w:p w14:paraId="08ABB0A4">
            <w:pPr>
              <w:pStyle w:val="39"/>
              <w:spacing w:before="141" w:line="273" w:lineRule="auto"/>
              <w:ind w:left="14" w:firstLine="19"/>
              <w:jc w:val="both"/>
              <w:rPr>
                <w:sz w:val="24"/>
                <w:szCs w:val="24"/>
              </w:rPr>
            </w:pPr>
            <w:r>
              <w:rPr>
                <w:spacing w:val="3"/>
                <w:sz w:val="24"/>
                <w:szCs w:val="24"/>
              </w:rPr>
              <w:t>每年施肥2次，严禁裸施，肥料要埋施；</w:t>
            </w:r>
            <w:r>
              <w:rPr>
                <w:spacing w:val="-8"/>
                <w:sz w:val="24"/>
                <w:szCs w:val="24"/>
              </w:rPr>
              <w:t>施后及时灌水、找平，树穴边线清晰，穴</w:t>
            </w:r>
            <w:r>
              <w:rPr>
                <w:spacing w:val="17"/>
                <w:sz w:val="24"/>
                <w:szCs w:val="24"/>
              </w:rPr>
              <w:t>内无杂物。</w:t>
            </w:r>
          </w:p>
        </w:tc>
      </w:tr>
      <w:tr w14:paraId="1E24F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941" w:type="dxa"/>
            <w:vMerge w:val="restart"/>
            <w:tcBorders>
              <w:bottom w:val="nil"/>
            </w:tcBorders>
            <w:vAlign w:val="top"/>
          </w:tcPr>
          <w:p w14:paraId="5757F8CD">
            <w:pPr>
              <w:spacing w:line="251" w:lineRule="auto"/>
              <w:jc w:val="center"/>
              <w:rPr>
                <w:rFonts w:ascii="Arial"/>
                <w:sz w:val="24"/>
                <w:szCs w:val="24"/>
              </w:rPr>
            </w:pPr>
          </w:p>
          <w:p w14:paraId="289A6490">
            <w:pPr>
              <w:spacing w:line="251" w:lineRule="auto"/>
              <w:jc w:val="center"/>
              <w:rPr>
                <w:rFonts w:ascii="Arial"/>
                <w:sz w:val="24"/>
                <w:szCs w:val="24"/>
              </w:rPr>
            </w:pPr>
          </w:p>
          <w:p w14:paraId="51481AD5">
            <w:pPr>
              <w:spacing w:line="251" w:lineRule="auto"/>
              <w:jc w:val="center"/>
              <w:rPr>
                <w:rFonts w:ascii="Arial"/>
                <w:sz w:val="24"/>
                <w:szCs w:val="24"/>
              </w:rPr>
            </w:pPr>
          </w:p>
          <w:p w14:paraId="65707539">
            <w:pPr>
              <w:spacing w:line="251" w:lineRule="auto"/>
              <w:jc w:val="center"/>
              <w:rPr>
                <w:rFonts w:ascii="Arial"/>
                <w:sz w:val="24"/>
                <w:szCs w:val="24"/>
              </w:rPr>
            </w:pPr>
          </w:p>
          <w:p w14:paraId="285D2835">
            <w:pPr>
              <w:spacing w:line="251" w:lineRule="auto"/>
              <w:jc w:val="center"/>
              <w:rPr>
                <w:rFonts w:ascii="Arial"/>
                <w:sz w:val="24"/>
                <w:szCs w:val="24"/>
              </w:rPr>
            </w:pPr>
          </w:p>
          <w:p w14:paraId="22C6B904">
            <w:pPr>
              <w:spacing w:line="251" w:lineRule="auto"/>
              <w:jc w:val="center"/>
              <w:rPr>
                <w:rFonts w:ascii="Arial"/>
                <w:sz w:val="24"/>
                <w:szCs w:val="24"/>
              </w:rPr>
            </w:pPr>
          </w:p>
          <w:p w14:paraId="039FCD51">
            <w:pPr>
              <w:spacing w:line="251" w:lineRule="auto"/>
              <w:jc w:val="center"/>
              <w:rPr>
                <w:rFonts w:ascii="Arial"/>
                <w:sz w:val="24"/>
                <w:szCs w:val="24"/>
              </w:rPr>
            </w:pPr>
          </w:p>
          <w:p w14:paraId="6FBC970B">
            <w:pPr>
              <w:spacing w:line="251" w:lineRule="auto"/>
              <w:jc w:val="center"/>
              <w:rPr>
                <w:rFonts w:ascii="Arial"/>
                <w:sz w:val="24"/>
                <w:szCs w:val="24"/>
              </w:rPr>
            </w:pPr>
          </w:p>
          <w:p w14:paraId="76E8D6BE">
            <w:pPr>
              <w:spacing w:line="251" w:lineRule="auto"/>
              <w:jc w:val="center"/>
              <w:rPr>
                <w:rFonts w:ascii="Arial"/>
                <w:sz w:val="24"/>
                <w:szCs w:val="24"/>
              </w:rPr>
            </w:pPr>
          </w:p>
          <w:p w14:paraId="480B9517">
            <w:pPr>
              <w:spacing w:line="251" w:lineRule="auto"/>
              <w:jc w:val="center"/>
              <w:rPr>
                <w:rFonts w:ascii="Arial"/>
                <w:sz w:val="24"/>
                <w:szCs w:val="24"/>
              </w:rPr>
            </w:pPr>
          </w:p>
          <w:p w14:paraId="7F9BA686">
            <w:pPr>
              <w:spacing w:line="251" w:lineRule="auto"/>
              <w:jc w:val="center"/>
              <w:rPr>
                <w:rFonts w:ascii="Arial"/>
                <w:sz w:val="24"/>
                <w:szCs w:val="24"/>
              </w:rPr>
            </w:pPr>
          </w:p>
          <w:p w14:paraId="12B18C22">
            <w:pPr>
              <w:spacing w:line="251" w:lineRule="auto"/>
              <w:jc w:val="center"/>
              <w:rPr>
                <w:rFonts w:ascii="Arial"/>
                <w:sz w:val="24"/>
                <w:szCs w:val="24"/>
              </w:rPr>
            </w:pPr>
          </w:p>
          <w:p w14:paraId="0A8C47F3">
            <w:pPr>
              <w:spacing w:line="251" w:lineRule="auto"/>
              <w:jc w:val="center"/>
              <w:rPr>
                <w:rFonts w:ascii="Arial"/>
                <w:sz w:val="24"/>
                <w:szCs w:val="24"/>
              </w:rPr>
            </w:pPr>
          </w:p>
          <w:p w14:paraId="1C0B00DA">
            <w:pPr>
              <w:spacing w:line="251" w:lineRule="auto"/>
              <w:jc w:val="center"/>
              <w:rPr>
                <w:rFonts w:ascii="Arial"/>
                <w:sz w:val="24"/>
                <w:szCs w:val="24"/>
              </w:rPr>
            </w:pPr>
          </w:p>
          <w:p w14:paraId="0DCEAC58">
            <w:pPr>
              <w:spacing w:line="251" w:lineRule="auto"/>
              <w:jc w:val="center"/>
              <w:rPr>
                <w:rFonts w:ascii="Arial"/>
                <w:sz w:val="24"/>
                <w:szCs w:val="24"/>
              </w:rPr>
            </w:pPr>
          </w:p>
          <w:p w14:paraId="1F52D73C">
            <w:pPr>
              <w:pStyle w:val="39"/>
              <w:spacing w:before="88" w:line="241" w:lineRule="auto"/>
              <w:jc w:val="center"/>
              <w:rPr>
                <w:sz w:val="24"/>
                <w:szCs w:val="24"/>
              </w:rPr>
            </w:pPr>
            <w:r>
              <w:rPr>
                <w:sz w:val="24"/>
                <w:szCs w:val="24"/>
              </w:rPr>
              <w:t>2</w:t>
            </w:r>
          </w:p>
        </w:tc>
        <w:tc>
          <w:tcPr>
            <w:tcW w:w="1459" w:type="dxa"/>
            <w:vMerge w:val="restart"/>
            <w:tcBorders>
              <w:bottom w:val="nil"/>
            </w:tcBorders>
            <w:vAlign w:val="top"/>
          </w:tcPr>
          <w:p w14:paraId="542CC0C7">
            <w:pPr>
              <w:spacing w:line="249" w:lineRule="auto"/>
              <w:jc w:val="center"/>
              <w:rPr>
                <w:rFonts w:ascii="Arial"/>
                <w:sz w:val="24"/>
                <w:szCs w:val="24"/>
              </w:rPr>
            </w:pPr>
          </w:p>
          <w:p w14:paraId="572C670E">
            <w:pPr>
              <w:spacing w:line="249" w:lineRule="auto"/>
              <w:jc w:val="center"/>
              <w:rPr>
                <w:rFonts w:ascii="Arial"/>
                <w:sz w:val="24"/>
                <w:szCs w:val="24"/>
              </w:rPr>
            </w:pPr>
          </w:p>
          <w:p w14:paraId="22BD185A">
            <w:pPr>
              <w:spacing w:line="249" w:lineRule="auto"/>
              <w:jc w:val="center"/>
              <w:rPr>
                <w:rFonts w:ascii="Arial"/>
                <w:sz w:val="24"/>
                <w:szCs w:val="24"/>
              </w:rPr>
            </w:pPr>
          </w:p>
          <w:p w14:paraId="762D6DB7">
            <w:pPr>
              <w:spacing w:line="249" w:lineRule="auto"/>
              <w:jc w:val="center"/>
              <w:rPr>
                <w:rFonts w:ascii="Arial"/>
                <w:sz w:val="24"/>
                <w:szCs w:val="24"/>
              </w:rPr>
            </w:pPr>
          </w:p>
          <w:p w14:paraId="6FAD1967">
            <w:pPr>
              <w:spacing w:line="249" w:lineRule="auto"/>
              <w:jc w:val="center"/>
              <w:rPr>
                <w:rFonts w:ascii="Arial"/>
                <w:sz w:val="24"/>
                <w:szCs w:val="24"/>
              </w:rPr>
            </w:pPr>
          </w:p>
          <w:p w14:paraId="54F87A46">
            <w:pPr>
              <w:spacing w:line="249" w:lineRule="auto"/>
              <w:jc w:val="center"/>
              <w:rPr>
                <w:rFonts w:ascii="Arial"/>
                <w:sz w:val="24"/>
                <w:szCs w:val="24"/>
              </w:rPr>
            </w:pPr>
          </w:p>
          <w:p w14:paraId="174414D5">
            <w:pPr>
              <w:spacing w:line="249" w:lineRule="auto"/>
              <w:jc w:val="center"/>
              <w:rPr>
                <w:rFonts w:ascii="Arial"/>
                <w:sz w:val="24"/>
                <w:szCs w:val="24"/>
              </w:rPr>
            </w:pPr>
          </w:p>
          <w:p w14:paraId="7B78FBB2">
            <w:pPr>
              <w:spacing w:line="249" w:lineRule="auto"/>
              <w:jc w:val="center"/>
              <w:rPr>
                <w:rFonts w:ascii="Arial"/>
                <w:sz w:val="24"/>
                <w:szCs w:val="24"/>
              </w:rPr>
            </w:pPr>
          </w:p>
          <w:p w14:paraId="74521C50">
            <w:pPr>
              <w:spacing w:line="249" w:lineRule="auto"/>
              <w:jc w:val="center"/>
              <w:rPr>
                <w:rFonts w:ascii="Arial"/>
                <w:sz w:val="24"/>
                <w:szCs w:val="24"/>
              </w:rPr>
            </w:pPr>
          </w:p>
          <w:p w14:paraId="029EB9F6">
            <w:pPr>
              <w:spacing w:line="249" w:lineRule="auto"/>
              <w:jc w:val="center"/>
              <w:rPr>
                <w:rFonts w:ascii="Arial"/>
                <w:sz w:val="24"/>
                <w:szCs w:val="24"/>
              </w:rPr>
            </w:pPr>
          </w:p>
          <w:p w14:paraId="62344A97">
            <w:pPr>
              <w:spacing w:line="250" w:lineRule="auto"/>
              <w:jc w:val="center"/>
              <w:rPr>
                <w:rFonts w:ascii="Arial"/>
                <w:sz w:val="24"/>
                <w:szCs w:val="24"/>
              </w:rPr>
            </w:pPr>
          </w:p>
          <w:p w14:paraId="6DAED581">
            <w:pPr>
              <w:spacing w:line="250" w:lineRule="auto"/>
              <w:jc w:val="center"/>
              <w:rPr>
                <w:rFonts w:ascii="Arial"/>
                <w:sz w:val="24"/>
                <w:szCs w:val="24"/>
              </w:rPr>
            </w:pPr>
          </w:p>
          <w:p w14:paraId="7AAB455B">
            <w:pPr>
              <w:spacing w:line="250" w:lineRule="auto"/>
              <w:jc w:val="center"/>
              <w:rPr>
                <w:rFonts w:ascii="Arial"/>
                <w:sz w:val="24"/>
                <w:szCs w:val="24"/>
              </w:rPr>
            </w:pPr>
          </w:p>
          <w:p w14:paraId="09180C3E">
            <w:pPr>
              <w:spacing w:line="250" w:lineRule="auto"/>
              <w:jc w:val="center"/>
              <w:rPr>
                <w:rFonts w:ascii="Arial"/>
                <w:sz w:val="24"/>
                <w:szCs w:val="24"/>
              </w:rPr>
            </w:pPr>
          </w:p>
          <w:p w14:paraId="27E10658">
            <w:pPr>
              <w:spacing w:line="250" w:lineRule="auto"/>
              <w:jc w:val="center"/>
              <w:rPr>
                <w:rFonts w:ascii="Arial"/>
                <w:sz w:val="24"/>
                <w:szCs w:val="24"/>
              </w:rPr>
            </w:pPr>
          </w:p>
          <w:p w14:paraId="5D8D3599">
            <w:pPr>
              <w:pStyle w:val="39"/>
              <w:spacing w:before="88" w:line="219" w:lineRule="auto"/>
              <w:jc w:val="center"/>
              <w:rPr>
                <w:sz w:val="24"/>
                <w:szCs w:val="24"/>
              </w:rPr>
            </w:pPr>
            <w:r>
              <w:rPr>
                <w:spacing w:val="2"/>
                <w:sz w:val="24"/>
                <w:szCs w:val="24"/>
              </w:rPr>
              <w:t>灌木管理</w:t>
            </w:r>
          </w:p>
        </w:tc>
        <w:tc>
          <w:tcPr>
            <w:tcW w:w="1472" w:type="dxa"/>
            <w:vAlign w:val="top"/>
          </w:tcPr>
          <w:p w14:paraId="336D7DB3">
            <w:pPr>
              <w:spacing w:line="340" w:lineRule="auto"/>
              <w:jc w:val="center"/>
              <w:rPr>
                <w:rFonts w:ascii="Arial"/>
                <w:sz w:val="24"/>
                <w:szCs w:val="24"/>
              </w:rPr>
            </w:pPr>
          </w:p>
          <w:p w14:paraId="08E84145">
            <w:pPr>
              <w:spacing w:line="341" w:lineRule="auto"/>
              <w:jc w:val="center"/>
              <w:rPr>
                <w:rFonts w:ascii="Arial"/>
                <w:sz w:val="24"/>
                <w:szCs w:val="24"/>
              </w:rPr>
            </w:pPr>
          </w:p>
          <w:p w14:paraId="2E75591C">
            <w:pPr>
              <w:pStyle w:val="39"/>
              <w:spacing w:before="88" w:line="219" w:lineRule="auto"/>
              <w:ind w:left="72"/>
              <w:jc w:val="center"/>
              <w:rPr>
                <w:sz w:val="24"/>
                <w:szCs w:val="24"/>
              </w:rPr>
            </w:pPr>
            <w:r>
              <w:rPr>
                <w:spacing w:val="7"/>
                <w:sz w:val="24"/>
                <w:szCs w:val="24"/>
              </w:rPr>
              <w:t>生长势</w:t>
            </w:r>
          </w:p>
        </w:tc>
        <w:tc>
          <w:tcPr>
            <w:tcW w:w="5769" w:type="dxa"/>
            <w:vAlign w:val="top"/>
          </w:tcPr>
          <w:p w14:paraId="234A4B76">
            <w:pPr>
              <w:pStyle w:val="39"/>
              <w:spacing w:before="145" w:line="281" w:lineRule="auto"/>
              <w:ind w:left="14"/>
              <w:jc w:val="both"/>
              <w:rPr>
                <w:sz w:val="24"/>
                <w:szCs w:val="24"/>
              </w:rPr>
            </w:pPr>
            <w:r>
              <w:rPr>
                <w:spacing w:val="-10"/>
                <w:sz w:val="24"/>
                <w:szCs w:val="24"/>
              </w:rPr>
              <w:t>生长势强，枝壮叶茂，开花及时，叶色正</w:t>
            </w:r>
            <w:r>
              <w:rPr>
                <w:spacing w:val="-18"/>
                <w:sz w:val="24"/>
                <w:szCs w:val="24"/>
              </w:rPr>
              <w:t>常有光泽；无缺株、死株、无黄叶、焦叶、</w:t>
            </w:r>
            <w:r>
              <w:rPr>
                <w:spacing w:val="13"/>
                <w:sz w:val="24"/>
                <w:szCs w:val="24"/>
              </w:rPr>
              <w:t xml:space="preserve"> </w:t>
            </w:r>
            <w:r>
              <w:rPr>
                <w:spacing w:val="-10"/>
                <w:sz w:val="24"/>
                <w:szCs w:val="24"/>
              </w:rPr>
              <w:t>卷叶、枯萎叶，生长季节不落叶；绿篱修</w:t>
            </w:r>
            <w:r>
              <w:rPr>
                <w:sz w:val="24"/>
                <w:szCs w:val="24"/>
              </w:rPr>
              <w:t xml:space="preserve">  剪及时，无明显断垄现象。</w:t>
            </w:r>
          </w:p>
        </w:tc>
      </w:tr>
      <w:tr w14:paraId="5FD7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941" w:type="dxa"/>
            <w:vMerge w:val="continue"/>
            <w:tcBorders>
              <w:top w:val="nil"/>
              <w:bottom w:val="nil"/>
            </w:tcBorders>
            <w:vAlign w:val="top"/>
          </w:tcPr>
          <w:p w14:paraId="432001EF">
            <w:pPr>
              <w:rPr>
                <w:rFonts w:ascii="Arial"/>
                <w:sz w:val="24"/>
                <w:szCs w:val="24"/>
              </w:rPr>
            </w:pPr>
          </w:p>
        </w:tc>
        <w:tc>
          <w:tcPr>
            <w:tcW w:w="1459" w:type="dxa"/>
            <w:vMerge w:val="continue"/>
            <w:tcBorders>
              <w:top w:val="nil"/>
              <w:bottom w:val="nil"/>
            </w:tcBorders>
            <w:vAlign w:val="top"/>
          </w:tcPr>
          <w:p w14:paraId="40B63382">
            <w:pPr>
              <w:jc w:val="center"/>
              <w:rPr>
                <w:rFonts w:ascii="Arial"/>
                <w:sz w:val="24"/>
                <w:szCs w:val="24"/>
              </w:rPr>
            </w:pPr>
          </w:p>
        </w:tc>
        <w:tc>
          <w:tcPr>
            <w:tcW w:w="1472" w:type="dxa"/>
            <w:vAlign w:val="top"/>
          </w:tcPr>
          <w:p w14:paraId="3244946A">
            <w:pPr>
              <w:spacing w:line="293" w:lineRule="auto"/>
              <w:jc w:val="center"/>
              <w:rPr>
                <w:rFonts w:ascii="Arial"/>
                <w:sz w:val="24"/>
                <w:szCs w:val="24"/>
              </w:rPr>
            </w:pPr>
          </w:p>
          <w:p w14:paraId="1DEB7D13">
            <w:pPr>
              <w:spacing w:line="294" w:lineRule="auto"/>
              <w:jc w:val="center"/>
              <w:rPr>
                <w:rFonts w:ascii="Arial"/>
                <w:sz w:val="24"/>
                <w:szCs w:val="24"/>
              </w:rPr>
            </w:pPr>
          </w:p>
          <w:p w14:paraId="443E1A43">
            <w:pPr>
              <w:spacing w:line="294" w:lineRule="auto"/>
              <w:jc w:val="center"/>
              <w:rPr>
                <w:rFonts w:ascii="Arial"/>
                <w:sz w:val="24"/>
                <w:szCs w:val="24"/>
              </w:rPr>
            </w:pPr>
          </w:p>
          <w:p w14:paraId="6EAA440F">
            <w:pPr>
              <w:pStyle w:val="39"/>
              <w:spacing w:before="87" w:line="219" w:lineRule="auto"/>
              <w:ind w:left="72"/>
              <w:jc w:val="center"/>
              <w:rPr>
                <w:sz w:val="24"/>
                <w:szCs w:val="24"/>
              </w:rPr>
            </w:pPr>
            <w:r>
              <w:rPr>
                <w:spacing w:val="6"/>
                <w:sz w:val="24"/>
                <w:szCs w:val="24"/>
              </w:rPr>
              <w:t>修剪</w:t>
            </w:r>
          </w:p>
        </w:tc>
        <w:tc>
          <w:tcPr>
            <w:tcW w:w="5769" w:type="dxa"/>
            <w:vAlign w:val="top"/>
          </w:tcPr>
          <w:p w14:paraId="42276737">
            <w:pPr>
              <w:pStyle w:val="39"/>
              <w:spacing w:before="136" w:line="282" w:lineRule="auto"/>
              <w:ind w:left="14" w:right="11" w:firstLine="90"/>
              <w:jc w:val="both"/>
              <w:rPr>
                <w:sz w:val="24"/>
                <w:szCs w:val="24"/>
              </w:rPr>
            </w:pPr>
            <w:r>
              <w:rPr>
                <w:spacing w:val="3"/>
                <w:sz w:val="24"/>
                <w:szCs w:val="24"/>
              </w:rPr>
              <w:t>应根据各类(观叶、观花、观果、造型)</w:t>
            </w:r>
            <w:r>
              <w:rPr>
                <w:spacing w:val="4"/>
                <w:sz w:val="24"/>
                <w:szCs w:val="24"/>
              </w:rPr>
              <w:t xml:space="preserve"> </w:t>
            </w:r>
            <w:r>
              <w:rPr>
                <w:spacing w:val="-4"/>
                <w:sz w:val="24"/>
                <w:szCs w:val="24"/>
              </w:rPr>
              <w:t>灌木的不同生长发育习性和特点，采用适</w:t>
            </w:r>
            <w:r>
              <w:rPr>
                <w:spacing w:val="1"/>
                <w:sz w:val="24"/>
                <w:szCs w:val="24"/>
              </w:rPr>
              <w:t xml:space="preserve"> </w:t>
            </w:r>
            <w:r>
              <w:rPr>
                <w:spacing w:val="-4"/>
                <w:sz w:val="24"/>
                <w:szCs w:val="24"/>
              </w:rPr>
              <w:t>地适树的修剪方法，合理的进行修剪。适</w:t>
            </w:r>
            <w:r>
              <w:rPr>
                <w:spacing w:val="1"/>
                <w:sz w:val="24"/>
                <w:szCs w:val="24"/>
              </w:rPr>
              <w:t>度修剪不少于7-9次，影响树势、树形的</w:t>
            </w:r>
            <w:r>
              <w:rPr>
                <w:spacing w:val="20"/>
                <w:sz w:val="24"/>
                <w:szCs w:val="24"/>
              </w:rPr>
              <w:t>枝条修剪率98%以上；</w:t>
            </w:r>
          </w:p>
        </w:tc>
      </w:tr>
      <w:tr w14:paraId="4409E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941" w:type="dxa"/>
            <w:vMerge w:val="continue"/>
            <w:tcBorders>
              <w:top w:val="nil"/>
              <w:bottom w:val="nil"/>
            </w:tcBorders>
            <w:vAlign w:val="top"/>
          </w:tcPr>
          <w:p w14:paraId="11F87CD4">
            <w:pPr>
              <w:rPr>
                <w:rFonts w:ascii="Arial"/>
                <w:sz w:val="24"/>
                <w:szCs w:val="24"/>
              </w:rPr>
            </w:pPr>
          </w:p>
        </w:tc>
        <w:tc>
          <w:tcPr>
            <w:tcW w:w="1459" w:type="dxa"/>
            <w:vMerge w:val="continue"/>
            <w:tcBorders>
              <w:top w:val="nil"/>
              <w:bottom w:val="nil"/>
            </w:tcBorders>
            <w:vAlign w:val="top"/>
          </w:tcPr>
          <w:p w14:paraId="3EFDFC19">
            <w:pPr>
              <w:jc w:val="center"/>
              <w:rPr>
                <w:rFonts w:ascii="Arial"/>
                <w:sz w:val="24"/>
                <w:szCs w:val="24"/>
              </w:rPr>
            </w:pPr>
          </w:p>
        </w:tc>
        <w:tc>
          <w:tcPr>
            <w:tcW w:w="1472" w:type="dxa"/>
            <w:vAlign w:val="top"/>
          </w:tcPr>
          <w:p w14:paraId="1DE6B19F">
            <w:pPr>
              <w:spacing w:line="297" w:lineRule="auto"/>
              <w:jc w:val="center"/>
              <w:rPr>
                <w:rFonts w:ascii="Arial"/>
                <w:sz w:val="24"/>
                <w:szCs w:val="24"/>
              </w:rPr>
            </w:pPr>
          </w:p>
          <w:p w14:paraId="5ADCFA74">
            <w:pPr>
              <w:spacing w:line="297" w:lineRule="auto"/>
              <w:jc w:val="center"/>
              <w:rPr>
                <w:rFonts w:ascii="Arial"/>
                <w:sz w:val="24"/>
                <w:szCs w:val="24"/>
              </w:rPr>
            </w:pPr>
          </w:p>
          <w:p w14:paraId="259DFB84">
            <w:pPr>
              <w:spacing w:line="297" w:lineRule="auto"/>
              <w:jc w:val="center"/>
              <w:rPr>
                <w:rFonts w:ascii="Arial"/>
                <w:sz w:val="24"/>
                <w:szCs w:val="24"/>
              </w:rPr>
            </w:pPr>
          </w:p>
          <w:p w14:paraId="02DF0CC3">
            <w:pPr>
              <w:pStyle w:val="39"/>
              <w:spacing w:before="88" w:line="219" w:lineRule="auto"/>
              <w:ind w:left="72"/>
              <w:jc w:val="center"/>
              <w:rPr>
                <w:sz w:val="24"/>
                <w:szCs w:val="24"/>
              </w:rPr>
            </w:pPr>
            <w:r>
              <w:rPr>
                <w:spacing w:val="5"/>
                <w:sz w:val="24"/>
                <w:szCs w:val="24"/>
              </w:rPr>
              <w:t>补植</w:t>
            </w:r>
          </w:p>
        </w:tc>
        <w:tc>
          <w:tcPr>
            <w:tcW w:w="5769" w:type="dxa"/>
            <w:vAlign w:val="top"/>
          </w:tcPr>
          <w:p w14:paraId="3302EAF9">
            <w:pPr>
              <w:pStyle w:val="39"/>
              <w:spacing w:before="131" w:line="284" w:lineRule="auto"/>
              <w:ind w:left="14"/>
              <w:jc w:val="both"/>
              <w:rPr>
                <w:sz w:val="24"/>
                <w:szCs w:val="24"/>
              </w:rPr>
            </w:pPr>
            <w:r>
              <w:rPr>
                <w:spacing w:val="-4"/>
                <w:sz w:val="24"/>
                <w:szCs w:val="24"/>
              </w:rPr>
              <w:t>及时清理死树，应在当年植树季节内采用</w:t>
            </w:r>
            <w:r>
              <w:rPr>
                <w:spacing w:val="-5"/>
                <w:sz w:val="24"/>
                <w:szCs w:val="24"/>
              </w:rPr>
              <w:t>带土球苗木按原种类，并做到规格与原来</w:t>
            </w:r>
            <w:r>
              <w:rPr>
                <w:spacing w:val="10"/>
                <w:sz w:val="24"/>
                <w:szCs w:val="24"/>
              </w:rPr>
              <w:t xml:space="preserve"> </w:t>
            </w:r>
            <w:r>
              <w:rPr>
                <w:spacing w:val="-5"/>
                <w:sz w:val="24"/>
                <w:szCs w:val="24"/>
              </w:rPr>
              <w:t>植株接近，以保证较好的景观效果，补植</w:t>
            </w:r>
            <w:r>
              <w:rPr>
                <w:spacing w:val="-1"/>
                <w:sz w:val="24"/>
                <w:szCs w:val="24"/>
              </w:rPr>
              <w:t>成活率应达100%以上，保存率应达到98%</w:t>
            </w:r>
            <w:r>
              <w:rPr>
                <w:spacing w:val="27"/>
                <w:sz w:val="24"/>
                <w:szCs w:val="24"/>
              </w:rPr>
              <w:t>以上。</w:t>
            </w:r>
          </w:p>
        </w:tc>
      </w:tr>
      <w:tr w14:paraId="1FF6B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941" w:type="dxa"/>
            <w:vMerge w:val="continue"/>
            <w:tcBorders>
              <w:top w:val="nil"/>
              <w:bottom w:val="nil"/>
            </w:tcBorders>
            <w:vAlign w:val="top"/>
          </w:tcPr>
          <w:p w14:paraId="71589664">
            <w:pPr>
              <w:rPr>
                <w:rFonts w:ascii="Arial"/>
                <w:sz w:val="24"/>
                <w:szCs w:val="24"/>
              </w:rPr>
            </w:pPr>
          </w:p>
        </w:tc>
        <w:tc>
          <w:tcPr>
            <w:tcW w:w="1459" w:type="dxa"/>
            <w:vMerge w:val="continue"/>
            <w:tcBorders>
              <w:top w:val="nil"/>
              <w:bottom w:val="nil"/>
            </w:tcBorders>
            <w:vAlign w:val="top"/>
          </w:tcPr>
          <w:p w14:paraId="0D68442D">
            <w:pPr>
              <w:jc w:val="center"/>
              <w:rPr>
                <w:rFonts w:ascii="Arial"/>
                <w:sz w:val="24"/>
                <w:szCs w:val="24"/>
              </w:rPr>
            </w:pPr>
          </w:p>
        </w:tc>
        <w:tc>
          <w:tcPr>
            <w:tcW w:w="1472" w:type="dxa"/>
            <w:vAlign w:val="top"/>
          </w:tcPr>
          <w:p w14:paraId="32EF74CD">
            <w:pPr>
              <w:spacing w:line="446" w:lineRule="auto"/>
              <w:jc w:val="center"/>
              <w:rPr>
                <w:rFonts w:ascii="Arial"/>
                <w:sz w:val="24"/>
                <w:szCs w:val="24"/>
              </w:rPr>
            </w:pPr>
          </w:p>
          <w:p w14:paraId="244FF89B">
            <w:pPr>
              <w:pStyle w:val="39"/>
              <w:spacing w:before="88" w:line="219" w:lineRule="auto"/>
              <w:ind w:left="72"/>
              <w:jc w:val="center"/>
              <w:rPr>
                <w:sz w:val="24"/>
                <w:szCs w:val="24"/>
              </w:rPr>
            </w:pPr>
            <w:r>
              <w:rPr>
                <w:spacing w:val="3"/>
                <w:sz w:val="24"/>
                <w:szCs w:val="24"/>
              </w:rPr>
              <w:t>灌溉浇水</w:t>
            </w:r>
          </w:p>
        </w:tc>
        <w:tc>
          <w:tcPr>
            <w:tcW w:w="5769" w:type="dxa"/>
            <w:vAlign w:val="top"/>
          </w:tcPr>
          <w:p w14:paraId="42A52E7C">
            <w:pPr>
              <w:pStyle w:val="39"/>
              <w:spacing w:before="146" w:line="265" w:lineRule="auto"/>
              <w:ind w:left="14"/>
              <w:jc w:val="both"/>
              <w:rPr>
                <w:sz w:val="24"/>
                <w:szCs w:val="24"/>
              </w:rPr>
            </w:pPr>
            <w:r>
              <w:rPr>
                <w:spacing w:val="-4"/>
                <w:sz w:val="24"/>
                <w:szCs w:val="24"/>
              </w:rPr>
              <w:t>根据土壤质地进行适时灌溉，充分满足生长期水量的需要，灌溉时，无明显跑水和</w:t>
            </w:r>
            <w:r>
              <w:rPr>
                <w:spacing w:val="19"/>
                <w:sz w:val="24"/>
                <w:szCs w:val="24"/>
              </w:rPr>
              <w:t>外溢现象。</w:t>
            </w:r>
          </w:p>
        </w:tc>
      </w:tr>
      <w:tr w14:paraId="09AA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941" w:type="dxa"/>
            <w:vMerge w:val="continue"/>
            <w:tcBorders>
              <w:top w:val="nil"/>
              <w:bottom w:val="single" w:color="auto" w:sz="4" w:space="0"/>
            </w:tcBorders>
            <w:vAlign w:val="top"/>
          </w:tcPr>
          <w:p w14:paraId="6DA43691">
            <w:pPr>
              <w:rPr>
                <w:rFonts w:ascii="Arial"/>
                <w:sz w:val="24"/>
                <w:szCs w:val="24"/>
              </w:rPr>
            </w:pPr>
          </w:p>
        </w:tc>
        <w:tc>
          <w:tcPr>
            <w:tcW w:w="1459" w:type="dxa"/>
            <w:vMerge w:val="continue"/>
            <w:tcBorders>
              <w:top w:val="nil"/>
              <w:bottom w:val="single" w:color="auto" w:sz="4" w:space="0"/>
            </w:tcBorders>
            <w:vAlign w:val="top"/>
          </w:tcPr>
          <w:p w14:paraId="49A5B43A">
            <w:pPr>
              <w:jc w:val="center"/>
              <w:rPr>
                <w:rFonts w:ascii="Arial"/>
                <w:sz w:val="24"/>
                <w:szCs w:val="24"/>
              </w:rPr>
            </w:pPr>
          </w:p>
        </w:tc>
        <w:tc>
          <w:tcPr>
            <w:tcW w:w="1472" w:type="dxa"/>
            <w:tcBorders>
              <w:bottom w:val="single" w:color="auto" w:sz="4" w:space="0"/>
            </w:tcBorders>
            <w:vAlign w:val="top"/>
          </w:tcPr>
          <w:p w14:paraId="47C95E67">
            <w:pPr>
              <w:pStyle w:val="39"/>
              <w:spacing w:before="306" w:line="219" w:lineRule="auto"/>
              <w:jc w:val="center"/>
              <w:rPr>
                <w:sz w:val="24"/>
                <w:szCs w:val="24"/>
              </w:rPr>
            </w:pPr>
            <w:r>
              <w:rPr>
                <w:spacing w:val="3"/>
                <w:sz w:val="24"/>
                <w:szCs w:val="24"/>
              </w:rPr>
              <w:t>施肥标准</w:t>
            </w:r>
          </w:p>
        </w:tc>
        <w:tc>
          <w:tcPr>
            <w:tcW w:w="5769" w:type="dxa"/>
            <w:tcBorders>
              <w:bottom w:val="single" w:color="auto" w:sz="4" w:space="0"/>
            </w:tcBorders>
            <w:vAlign w:val="top"/>
          </w:tcPr>
          <w:p w14:paraId="38BEAE3B">
            <w:pPr>
              <w:pStyle w:val="39"/>
              <w:spacing w:before="148" w:line="243" w:lineRule="auto"/>
              <w:ind w:left="94" w:right="25" w:hanging="60"/>
              <w:rPr>
                <w:sz w:val="24"/>
                <w:szCs w:val="24"/>
              </w:rPr>
            </w:pPr>
            <w:r>
              <w:rPr>
                <w:spacing w:val="1"/>
                <w:sz w:val="24"/>
                <w:szCs w:val="24"/>
              </w:rPr>
              <w:t>每年施肥2次以上，树穴边线清晰，</w:t>
            </w:r>
            <w:r>
              <w:rPr>
                <w:rFonts w:ascii="宋体" w:hAnsi="宋体" w:eastAsia="宋体" w:cs="宋体"/>
                <w:spacing w:val="-4"/>
                <w:sz w:val="24"/>
                <w:szCs w:val="24"/>
              </w:rPr>
              <w:t>穴内无杂物 ；</w:t>
            </w:r>
          </w:p>
        </w:tc>
      </w:tr>
      <w:tr w14:paraId="55478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941" w:type="dxa"/>
            <w:vMerge w:val="restart"/>
            <w:tcBorders>
              <w:top w:val="single" w:color="auto" w:sz="4" w:space="0"/>
              <w:left w:val="single" w:color="auto" w:sz="4" w:space="0"/>
              <w:bottom w:val="single" w:color="auto" w:sz="4" w:space="0"/>
              <w:right w:val="single" w:color="auto" w:sz="4" w:space="0"/>
            </w:tcBorders>
            <w:vAlign w:val="top"/>
          </w:tcPr>
          <w:p w14:paraId="0A3360AC">
            <w:pPr>
              <w:spacing w:line="249" w:lineRule="auto"/>
              <w:rPr>
                <w:rFonts w:ascii="Arial"/>
                <w:sz w:val="24"/>
                <w:szCs w:val="24"/>
              </w:rPr>
            </w:pPr>
          </w:p>
          <w:p w14:paraId="128B3D89">
            <w:pPr>
              <w:spacing w:line="249" w:lineRule="auto"/>
              <w:rPr>
                <w:rFonts w:ascii="Arial"/>
                <w:sz w:val="24"/>
                <w:szCs w:val="24"/>
              </w:rPr>
            </w:pPr>
          </w:p>
          <w:p w14:paraId="362F7857">
            <w:pPr>
              <w:spacing w:line="249" w:lineRule="auto"/>
              <w:rPr>
                <w:rFonts w:ascii="Arial"/>
                <w:sz w:val="24"/>
                <w:szCs w:val="24"/>
              </w:rPr>
            </w:pPr>
          </w:p>
          <w:p w14:paraId="268A89DB">
            <w:pPr>
              <w:spacing w:line="249" w:lineRule="auto"/>
              <w:rPr>
                <w:rFonts w:ascii="Arial"/>
                <w:sz w:val="24"/>
                <w:szCs w:val="24"/>
              </w:rPr>
            </w:pPr>
          </w:p>
          <w:p w14:paraId="30F743D9">
            <w:pPr>
              <w:spacing w:line="249" w:lineRule="auto"/>
              <w:rPr>
                <w:rFonts w:ascii="Arial"/>
                <w:sz w:val="24"/>
                <w:szCs w:val="24"/>
              </w:rPr>
            </w:pPr>
          </w:p>
          <w:p w14:paraId="6E9F0CF5">
            <w:pPr>
              <w:spacing w:line="250" w:lineRule="auto"/>
              <w:rPr>
                <w:rFonts w:ascii="Arial"/>
                <w:sz w:val="24"/>
                <w:szCs w:val="24"/>
              </w:rPr>
            </w:pPr>
          </w:p>
          <w:p w14:paraId="32C6A469">
            <w:pPr>
              <w:spacing w:line="250" w:lineRule="auto"/>
              <w:rPr>
                <w:rFonts w:ascii="Arial"/>
                <w:sz w:val="24"/>
                <w:szCs w:val="24"/>
              </w:rPr>
            </w:pPr>
          </w:p>
          <w:p w14:paraId="159497D8">
            <w:pPr>
              <w:spacing w:line="250" w:lineRule="auto"/>
              <w:rPr>
                <w:rFonts w:ascii="Arial"/>
                <w:sz w:val="24"/>
                <w:szCs w:val="24"/>
              </w:rPr>
            </w:pPr>
          </w:p>
          <w:p w14:paraId="2C0EA9DF">
            <w:pPr>
              <w:pStyle w:val="39"/>
              <w:spacing w:before="88"/>
              <w:ind w:left="485"/>
              <w:rPr>
                <w:sz w:val="24"/>
                <w:szCs w:val="24"/>
              </w:rPr>
            </w:pPr>
            <w:r>
              <w:rPr>
                <w:sz w:val="24"/>
                <w:szCs w:val="24"/>
              </w:rPr>
              <w:t>3</w:t>
            </w:r>
          </w:p>
        </w:tc>
        <w:tc>
          <w:tcPr>
            <w:tcW w:w="1459" w:type="dxa"/>
            <w:vMerge w:val="restart"/>
            <w:tcBorders>
              <w:top w:val="single" w:color="auto" w:sz="4" w:space="0"/>
              <w:left w:val="single" w:color="auto" w:sz="4" w:space="0"/>
              <w:bottom w:val="single" w:color="auto" w:sz="4" w:space="0"/>
              <w:right w:val="single" w:color="auto" w:sz="4" w:space="0"/>
            </w:tcBorders>
            <w:vAlign w:val="top"/>
          </w:tcPr>
          <w:p w14:paraId="5AD21F38">
            <w:pPr>
              <w:spacing w:line="246" w:lineRule="auto"/>
              <w:jc w:val="center"/>
              <w:rPr>
                <w:rFonts w:ascii="Arial"/>
                <w:sz w:val="24"/>
                <w:szCs w:val="24"/>
              </w:rPr>
            </w:pPr>
          </w:p>
          <w:p w14:paraId="6EB620A6">
            <w:pPr>
              <w:spacing w:line="246" w:lineRule="auto"/>
              <w:jc w:val="center"/>
              <w:rPr>
                <w:rFonts w:ascii="Arial"/>
                <w:sz w:val="24"/>
                <w:szCs w:val="24"/>
              </w:rPr>
            </w:pPr>
          </w:p>
          <w:p w14:paraId="03D878BE">
            <w:pPr>
              <w:spacing w:line="246" w:lineRule="auto"/>
              <w:jc w:val="center"/>
              <w:rPr>
                <w:rFonts w:ascii="Arial"/>
                <w:sz w:val="24"/>
                <w:szCs w:val="24"/>
              </w:rPr>
            </w:pPr>
          </w:p>
          <w:p w14:paraId="009FB913">
            <w:pPr>
              <w:spacing w:line="246" w:lineRule="auto"/>
              <w:jc w:val="center"/>
              <w:rPr>
                <w:rFonts w:ascii="Arial"/>
                <w:sz w:val="24"/>
                <w:szCs w:val="24"/>
              </w:rPr>
            </w:pPr>
          </w:p>
          <w:p w14:paraId="1CC0ECD7">
            <w:pPr>
              <w:spacing w:line="246" w:lineRule="auto"/>
              <w:jc w:val="center"/>
              <w:rPr>
                <w:rFonts w:ascii="Arial"/>
                <w:sz w:val="24"/>
                <w:szCs w:val="24"/>
              </w:rPr>
            </w:pPr>
          </w:p>
          <w:p w14:paraId="65BC0210">
            <w:pPr>
              <w:spacing w:line="246" w:lineRule="auto"/>
              <w:jc w:val="center"/>
              <w:rPr>
                <w:rFonts w:ascii="Arial"/>
                <w:sz w:val="24"/>
                <w:szCs w:val="24"/>
              </w:rPr>
            </w:pPr>
          </w:p>
          <w:p w14:paraId="00607B35">
            <w:pPr>
              <w:spacing w:line="246" w:lineRule="auto"/>
              <w:jc w:val="center"/>
              <w:rPr>
                <w:rFonts w:ascii="Arial"/>
                <w:sz w:val="24"/>
                <w:szCs w:val="24"/>
              </w:rPr>
            </w:pPr>
          </w:p>
          <w:p w14:paraId="63B66D01">
            <w:pPr>
              <w:spacing w:line="247" w:lineRule="auto"/>
              <w:jc w:val="center"/>
              <w:rPr>
                <w:rFonts w:ascii="Arial"/>
                <w:sz w:val="24"/>
                <w:szCs w:val="24"/>
              </w:rPr>
            </w:pPr>
          </w:p>
          <w:p w14:paraId="30C55E49">
            <w:pPr>
              <w:pStyle w:val="39"/>
              <w:spacing w:before="88" w:line="219" w:lineRule="auto"/>
              <w:ind w:left="180"/>
              <w:jc w:val="center"/>
              <w:rPr>
                <w:sz w:val="24"/>
                <w:szCs w:val="24"/>
              </w:rPr>
            </w:pPr>
            <w:r>
              <w:rPr>
                <w:spacing w:val="2"/>
                <w:sz w:val="24"/>
                <w:szCs w:val="24"/>
              </w:rPr>
              <w:t>草坪管理</w:t>
            </w:r>
          </w:p>
        </w:tc>
        <w:tc>
          <w:tcPr>
            <w:tcW w:w="1472" w:type="dxa"/>
            <w:tcBorders>
              <w:top w:val="single" w:color="auto" w:sz="4" w:space="0"/>
              <w:left w:val="single" w:color="auto" w:sz="4" w:space="0"/>
              <w:bottom w:val="single" w:color="auto" w:sz="4" w:space="0"/>
              <w:right w:val="single" w:color="auto" w:sz="4" w:space="0"/>
            </w:tcBorders>
            <w:vAlign w:val="top"/>
          </w:tcPr>
          <w:p w14:paraId="0444F98A">
            <w:pPr>
              <w:pStyle w:val="39"/>
              <w:spacing w:before="88" w:line="219" w:lineRule="auto"/>
              <w:jc w:val="both"/>
              <w:rPr>
                <w:spacing w:val="7"/>
                <w:sz w:val="24"/>
                <w:szCs w:val="24"/>
              </w:rPr>
            </w:pPr>
          </w:p>
          <w:p w14:paraId="1CF17490">
            <w:pPr>
              <w:pStyle w:val="39"/>
              <w:spacing w:before="88" w:line="219" w:lineRule="auto"/>
              <w:jc w:val="center"/>
              <w:rPr>
                <w:sz w:val="24"/>
                <w:szCs w:val="24"/>
              </w:rPr>
            </w:pPr>
            <w:r>
              <w:rPr>
                <w:spacing w:val="7"/>
                <w:sz w:val="24"/>
                <w:szCs w:val="24"/>
              </w:rPr>
              <w:t>生长势</w:t>
            </w:r>
          </w:p>
        </w:tc>
        <w:tc>
          <w:tcPr>
            <w:tcW w:w="5769" w:type="dxa"/>
            <w:tcBorders>
              <w:top w:val="single" w:color="auto" w:sz="4" w:space="0"/>
              <w:left w:val="single" w:color="auto" w:sz="4" w:space="0"/>
              <w:bottom w:val="single" w:color="auto" w:sz="4" w:space="0"/>
              <w:right w:val="single" w:color="auto" w:sz="4" w:space="0"/>
            </w:tcBorders>
            <w:vAlign w:val="top"/>
          </w:tcPr>
          <w:p w14:paraId="4209BFBD">
            <w:pPr>
              <w:pStyle w:val="39"/>
              <w:spacing w:before="138" w:line="260" w:lineRule="auto"/>
              <w:ind w:right="3"/>
              <w:jc w:val="both"/>
              <w:rPr>
                <w:sz w:val="24"/>
                <w:szCs w:val="24"/>
              </w:rPr>
            </w:pPr>
            <w:r>
              <w:rPr>
                <w:spacing w:val="-10"/>
                <w:sz w:val="24"/>
                <w:szCs w:val="24"/>
              </w:rPr>
              <w:t>草种生长旺盛，叶色正常，生长季节无枯</w:t>
            </w:r>
            <w:r>
              <w:rPr>
                <w:sz w:val="24"/>
                <w:szCs w:val="24"/>
              </w:rPr>
              <w:t xml:space="preserve"> </w:t>
            </w:r>
            <w:r>
              <w:rPr>
                <w:spacing w:val="-4"/>
                <w:sz w:val="24"/>
                <w:szCs w:val="24"/>
              </w:rPr>
              <w:t>黄叶。目测无杂草，无斑秃。覆盖度达到</w:t>
            </w:r>
            <w:r>
              <w:rPr>
                <w:spacing w:val="9"/>
                <w:sz w:val="24"/>
                <w:szCs w:val="24"/>
              </w:rPr>
              <w:t xml:space="preserve"> </w:t>
            </w:r>
            <w:r>
              <w:rPr>
                <w:spacing w:val="12"/>
                <w:sz w:val="24"/>
                <w:szCs w:val="24"/>
              </w:rPr>
              <w:t>草坪种植区域的100%;</w:t>
            </w:r>
          </w:p>
        </w:tc>
      </w:tr>
      <w:tr w14:paraId="3F7C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941" w:type="dxa"/>
            <w:vMerge w:val="continue"/>
            <w:tcBorders>
              <w:top w:val="single" w:color="auto" w:sz="4" w:space="0"/>
              <w:left w:val="single" w:color="auto" w:sz="4" w:space="0"/>
              <w:bottom w:val="single" w:color="auto" w:sz="4" w:space="0"/>
              <w:right w:val="single" w:color="auto" w:sz="4" w:space="0"/>
            </w:tcBorders>
            <w:vAlign w:val="top"/>
          </w:tcPr>
          <w:p w14:paraId="3AAF3E09">
            <w:pPr>
              <w:rPr>
                <w:rFonts w:ascii="Arial"/>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top"/>
          </w:tcPr>
          <w:p w14:paraId="2313447B">
            <w:pPr>
              <w:jc w:val="center"/>
              <w:rPr>
                <w:rFonts w:ascii="Arial"/>
                <w:sz w:val="24"/>
                <w:szCs w:val="24"/>
              </w:rPr>
            </w:pPr>
          </w:p>
        </w:tc>
        <w:tc>
          <w:tcPr>
            <w:tcW w:w="1472" w:type="dxa"/>
            <w:tcBorders>
              <w:top w:val="single" w:color="auto" w:sz="4" w:space="0"/>
              <w:left w:val="single" w:color="auto" w:sz="4" w:space="0"/>
              <w:bottom w:val="single" w:color="auto" w:sz="4" w:space="0"/>
              <w:right w:val="single" w:color="auto" w:sz="4" w:space="0"/>
            </w:tcBorders>
            <w:vAlign w:val="top"/>
          </w:tcPr>
          <w:p w14:paraId="56E7A940">
            <w:pPr>
              <w:pStyle w:val="39"/>
              <w:spacing w:before="88" w:line="219" w:lineRule="auto"/>
              <w:jc w:val="both"/>
              <w:rPr>
                <w:spacing w:val="3"/>
                <w:sz w:val="24"/>
                <w:szCs w:val="24"/>
              </w:rPr>
            </w:pPr>
          </w:p>
          <w:p w14:paraId="6D01434C">
            <w:pPr>
              <w:pStyle w:val="39"/>
              <w:spacing w:before="88" w:line="219" w:lineRule="auto"/>
              <w:jc w:val="center"/>
              <w:rPr>
                <w:sz w:val="24"/>
                <w:szCs w:val="24"/>
              </w:rPr>
            </w:pPr>
            <w:r>
              <w:rPr>
                <w:spacing w:val="3"/>
                <w:sz w:val="24"/>
                <w:szCs w:val="24"/>
              </w:rPr>
              <w:t>灌溉浇水</w:t>
            </w:r>
          </w:p>
        </w:tc>
        <w:tc>
          <w:tcPr>
            <w:tcW w:w="5769" w:type="dxa"/>
            <w:tcBorders>
              <w:top w:val="single" w:color="auto" w:sz="4" w:space="0"/>
              <w:left w:val="single" w:color="auto" w:sz="4" w:space="0"/>
              <w:bottom w:val="single" w:color="auto" w:sz="4" w:space="0"/>
              <w:right w:val="single" w:color="auto" w:sz="4" w:space="0"/>
            </w:tcBorders>
            <w:vAlign w:val="top"/>
          </w:tcPr>
          <w:p w14:paraId="32F37890">
            <w:pPr>
              <w:pStyle w:val="39"/>
              <w:spacing w:before="138" w:line="253" w:lineRule="auto"/>
              <w:ind w:left="14" w:firstLine="19"/>
              <w:jc w:val="both"/>
              <w:rPr>
                <w:sz w:val="24"/>
                <w:szCs w:val="24"/>
              </w:rPr>
            </w:pPr>
            <w:r>
              <w:rPr>
                <w:spacing w:val="-5"/>
                <w:sz w:val="24"/>
                <w:szCs w:val="24"/>
              </w:rPr>
              <w:t>根据不同季节和土壤质地进行适时灌溉，</w:t>
            </w:r>
            <w:r>
              <w:rPr>
                <w:spacing w:val="11"/>
                <w:sz w:val="24"/>
                <w:szCs w:val="24"/>
              </w:rPr>
              <w:t xml:space="preserve"> </w:t>
            </w:r>
            <w:r>
              <w:rPr>
                <w:spacing w:val="-8"/>
                <w:sz w:val="24"/>
                <w:szCs w:val="24"/>
              </w:rPr>
              <w:t>充分满足生长期水量的需要。灌溉时，无</w:t>
            </w:r>
            <w:r>
              <w:rPr>
                <w:spacing w:val="10"/>
                <w:sz w:val="24"/>
                <w:szCs w:val="24"/>
              </w:rPr>
              <w:t>跑水和外溢现象。</w:t>
            </w:r>
          </w:p>
        </w:tc>
      </w:tr>
      <w:tr w14:paraId="6A4F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941" w:type="dxa"/>
            <w:vMerge w:val="continue"/>
            <w:tcBorders>
              <w:top w:val="single" w:color="auto" w:sz="4" w:space="0"/>
              <w:left w:val="single" w:color="auto" w:sz="4" w:space="0"/>
              <w:bottom w:val="single" w:color="auto" w:sz="4" w:space="0"/>
              <w:right w:val="single" w:color="auto" w:sz="4" w:space="0"/>
            </w:tcBorders>
            <w:vAlign w:val="top"/>
          </w:tcPr>
          <w:p w14:paraId="4A76485E">
            <w:pPr>
              <w:rPr>
                <w:rFonts w:ascii="Arial"/>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top"/>
          </w:tcPr>
          <w:p w14:paraId="0765B7A4">
            <w:pPr>
              <w:jc w:val="center"/>
              <w:rPr>
                <w:rFonts w:ascii="Arial"/>
                <w:sz w:val="24"/>
                <w:szCs w:val="24"/>
              </w:rPr>
            </w:pPr>
          </w:p>
        </w:tc>
        <w:tc>
          <w:tcPr>
            <w:tcW w:w="1472" w:type="dxa"/>
            <w:tcBorders>
              <w:top w:val="single" w:color="auto" w:sz="4" w:space="0"/>
              <w:left w:val="single" w:color="auto" w:sz="4" w:space="0"/>
              <w:bottom w:val="single" w:color="auto" w:sz="4" w:space="0"/>
              <w:right w:val="single" w:color="auto" w:sz="4" w:space="0"/>
            </w:tcBorders>
            <w:vAlign w:val="top"/>
          </w:tcPr>
          <w:p w14:paraId="67EA5ECF">
            <w:pPr>
              <w:spacing w:line="440" w:lineRule="auto"/>
              <w:jc w:val="center"/>
              <w:rPr>
                <w:rFonts w:ascii="Arial"/>
                <w:sz w:val="24"/>
                <w:szCs w:val="24"/>
              </w:rPr>
            </w:pPr>
          </w:p>
          <w:p w14:paraId="4415F46E">
            <w:pPr>
              <w:pStyle w:val="39"/>
              <w:spacing w:before="88" w:line="219" w:lineRule="auto"/>
              <w:ind w:left="72"/>
              <w:jc w:val="center"/>
              <w:rPr>
                <w:sz w:val="24"/>
                <w:szCs w:val="24"/>
              </w:rPr>
            </w:pPr>
            <w:r>
              <w:rPr>
                <w:spacing w:val="6"/>
                <w:sz w:val="24"/>
                <w:szCs w:val="24"/>
              </w:rPr>
              <w:t>修剪</w:t>
            </w:r>
          </w:p>
        </w:tc>
        <w:tc>
          <w:tcPr>
            <w:tcW w:w="5769" w:type="dxa"/>
            <w:tcBorders>
              <w:top w:val="single" w:color="auto" w:sz="4" w:space="0"/>
              <w:left w:val="single" w:color="auto" w:sz="4" w:space="0"/>
              <w:bottom w:val="single" w:color="auto" w:sz="4" w:space="0"/>
              <w:right w:val="single" w:color="auto" w:sz="4" w:space="0"/>
            </w:tcBorders>
            <w:vAlign w:val="top"/>
          </w:tcPr>
          <w:p w14:paraId="1F480014">
            <w:pPr>
              <w:pStyle w:val="39"/>
              <w:spacing w:before="139" w:line="262" w:lineRule="auto"/>
              <w:ind w:left="104" w:right="7" w:hanging="90"/>
              <w:jc w:val="both"/>
              <w:rPr>
                <w:sz w:val="24"/>
                <w:szCs w:val="24"/>
              </w:rPr>
            </w:pPr>
            <w:r>
              <w:rPr>
                <w:spacing w:val="-4"/>
                <w:sz w:val="24"/>
                <w:szCs w:val="24"/>
              </w:rPr>
              <w:t>修剪整齐，高度一致，禾本科草坪高度在</w:t>
            </w:r>
            <w:r>
              <w:rPr>
                <w:spacing w:val="5"/>
                <w:sz w:val="24"/>
                <w:szCs w:val="24"/>
              </w:rPr>
              <w:t xml:space="preserve"> </w:t>
            </w:r>
            <w:r>
              <w:rPr>
                <w:sz w:val="24"/>
                <w:szCs w:val="24"/>
              </w:rPr>
              <w:t>5-8cm,非禾本科草坪修剪根据植物特性</w:t>
            </w:r>
            <w:r>
              <w:rPr>
                <w:spacing w:val="-3"/>
                <w:sz w:val="24"/>
                <w:szCs w:val="24"/>
              </w:rPr>
              <w:t>确定</w:t>
            </w:r>
            <w:r>
              <w:rPr>
                <w:spacing w:val="-30"/>
                <w:sz w:val="24"/>
                <w:szCs w:val="24"/>
              </w:rPr>
              <w:t xml:space="preserve"> </w:t>
            </w:r>
            <w:r>
              <w:rPr>
                <w:spacing w:val="-3"/>
                <w:sz w:val="24"/>
                <w:szCs w:val="24"/>
              </w:rPr>
              <w:t>；</w:t>
            </w:r>
          </w:p>
        </w:tc>
      </w:tr>
      <w:tr w14:paraId="60930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41" w:type="dxa"/>
            <w:vMerge w:val="continue"/>
            <w:tcBorders>
              <w:top w:val="single" w:color="auto" w:sz="4" w:space="0"/>
              <w:left w:val="single" w:color="auto" w:sz="4" w:space="0"/>
              <w:bottom w:val="nil"/>
              <w:right w:val="single" w:color="auto" w:sz="4" w:space="0"/>
            </w:tcBorders>
            <w:vAlign w:val="top"/>
          </w:tcPr>
          <w:p w14:paraId="6A55EF8F">
            <w:pPr>
              <w:rPr>
                <w:rFonts w:ascii="Arial"/>
                <w:sz w:val="24"/>
                <w:szCs w:val="24"/>
              </w:rPr>
            </w:pPr>
          </w:p>
        </w:tc>
        <w:tc>
          <w:tcPr>
            <w:tcW w:w="1459" w:type="dxa"/>
            <w:vMerge w:val="continue"/>
            <w:tcBorders>
              <w:top w:val="single" w:color="auto" w:sz="4" w:space="0"/>
              <w:left w:val="single" w:color="auto" w:sz="4" w:space="0"/>
              <w:bottom w:val="nil"/>
              <w:right w:val="single" w:color="auto" w:sz="4" w:space="0"/>
            </w:tcBorders>
            <w:vAlign w:val="top"/>
          </w:tcPr>
          <w:p w14:paraId="59FCFF3E">
            <w:pPr>
              <w:jc w:val="center"/>
              <w:rPr>
                <w:rFonts w:ascii="Arial"/>
                <w:sz w:val="24"/>
                <w:szCs w:val="24"/>
              </w:rPr>
            </w:pPr>
          </w:p>
        </w:tc>
        <w:tc>
          <w:tcPr>
            <w:tcW w:w="1472" w:type="dxa"/>
            <w:tcBorders>
              <w:top w:val="single" w:color="auto" w:sz="4" w:space="0"/>
              <w:left w:val="single" w:color="auto" w:sz="4" w:space="0"/>
              <w:bottom w:val="nil"/>
              <w:right w:val="single" w:color="auto" w:sz="4" w:space="0"/>
            </w:tcBorders>
            <w:vAlign w:val="top"/>
          </w:tcPr>
          <w:p w14:paraId="1EEE2038">
            <w:pPr>
              <w:pStyle w:val="39"/>
              <w:spacing w:before="180" w:line="219" w:lineRule="auto"/>
              <w:ind w:left="72"/>
              <w:jc w:val="center"/>
              <w:rPr>
                <w:sz w:val="24"/>
                <w:szCs w:val="24"/>
              </w:rPr>
            </w:pPr>
            <w:r>
              <w:rPr>
                <w:spacing w:val="3"/>
                <w:sz w:val="24"/>
                <w:szCs w:val="24"/>
              </w:rPr>
              <w:t>施肥标准</w:t>
            </w:r>
          </w:p>
        </w:tc>
        <w:tc>
          <w:tcPr>
            <w:tcW w:w="5769" w:type="dxa"/>
            <w:tcBorders>
              <w:top w:val="single" w:color="auto" w:sz="4" w:space="0"/>
              <w:left w:val="single" w:color="auto" w:sz="4" w:space="0"/>
              <w:bottom w:val="nil"/>
              <w:right w:val="single" w:color="auto" w:sz="4" w:space="0"/>
            </w:tcBorders>
            <w:vAlign w:val="top"/>
          </w:tcPr>
          <w:p w14:paraId="298500E9">
            <w:pPr>
              <w:pStyle w:val="39"/>
              <w:spacing w:before="180" w:line="219" w:lineRule="auto"/>
              <w:jc w:val="both"/>
              <w:rPr>
                <w:sz w:val="24"/>
                <w:szCs w:val="24"/>
              </w:rPr>
            </w:pPr>
            <w:r>
              <w:rPr>
                <w:spacing w:val="-13"/>
                <w:sz w:val="24"/>
                <w:szCs w:val="24"/>
              </w:rPr>
              <w:t>在</w:t>
            </w:r>
            <w:r>
              <w:rPr>
                <w:spacing w:val="-12"/>
                <w:sz w:val="24"/>
                <w:szCs w:val="24"/>
              </w:rPr>
              <w:t>春或秋季进行施化肥，严禁裸施，肥</w:t>
            </w:r>
            <w:r>
              <w:rPr>
                <w:spacing w:val="-11"/>
                <w:sz w:val="24"/>
                <w:szCs w:val="24"/>
              </w:rPr>
              <w:t>料</w:t>
            </w:r>
            <w:r>
              <w:rPr>
                <w:spacing w:val="-1"/>
                <w:sz w:val="24"/>
                <w:szCs w:val="24"/>
              </w:rPr>
              <w:t>要埋施；施后及时灌水、找平。</w:t>
            </w:r>
          </w:p>
        </w:tc>
      </w:tr>
    </w:tbl>
    <w:tbl>
      <w:tblPr>
        <w:tblStyle w:val="32"/>
        <w:tblpPr w:leftFromText="180" w:rightFromText="180" w:vertAnchor="text" w:horzAnchor="page" w:tblpX="1125" w:tblpY="225"/>
        <w:tblOverlap w:val="never"/>
        <w:tblW w:w="9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1453"/>
        <w:gridCol w:w="1472"/>
        <w:gridCol w:w="5775"/>
      </w:tblGrid>
      <w:tr w14:paraId="6AC8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947" w:type="dxa"/>
            <w:vMerge w:val="restart"/>
            <w:tcBorders>
              <w:top w:val="single" w:color="auto" w:sz="4" w:space="0"/>
              <w:left w:val="single" w:color="auto" w:sz="4" w:space="0"/>
              <w:bottom w:val="single" w:color="auto" w:sz="4" w:space="0"/>
              <w:right w:val="single" w:color="auto" w:sz="4" w:space="0"/>
            </w:tcBorders>
            <w:vAlign w:val="top"/>
          </w:tcPr>
          <w:p w14:paraId="738DE1FB">
            <w:pPr>
              <w:spacing w:line="262" w:lineRule="auto"/>
              <w:jc w:val="center"/>
              <w:rPr>
                <w:rFonts w:ascii="Arial"/>
                <w:sz w:val="24"/>
                <w:szCs w:val="24"/>
              </w:rPr>
            </w:pPr>
          </w:p>
          <w:p w14:paraId="150CCE22">
            <w:pPr>
              <w:spacing w:line="262" w:lineRule="auto"/>
              <w:jc w:val="center"/>
              <w:rPr>
                <w:rFonts w:ascii="Arial"/>
                <w:sz w:val="24"/>
                <w:szCs w:val="24"/>
              </w:rPr>
            </w:pPr>
          </w:p>
          <w:p w14:paraId="0BA324FF">
            <w:pPr>
              <w:spacing w:line="262" w:lineRule="auto"/>
              <w:jc w:val="center"/>
              <w:rPr>
                <w:rFonts w:ascii="Arial"/>
                <w:sz w:val="24"/>
                <w:szCs w:val="24"/>
              </w:rPr>
            </w:pPr>
          </w:p>
          <w:p w14:paraId="0BA97058">
            <w:pPr>
              <w:spacing w:line="262" w:lineRule="auto"/>
              <w:jc w:val="center"/>
              <w:rPr>
                <w:rFonts w:ascii="Arial"/>
                <w:sz w:val="24"/>
                <w:szCs w:val="24"/>
              </w:rPr>
            </w:pPr>
          </w:p>
          <w:p w14:paraId="6BC4D90C">
            <w:pPr>
              <w:spacing w:line="262" w:lineRule="auto"/>
              <w:jc w:val="center"/>
              <w:rPr>
                <w:rFonts w:ascii="Arial"/>
                <w:sz w:val="24"/>
                <w:szCs w:val="24"/>
              </w:rPr>
            </w:pPr>
          </w:p>
          <w:p w14:paraId="3E2D2A92">
            <w:pPr>
              <w:spacing w:line="262" w:lineRule="auto"/>
              <w:jc w:val="center"/>
              <w:rPr>
                <w:rFonts w:ascii="Arial"/>
                <w:sz w:val="24"/>
                <w:szCs w:val="24"/>
              </w:rPr>
            </w:pPr>
          </w:p>
          <w:p w14:paraId="6F9DC46F">
            <w:pPr>
              <w:spacing w:line="262" w:lineRule="auto"/>
              <w:jc w:val="center"/>
              <w:rPr>
                <w:rFonts w:ascii="Arial"/>
                <w:sz w:val="24"/>
                <w:szCs w:val="24"/>
              </w:rPr>
            </w:pPr>
          </w:p>
          <w:p w14:paraId="04465C6F">
            <w:pPr>
              <w:spacing w:line="263" w:lineRule="auto"/>
              <w:jc w:val="center"/>
              <w:rPr>
                <w:rFonts w:ascii="Arial"/>
                <w:sz w:val="24"/>
                <w:szCs w:val="24"/>
              </w:rPr>
            </w:pPr>
          </w:p>
          <w:p w14:paraId="149F27D9">
            <w:pPr>
              <w:pStyle w:val="39"/>
              <w:spacing w:before="88" w:line="241" w:lineRule="auto"/>
              <w:ind w:left="474"/>
              <w:jc w:val="both"/>
              <w:rPr>
                <w:sz w:val="24"/>
                <w:szCs w:val="24"/>
              </w:rPr>
            </w:pPr>
            <w:r>
              <w:rPr>
                <w:sz w:val="24"/>
                <w:szCs w:val="24"/>
              </w:rPr>
              <w:t>4</w:t>
            </w:r>
          </w:p>
        </w:tc>
        <w:tc>
          <w:tcPr>
            <w:tcW w:w="1453" w:type="dxa"/>
            <w:vMerge w:val="restart"/>
            <w:tcBorders>
              <w:top w:val="single" w:color="auto" w:sz="4" w:space="0"/>
              <w:left w:val="single" w:color="auto" w:sz="4" w:space="0"/>
              <w:bottom w:val="single" w:color="auto" w:sz="4" w:space="0"/>
              <w:right w:val="single" w:color="auto" w:sz="4" w:space="0"/>
            </w:tcBorders>
            <w:vAlign w:val="top"/>
          </w:tcPr>
          <w:p w14:paraId="77E5728A">
            <w:pPr>
              <w:spacing w:line="268" w:lineRule="auto"/>
              <w:jc w:val="center"/>
              <w:rPr>
                <w:rFonts w:ascii="Arial"/>
                <w:sz w:val="24"/>
                <w:szCs w:val="24"/>
              </w:rPr>
            </w:pPr>
          </w:p>
          <w:p w14:paraId="7DC9641F">
            <w:pPr>
              <w:spacing w:line="268" w:lineRule="auto"/>
              <w:jc w:val="center"/>
              <w:rPr>
                <w:rFonts w:ascii="Arial"/>
                <w:sz w:val="24"/>
                <w:szCs w:val="24"/>
              </w:rPr>
            </w:pPr>
          </w:p>
          <w:p w14:paraId="6B578441">
            <w:pPr>
              <w:spacing w:line="268" w:lineRule="auto"/>
              <w:jc w:val="center"/>
              <w:rPr>
                <w:rFonts w:ascii="Arial"/>
                <w:sz w:val="24"/>
                <w:szCs w:val="24"/>
              </w:rPr>
            </w:pPr>
          </w:p>
          <w:p w14:paraId="0599447D">
            <w:pPr>
              <w:spacing w:line="269" w:lineRule="auto"/>
              <w:jc w:val="center"/>
              <w:rPr>
                <w:rFonts w:ascii="Arial"/>
                <w:sz w:val="24"/>
                <w:szCs w:val="24"/>
              </w:rPr>
            </w:pPr>
          </w:p>
          <w:p w14:paraId="0865734C">
            <w:pPr>
              <w:spacing w:line="269" w:lineRule="auto"/>
              <w:jc w:val="center"/>
              <w:rPr>
                <w:rFonts w:ascii="Arial"/>
                <w:sz w:val="24"/>
                <w:szCs w:val="24"/>
              </w:rPr>
            </w:pPr>
          </w:p>
          <w:p w14:paraId="11A99D49">
            <w:pPr>
              <w:spacing w:line="269" w:lineRule="auto"/>
              <w:jc w:val="center"/>
              <w:rPr>
                <w:rFonts w:ascii="Arial"/>
                <w:sz w:val="24"/>
                <w:szCs w:val="24"/>
              </w:rPr>
            </w:pPr>
          </w:p>
          <w:p w14:paraId="1D943F3B">
            <w:pPr>
              <w:pStyle w:val="39"/>
              <w:spacing w:before="87" w:line="219" w:lineRule="auto"/>
              <w:jc w:val="center"/>
              <w:rPr>
                <w:sz w:val="24"/>
                <w:szCs w:val="24"/>
              </w:rPr>
            </w:pPr>
            <w:r>
              <w:rPr>
                <w:spacing w:val="3"/>
                <w:sz w:val="24"/>
                <w:szCs w:val="24"/>
              </w:rPr>
              <w:t>攀缘植物</w:t>
            </w:r>
            <w:r>
              <w:rPr>
                <w:spacing w:val="4"/>
                <w:sz w:val="24"/>
                <w:szCs w:val="24"/>
              </w:rPr>
              <w:t>管理</w:t>
            </w:r>
          </w:p>
        </w:tc>
        <w:tc>
          <w:tcPr>
            <w:tcW w:w="1472" w:type="dxa"/>
            <w:tcBorders>
              <w:top w:val="single" w:color="auto" w:sz="4" w:space="0"/>
              <w:left w:val="single" w:color="auto" w:sz="4" w:space="0"/>
              <w:bottom w:val="single" w:color="auto" w:sz="4" w:space="0"/>
              <w:right w:val="single" w:color="auto" w:sz="4" w:space="0"/>
            </w:tcBorders>
            <w:vAlign w:val="top"/>
          </w:tcPr>
          <w:p w14:paraId="29302C87">
            <w:pPr>
              <w:spacing w:line="460" w:lineRule="auto"/>
              <w:jc w:val="center"/>
              <w:rPr>
                <w:rFonts w:ascii="Arial"/>
                <w:sz w:val="24"/>
                <w:szCs w:val="24"/>
              </w:rPr>
            </w:pPr>
          </w:p>
          <w:p w14:paraId="74774BFA">
            <w:pPr>
              <w:pStyle w:val="39"/>
              <w:spacing w:before="88" w:line="219" w:lineRule="auto"/>
              <w:ind w:left="82"/>
              <w:jc w:val="center"/>
              <w:rPr>
                <w:sz w:val="24"/>
                <w:szCs w:val="24"/>
              </w:rPr>
            </w:pPr>
            <w:r>
              <w:rPr>
                <w:spacing w:val="7"/>
                <w:sz w:val="24"/>
                <w:szCs w:val="24"/>
              </w:rPr>
              <w:t>生长势</w:t>
            </w:r>
          </w:p>
        </w:tc>
        <w:tc>
          <w:tcPr>
            <w:tcW w:w="5775" w:type="dxa"/>
            <w:tcBorders>
              <w:top w:val="single" w:color="auto" w:sz="4" w:space="0"/>
              <w:left w:val="single" w:color="auto" w:sz="4" w:space="0"/>
              <w:bottom w:val="single" w:color="auto" w:sz="4" w:space="0"/>
              <w:right w:val="single" w:color="auto" w:sz="4" w:space="0"/>
            </w:tcBorders>
            <w:vAlign w:val="top"/>
          </w:tcPr>
          <w:p w14:paraId="4C90BED4">
            <w:pPr>
              <w:pStyle w:val="39"/>
              <w:spacing w:before="99" w:line="287" w:lineRule="auto"/>
              <w:ind w:left="63" w:hanging="49"/>
              <w:jc w:val="both"/>
              <w:rPr>
                <w:sz w:val="24"/>
                <w:szCs w:val="24"/>
              </w:rPr>
            </w:pPr>
            <w:r>
              <w:rPr>
                <w:sz w:val="24"/>
                <w:szCs w:val="24"/>
              </w:rPr>
              <w:t>生长正常、整齐美观、生长期的垂直面覆盖率85%以上。枝叶健壮，叶色绿，无枯</w:t>
            </w:r>
            <w:r>
              <w:rPr>
                <w:spacing w:val="6"/>
                <w:sz w:val="24"/>
                <w:szCs w:val="24"/>
              </w:rPr>
              <w:t>枝残叶。</w:t>
            </w:r>
          </w:p>
        </w:tc>
      </w:tr>
      <w:tr w14:paraId="7C0E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47" w:type="dxa"/>
            <w:vMerge w:val="continue"/>
            <w:tcBorders>
              <w:top w:val="single" w:color="auto" w:sz="4" w:space="0"/>
              <w:left w:val="single" w:color="auto" w:sz="4" w:space="0"/>
              <w:bottom w:val="single" w:color="auto" w:sz="4" w:space="0"/>
              <w:right w:val="single" w:color="auto" w:sz="4" w:space="0"/>
            </w:tcBorders>
            <w:vAlign w:val="top"/>
          </w:tcPr>
          <w:p w14:paraId="5C0C609E">
            <w:pPr>
              <w:rPr>
                <w:rFonts w:ascii="Arial"/>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top"/>
          </w:tcPr>
          <w:p w14:paraId="03D7A04B">
            <w:pPr>
              <w:jc w:val="center"/>
              <w:rPr>
                <w:rFonts w:ascii="Arial"/>
                <w:sz w:val="24"/>
                <w:szCs w:val="24"/>
              </w:rPr>
            </w:pPr>
          </w:p>
        </w:tc>
        <w:tc>
          <w:tcPr>
            <w:tcW w:w="1472" w:type="dxa"/>
            <w:tcBorders>
              <w:top w:val="single" w:color="auto" w:sz="4" w:space="0"/>
              <w:left w:val="single" w:color="auto" w:sz="4" w:space="0"/>
              <w:bottom w:val="single" w:color="auto" w:sz="4" w:space="0"/>
              <w:right w:val="single" w:color="auto" w:sz="4" w:space="0"/>
            </w:tcBorders>
            <w:vAlign w:val="top"/>
          </w:tcPr>
          <w:p w14:paraId="4A5F87E3">
            <w:pPr>
              <w:pStyle w:val="39"/>
              <w:spacing w:before="102" w:line="219" w:lineRule="auto"/>
              <w:ind w:left="82"/>
              <w:jc w:val="center"/>
              <w:rPr>
                <w:sz w:val="24"/>
                <w:szCs w:val="24"/>
              </w:rPr>
            </w:pPr>
            <w:r>
              <w:rPr>
                <w:spacing w:val="6"/>
                <w:sz w:val="24"/>
                <w:szCs w:val="24"/>
              </w:rPr>
              <w:t>修剪</w:t>
            </w:r>
          </w:p>
        </w:tc>
        <w:tc>
          <w:tcPr>
            <w:tcW w:w="5775" w:type="dxa"/>
            <w:tcBorders>
              <w:top w:val="single" w:color="auto" w:sz="4" w:space="0"/>
              <w:left w:val="single" w:color="auto" w:sz="4" w:space="0"/>
              <w:bottom w:val="single" w:color="auto" w:sz="4" w:space="0"/>
              <w:right w:val="single" w:color="auto" w:sz="4" w:space="0"/>
            </w:tcBorders>
            <w:vAlign w:val="top"/>
          </w:tcPr>
          <w:p w14:paraId="63A40F02">
            <w:pPr>
              <w:pStyle w:val="39"/>
              <w:spacing w:before="100" w:line="219" w:lineRule="auto"/>
              <w:ind w:left="84"/>
              <w:rPr>
                <w:sz w:val="24"/>
                <w:szCs w:val="24"/>
              </w:rPr>
            </w:pPr>
            <w:r>
              <w:rPr>
                <w:spacing w:val="-1"/>
                <w:sz w:val="24"/>
                <w:szCs w:val="24"/>
              </w:rPr>
              <w:t>做好牵引，及时剪除枯枝，过密枝。</w:t>
            </w:r>
          </w:p>
        </w:tc>
      </w:tr>
      <w:tr w14:paraId="4332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947" w:type="dxa"/>
            <w:vMerge w:val="continue"/>
            <w:tcBorders>
              <w:top w:val="single" w:color="auto" w:sz="4" w:space="0"/>
              <w:left w:val="single" w:color="auto" w:sz="4" w:space="0"/>
              <w:bottom w:val="single" w:color="auto" w:sz="4" w:space="0"/>
              <w:right w:val="single" w:color="auto" w:sz="4" w:space="0"/>
            </w:tcBorders>
            <w:vAlign w:val="top"/>
          </w:tcPr>
          <w:p w14:paraId="73FE63B7">
            <w:pPr>
              <w:rPr>
                <w:rFonts w:ascii="Arial"/>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top"/>
          </w:tcPr>
          <w:p w14:paraId="7E927146">
            <w:pPr>
              <w:jc w:val="center"/>
              <w:rPr>
                <w:rFonts w:ascii="Arial"/>
                <w:sz w:val="24"/>
                <w:szCs w:val="24"/>
              </w:rPr>
            </w:pPr>
          </w:p>
        </w:tc>
        <w:tc>
          <w:tcPr>
            <w:tcW w:w="1472" w:type="dxa"/>
            <w:tcBorders>
              <w:top w:val="single" w:color="auto" w:sz="4" w:space="0"/>
              <w:left w:val="single" w:color="auto" w:sz="4" w:space="0"/>
              <w:bottom w:val="single" w:color="auto" w:sz="4" w:space="0"/>
              <w:right w:val="single" w:color="auto" w:sz="4" w:space="0"/>
            </w:tcBorders>
            <w:vAlign w:val="top"/>
          </w:tcPr>
          <w:p w14:paraId="4A6BD92C">
            <w:pPr>
              <w:pStyle w:val="39"/>
              <w:spacing w:before="322" w:line="219" w:lineRule="auto"/>
              <w:ind w:left="82"/>
              <w:jc w:val="center"/>
              <w:rPr>
                <w:sz w:val="24"/>
                <w:szCs w:val="24"/>
              </w:rPr>
            </w:pPr>
            <w:r>
              <w:rPr>
                <w:spacing w:val="5"/>
                <w:sz w:val="24"/>
                <w:szCs w:val="24"/>
              </w:rPr>
              <w:t>补植</w:t>
            </w:r>
          </w:p>
        </w:tc>
        <w:tc>
          <w:tcPr>
            <w:tcW w:w="5775" w:type="dxa"/>
            <w:tcBorders>
              <w:top w:val="single" w:color="auto" w:sz="4" w:space="0"/>
              <w:left w:val="single" w:color="auto" w:sz="4" w:space="0"/>
              <w:bottom w:val="single" w:color="auto" w:sz="4" w:space="0"/>
              <w:right w:val="single" w:color="auto" w:sz="4" w:space="0"/>
            </w:tcBorders>
            <w:vAlign w:val="top"/>
          </w:tcPr>
          <w:p w14:paraId="1994D537">
            <w:pPr>
              <w:pStyle w:val="39"/>
              <w:spacing w:before="100" w:line="273" w:lineRule="auto"/>
              <w:ind w:left="113" w:hanging="99"/>
              <w:rPr>
                <w:sz w:val="24"/>
                <w:szCs w:val="24"/>
              </w:rPr>
            </w:pPr>
            <w:r>
              <w:rPr>
                <w:sz w:val="24"/>
                <w:szCs w:val="24"/>
              </w:rPr>
              <w:t>及时清理死株，应在当年植树季节进行补</w:t>
            </w:r>
            <w:r>
              <w:rPr>
                <w:spacing w:val="-1"/>
                <w:sz w:val="24"/>
                <w:szCs w:val="24"/>
              </w:rPr>
              <w:t>植，成活率达到90%以上。</w:t>
            </w:r>
          </w:p>
        </w:tc>
      </w:tr>
      <w:tr w14:paraId="54D1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947" w:type="dxa"/>
            <w:vMerge w:val="continue"/>
            <w:tcBorders>
              <w:top w:val="single" w:color="auto" w:sz="4" w:space="0"/>
              <w:left w:val="single" w:color="auto" w:sz="4" w:space="0"/>
              <w:bottom w:val="single" w:color="auto" w:sz="4" w:space="0"/>
              <w:right w:val="single" w:color="auto" w:sz="4" w:space="0"/>
            </w:tcBorders>
            <w:vAlign w:val="top"/>
          </w:tcPr>
          <w:p w14:paraId="633A663F">
            <w:pPr>
              <w:rPr>
                <w:rFonts w:ascii="Arial"/>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top"/>
          </w:tcPr>
          <w:p w14:paraId="3106725D">
            <w:pPr>
              <w:jc w:val="center"/>
              <w:rPr>
                <w:rFonts w:ascii="Arial"/>
                <w:sz w:val="24"/>
                <w:szCs w:val="24"/>
              </w:rPr>
            </w:pPr>
          </w:p>
        </w:tc>
        <w:tc>
          <w:tcPr>
            <w:tcW w:w="1472" w:type="dxa"/>
            <w:tcBorders>
              <w:top w:val="single" w:color="auto" w:sz="4" w:space="0"/>
              <w:left w:val="single" w:color="auto" w:sz="4" w:space="0"/>
              <w:bottom w:val="single" w:color="auto" w:sz="4" w:space="0"/>
              <w:right w:val="single" w:color="auto" w:sz="4" w:space="0"/>
            </w:tcBorders>
            <w:vAlign w:val="top"/>
          </w:tcPr>
          <w:p w14:paraId="6F783454">
            <w:pPr>
              <w:pStyle w:val="39"/>
              <w:spacing w:before="323" w:line="219" w:lineRule="auto"/>
              <w:ind w:left="82"/>
              <w:jc w:val="center"/>
              <w:rPr>
                <w:sz w:val="24"/>
                <w:szCs w:val="24"/>
              </w:rPr>
            </w:pPr>
            <w:r>
              <w:rPr>
                <w:spacing w:val="3"/>
                <w:sz w:val="24"/>
                <w:szCs w:val="24"/>
              </w:rPr>
              <w:t>灌溉浇水</w:t>
            </w:r>
          </w:p>
        </w:tc>
        <w:tc>
          <w:tcPr>
            <w:tcW w:w="5775" w:type="dxa"/>
            <w:tcBorders>
              <w:top w:val="single" w:color="auto" w:sz="4" w:space="0"/>
              <w:left w:val="single" w:color="auto" w:sz="4" w:space="0"/>
              <w:bottom w:val="single" w:color="auto" w:sz="4" w:space="0"/>
              <w:right w:val="single" w:color="auto" w:sz="4" w:space="0"/>
            </w:tcBorders>
            <w:vAlign w:val="top"/>
          </w:tcPr>
          <w:p w14:paraId="2E5B01AF">
            <w:pPr>
              <w:pStyle w:val="39"/>
              <w:spacing w:before="103" w:line="272" w:lineRule="auto"/>
              <w:ind w:left="123" w:hanging="109"/>
              <w:rPr>
                <w:sz w:val="24"/>
                <w:szCs w:val="24"/>
              </w:rPr>
            </w:pPr>
            <w:r>
              <w:rPr>
                <w:sz w:val="24"/>
                <w:szCs w:val="24"/>
              </w:rPr>
              <w:t>根据土壤质地进行适时灌溉，充分满足生</w:t>
            </w:r>
            <w:r>
              <w:rPr>
                <w:spacing w:val="-1"/>
                <w:sz w:val="24"/>
                <w:szCs w:val="24"/>
              </w:rPr>
              <w:t>长期水量的需要。</w:t>
            </w:r>
          </w:p>
        </w:tc>
      </w:tr>
      <w:tr w14:paraId="18C6F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947" w:type="dxa"/>
            <w:vMerge w:val="continue"/>
            <w:tcBorders>
              <w:top w:val="single" w:color="auto" w:sz="4" w:space="0"/>
              <w:left w:val="single" w:color="auto" w:sz="4" w:space="0"/>
              <w:bottom w:val="single" w:color="auto" w:sz="4" w:space="0"/>
              <w:right w:val="single" w:color="auto" w:sz="4" w:space="0"/>
            </w:tcBorders>
            <w:vAlign w:val="top"/>
          </w:tcPr>
          <w:p w14:paraId="084BBB17">
            <w:pPr>
              <w:rPr>
                <w:rFonts w:ascii="Arial"/>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vAlign w:val="top"/>
          </w:tcPr>
          <w:p w14:paraId="5D24160E">
            <w:pPr>
              <w:jc w:val="center"/>
              <w:rPr>
                <w:rFonts w:ascii="Arial"/>
                <w:sz w:val="24"/>
                <w:szCs w:val="24"/>
              </w:rPr>
            </w:pPr>
          </w:p>
        </w:tc>
        <w:tc>
          <w:tcPr>
            <w:tcW w:w="1472" w:type="dxa"/>
            <w:tcBorders>
              <w:top w:val="single" w:color="auto" w:sz="4" w:space="0"/>
              <w:left w:val="single" w:color="auto" w:sz="4" w:space="0"/>
              <w:bottom w:val="single" w:color="auto" w:sz="4" w:space="0"/>
              <w:right w:val="single" w:color="auto" w:sz="4" w:space="0"/>
            </w:tcBorders>
            <w:vAlign w:val="top"/>
          </w:tcPr>
          <w:p w14:paraId="23F8AC09">
            <w:pPr>
              <w:pStyle w:val="39"/>
              <w:spacing w:before="322" w:line="219" w:lineRule="auto"/>
              <w:ind w:left="82"/>
              <w:jc w:val="center"/>
              <w:rPr>
                <w:sz w:val="24"/>
                <w:szCs w:val="24"/>
              </w:rPr>
            </w:pPr>
            <w:r>
              <w:rPr>
                <w:spacing w:val="3"/>
                <w:sz w:val="24"/>
                <w:szCs w:val="24"/>
              </w:rPr>
              <w:t>施肥标准</w:t>
            </w:r>
          </w:p>
        </w:tc>
        <w:tc>
          <w:tcPr>
            <w:tcW w:w="5775" w:type="dxa"/>
            <w:tcBorders>
              <w:top w:val="single" w:color="auto" w:sz="4" w:space="0"/>
              <w:left w:val="single" w:color="auto" w:sz="4" w:space="0"/>
              <w:bottom w:val="single" w:color="auto" w:sz="4" w:space="0"/>
              <w:right w:val="single" w:color="auto" w:sz="4" w:space="0"/>
            </w:tcBorders>
            <w:vAlign w:val="top"/>
          </w:tcPr>
          <w:p w14:paraId="5DA142A4">
            <w:pPr>
              <w:pStyle w:val="39"/>
              <w:spacing w:before="144" w:line="258" w:lineRule="auto"/>
              <w:ind w:left="103" w:right="81" w:hanging="39"/>
              <w:rPr>
                <w:sz w:val="24"/>
                <w:szCs w:val="24"/>
              </w:rPr>
            </w:pPr>
            <w:r>
              <w:rPr>
                <w:sz w:val="24"/>
                <w:szCs w:val="24"/>
              </w:rPr>
              <w:t>在春或秋季进行施肥1次，严禁裸施，肥</w:t>
            </w:r>
            <w:r>
              <w:rPr>
                <w:spacing w:val="-1"/>
                <w:sz w:val="24"/>
                <w:szCs w:val="24"/>
              </w:rPr>
              <w:t>料要埋施；施后及时灌水、找平。</w:t>
            </w:r>
          </w:p>
        </w:tc>
      </w:tr>
      <w:tr w14:paraId="23AD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7" w:hRule="atLeast"/>
        </w:trPr>
        <w:tc>
          <w:tcPr>
            <w:tcW w:w="947" w:type="dxa"/>
            <w:tcBorders>
              <w:top w:val="single" w:color="auto" w:sz="4" w:space="0"/>
            </w:tcBorders>
            <w:vAlign w:val="top"/>
          </w:tcPr>
          <w:p w14:paraId="27C88784">
            <w:pPr>
              <w:spacing w:line="247" w:lineRule="auto"/>
              <w:jc w:val="center"/>
              <w:rPr>
                <w:rFonts w:ascii="Arial"/>
                <w:sz w:val="24"/>
                <w:szCs w:val="24"/>
              </w:rPr>
            </w:pPr>
          </w:p>
          <w:p w14:paraId="1BBCF1B8">
            <w:pPr>
              <w:spacing w:line="247" w:lineRule="auto"/>
              <w:jc w:val="center"/>
              <w:rPr>
                <w:rFonts w:ascii="Arial"/>
                <w:sz w:val="24"/>
                <w:szCs w:val="24"/>
              </w:rPr>
            </w:pPr>
          </w:p>
          <w:p w14:paraId="5D9CD4E0">
            <w:pPr>
              <w:spacing w:line="248" w:lineRule="auto"/>
              <w:jc w:val="center"/>
              <w:rPr>
                <w:rFonts w:ascii="Arial"/>
                <w:sz w:val="24"/>
                <w:szCs w:val="24"/>
              </w:rPr>
            </w:pPr>
          </w:p>
          <w:p w14:paraId="135F5278">
            <w:pPr>
              <w:spacing w:line="248" w:lineRule="auto"/>
              <w:jc w:val="center"/>
              <w:rPr>
                <w:rFonts w:ascii="Arial"/>
                <w:sz w:val="24"/>
                <w:szCs w:val="24"/>
              </w:rPr>
            </w:pPr>
          </w:p>
          <w:p w14:paraId="342205C8">
            <w:pPr>
              <w:spacing w:line="248" w:lineRule="auto"/>
              <w:jc w:val="center"/>
              <w:rPr>
                <w:rFonts w:ascii="Arial"/>
                <w:sz w:val="24"/>
                <w:szCs w:val="24"/>
              </w:rPr>
            </w:pPr>
          </w:p>
          <w:p w14:paraId="6B5E2CF7">
            <w:pPr>
              <w:spacing w:line="248" w:lineRule="auto"/>
              <w:jc w:val="center"/>
              <w:rPr>
                <w:rFonts w:ascii="Arial"/>
                <w:sz w:val="24"/>
                <w:szCs w:val="24"/>
              </w:rPr>
            </w:pPr>
          </w:p>
          <w:p w14:paraId="10AC5074">
            <w:pPr>
              <w:spacing w:line="248" w:lineRule="auto"/>
              <w:jc w:val="center"/>
              <w:rPr>
                <w:rFonts w:ascii="Arial"/>
                <w:sz w:val="24"/>
                <w:szCs w:val="24"/>
              </w:rPr>
            </w:pPr>
          </w:p>
          <w:p w14:paraId="056F2E77">
            <w:pPr>
              <w:spacing w:line="248" w:lineRule="auto"/>
              <w:jc w:val="center"/>
              <w:rPr>
                <w:rFonts w:ascii="Arial"/>
                <w:sz w:val="24"/>
                <w:szCs w:val="24"/>
              </w:rPr>
            </w:pPr>
          </w:p>
          <w:p w14:paraId="5C43F5DB">
            <w:pPr>
              <w:spacing w:line="248" w:lineRule="auto"/>
              <w:jc w:val="center"/>
              <w:rPr>
                <w:rFonts w:ascii="Arial"/>
                <w:sz w:val="24"/>
                <w:szCs w:val="24"/>
              </w:rPr>
            </w:pPr>
          </w:p>
          <w:p w14:paraId="7783B909">
            <w:pPr>
              <w:spacing w:line="248" w:lineRule="auto"/>
              <w:jc w:val="center"/>
              <w:rPr>
                <w:rFonts w:ascii="Arial"/>
                <w:sz w:val="24"/>
                <w:szCs w:val="24"/>
              </w:rPr>
            </w:pPr>
          </w:p>
          <w:p w14:paraId="0141259E">
            <w:pPr>
              <w:pStyle w:val="39"/>
              <w:spacing w:before="88"/>
              <w:ind w:left="474"/>
              <w:jc w:val="both"/>
              <w:rPr>
                <w:sz w:val="24"/>
                <w:szCs w:val="24"/>
              </w:rPr>
            </w:pPr>
            <w:r>
              <w:rPr>
                <w:sz w:val="24"/>
                <w:szCs w:val="24"/>
              </w:rPr>
              <w:t>5</w:t>
            </w:r>
          </w:p>
        </w:tc>
        <w:tc>
          <w:tcPr>
            <w:tcW w:w="1453" w:type="dxa"/>
            <w:tcBorders>
              <w:top w:val="single" w:color="auto" w:sz="4" w:space="0"/>
            </w:tcBorders>
            <w:vAlign w:val="top"/>
          </w:tcPr>
          <w:p w14:paraId="08532DB0">
            <w:pPr>
              <w:spacing w:line="255" w:lineRule="auto"/>
              <w:jc w:val="center"/>
              <w:rPr>
                <w:rFonts w:ascii="Arial"/>
                <w:sz w:val="24"/>
                <w:szCs w:val="24"/>
              </w:rPr>
            </w:pPr>
          </w:p>
          <w:p w14:paraId="35C3AE97">
            <w:pPr>
              <w:spacing w:line="255" w:lineRule="auto"/>
              <w:jc w:val="center"/>
              <w:rPr>
                <w:rFonts w:ascii="Arial"/>
                <w:sz w:val="24"/>
                <w:szCs w:val="24"/>
              </w:rPr>
            </w:pPr>
          </w:p>
          <w:p w14:paraId="5C774694">
            <w:pPr>
              <w:spacing w:line="255" w:lineRule="auto"/>
              <w:jc w:val="center"/>
              <w:rPr>
                <w:rFonts w:ascii="Arial"/>
                <w:sz w:val="24"/>
                <w:szCs w:val="24"/>
              </w:rPr>
            </w:pPr>
          </w:p>
          <w:p w14:paraId="36B49AF6">
            <w:pPr>
              <w:spacing w:line="256" w:lineRule="auto"/>
              <w:jc w:val="center"/>
              <w:rPr>
                <w:rFonts w:ascii="Arial"/>
                <w:sz w:val="24"/>
                <w:szCs w:val="24"/>
              </w:rPr>
            </w:pPr>
          </w:p>
          <w:p w14:paraId="5FD76C46">
            <w:pPr>
              <w:spacing w:line="256" w:lineRule="auto"/>
              <w:jc w:val="center"/>
              <w:rPr>
                <w:rFonts w:ascii="Arial"/>
                <w:sz w:val="24"/>
                <w:szCs w:val="24"/>
              </w:rPr>
            </w:pPr>
          </w:p>
          <w:p w14:paraId="58688776">
            <w:pPr>
              <w:pStyle w:val="39"/>
              <w:spacing w:before="88" w:line="220" w:lineRule="auto"/>
              <w:jc w:val="center"/>
              <w:rPr>
                <w:sz w:val="24"/>
                <w:szCs w:val="24"/>
              </w:rPr>
            </w:pPr>
            <w:r>
              <w:rPr>
                <w:spacing w:val="3"/>
                <w:sz w:val="24"/>
                <w:szCs w:val="24"/>
              </w:rPr>
              <w:t>病虫害防</w:t>
            </w:r>
            <w:r>
              <w:rPr>
                <w:sz w:val="24"/>
                <w:szCs w:val="24"/>
              </w:rPr>
              <w:t>治</w:t>
            </w:r>
            <w:r>
              <w:rPr>
                <w:spacing w:val="4"/>
                <w:sz w:val="24"/>
                <w:szCs w:val="24"/>
              </w:rPr>
              <w:t>管理</w:t>
            </w:r>
          </w:p>
        </w:tc>
        <w:tc>
          <w:tcPr>
            <w:tcW w:w="1472" w:type="dxa"/>
            <w:tcBorders>
              <w:top w:val="single" w:color="auto" w:sz="4" w:space="0"/>
            </w:tcBorders>
            <w:vAlign w:val="top"/>
          </w:tcPr>
          <w:p w14:paraId="5722AF95">
            <w:pPr>
              <w:jc w:val="center"/>
              <w:rPr>
                <w:rFonts w:ascii="Arial"/>
                <w:sz w:val="24"/>
                <w:szCs w:val="24"/>
              </w:rPr>
            </w:pPr>
          </w:p>
        </w:tc>
        <w:tc>
          <w:tcPr>
            <w:tcW w:w="5775" w:type="dxa"/>
            <w:tcBorders>
              <w:top w:val="single" w:color="auto" w:sz="4" w:space="0"/>
            </w:tcBorders>
            <w:vAlign w:val="top"/>
          </w:tcPr>
          <w:p w14:paraId="6089C426">
            <w:pPr>
              <w:pStyle w:val="39"/>
              <w:spacing w:before="138" w:line="305" w:lineRule="auto"/>
              <w:jc w:val="both"/>
              <w:rPr>
                <w:sz w:val="24"/>
                <w:szCs w:val="24"/>
              </w:rPr>
            </w:pPr>
            <w:r>
              <w:rPr>
                <w:spacing w:val="2"/>
                <w:sz w:val="24"/>
                <w:szCs w:val="24"/>
              </w:rPr>
              <w:t>林业有害生物防控措施到位，效果显著</w:t>
            </w:r>
            <w:r>
              <w:rPr>
                <w:rFonts w:hint="eastAsia"/>
                <w:spacing w:val="2"/>
                <w:sz w:val="24"/>
                <w:szCs w:val="24"/>
                <w:lang w:eastAsia="zh-CN"/>
              </w:rPr>
              <w:t>；</w:t>
            </w:r>
            <w:r>
              <w:rPr>
                <w:sz w:val="24"/>
                <w:szCs w:val="24"/>
              </w:rPr>
              <w:t>新植、补植苗木必须经植物检疫机构检验</w:t>
            </w:r>
            <w:r>
              <w:rPr>
                <w:spacing w:val="1"/>
                <w:sz w:val="24"/>
                <w:szCs w:val="24"/>
              </w:rPr>
              <w:t xml:space="preserve"> </w:t>
            </w:r>
            <w:r>
              <w:rPr>
                <w:sz w:val="24"/>
                <w:szCs w:val="24"/>
              </w:rPr>
              <w:t>合格后方可种植。对病虫害经常检查、早发现、早除治、应尽量采用生物、物理如对树干涂白，涂毒环，黑光灯诱杀等防止</w:t>
            </w:r>
            <w:r>
              <w:rPr>
                <w:spacing w:val="7"/>
                <w:sz w:val="24"/>
                <w:szCs w:val="24"/>
              </w:rPr>
              <w:t>措施防治，最大限度的减少对环境的污</w:t>
            </w:r>
            <w:r>
              <w:rPr>
                <w:spacing w:val="-1"/>
                <w:sz w:val="24"/>
                <w:szCs w:val="24"/>
              </w:rPr>
              <w:t>染。病虫害的发生率应控制在5%以下，</w:t>
            </w:r>
            <w:r>
              <w:rPr>
                <w:spacing w:val="2"/>
                <w:sz w:val="24"/>
                <w:szCs w:val="24"/>
              </w:rPr>
              <w:t xml:space="preserve"> </w:t>
            </w:r>
            <w:r>
              <w:rPr>
                <w:sz w:val="24"/>
                <w:szCs w:val="24"/>
              </w:rPr>
              <w:t>园林植物叶片上无虫粪、虫网、被虫咬的</w:t>
            </w:r>
            <w:r>
              <w:rPr>
                <w:spacing w:val="14"/>
                <w:sz w:val="24"/>
                <w:szCs w:val="24"/>
              </w:rPr>
              <w:t>叶片每株不得超过2%</w:t>
            </w:r>
            <w:r>
              <w:rPr>
                <w:rFonts w:hint="eastAsia"/>
                <w:spacing w:val="14"/>
                <w:sz w:val="24"/>
                <w:szCs w:val="24"/>
                <w:lang w:eastAsia="zh-CN"/>
              </w:rPr>
              <w:t>；</w:t>
            </w:r>
            <w:r>
              <w:rPr>
                <w:sz w:val="24"/>
                <w:szCs w:val="24"/>
              </w:rPr>
              <w:t>草坪叶色正常，单块病斑面积不得超过</w:t>
            </w:r>
            <w:r>
              <w:rPr>
                <w:spacing w:val="9"/>
                <w:sz w:val="24"/>
                <w:szCs w:val="24"/>
              </w:rPr>
              <w:t xml:space="preserve"> </w:t>
            </w:r>
            <w:r>
              <w:rPr>
                <w:spacing w:val="8"/>
                <w:sz w:val="24"/>
                <w:szCs w:val="24"/>
              </w:rPr>
              <w:t>100</w:t>
            </w:r>
            <w:r>
              <w:rPr>
                <w:sz w:val="24"/>
                <w:szCs w:val="24"/>
              </w:rPr>
              <w:t>cm</w:t>
            </w:r>
            <w:r>
              <w:rPr>
                <w:spacing w:val="8"/>
                <w:sz w:val="24"/>
                <w:szCs w:val="24"/>
              </w:rPr>
              <w:t>²,且颜色变化不明显，未造成斑</w:t>
            </w:r>
            <w:r>
              <w:rPr>
                <w:spacing w:val="1"/>
                <w:sz w:val="24"/>
                <w:szCs w:val="24"/>
              </w:rPr>
              <w:t xml:space="preserve"> </w:t>
            </w:r>
            <w:r>
              <w:rPr>
                <w:spacing w:val="3"/>
                <w:sz w:val="24"/>
                <w:szCs w:val="24"/>
              </w:rPr>
              <w:t>秃，病斑面积不得超过草坪面积的1%。</w:t>
            </w:r>
          </w:p>
        </w:tc>
      </w:tr>
      <w:tr w14:paraId="00857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947" w:type="dxa"/>
            <w:vAlign w:val="top"/>
          </w:tcPr>
          <w:p w14:paraId="78B8F5EC">
            <w:pPr>
              <w:spacing w:line="267" w:lineRule="auto"/>
              <w:jc w:val="center"/>
              <w:rPr>
                <w:rFonts w:ascii="Arial"/>
                <w:sz w:val="24"/>
                <w:szCs w:val="24"/>
              </w:rPr>
            </w:pPr>
          </w:p>
          <w:p w14:paraId="28213941">
            <w:pPr>
              <w:spacing w:line="268" w:lineRule="auto"/>
              <w:jc w:val="center"/>
              <w:rPr>
                <w:rFonts w:ascii="Arial"/>
                <w:sz w:val="24"/>
                <w:szCs w:val="24"/>
              </w:rPr>
            </w:pPr>
          </w:p>
          <w:p w14:paraId="65C62BCA">
            <w:pPr>
              <w:pStyle w:val="39"/>
              <w:spacing w:before="87"/>
              <w:ind w:left="474"/>
              <w:jc w:val="both"/>
              <w:rPr>
                <w:sz w:val="24"/>
                <w:szCs w:val="24"/>
              </w:rPr>
            </w:pPr>
            <w:r>
              <w:rPr>
                <w:sz w:val="24"/>
                <w:szCs w:val="24"/>
              </w:rPr>
              <w:t>6</w:t>
            </w:r>
          </w:p>
        </w:tc>
        <w:tc>
          <w:tcPr>
            <w:tcW w:w="1453" w:type="dxa"/>
            <w:vAlign w:val="top"/>
          </w:tcPr>
          <w:p w14:paraId="27256862">
            <w:pPr>
              <w:spacing w:line="250" w:lineRule="auto"/>
              <w:jc w:val="center"/>
              <w:rPr>
                <w:rFonts w:ascii="Arial"/>
                <w:sz w:val="24"/>
                <w:szCs w:val="24"/>
              </w:rPr>
            </w:pPr>
          </w:p>
          <w:p w14:paraId="20225BA6">
            <w:pPr>
              <w:pStyle w:val="39"/>
              <w:spacing w:before="87" w:line="220" w:lineRule="auto"/>
              <w:jc w:val="center"/>
              <w:rPr>
                <w:sz w:val="24"/>
                <w:szCs w:val="24"/>
              </w:rPr>
            </w:pPr>
            <w:r>
              <w:rPr>
                <w:spacing w:val="3"/>
                <w:sz w:val="24"/>
                <w:szCs w:val="24"/>
              </w:rPr>
              <w:t>环境卫生</w:t>
            </w:r>
          </w:p>
        </w:tc>
        <w:tc>
          <w:tcPr>
            <w:tcW w:w="1472" w:type="dxa"/>
            <w:vAlign w:val="top"/>
          </w:tcPr>
          <w:p w14:paraId="61EDA58A">
            <w:pPr>
              <w:jc w:val="center"/>
              <w:rPr>
                <w:rFonts w:ascii="Arial"/>
                <w:sz w:val="24"/>
                <w:szCs w:val="24"/>
              </w:rPr>
            </w:pPr>
          </w:p>
        </w:tc>
        <w:tc>
          <w:tcPr>
            <w:tcW w:w="5775" w:type="dxa"/>
            <w:vAlign w:val="top"/>
          </w:tcPr>
          <w:p w14:paraId="2D003FEC">
            <w:pPr>
              <w:pStyle w:val="39"/>
              <w:spacing w:before="290" w:line="326" w:lineRule="auto"/>
              <w:ind w:left="113" w:hanging="99"/>
              <w:rPr>
                <w:sz w:val="24"/>
                <w:szCs w:val="24"/>
              </w:rPr>
            </w:pPr>
            <w:r>
              <w:rPr>
                <w:sz w:val="24"/>
                <w:szCs w:val="24"/>
              </w:rPr>
              <w:t>保持绿地内无垃圾杂物；及时保洁，清除</w:t>
            </w:r>
            <w:r>
              <w:rPr>
                <w:spacing w:val="-1"/>
                <w:sz w:val="24"/>
                <w:szCs w:val="24"/>
              </w:rPr>
              <w:t>树挂等污染物。</w:t>
            </w:r>
          </w:p>
        </w:tc>
      </w:tr>
    </w:tbl>
    <w:p w14:paraId="1A7F9DC7">
      <w:pPr>
        <w:pStyle w:val="8"/>
        <w:rPr>
          <w:sz w:val="24"/>
          <w:szCs w:val="24"/>
        </w:rPr>
      </w:pPr>
    </w:p>
    <w:p w14:paraId="49AD9A83">
      <w:pPr>
        <w:rPr>
          <w:sz w:val="24"/>
          <w:szCs w:val="24"/>
        </w:rPr>
        <w:sectPr>
          <w:footerReference r:id="rId7" w:type="default"/>
          <w:pgSz w:w="11900" w:h="16840"/>
          <w:pgMar w:top="893" w:right="1464" w:bottom="505" w:left="1529" w:header="0" w:footer="343" w:gutter="0"/>
          <w:pgNumType w:fmt="decimal"/>
          <w:cols w:space="720" w:num="1"/>
        </w:sectPr>
      </w:pPr>
    </w:p>
    <w:p w14:paraId="7CF28932">
      <w:pPr>
        <w:spacing w:before="104" w:line="219" w:lineRule="auto"/>
        <w:rPr>
          <w:rFonts w:ascii="宋体" w:hAnsi="宋体" w:eastAsia="宋体" w:cs="宋体"/>
          <w:spacing w:val="11"/>
          <w:sz w:val="24"/>
          <w:szCs w:val="24"/>
        </w:rPr>
      </w:pPr>
      <w:r>
        <w:rPr>
          <w:rFonts w:hint="eastAsia" w:ascii="宋体" w:hAnsi="宋体" w:eastAsia="宋体" w:cs="宋体"/>
          <w:spacing w:val="11"/>
          <w:sz w:val="24"/>
          <w:szCs w:val="24"/>
          <w:lang w:val="en-US" w:eastAsia="zh-CN"/>
        </w:rPr>
        <w:t>2、</w:t>
      </w:r>
      <w:r>
        <w:rPr>
          <w:rFonts w:ascii="宋体" w:hAnsi="宋体" w:eastAsia="宋体" w:cs="宋体"/>
          <w:spacing w:val="11"/>
          <w:sz w:val="24"/>
          <w:szCs w:val="24"/>
        </w:rPr>
        <w:t>荒山绿化养护标准</w:t>
      </w:r>
    </w:p>
    <w:p w14:paraId="4FDEE911">
      <w:pPr>
        <w:spacing w:line="135" w:lineRule="exact"/>
        <w:rPr>
          <w:sz w:val="24"/>
          <w:szCs w:val="24"/>
        </w:rPr>
      </w:pPr>
    </w:p>
    <w:tbl>
      <w:tblPr>
        <w:tblStyle w:val="32"/>
        <w:tblW w:w="8999"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2147"/>
        <w:gridCol w:w="6048"/>
      </w:tblGrid>
      <w:tr w14:paraId="70C35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04" w:type="dxa"/>
            <w:vAlign w:val="top"/>
          </w:tcPr>
          <w:p w14:paraId="1D4D9FB1">
            <w:pPr>
              <w:pStyle w:val="39"/>
              <w:spacing w:before="93" w:line="221" w:lineRule="auto"/>
              <w:ind w:left="128"/>
              <w:jc w:val="center"/>
              <w:rPr>
                <w:sz w:val="24"/>
                <w:szCs w:val="24"/>
              </w:rPr>
            </w:pPr>
            <w:r>
              <w:rPr>
                <w:b/>
                <w:bCs/>
                <w:spacing w:val="-6"/>
                <w:sz w:val="24"/>
                <w:szCs w:val="24"/>
              </w:rPr>
              <w:t>序号</w:t>
            </w:r>
          </w:p>
        </w:tc>
        <w:tc>
          <w:tcPr>
            <w:tcW w:w="2147" w:type="dxa"/>
            <w:vAlign w:val="top"/>
          </w:tcPr>
          <w:p w14:paraId="08648601">
            <w:pPr>
              <w:pStyle w:val="39"/>
              <w:spacing w:before="92" w:line="219" w:lineRule="auto"/>
              <w:ind w:left="254"/>
              <w:jc w:val="center"/>
              <w:rPr>
                <w:sz w:val="24"/>
                <w:szCs w:val="24"/>
              </w:rPr>
            </w:pPr>
            <w:r>
              <w:rPr>
                <w:b/>
                <w:bCs/>
                <w:spacing w:val="4"/>
                <w:sz w:val="24"/>
                <w:szCs w:val="24"/>
              </w:rPr>
              <w:t>养护管理项目</w:t>
            </w:r>
          </w:p>
        </w:tc>
        <w:tc>
          <w:tcPr>
            <w:tcW w:w="6048" w:type="dxa"/>
            <w:vAlign w:val="top"/>
          </w:tcPr>
          <w:p w14:paraId="2A77CBE1">
            <w:pPr>
              <w:pStyle w:val="39"/>
              <w:spacing w:before="92" w:line="219" w:lineRule="auto"/>
              <w:ind w:left="2207"/>
              <w:jc w:val="center"/>
              <w:rPr>
                <w:sz w:val="24"/>
                <w:szCs w:val="24"/>
              </w:rPr>
            </w:pPr>
            <w:r>
              <w:rPr>
                <w:b/>
                <w:bCs/>
                <w:spacing w:val="-5"/>
                <w:sz w:val="24"/>
                <w:szCs w:val="24"/>
              </w:rPr>
              <w:t>养护管理标准</w:t>
            </w:r>
          </w:p>
        </w:tc>
      </w:tr>
      <w:tr w14:paraId="0063A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804" w:type="dxa"/>
            <w:vAlign w:val="top"/>
          </w:tcPr>
          <w:p w14:paraId="7DE67819">
            <w:pPr>
              <w:spacing w:line="349" w:lineRule="auto"/>
              <w:rPr>
                <w:rFonts w:ascii="宋体" w:hAnsi="宋体" w:eastAsia="宋体" w:cs="宋体"/>
                <w:snapToGrid w:val="0"/>
                <w:color w:val="000000"/>
                <w:spacing w:val="-1"/>
                <w:kern w:val="0"/>
                <w:sz w:val="24"/>
                <w:szCs w:val="24"/>
                <w:lang w:val="en-US" w:eastAsia="en-US" w:bidi="ar-SA"/>
              </w:rPr>
            </w:pPr>
          </w:p>
          <w:p w14:paraId="4B395CB2">
            <w:pPr>
              <w:spacing w:line="349" w:lineRule="auto"/>
              <w:rPr>
                <w:rFonts w:ascii="宋体" w:hAnsi="宋体" w:eastAsia="宋体" w:cs="宋体"/>
                <w:snapToGrid w:val="0"/>
                <w:color w:val="000000"/>
                <w:spacing w:val="-1"/>
                <w:kern w:val="0"/>
                <w:sz w:val="24"/>
                <w:szCs w:val="24"/>
                <w:lang w:val="en-US" w:eastAsia="en-US" w:bidi="ar-SA"/>
              </w:rPr>
            </w:pPr>
          </w:p>
          <w:p w14:paraId="1EE3FD19">
            <w:pPr>
              <w:pStyle w:val="39"/>
              <w:spacing w:before="88" w:line="241" w:lineRule="auto"/>
              <w:ind w:left="328"/>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1</w:t>
            </w:r>
          </w:p>
        </w:tc>
        <w:tc>
          <w:tcPr>
            <w:tcW w:w="2147" w:type="dxa"/>
            <w:vAlign w:val="top"/>
          </w:tcPr>
          <w:p w14:paraId="1912584A">
            <w:pPr>
              <w:spacing w:line="336" w:lineRule="auto"/>
              <w:jc w:val="center"/>
              <w:rPr>
                <w:rFonts w:ascii="宋体" w:hAnsi="宋体" w:eastAsia="宋体" w:cs="宋体"/>
                <w:snapToGrid w:val="0"/>
                <w:color w:val="000000"/>
                <w:spacing w:val="-1"/>
                <w:kern w:val="0"/>
                <w:sz w:val="24"/>
                <w:szCs w:val="24"/>
                <w:lang w:val="en-US" w:eastAsia="en-US" w:bidi="ar-SA"/>
              </w:rPr>
            </w:pPr>
          </w:p>
          <w:p w14:paraId="445D8124">
            <w:pPr>
              <w:spacing w:line="336" w:lineRule="auto"/>
              <w:jc w:val="center"/>
              <w:rPr>
                <w:rFonts w:ascii="宋体" w:hAnsi="宋体" w:eastAsia="宋体" w:cs="宋体"/>
                <w:snapToGrid w:val="0"/>
                <w:color w:val="000000"/>
                <w:spacing w:val="-1"/>
                <w:kern w:val="0"/>
                <w:sz w:val="24"/>
                <w:szCs w:val="24"/>
                <w:lang w:val="en-US" w:eastAsia="en-US" w:bidi="ar-SA"/>
              </w:rPr>
            </w:pPr>
          </w:p>
          <w:p w14:paraId="02918144">
            <w:pPr>
              <w:pStyle w:val="39"/>
              <w:spacing w:before="88" w:line="220" w:lineRule="auto"/>
              <w:ind w:left="790"/>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乔木</w:t>
            </w:r>
          </w:p>
        </w:tc>
        <w:tc>
          <w:tcPr>
            <w:tcW w:w="6048" w:type="dxa"/>
            <w:vAlign w:val="top"/>
          </w:tcPr>
          <w:p w14:paraId="2DEECED5">
            <w:pPr>
              <w:pStyle w:val="39"/>
              <w:spacing w:before="86" w:line="289" w:lineRule="auto"/>
              <w:jc w:val="left"/>
              <w:rPr>
                <w:rFonts w:ascii="宋体" w:hAnsi="宋体" w:eastAsia="宋体" w:cs="宋体"/>
                <w:snapToGrid w:val="0"/>
                <w:color w:val="000000"/>
                <w:spacing w:val="-1"/>
                <w:kern w:val="0"/>
                <w:sz w:val="24"/>
                <w:szCs w:val="24"/>
                <w:lang w:val="en-US" w:eastAsia="en-US" w:bidi="ar-SA"/>
              </w:rPr>
            </w:pPr>
          </w:p>
          <w:p w14:paraId="54DD7192">
            <w:pPr>
              <w:pStyle w:val="39"/>
              <w:spacing w:before="86" w:line="289" w:lineRule="auto"/>
              <w:jc w:val="left"/>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生长基本正常；死树、缺株应低于2%,及时清除死  树；每年适度修剪1次；每年应对树干涂白一次； 每两年施肥一次；补植成活率达到95%以上，保存率达到90%以上。</w:t>
            </w:r>
          </w:p>
        </w:tc>
      </w:tr>
      <w:tr w14:paraId="008E9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804" w:type="dxa"/>
            <w:vAlign w:val="top"/>
          </w:tcPr>
          <w:p w14:paraId="10BF4E4F">
            <w:pPr>
              <w:spacing w:line="472" w:lineRule="auto"/>
              <w:rPr>
                <w:rFonts w:ascii="Arial"/>
                <w:sz w:val="24"/>
                <w:szCs w:val="24"/>
              </w:rPr>
            </w:pPr>
          </w:p>
          <w:p w14:paraId="274785DF">
            <w:pPr>
              <w:pStyle w:val="39"/>
              <w:spacing w:before="88" w:line="241" w:lineRule="auto"/>
              <w:ind w:left="314" w:leftChars="0"/>
              <w:rPr>
                <w:b/>
                <w:bCs/>
                <w:spacing w:val="-3"/>
                <w:sz w:val="24"/>
                <w:szCs w:val="24"/>
              </w:rPr>
            </w:pPr>
            <w:r>
              <w:rPr>
                <w:sz w:val="24"/>
                <w:szCs w:val="24"/>
              </w:rPr>
              <w:t>2</w:t>
            </w:r>
          </w:p>
        </w:tc>
        <w:tc>
          <w:tcPr>
            <w:tcW w:w="2147" w:type="dxa"/>
            <w:vAlign w:val="top"/>
          </w:tcPr>
          <w:p w14:paraId="66FDD8E4">
            <w:pPr>
              <w:spacing w:line="445" w:lineRule="auto"/>
              <w:jc w:val="center"/>
              <w:rPr>
                <w:rFonts w:ascii="Arial"/>
                <w:sz w:val="24"/>
                <w:szCs w:val="24"/>
              </w:rPr>
            </w:pPr>
          </w:p>
          <w:p w14:paraId="62D6F8C8">
            <w:pPr>
              <w:pStyle w:val="39"/>
              <w:spacing w:before="88" w:line="219" w:lineRule="auto"/>
              <w:ind w:left="800" w:leftChars="0"/>
              <w:jc w:val="both"/>
              <w:rPr>
                <w:spacing w:val="6"/>
                <w:sz w:val="24"/>
                <w:szCs w:val="24"/>
              </w:rPr>
            </w:pPr>
            <w:r>
              <w:rPr>
                <w:spacing w:val="6"/>
                <w:sz w:val="24"/>
                <w:szCs w:val="24"/>
              </w:rPr>
              <w:t>灌木</w:t>
            </w:r>
          </w:p>
        </w:tc>
        <w:tc>
          <w:tcPr>
            <w:tcW w:w="6048" w:type="dxa"/>
            <w:vAlign w:val="top"/>
          </w:tcPr>
          <w:p w14:paraId="582C847F">
            <w:pPr>
              <w:pStyle w:val="39"/>
              <w:spacing w:before="111" w:line="276" w:lineRule="auto"/>
              <w:ind w:right="9" w:rightChars="0"/>
              <w:jc w:val="left"/>
              <w:rPr>
                <w:spacing w:val="3"/>
                <w:sz w:val="24"/>
                <w:szCs w:val="24"/>
              </w:rPr>
            </w:pPr>
          </w:p>
          <w:p w14:paraId="167C5455">
            <w:pPr>
              <w:pStyle w:val="39"/>
              <w:spacing w:before="111" w:line="276" w:lineRule="auto"/>
              <w:ind w:right="9" w:rightChars="0"/>
              <w:jc w:val="left"/>
              <w:rPr>
                <w:b/>
                <w:bCs/>
                <w:spacing w:val="-4"/>
                <w:sz w:val="24"/>
                <w:szCs w:val="24"/>
              </w:rPr>
            </w:pPr>
            <w:r>
              <w:rPr>
                <w:spacing w:val="3"/>
                <w:sz w:val="24"/>
                <w:szCs w:val="24"/>
              </w:rPr>
              <w:t>生长基本正常，无明显旱象，死株、缺株低于2%,</w:t>
            </w:r>
            <w:r>
              <w:rPr>
                <w:spacing w:val="18"/>
                <w:sz w:val="24"/>
                <w:szCs w:val="24"/>
              </w:rPr>
              <w:t xml:space="preserve"> </w:t>
            </w:r>
            <w:r>
              <w:rPr>
                <w:spacing w:val="-1"/>
                <w:sz w:val="24"/>
                <w:szCs w:val="24"/>
              </w:rPr>
              <w:t>生长季节基本不落叶。及时清除死株、枯枝；补植</w:t>
            </w:r>
            <w:r>
              <w:rPr>
                <w:spacing w:val="8"/>
                <w:sz w:val="24"/>
                <w:szCs w:val="24"/>
              </w:rPr>
              <w:t xml:space="preserve"> </w:t>
            </w:r>
            <w:r>
              <w:rPr>
                <w:sz w:val="24"/>
                <w:szCs w:val="24"/>
              </w:rPr>
              <w:t>成活率95%,保存率90%以上。</w:t>
            </w:r>
          </w:p>
        </w:tc>
      </w:tr>
      <w:tr w14:paraId="2771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04" w:type="dxa"/>
            <w:vAlign w:val="top"/>
          </w:tcPr>
          <w:p w14:paraId="734A40DC">
            <w:pPr>
              <w:pStyle w:val="39"/>
              <w:spacing w:before="230" w:line="211" w:lineRule="auto"/>
              <w:ind w:left="314" w:leftChars="0"/>
              <w:rPr>
                <w:b/>
                <w:bCs/>
                <w:spacing w:val="-3"/>
                <w:sz w:val="24"/>
                <w:szCs w:val="24"/>
              </w:rPr>
            </w:pPr>
            <w:r>
              <w:rPr>
                <w:sz w:val="24"/>
                <w:szCs w:val="24"/>
              </w:rPr>
              <w:t>3</w:t>
            </w:r>
          </w:p>
        </w:tc>
        <w:tc>
          <w:tcPr>
            <w:tcW w:w="2147" w:type="dxa"/>
            <w:vAlign w:val="top"/>
          </w:tcPr>
          <w:p w14:paraId="4C83A5AE">
            <w:pPr>
              <w:pStyle w:val="39"/>
              <w:spacing w:before="145" w:line="221" w:lineRule="auto"/>
              <w:ind w:left="800" w:leftChars="0"/>
              <w:jc w:val="both"/>
              <w:rPr>
                <w:spacing w:val="6"/>
                <w:sz w:val="24"/>
                <w:szCs w:val="24"/>
              </w:rPr>
            </w:pPr>
            <w:r>
              <w:rPr>
                <w:spacing w:val="4"/>
                <w:sz w:val="24"/>
                <w:szCs w:val="24"/>
              </w:rPr>
              <w:t>花卉</w:t>
            </w:r>
          </w:p>
        </w:tc>
        <w:tc>
          <w:tcPr>
            <w:tcW w:w="6048" w:type="dxa"/>
            <w:vAlign w:val="top"/>
          </w:tcPr>
          <w:p w14:paraId="6B3285E0">
            <w:pPr>
              <w:pStyle w:val="39"/>
              <w:spacing w:before="194" w:line="219" w:lineRule="auto"/>
              <w:jc w:val="left"/>
              <w:rPr>
                <w:b/>
                <w:bCs/>
                <w:spacing w:val="-4"/>
                <w:sz w:val="24"/>
                <w:szCs w:val="24"/>
              </w:rPr>
            </w:pPr>
            <w:r>
              <w:rPr>
                <w:sz w:val="24"/>
                <w:szCs w:val="24"/>
              </w:rPr>
              <w:t>花卉生长正常，定期更换、补植及时。</w:t>
            </w:r>
          </w:p>
        </w:tc>
      </w:tr>
      <w:tr w14:paraId="63C5C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04" w:type="dxa"/>
            <w:vAlign w:val="top"/>
          </w:tcPr>
          <w:p w14:paraId="563D5067">
            <w:pPr>
              <w:spacing w:line="282" w:lineRule="auto"/>
              <w:rPr>
                <w:rFonts w:ascii="Arial"/>
                <w:sz w:val="24"/>
                <w:szCs w:val="24"/>
              </w:rPr>
            </w:pPr>
          </w:p>
          <w:p w14:paraId="617E8529">
            <w:pPr>
              <w:pStyle w:val="39"/>
              <w:spacing w:before="88" w:line="241" w:lineRule="auto"/>
              <w:ind w:left="314" w:leftChars="0"/>
              <w:rPr>
                <w:b/>
                <w:bCs/>
                <w:spacing w:val="-3"/>
                <w:sz w:val="24"/>
                <w:szCs w:val="24"/>
              </w:rPr>
            </w:pPr>
            <w:r>
              <w:rPr>
                <w:sz w:val="24"/>
                <w:szCs w:val="24"/>
              </w:rPr>
              <w:t>4</w:t>
            </w:r>
          </w:p>
        </w:tc>
        <w:tc>
          <w:tcPr>
            <w:tcW w:w="2147" w:type="dxa"/>
            <w:vAlign w:val="top"/>
          </w:tcPr>
          <w:p w14:paraId="2B21DC28">
            <w:pPr>
              <w:spacing w:line="255" w:lineRule="auto"/>
              <w:jc w:val="center"/>
              <w:rPr>
                <w:rFonts w:ascii="Arial"/>
                <w:sz w:val="24"/>
                <w:szCs w:val="24"/>
              </w:rPr>
            </w:pPr>
          </w:p>
          <w:p w14:paraId="2D0BDA4C">
            <w:pPr>
              <w:pStyle w:val="39"/>
              <w:spacing w:before="88" w:line="219" w:lineRule="auto"/>
              <w:ind w:left="800" w:leftChars="0"/>
              <w:jc w:val="both"/>
              <w:rPr>
                <w:spacing w:val="6"/>
                <w:sz w:val="24"/>
                <w:szCs w:val="24"/>
              </w:rPr>
            </w:pPr>
            <w:r>
              <w:rPr>
                <w:spacing w:val="4"/>
                <w:sz w:val="24"/>
                <w:szCs w:val="24"/>
              </w:rPr>
              <w:t>灌溉</w:t>
            </w:r>
          </w:p>
        </w:tc>
        <w:tc>
          <w:tcPr>
            <w:tcW w:w="6048" w:type="dxa"/>
            <w:vAlign w:val="top"/>
          </w:tcPr>
          <w:p w14:paraId="60585B3A">
            <w:pPr>
              <w:pStyle w:val="39"/>
              <w:spacing w:before="146" w:line="267" w:lineRule="auto"/>
              <w:jc w:val="left"/>
              <w:rPr>
                <w:b/>
                <w:bCs/>
                <w:spacing w:val="-4"/>
                <w:sz w:val="24"/>
                <w:szCs w:val="24"/>
              </w:rPr>
            </w:pPr>
            <w:r>
              <w:rPr>
                <w:sz w:val="24"/>
                <w:szCs w:val="24"/>
              </w:rPr>
              <w:t>水量适当，无跑水和外溢现象，树木无旱情。定期</w:t>
            </w:r>
            <w:r>
              <w:rPr>
                <w:spacing w:val="6"/>
                <w:sz w:val="24"/>
                <w:szCs w:val="24"/>
              </w:rPr>
              <w:t xml:space="preserve"> </w:t>
            </w:r>
            <w:r>
              <w:rPr>
                <w:spacing w:val="-1"/>
                <w:sz w:val="24"/>
                <w:szCs w:val="24"/>
              </w:rPr>
              <w:t>检查维修灌溉水网，入冬前，灌溉管网及时排水。</w:t>
            </w:r>
          </w:p>
        </w:tc>
      </w:tr>
      <w:tr w14:paraId="14F5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04" w:type="dxa"/>
            <w:vAlign w:val="top"/>
          </w:tcPr>
          <w:p w14:paraId="554C80D4">
            <w:pPr>
              <w:spacing w:line="255" w:lineRule="auto"/>
              <w:rPr>
                <w:rFonts w:ascii="Arial"/>
                <w:sz w:val="24"/>
                <w:szCs w:val="24"/>
              </w:rPr>
            </w:pPr>
          </w:p>
          <w:p w14:paraId="5D23F893">
            <w:pPr>
              <w:pStyle w:val="39"/>
              <w:spacing w:before="87"/>
              <w:ind w:left="314" w:leftChars="0"/>
              <w:rPr>
                <w:b/>
                <w:bCs/>
                <w:spacing w:val="-3"/>
                <w:sz w:val="24"/>
                <w:szCs w:val="24"/>
              </w:rPr>
            </w:pPr>
            <w:r>
              <w:rPr>
                <w:sz w:val="24"/>
                <w:szCs w:val="24"/>
              </w:rPr>
              <w:t>5</w:t>
            </w:r>
          </w:p>
        </w:tc>
        <w:tc>
          <w:tcPr>
            <w:tcW w:w="2147" w:type="dxa"/>
            <w:vAlign w:val="top"/>
          </w:tcPr>
          <w:p w14:paraId="1E875CA6">
            <w:pPr>
              <w:pStyle w:val="39"/>
              <w:spacing w:before="117" w:line="260" w:lineRule="auto"/>
              <w:ind w:left="929" w:leftChars="0" w:right="121" w:rightChars="0" w:hanging="809" w:firstLineChars="0"/>
              <w:jc w:val="both"/>
              <w:rPr>
                <w:spacing w:val="6"/>
                <w:sz w:val="24"/>
                <w:szCs w:val="24"/>
              </w:rPr>
            </w:pPr>
            <w:r>
              <w:rPr>
                <w:spacing w:val="2"/>
                <w:sz w:val="24"/>
                <w:szCs w:val="24"/>
              </w:rPr>
              <w:t>林业有害生物防</w:t>
            </w:r>
            <w:r>
              <w:rPr>
                <w:sz w:val="24"/>
                <w:szCs w:val="24"/>
              </w:rPr>
              <w:t xml:space="preserve"> 治</w:t>
            </w:r>
          </w:p>
        </w:tc>
        <w:tc>
          <w:tcPr>
            <w:tcW w:w="6048" w:type="dxa"/>
            <w:vAlign w:val="top"/>
          </w:tcPr>
          <w:p w14:paraId="012F4F37">
            <w:pPr>
              <w:pStyle w:val="39"/>
              <w:spacing w:before="318" w:line="219" w:lineRule="auto"/>
              <w:jc w:val="left"/>
              <w:rPr>
                <w:b/>
                <w:bCs/>
                <w:spacing w:val="-4"/>
                <w:sz w:val="24"/>
                <w:szCs w:val="24"/>
              </w:rPr>
            </w:pPr>
            <w:r>
              <w:rPr>
                <w:spacing w:val="-12"/>
                <w:sz w:val="24"/>
                <w:szCs w:val="24"/>
              </w:rPr>
              <w:t>无大面积明显林业有害生物灾害发生；有管控措施。</w:t>
            </w:r>
          </w:p>
        </w:tc>
      </w:tr>
      <w:tr w14:paraId="1E49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804" w:type="dxa"/>
            <w:vAlign w:val="top"/>
          </w:tcPr>
          <w:p w14:paraId="17426C49">
            <w:pPr>
              <w:pStyle w:val="39"/>
              <w:spacing w:before="186"/>
              <w:ind w:left="314" w:leftChars="0"/>
              <w:rPr>
                <w:b/>
                <w:bCs/>
                <w:spacing w:val="-3"/>
                <w:sz w:val="24"/>
                <w:szCs w:val="24"/>
              </w:rPr>
            </w:pPr>
            <w:r>
              <w:rPr>
                <w:sz w:val="24"/>
                <w:szCs w:val="24"/>
              </w:rPr>
              <w:t>6</w:t>
            </w:r>
          </w:p>
        </w:tc>
        <w:tc>
          <w:tcPr>
            <w:tcW w:w="2147" w:type="dxa"/>
            <w:vAlign w:val="top"/>
          </w:tcPr>
          <w:p w14:paraId="1796FE6B">
            <w:pPr>
              <w:pStyle w:val="39"/>
              <w:spacing w:before="200" w:line="220" w:lineRule="auto"/>
              <w:ind w:left="530" w:leftChars="0"/>
              <w:jc w:val="both"/>
              <w:rPr>
                <w:spacing w:val="6"/>
                <w:sz w:val="24"/>
                <w:szCs w:val="24"/>
              </w:rPr>
            </w:pPr>
            <w:r>
              <w:rPr>
                <w:spacing w:val="3"/>
                <w:sz w:val="24"/>
                <w:szCs w:val="24"/>
              </w:rPr>
              <w:t>环境卫生</w:t>
            </w:r>
          </w:p>
        </w:tc>
        <w:tc>
          <w:tcPr>
            <w:tcW w:w="6048" w:type="dxa"/>
            <w:vAlign w:val="top"/>
          </w:tcPr>
          <w:p w14:paraId="53523B8C">
            <w:pPr>
              <w:pStyle w:val="39"/>
              <w:spacing w:before="200" w:line="219" w:lineRule="auto"/>
              <w:jc w:val="left"/>
              <w:rPr>
                <w:b/>
                <w:bCs/>
                <w:spacing w:val="-4"/>
                <w:sz w:val="24"/>
                <w:szCs w:val="24"/>
              </w:rPr>
            </w:pPr>
            <w:r>
              <w:rPr>
                <w:sz w:val="24"/>
                <w:szCs w:val="24"/>
              </w:rPr>
              <w:t>定期清理垃圾等杂物。</w:t>
            </w:r>
          </w:p>
        </w:tc>
      </w:tr>
    </w:tbl>
    <w:p w14:paraId="7643160C">
      <w:pPr>
        <w:rPr>
          <w:sz w:val="24"/>
          <w:szCs w:val="24"/>
        </w:rPr>
        <w:sectPr>
          <w:footerReference r:id="rId8" w:type="default"/>
          <w:pgSz w:w="11900" w:h="16840"/>
          <w:pgMar w:top="355" w:right="1368" w:bottom="462" w:left="1395" w:header="0" w:footer="327" w:gutter="0"/>
          <w:pgNumType w:fmt="decimal"/>
          <w:cols w:space="720" w:num="1"/>
        </w:sectPr>
      </w:pPr>
    </w:p>
    <w:p w14:paraId="429D02D0">
      <w:pPr>
        <w:spacing w:before="167" w:line="222" w:lineRule="auto"/>
        <w:jc w:val="left"/>
        <w:outlineLvl w:val="1"/>
        <w:rPr>
          <w:rFonts w:ascii="黑体" w:hAnsi="黑体" w:eastAsia="黑体" w:cs="黑体"/>
          <w:sz w:val="24"/>
          <w:szCs w:val="24"/>
        </w:rPr>
      </w:pPr>
      <w:r>
        <w:rPr>
          <w:rFonts w:ascii="黑体" w:hAnsi="黑体" w:eastAsia="黑体" w:cs="黑体"/>
          <w:b/>
          <w:bCs/>
          <w:spacing w:val="-23"/>
          <w:sz w:val="24"/>
          <w:szCs w:val="24"/>
        </w:rPr>
        <w:t>考核标准</w:t>
      </w:r>
    </w:p>
    <w:p w14:paraId="70131063">
      <w:pPr>
        <w:spacing w:before="299" w:line="219" w:lineRule="auto"/>
        <w:jc w:val="center"/>
        <w:rPr>
          <w:rFonts w:ascii="宋体" w:hAnsi="宋体" w:eastAsia="宋体" w:cs="宋体"/>
          <w:sz w:val="24"/>
          <w:szCs w:val="24"/>
        </w:rPr>
      </w:pPr>
      <w:r>
        <w:rPr>
          <w:rFonts w:ascii="宋体" w:hAnsi="宋体" w:eastAsia="宋体" w:cs="宋体"/>
          <w:b/>
          <w:bCs/>
          <w:spacing w:val="-4"/>
          <w:sz w:val="24"/>
          <w:szCs w:val="24"/>
        </w:rPr>
        <w:t>水磨沟区</w:t>
      </w:r>
      <w:r>
        <w:rPr>
          <w:rFonts w:hint="eastAsia" w:ascii="宋体" w:hAnsi="宋体" w:eastAsia="宋体" w:cs="宋体"/>
          <w:b/>
          <w:bCs/>
          <w:spacing w:val="-4"/>
          <w:sz w:val="24"/>
          <w:szCs w:val="24"/>
          <w:lang w:val="en-US" w:eastAsia="zh-CN"/>
        </w:rPr>
        <w:t>公共</w:t>
      </w:r>
      <w:r>
        <w:rPr>
          <w:rFonts w:ascii="宋体" w:hAnsi="宋体" w:eastAsia="宋体" w:cs="宋体"/>
          <w:b/>
          <w:bCs/>
          <w:spacing w:val="-4"/>
          <w:sz w:val="24"/>
          <w:szCs w:val="24"/>
        </w:rPr>
        <w:t>绿地市场化养护考核表</w:t>
      </w:r>
    </w:p>
    <w:p w14:paraId="3641A596">
      <w:pPr>
        <w:spacing w:line="149" w:lineRule="exact"/>
        <w:rPr>
          <w:sz w:val="24"/>
          <w:szCs w:val="24"/>
        </w:rPr>
      </w:pPr>
    </w:p>
    <w:tbl>
      <w:tblPr>
        <w:tblStyle w:val="32"/>
        <w:tblW w:w="14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566"/>
        <w:gridCol w:w="2811"/>
        <w:gridCol w:w="3879"/>
        <w:gridCol w:w="960"/>
        <w:gridCol w:w="2877"/>
        <w:gridCol w:w="929"/>
        <w:gridCol w:w="1134"/>
      </w:tblGrid>
      <w:tr w14:paraId="5F41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4" w:type="dxa"/>
            <w:vAlign w:val="top"/>
          </w:tcPr>
          <w:p w14:paraId="4072292F">
            <w:pPr>
              <w:pStyle w:val="39"/>
              <w:spacing w:before="106" w:line="221" w:lineRule="auto"/>
              <w:jc w:val="center"/>
              <w:rPr>
                <w:sz w:val="24"/>
                <w:szCs w:val="24"/>
              </w:rPr>
            </w:pPr>
            <w:r>
              <w:rPr>
                <w:spacing w:val="-21"/>
                <w:sz w:val="24"/>
                <w:szCs w:val="24"/>
              </w:rPr>
              <w:t>号</w:t>
            </w:r>
            <w:r>
              <w:rPr>
                <w:spacing w:val="1"/>
                <w:sz w:val="24"/>
                <w:szCs w:val="24"/>
              </w:rPr>
              <w:t xml:space="preserve">  </w:t>
            </w:r>
            <w:r>
              <w:rPr>
                <w:spacing w:val="-15"/>
                <w:sz w:val="24"/>
                <w:szCs w:val="24"/>
              </w:rPr>
              <w:t>序</w:t>
            </w:r>
          </w:p>
        </w:tc>
        <w:tc>
          <w:tcPr>
            <w:tcW w:w="1566" w:type="dxa"/>
            <w:vAlign w:val="top"/>
          </w:tcPr>
          <w:p w14:paraId="3B2EF97E">
            <w:pPr>
              <w:pStyle w:val="39"/>
              <w:spacing w:before="105" w:line="219" w:lineRule="auto"/>
              <w:ind w:left="170"/>
              <w:jc w:val="center"/>
              <w:rPr>
                <w:sz w:val="24"/>
                <w:szCs w:val="24"/>
              </w:rPr>
            </w:pPr>
            <w:r>
              <w:rPr>
                <w:spacing w:val="11"/>
                <w:sz w:val="24"/>
                <w:szCs w:val="24"/>
              </w:rPr>
              <w:t>检查项目</w:t>
            </w:r>
          </w:p>
        </w:tc>
        <w:tc>
          <w:tcPr>
            <w:tcW w:w="2811" w:type="dxa"/>
            <w:vAlign w:val="top"/>
          </w:tcPr>
          <w:p w14:paraId="4EB0165D">
            <w:pPr>
              <w:pStyle w:val="39"/>
              <w:spacing w:before="106" w:line="220" w:lineRule="auto"/>
              <w:jc w:val="center"/>
              <w:rPr>
                <w:sz w:val="24"/>
                <w:szCs w:val="24"/>
              </w:rPr>
            </w:pPr>
            <w:r>
              <w:rPr>
                <w:spacing w:val="2"/>
                <w:sz w:val="24"/>
                <w:szCs w:val="24"/>
              </w:rPr>
              <w:t>所达标准</w:t>
            </w:r>
          </w:p>
        </w:tc>
        <w:tc>
          <w:tcPr>
            <w:tcW w:w="3879" w:type="dxa"/>
            <w:vAlign w:val="top"/>
          </w:tcPr>
          <w:p w14:paraId="25C6E1B4">
            <w:pPr>
              <w:pStyle w:val="39"/>
              <w:spacing w:before="105" w:line="219" w:lineRule="auto"/>
              <w:jc w:val="center"/>
              <w:rPr>
                <w:sz w:val="24"/>
                <w:szCs w:val="24"/>
              </w:rPr>
            </w:pPr>
            <w:r>
              <w:rPr>
                <w:spacing w:val="3"/>
                <w:sz w:val="24"/>
                <w:szCs w:val="24"/>
              </w:rPr>
              <w:t>检查内容</w:t>
            </w:r>
          </w:p>
        </w:tc>
        <w:tc>
          <w:tcPr>
            <w:tcW w:w="960" w:type="dxa"/>
            <w:vAlign w:val="top"/>
          </w:tcPr>
          <w:p w14:paraId="4228461C">
            <w:pPr>
              <w:pStyle w:val="39"/>
              <w:spacing w:before="105" w:line="219" w:lineRule="auto"/>
              <w:ind w:left="105"/>
              <w:jc w:val="center"/>
              <w:rPr>
                <w:sz w:val="24"/>
                <w:szCs w:val="24"/>
              </w:rPr>
            </w:pPr>
            <w:r>
              <w:rPr>
                <w:spacing w:val="-5"/>
                <w:sz w:val="24"/>
                <w:szCs w:val="24"/>
              </w:rPr>
              <w:t>值</w:t>
            </w:r>
            <w:r>
              <w:rPr>
                <w:spacing w:val="1"/>
                <w:sz w:val="24"/>
                <w:szCs w:val="24"/>
              </w:rPr>
              <w:t xml:space="preserve">  </w:t>
            </w:r>
            <w:r>
              <w:rPr>
                <w:spacing w:val="-5"/>
                <w:sz w:val="24"/>
                <w:szCs w:val="24"/>
              </w:rPr>
              <w:t>分</w:t>
            </w:r>
          </w:p>
        </w:tc>
        <w:tc>
          <w:tcPr>
            <w:tcW w:w="2877" w:type="dxa"/>
            <w:vAlign w:val="top"/>
          </w:tcPr>
          <w:p w14:paraId="7A897491">
            <w:pPr>
              <w:pStyle w:val="39"/>
              <w:spacing w:before="106" w:line="220" w:lineRule="auto"/>
              <w:jc w:val="center"/>
              <w:rPr>
                <w:sz w:val="24"/>
                <w:szCs w:val="24"/>
              </w:rPr>
            </w:pPr>
            <w:r>
              <w:rPr>
                <w:spacing w:val="2"/>
                <w:sz w:val="24"/>
                <w:szCs w:val="24"/>
              </w:rPr>
              <w:t>扣分标准</w:t>
            </w:r>
          </w:p>
        </w:tc>
        <w:tc>
          <w:tcPr>
            <w:tcW w:w="929" w:type="dxa"/>
            <w:vAlign w:val="top"/>
          </w:tcPr>
          <w:p w14:paraId="4355BD55">
            <w:pPr>
              <w:pStyle w:val="39"/>
              <w:spacing w:before="105" w:line="219" w:lineRule="auto"/>
              <w:ind w:left="17"/>
              <w:jc w:val="center"/>
              <w:rPr>
                <w:sz w:val="24"/>
                <w:szCs w:val="24"/>
              </w:rPr>
            </w:pPr>
            <w:r>
              <w:rPr>
                <w:spacing w:val="2"/>
                <w:sz w:val="24"/>
                <w:szCs w:val="24"/>
              </w:rPr>
              <w:t>所得分数</w:t>
            </w:r>
          </w:p>
        </w:tc>
        <w:tc>
          <w:tcPr>
            <w:tcW w:w="1134" w:type="dxa"/>
            <w:vAlign w:val="top"/>
          </w:tcPr>
          <w:p w14:paraId="638478C4">
            <w:pPr>
              <w:pStyle w:val="39"/>
              <w:spacing w:before="106" w:line="221" w:lineRule="auto"/>
              <w:ind w:left="298"/>
              <w:jc w:val="center"/>
              <w:rPr>
                <w:sz w:val="24"/>
                <w:szCs w:val="24"/>
              </w:rPr>
            </w:pPr>
            <w:r>
              <w:rPr>
                <w:spacing w:val="6"/>
                <w:sz w:val="24"/>
                <w:szCs w:val="24"/>
              </w:rPr>
              <w:t>备注</w:t>
            </w:r>
          </w:p>
        </w:tc>
      </w:tr>
      <w:tr w14:paraId="211FB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4" w:type="dxa"/>
            <w:vAlign w:val="top"/>
          </w:tcPr>
          <w:p w14:paraId="180D6EEB">
            <w:pPr>
              <w:jc w:val="center"/>
              <w:rPr>
                <w:rFonts w:ascii="Arial"/>
                <w:sz w:val="24"/>
                <w:szCs w:val="24"/>
              </w:rPr>
            </w:pPr>
          </w:p>
          <w:p w14:paraId="51426FAD">
            <w:pPr>
              <w:spacing w:line="241" w:lineRule="auto"/>
              <w:jc w:val="both"/>
              <w:rPr>
                <w:rFonts w:ascii="Arial"/>
                <w:sz w:val="24"/>
                <w:szCs w:val="24"/>
              </w:rPr>
            </w:pPr>
          </w:p>
          <w:p w14:paraId="514F8AD8">
            <w:pPr>
              <w:spacing w:line="241" w:lineRule="auto"/>
              <w:jc w:val="both"/>
              <w:rPr>
                <w:rFonts w:ascii="Arial"/>
                <w:sz w:val="24"/>
                <w:szCs w:val="24"/>
              </w:rPr>
            </w:pPr>
          </w:p>
          <w:p w14:paraId="6687D37C">
            <w:pPr>
              <w:pStyle w:val="39"/>
              <w:spacing w:before="81" w:line="194" w:lineRule="exact"/>
              <w:ind w:left="234"/>
              <w:jc w:val="center"/>
              <w:rPr>
                <w:sz w:val="24"/>
                <w:szCs w:val="24"/>
              </w:rPr>
            </w:pPr>
            <w:r>
              <w:rPr>
                <w:position w:val="-5"/>
                <w:sz w:val="24"/>
                <w:szCs w:val="24"/>
              </w:rPr>
              <w:t>一</w:t>
            </w:r>
          </w:p>
        </w:tc>
        <w:tc>
          <w:tcPr>
            <w:tcW w:w="1566" w:type="dxa"/>
            <w:vAlign w:val="top"/>
          </w:tcPr>
          <w:p w14:paraId="1F03ED80">
            <w:pPr>
              <w:spacing w:line="285" w:lineRule="auto"/>
              <w:jc w:val="both"/>
              <w:rPr>
                <w:rFonts w:ascii="Arial"/>
                <w:sz w:val="24"/>
                <w:szCs w:val="24"/>
              </w:rPr>
            </w:pPr>
          </w:p>
          <w:p w14:paraId="0275B0AB">
            <w:pPr>
              <w:pStyle w:val="39"/>
              <w:spacing w:before="81" w:line="321" w:lineRule="auto"/>
              <w:ind w:left="290" w:right="44" w:hanging="250"/>
              <w:jc w:val="center"/>
              <w:rPr>
                <w:rFonts w:ascii="宋体" w:hAnsi="宋体" w:eastAsia="宋体" w:cs="宋体"/>
                <w:spacing w:val="2"/>
                <w:sz w:val="24"/>
                <w:szCs w:val="24"/>
              </w:rPr>
            </w:pPr>
          </w:p>
          <w:p w14:paraId="524C1513">
            <w:pPr>
              <w:pStyle w:val="39"/>
              <w:spacing w:before="81" w:line="321" w:lineRule="auto"/>
              <w:ind w:left="290" w:right="44" w:hanging="250"/>
              <w:jc w:val="center"/>
              <w:rPr>
                <w:sz w:val="24"/>
                <w:szCs w:val="24"/>
              </w:rPr>
            </w:pPr>
            <w:r>
              <w:rPr>
                <w:rFonts w:ascii="宋体" w:hAnsi="宋体" w:eastAsia="宋体" w:cs="宋体"/>
                <w:spacing w:val="2"/>
                <w:sz w:val="24"/>
                <w:szCs w:val="24"/>
              </w:rPr>
              <w:t>工作执行情 况</w:t>
            </w:r>
          </w:p>
        </w:tc>
        <w:tc>
          <w:tcPr>
            <w:tcW w:w="2811" w:type="dxa"/>
            <w:vAlign w:val="top"/>
          </w:tcPr>
          <w:p w14:paraId="22D60D44">
            <w:pPr>
              <w:pStyle w:val="39"/>
              <w:spacing w:before="101" w:line="219" w:lineRule="auto"/>
              <w:jc w:val="center"/>
              <w:rPr>
                <w:sz w:val="24"/>
                <w:szCs w:val="24"/>
              </w:rPr>
            </w:pPr>
            <w:r>
              <w:rPr>
                <w:spacing w:val="-1"/>
                <w:sz w:val="24"/>
                <w:szCs w:val="24"/>
              </w:rPr>
              <w:t>每周工作的完成情况、检查</w:t>
            </w:r>
            <w:r>
              <w:rPr>
                <w:sz w:val="24"/>
                <w:szCs w:val="24"/>
              </w:rPr>
              <w:t>过程中发现的问题及整改</w:t>
            </w:r>
            <w:r>
              <w:rPr>
                <w:spacing w:val="-1"/>
                <w:sz w:val="24"/>
                <w:szCs w:val="24"/>
              </w:rPr>
              <w:t>情况，投诉单据、精细化整改单据的及时处置、回复情况，恶劣天气应急处置执行</w:t>
            </w:r>
            <w:r>
              <w:rPr>
                <w:spacing w:val="5"/>
                <w:sz w:val="24"/>
                <w:szCs w:val="24"/>
              </w:rPr>
              <w:t>情况</w:t>
            </w:r>
          </w:p>
        </w:tc>
        <w:tc>
          <w:tcPr>
            <w:tcW w:w="3879" w:type="dxa"/>
            <w:vAlign w:val="top"/>
          </w:tcPr>
          <w:p w14:paraId="0BC60678">
            <w:pPr>
              <w:pStyle w:val="39"/>
              <w:spacing w:before="305" w:line="219" w:lineRule="auto"/>
              <w:jc w:val="center"/>
              <w:rPr>
                <w:rFonts w:ascii="宋体" w:hAnsi="宋体" w:eastAsia="宋体" w:cs="宋体"/>
                <w:sz w:val="24"/>
                <w:szCs w:val="24"/>
              </w:rPr>
            </w:pPr>
            <w:r>
              <w:rPr>
                <w:rFonts w:ascii="宋体" w:hAnsi="宋体" w:eastAsia="宋体" w:cs="宋体"/>
                <w:sz w:val="24"/>
                <w:szCs w:val="24"/>
              </w:rPr>
              <w:t>周工作落实情况，问题整改情况，投诉单据及精细化单据处置、回复满意和达标情况，遇恶劣天气  断枝、树障清理和大雪压枝处置</w:t>
            </w:r>
          </w:p>
        </w:tc>
        <w:tc>
          <w:tcPr>
            <w:tcW w:w="960" w:type="dxa"/>
            <w:vAlign w:val="top"/>
          </w:tcPr>
          <w:p w14:paraId="169E6AD9">
            <w:pPr>
              <w:spacing w:line="276" w:lineRule="auto"/>
              <w:jc w:val="center"/>
              <w:rPr>
                <w:rFonts w:ascii="Arial"/>
                <w:sz w:val="24"/>
                <w:szCs w:val="24"/>
              </w:rPr>
            </w:pPr>
          </w:p>
          <w:p w14:paraId="44AF96B4">
            <w:pPr>
              <w:spacing w:line="277" w:lineRule="auto"/>
              <w:jc w:val="center"/>
              <w:rPr>
                <w:rFonts w:ascii="Arial"/>
                <w:sz w:val="24"/>
                <w:szCs w:val="24"/>
              </w:rPr>
            </w:pPr>
          </w:p>
          <w:p w14:paraId="05FF394D">
            <w:pPr>
              <w:spacing w:line="277" w:lineRule="auto"/>
              <w:jc w:val="center"/>
              <w:rPr>
                <w:rFonts w:ascii="Arial"/>
                <w:sz w:val="24"/>
                <w:szCs w:val="24"/>
              </w:rPr>
            </w:pPr>
          </w:p>
          <w:p w14:paraId="2B7690D3">
            <w:pPr>
              <w:spacing w:line="277" w:lineRule="auto"/>
              <w:jc w:val="center"/>
              <w:rPr>
                <w:rFonts w:ascii="Arial"/>
                <w:sz w:val="24"/>
                <w:szCs w:val="24"/>
              </w:rPr>
            </w:pPr>
          </w:p>
          <w:p w14:paraId="1069FB41">
            <w:pPr>
              <w:pStyle w:val="39"/>
              <w:spacing w:before="81"/>
              <w:ind w:left="346"/>
              <w:jc w:val="center"/>
              <w:rPr>
                <w:sz w:val="24"/>
                <w:szCs w:val="24"/>
              </w:rPr>
            </w:pPr>
            <w:r>
              <w:rPr>
                <w:spacing w:val="-8"/>
                <w:sz w:val="24"/>
                <w:szCs w:val="24"/>
              </w:rPr>
              <w:t>16</w:t>
            </w:r>
          </w:p>
        </w:tc>
        <w:tc>
          <w:tcPr>
            <w:tcW w:w="2877" w:type="dxa"/>
            <w:vAlign w:val="top"/>
          </w:tcPr>
          <w:p w14:paraId="7007E0F0">
            <w:pPr>
              <w:pStyle w:val="39"/>
              <w:spacing w:before="81" w:line="219" w:lineRule="auto"/>
              <w:jc w:val="center"/>
              <w:rPr>
                <w:sz w:val="24"/>
                <w:szCs w:val="24"/>
              </w:rPr>
            </w:pPr>
            <w:r>
              <w:rPr>
                <w:spacing w:val="-2"/>
                <w:sz w:val="24"/>
                <w:szCs w:val="24"/>
              </w:rPr>
              <w:t>每项问题未按时限完成，</w:t>
            </w:r>
          </w:p>
          <w:p w14:paraId="3C19D833">
            <w:pPr>
              <w:pStyle w:val="39"/>
              <w:spacing w:before="133" w:line="219" w:lineRule="auto"/>
              <w:jc w:val="center"/>
              <w:rPr>
                <w:sz w:val="24"/>
                <w:szCs w:val="24"/>
              </w:rPr>
            </w:pPr>
            <w:r>
              <w:rPr>
                <w:sz w:val="24"/>
                <w:szCs w:val="24"/>
              </w:rPr>
              <w:t>扣2分，如下一整改期仍未完成，每项累计4分，</w:t>
            </w:r>
          </w:p>
          <w:p w14:paraId="7E91C0E4">
            <w:pPr>
              <w:pStyle w:val="39"/>
              <w:spacing w:before="131" w:line="219" w:lineRule="auto"/>
              <w:jc w:val="center"/>
              <w:rPr>
                <w:sz w:val="24"/>
                <w:szCs w:val="24"/>
              </w:rPr>
            </w:pPr>
            <w:r>
              <w:rPr>
                <w:spacing w:val="1"/>
                <w:sz w:val="24"/>
                <w:szCs w:val="24"/>
              </w:rPr>
              <w:t>依次类推，扣完为止</w:t>
            </w:r>
          </w:p>
        </w:tc>
        <w:tc>
          <w:tcPr>
            <w:tcW w:w="929" w:type="dxa"/>
            <w:vAlign w:val="top"/>
          </w:tcPr>
          <w:p w14:paraId="5D0D0288">
            <w:pPr>
              <w:jc w:val="center"/>
              <w:rPr>
                <w:rFonts w:ascii="Arial"/>
                <w:sz w:val="24"/>
                <w:szCs w:val="24"/>
              </w:rPr>
            </w:pPr>
          </w:p>
        </w:tc>
        <w:tc>
          <w:tcPr>
            <w:tcW w:w="1134" w:type="dxa"/>
            <w:vAlign w:val="top"/>
          </w:tcPr>
          <w:p w14:paraId="28A2D8FC">
            <w:pPr>
              <w:jc w:val="center"/>
              <w:rPr>
                <w:rFonts w:ascii="Arial"/>
                <w:sz w:val="24"/>
                <w:szCs w:val="24"/>
              </w:rPr>
            </w:pPr>
          </w:p>
        </w:tc>
      </w:tr>
      <w:tr w14:paraId="4E23F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44" w:type="dxa"/>
            <w:vAlign w:val="top"/>
          </w:tcPr>
          <w:p w14:paraId="2F217185">
            <w:pPr>
              <w:jc w:val="center"/>
              <w:rPr>
                <w:rFonts w:ascii="Arial"/>
                <w:sz w:val="24"/>
                <w:szCs w:val="24"/>
              </w:rPr>
            </w:pPr>
          </w:p>
          <w:p w14:paraId="42FC14A8">
            <w:pPr>
              <w:jc w:val="center"/>
              <w:rPr>
                <w:rFonts w:ascii="Arial"/>
                <w:sz w:val="24"/>
                <w:szCs w:val="24"/>
              </w:rPr>
            </w:pPr>
          </w:p>
          <w:p w14:paraId="3C97D1DB">
            <w:pPr>
              <w:jc w:val="center"/>
              <w:rPr>
                <w:rFonts w:ascii="Arial"/>
                <w:sz w:val="24"/>
                <w:szCs w:val="24"/>
              </w:rPr>
            </w:pPr>
          </w:p>
          <w:p w14:paraId="50C94F51">
            <w:pPr>
              <w:pStyle w:val="39"/>
              <w:spacing w:before="82" w:line="178" w:lineRule="auto"/>
              <w:ind w:left="234"/>
              <w:jc w:val="center"/>
              <w:rPr>
                <w:sz w:val="24"/>
                <w:szCs w:val="24"/>
              </w:rPr>
            </w:pPr>
            <w:r>
              <w:rPr>
                <w:sz w:val="24"/>
                <w:szCs w:val="24"/>
              </w:rPr>
              <w:t>二</w:t>
            </w:r>
          </w:p>
        </w:tc>
        <w:tc>
          <w:tcPr>
            <w:tcW w:w="1566" w:type="dxa"/>
            <w:vAlign w:val="top"/>
          </w:tcPr>
          <w:p w14:paraId="0BC5FFE9">
            <w:pPr>
              <w:spacing w:line="430" w:lineRule="auto"/>
              <w:jc w:val="center"/>
              <w:rPr>
                <w:rFonts w:ascii="Arial"/>
                <w:sz w:val="24"/>
                <w:szCs w:val="24"/>
              </w:rPr>
            </w:pPr>
          </w:p>
          <w:p w14:paraId="6F9F65C8">
            <w:pPr>
              <w:pStyle w:val="39"/>
              <w:spacing w:before="81" w:line="321" w:lineRule="auto"/>
              <w:ind w:left="290" w:right="44" w:hanging="250"/>
              <w:jc w:val="center"/>
              <w:rPr>
                <w:sz w:val="24"/>
                <w:szCs w:val="24"/>
              </w:rPr>
            </w:pPr>
            <w:r>
              <w:rPr>
                <w:spacing w:val="2"/>
                <w:sz w:val="24"/>
                <w:szCs w:val="24"/>
              </w:rPr>
              <w:t xml:space="preserve">安全生产管 </w:t>
            </w:r>
            <w:r>
              <w:rPr>
                <w:spacing w:val="4"/>
                <w:sz w:val="24"/>
                <w:szCs w:val="24"/>
              </w:rPr>
              <w:t>理制度</w:t>
            </w:r>
          </w:p>
        </w:tc>
        <w:tc>
          <w:tcPr>
            <w:tcW w:w="2811" w:type="dxa"/>
            <w:vAlign w:val="top"/>
          </w:tcPr>
          <w:p w14:paraId="068CB8F4">
            <w:pPr>
              <w:pStyle w:val="39"/>
              <w:spacing w:before="82" w:line="320" w:lineRule="auto"/>
              <w:jc w:val="center"/>
              <w:rPr>
                <w:spacing w:val="-1"/>
                <w:sz w:val="24"/>
                <w:szCs w:val="24"/>
              </w:rPr>
            </w:pPr>
          </w:p>
          <w:p w14:paraId="34C72E2D">
            <w:pPr>
              <w:pStyle w:val="39"/>
              <w:spacing w:before="82" w:line="320" w:lineRule="auto"/>
              <w:jc w:val="center"/>
              <w:rPr>
                <w:sz w:val="24"/>
                <w:szCs w:val="24"/>
              </w:rPr>
            </w:pPr>
            <w:r>
              <w:rPr>
                <w:spacing w:val="-1"/>
                <w:sz w:val="24"/>
                <w:szCs w:val="24"/>
              </w:rPr>
              <w:t>无安全事故，有各项应急预案及各项安全作业制度</w:t>
            </w:r>
          </w:p>
        </w:tc>
        <w:tc>
          <w:tcPr>
            <w:tcW w:w="3879" w:type="dxa"/>
            <w:vAlign w:val="top"/>
          </w:tcPr>
          <w:p w14:paraId="1A4F3BA4">
            <w:pPr>
              <w:pStyle w:val="39"/>
              <w:spacing w:before="305" w:line="219" w:lineRule="auto"/>
              <w:jc w:val="center"/>
              <w:rPr>
                <w:rFonts w:ascii="宋体" w:hAnsi="宋体" w:eastAsia="宋体" w:cs="宋体"/>
                <w:sz w:val="24"/>
                <w:szCs w:val="24"/>
              </w:rPr>
            </w:pPr>
            <w:r>
              <w:rPr>
                <w:rFonts w:ascii="宋体" w:hAnsi="宋体" w:eastAsia="宋体" w:cs="宋体"/>
                <w:sz w:val="24"/>
                <w:szCs w:val="24"/>
              </w:rPr>
              <w:t>工作开展中机械操作是否规范，有无安全防护物品，安全措施是否到位，安全培训记录表是否齐全</w:t>
            </w:r>
          </w:p>
        </w:tc>
        <w:tc>
          <w:tcPr>
            <w:tcW w:w="960" w:type="dxa"/>
            <w:vAlign w:val="top"/>
          </w:tcPr>
          <w:p w14:paraId="2BFDA51E">
            <w:pPr>
              <w:spacing w:line="337" w:lineRule="auto"/>
              <w:jc w:val="center"/>
              <w:rPr>
                <w:rFonts w:ascii="Arial"/>
                <w:sz w:val="24"/>
                <w:szCs w:val="24"/>
              </w:rPr>
            </w:pPr>
          </w:p>
          <w:p w14:paraId="2CA5C07E">
            <w:pPr>
              <w:spacing w:line="337" w:lineRule="auto"/>
              <w:jc w:val="center"/>
              <w:rPr>
                <w:rFonts w:ascii="Arial"/>
                <w:sz w:val="24"/>
                <w:szCs w:val="24"/>
              </w:rPr>
            </w:pPr>
          </w:p>
          <w:p w14:paraId="5265C0D4">
            <w:pPr>
              <w:pStyle w:val="39"/>
              <w:spacing w:before="81"/>
              <w:ind w:left="406"/>
              <w:jc w:val="center"/>
              <w:rPr>
                <w:sz w:val="24"/>
                <w:szCs w:val="24"/>
              </w:rPr>
            </w:pPr>
            <w:r>
              <w:rPr>
                <w:sz w:val="24"/>
                <w:szCs w:val="24"/>
              </w:rPr>
              <w:t>5</w:t>
            </w:r>
          </w:p>
        </w:tc>
        <w:tc>
          <w:tcPr>
            <w:tcW w:w="2877" w:type="dxa"/>
            <w:vAlign w:val="top"/>
          </w:tcPr>
          <w:p w14:paraId="5DA2B97B">
            <w:pPr>
              <w:pStyle w:val="39"/>
              <w:spacing w:before="305" w:line="219" w:lineRule="auto"/>
              <w:jc w:val="center"/>
              <w:rPr>
                <w:sz w:val="24"/>
                <w:szCs w:val="24"/>
              </w:rPr>
            </w:pPr>
            <w:r>
              <w:rPr>
                <w:sz w:val="24"/>
                <w:szCs w:val="24"/>
              </w:rPr>
              <w:t>一项未完成扣1分，扣完</w:t>
            </w:r>
          </w:p>
          <w:p w14:paraId="2EB068D9">
            <w:pPr>
              <w:pStyle w:val="39"/>
              <w:spacing w:before="114" w:line="220" w:lineRule="auto"/>
              <w:jc w:val="center"/>
              <w:rPr>
                <w:sz w:val="24"/>
                <w:szCs w:val="24"/>
              </w:rPr>
            </w:pPr>
            <w:r>
              <w:rPr>
                <w:sz w:val="24"/>
                <w:szCs w:val="24"/>
              </w:rPr>
              <w:t>为止，发生安全事故扣5</w:t>
            </w:r>
          </w:p>
          <w:p w14:paraId="580D5A82">
            <w:pPr>
              <w:pStyle w:val="39"/>
              <w:spacing w:before="152" w:line="220" w:lineRule="auto"/>
              <w:jc w:val="center"/>
              <w:rPr>
                <w:sz w:val="24"/>
                <w:szCs w:val="24"/>
              </w:rPr>
            </w:pPr>
            <w:r>
              <w:rPr>
                <w:sz w:val="24"/>
                <w:szCs w:val="24"/>
              </w:rPr>
              <w:t>分</w:t>
            </w:r>
          </w:p>
        </w:tc>
        <w:tc>
          <w:tcPr>
            <w:tcW w:w="929" w:type="dxa"/>
            <w:vAlign w:val="top"/>
          </w:tcPr>
          <w:p w14:paraId="1BEC3714">
            <w:pPr>
              <w:jc w:val="center"/>
              <w:rPr>
                <w:rFonts w:ascii="Arial"/>
                <w:sz w:val="24"/>
                <w:szCs w:val="24"/>
              </w:rPr>
            </w:pPr>
          </w:p>
        </w:tc>
        <w:tc>
          <w:tcPr>
            <w:tcW w:w="1134" w:type="dxa"/>
            <w:vAlign w:val="top"/>
          </w:tcPr>
          <w:p w14:paraId="6927638E">
            <w:pPr>
              <w:jc w:val="center"/>
              <w:rPr>
                <w:rFonts w:ascii="Arial"/>
                <w:sz w:val="24"/>
                <w:szCs w:val="24"/>
              </w:rPr>
            </w:pPr>
          </w:p>
        </w:tc>
      </w:tr>
      <w:tr w14:paraId="3DC0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744" w:type="dxa"/>
            <w:vAlign w:val="top"/>
          </w:tcPr>
          <w:p w14:paraId="63CC9DE1">
            <w:pPr>
              <w:jc w:val="center"/>
              <w:rPr>
                <w:rFonts w:ascii="Arial"/>
                <w:sz w:val="24"/>
                <w:szCs w:val="24"/>
              </w:rPr>
            </w:pPr>
          </w:p>
          <w:p w14:paraId="5E3F998D">
            <w:pPr>
              <w:jc w:val="center"/>
              <w:rPr>
                <w:rFonts w:ascii="Arial"/>
                <w:sz w:val="24"/>
                <w:szCs w:val="24"/>
              </w:rPr>
            </w:pPr>
          </w:p>
          <w:p w14:paraId="34AC9EF1">
            <w:pPr>
              <w:jc w:val="center"/>
              <w:rPr>
                <w:rFonts w:ascii="Arial"/>
                <w:sz w:val="24"/>
                <w:szCs w:val="24"/>
              </w:rPr>
            </w:pPr>
          </w:p>
          <w:p w14:paraId="4E4250FC">
            <w:pPr>
              <w:jc w:val="center"/>
              <w:rPr>
                <w:rFonts w:ascii="Arial"/>
                <w:sz w:val="24"/>
                <w:szCs w:val="24"/>
              </w:rPr>
            </w:pPr>
            <w:r>
              <w:rPr>
                <w:rFonts w:ascii="Arial"/>
                <w:sz w:val="24"/>
                <w:szCs w:val="24"/>
              </w:rPr>
              <w:t>三</w:t>
            </w:r>
          </w:p>
        </w:tc>
        <w:tc>
          <w:tcPr>
            <w:tcW w:w="1566" w:type="dxa"/>
            <w:vAlign w:val="top"/>
          </w:tcPr>
          <w:p w14:paraId="78396A04">
            <w:pPr>
              <w:spacing w:line="264" w:lineRule="auto"/>
              <w:jc w:val="both"/>
              <w:rPr>
                <w:rFonts w:ascii="Arial"/>
                <w:sz w:val="24"/>
                <w:szCs w:val="24"/>
              </w:rPr>
            </w:pPr>
          </w:p>
          <w:p w14:paraId="4B889652">
            <w:pPr>
              <w:spacing w:line="264" w:lineRule="auto"/>
              <w:jc w:val="center"/>
              <w:rPr>
                <w:rFonts w:ascii="Arial"/>
                <w:sz w:val="24"/>
                <w:szCs w:val="24"/>
              </w:rPr>
            </w:pPr>
          </w:p>
          <w:p w14:paraId="5E2E653A">
            <w:pPr>
              <w:pStyle w:val="39"/>
              <w:spacing w:before="81" w:line="221" w:lineRule="auto"/>
              <w:jc w:val="center"/>
              <w:rPr>
                <w:sz w:val="24"/>
                <w:szCs w:val="24"/>
              </w:rPr>
            </w:pPr>
            <w:r>
              <w:rPr>
                <w:spacing w:val="2"/>
                <w:sz w:val="24"/>
                <w:szCs w:val="24"/>
              </w:rPr>
              <w:t>绿地卫生</w:t>
            </w:r>
          </w:p>
        </w:tc>
        <w:tc>
          <w:tcPr>
            <w:tcW w:w="2811" w:type="dxa"/>
            <w:vAlign w:val="top"/>
          </w:tcPr>
          <w:p w14:paraId="13722DBA">
            <w:pPr>
              <w:pStyle w:val="39"/>
              <w:spacing w:before="82" w:line="219" w:lineRule="auto"/>
              <w:jc w:val="center"/>
              <w:rPr>
                <w:spacing w:val="-1"/>
                <w:sz w:val="24"/>
                <w:szCs w:val="24"/>
              </w:rPr>
            </w:pPr>
          </w:p>
          <w:p w14:paraId="45F3A211">
            <w:pPr>
              <w:pStyle w:val="39"/>
              <w:spacing w:before="82" w:line="219" w:lineRule="auto"/>
              <w:jc w:val="center"/>
              <w:rPr>
                <w:sz w:val="24"/>
                <w:szCs w:val="24"/>
              </w:rPr>
            </w:pPr>
            <w:r>
              <w:rPr>
                <w:spacing w:val="-1"/>
                <w:sz w:val="24"/>
                <w:szCs w:val="24"/>
              </w:rPr>
              <w:t>产生绿化垃圾日产日清，硬化地面砖缝无杂草，责任区</w:t>
            </w:r>
            <w:r>
              <w:rPr>
                <w:sz w:val="24"/>
                <w:szCs w:val="24"/>
              </w:rPr>
              <w:t>域内保持卫生干净整洁。</w:t>
            </w:r>
          </w:p>
        </w:tc>
        <w:tc>
          <w:tcPr>
            <w:tcW w:w="3879" w:type="dxa"/>
            <w:vAlign w:val="top"/>
          </w:tcPr>
          <w:p w14:paraId="5DE22C39">
            <w:pPr>
              <w:pStyle w:val="39"/>
              <w:spacing w:before="305" w:line="219" w:lineRule="auto"/>
              <w:jc w:val="center"/>
              <w:rPr>
                <w:rFonts w:ascii="宋体" w:hAnsi="宋体" w:eastAsia="宋体" w:cs="宋体"/>
                <w:sz w:val="24"/>
                <w:szCs w:val="24"/>
              </w:rPr>
            </w:pPr>
            <w:r>
              <w:rPr>
                <w:rFonts w:ascii="宋体" w:hAnsi="宋体" w:eastAsia="宋体" w:cs="宋体"/>
                <w:sz w:val="24"/>
                <w:szCs w:val="24"/>
              </w:rPr>
              <w:t>草坪、花坛、灌木丛、树穴内无垃圾、无落叶，乔灌木无白色垃圾。修剪草屑当日清理，对硬化面杂草定期进行打药清除。</w:t>
            </w:r>
          </w:p>
        </w:tc>
        <w:tc>
          <w:tcPr>
            <w:tcW w:w="960" w:type="dxa"/>
            <w:vAlign w:val="top"/>
          </w:tcPr>
          <w:p w14:paraId="3ABD2DA1">
            <w:pPr>
              <w:spacing w:line="271" w:lineRule="auto"/>
              <w:jc w:val="center"/>
              <w:rPr>
                <w:rFonts w:ascii="Arial"/>
                <w:sz w:val="24"/>
                <w:szCs w:val="24"/>
              </w:rPr>
            </w:pPr>
          </w:p>
          <w:p w14:paraId="3D6C3274">
            <w:pPr>
              <w:spacing w:line="272" w:lineRule="auto"/>
              <w:jc w:val="center"/>
              <w:rPr>
                <w:rFonts w:ascii="Arial"/>
                <w:sz w:val="24"/>
                <w:szCs w:val="24"/>
              </w:rPr>
            </w:pPr>
          </w:p>
          <w:p w14:paraId="3D8DD388">
            <w:pPr>
              <w:spacing w:line="272" w:lineRule="auto"/>
              <w:jc w:val="center"/>
              <w:rPr>
                <w:rFonts w:ascii="Arial"/>
                <w:sz w:val="24"/>
                <w:szCs w:val="24"/>
              </w:rPr>
            </w:pPr>
          </w:p>
          <w:p w14:paraId="67C6CACF">
            <w:pPr>
              <w:pStyle w:val="39"/>
              <w:spacing w:before="81"/>
              <w:ind w:left="406"/>
              <w:jc w:val="center"/>
              <w:rPr>
                <w:sz w:val="24"/>
                <w:szCs w:val="24"/>
              </w:rPr>
            </w:pPr>
            <w:r>
              <w:rPr>
                <w:sz w:val="24"/>
                <w:szCs w:val="24"/>
              </w:rPr>
              <w:t>5</w:t>
            </w:r>
          </w:p>
        </w:tc>
        <w:tc>
          <w:tcPr>
            <w:tcW w:w="2877" w:type="dxa"/>
            <w:vAlign w:val="top"/>
          </w:tcPr>
          <w:p w14:paraId="31DD8F7E">
            <w:pPr>
              <w:pStyle w:val="39"/>
              <w:spacing w:before="305" w:line="219" w:lineRule="auto"/>
              <w:jc w:val="center"/>
              <w:rPr>
                <w:sz w:val="24"/>
                <w:szCs w:val="24"/>
              </w:rPr>
            </w:pPr>
            <w:r>
              <w:rPr>
                <w:rFonts w:ascii="宋体" w:hAnsi="宋体" w:eastAsia="宋体" w:cs="宋体"/>
                <w:sz w:val="24"/>
                <w:szCs w:val="24"/>
              </w:rPr>
              <w:t>一项未完成扣1分，扣完为止</w:t>
            </w:r>
          </w:p>
        </w:tc>
        <w:tc>
          <w:tcPr>
            <w:tcW w:w="929" w:type="dxa"/>
            <w:vAlign w:val="top"/>
          </w:tcPr>
          <w:p w14:paraId="1F11DF4C">
            <w:pPr>
              <w:jc w:val="center"/>
              <w:rPr>
                <w:rFonts w:ascii="Arial"/>
                <w:sz w:val="24"/>
                <w:szCs w:val="24"/>
              </w:rPr>
            </w:pPr>
          </w:p>
        </w:tc>
        <w:tc>
          <w:tcPr>
            <w:tcW w:w="1134" w:type="dxa"/>
            <w:vAlign w:val="top"/>
          </w:tcPr>
          <w:p w14:paraId="1D310C4A">
            <w:pPr>
              <w:jc w:val="center"/>
              <w:rPr>
                <w:rFonts w:ascii="Arial"/>
                <w:sz w:val="24"/>
                <w:szCs w:val="24"/>
              </w:rPr>
            </w:pPr>
          </w:p>
        </w:tc>
      </w:tr>
      <w:tr w14:paraId="4647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4" w:type="dxa"/>
            <w:vAlign w:val="top"/>
          </w:tcPr>
          <w:p w14:paraId="6ACDFC05">
            <w:pPr>
              <w:jc w:val="center"/>
              <w:rPr>
                <w:rFonts w:ascii="Arial"/>
                <w:sz w:val="24"/>
                <w:szCs w:val="24"/>
              </w:rPr>
            </w:pPr>
          </w:p>
          <w:p w14:paraId="0AAAD7C8">
            <w:pPr>
              <w:jc w:val="center"/>
              <w:rPr>
                <w:rFonts w:ascii="Arial"/>
                <w:sz w:val="24"/>
                <w:szCs w:val="24"/>
              </w:rPr>
            </w:pPr>
          </w:p>
          <w:p w14:paraId="0DA9D4D8">
            <w:pPr>
              <w:jc w:val="center"/>
              <w:rPr>
                <w:rFonts w:ascii="Arial"/>
                <w:sz w:val="24"/>
                <w:szCs w:val="24"/>
              </w:rPr>
            </w:pPr>
            <w:r>
              <w:rPr>
                <w:rFonts w:ascii="Arial"/>
                <w:sz w:val="24"/>
                <w:szCs w:val="24"/>
              </w:rPr>
              <w:t>四</w:t>
            </w:r>
          </w:p>
        </w:tc>
        <w:tc>
          <w:tcPr>
            <w:tcW w:w="1566" w:type="dxa"/>
            <w:vAlign w:val="top"/>
          </w:tcPr>
          <w:p w14:paraId="237B84F4">
            <w:pPr>
              <w:pStyle w:val="39"/>
              <w:spacing w:before="110" w:line="219" w:lineRule="auto"/>
              <w:jc w:val="center"/>
              <w:rPr>
                <w:spacing w:val="7"/>
                <w:sz w:val="24"/>
                <w:szCs w:val="24"/>
              </w:rPr>
            </w:pPr>
          </w:p>
          <w:p w14:paraId="37A6B03E">
            <w:pPr>
              <w:pStyle w:val="39"/>
              <w:spacing w:before="110" w:line="219" w:lineRule="auto"/>
              <w:jc w:val="center"/>
              <w:rPr>
                <w:spacing w:val="7"/>
                <w:sz w:val="24"/>
                <w:szCs w:val="24"/>
              </w:rPr>
            </w:pPr>
          </w:p>
          <w:p w14:paraId="322E7242">
            <w:pPr>
              <w:pStyle w:val="39"/>
              <w:spacing w:before="110" w:line="219" w:lineRule="auto"/>
              <w:jc w:val="center"/>
              <w:rPr>
                <w:sz w:val="24"/>
                <w:szCs w:val="24"/>
              </w:rPr>
            </w:pPr>
            <w:r>
              <w:rPr>
                <w:spacing w:val="7"/>
                <w:sz w:val="24"/>
                <w:szCs w:val="24"/>
              </w:rPr>
              <w:t>浇灌</w:t>
            </w:r>
          </w:p>
        </w:tc>
        <w:tc>
          <w:tcPr>
            <w:tcW w:w="2811" w:type="dxa"/>
            <w:vAlign w:val="top"/>
          </w:tcPr>
          <w:p w14:paraId="4BD2B58D">
            <w:pPr>
              <w:pStyle w:val="39"/>
              <w:spacing w:before="110" w:line="219" w:lineRule="auto"/>
              <w:jc w:val="both"/>
              <w:rPr>
                <w:sz w:val="24"/>
                <w:szCs w:val="24"/>
              </w:rPr>
            </w:pPr>
          </w:p>
        </w:tc>
        <w:tc>
          <w:tcPr>
            <w:tcW w:w="3879" w:type="dxa"/>
            <w:vAlign w:val="top"/>
          </w:tcPr>
          <w:p w14:paraId="3200F71D">
            <w:pPr>
              <w:pStyle w:val="39"/>
              <w:spacing w:before="305" w:line="219" w:lineRule="auto"/>
              <w:jc w:val="center"/>
              <w:rPr>
                <w:rFonts w:ascii="宋体" w:hAnsi="宋体" w:eastAsia="宋体" w:cs="宋体"/>
                <w:sz w:val="24"/>
                <w:szCs w:val="24"/>
              </w:rPr>
            </w:pPr>
            <w:r>
              <w:rPr>
                <w:rFonts w:ascii="宋体" w:hAnsi="宋体" w:eastAsia="宋体" w:cs="宋体"/>
                <w:sz w:val="24"/>
                <w:szCs w:val="24"/>
              </w:rPr>
              <w:t>未按规定时间段浇水</w:t>
            </w:r>
          </w:p>
        </w:tc>
        <w:tc>
          <w:tcPr>
            <w:tcW w:w="960" w:type="dxa"/>
            <w:vAlign w:val="top"/>
          </w:tcPr>
          <w:p w14:paraId="2A34FD52">
            <w:pPr>
              <w:pStyle w:val="39"/>
              <w:spacing w:before="135" w:line="228" w:lineRule="auto"/>
              <w:ind w:left="406"/>
              <w:jc w:val="center"/>
              <w:rPr>
                <w:sz w:val="24"/>
                <w:szCs w:val="24"/>
              </w:rPr>
            </w:pPr>
            <w:r>
              <w:rPr>
                <w:sz w:val="24"/>
                <w:szCs w:val="24"/>
              </w:rPr>
              <w:t>2</w:t>
            </w:r>
          </w:p>
        </w:tc>
        <w:tc>
          <w:tcPr>
            <w:tcW w:w="2877" w:type="dxa"/>
            <w:vAlign w:val="top"/>
          </w:tcPr>
          <w:p w14:paraId="71F90CC9">
            <w:pPr>
              <w:pStyle w:val="39"/>
              <w:spacing w:before="110" w:line="219" w:lineRule="auto"/>
              <w:jc w:val="center"/>
              <w:rPr>
                <w:sz w:val="24"/>
                <w:szCs w:val="24"/>
              </w:rPr>
            </w:pPr>
            <w:r>
              <w:rPr>
                <w:spacing w:val="1"/>
                <w:sz w:val="24"/>
                <w:szCs w:val="24"/>
              </w:rPr>
              <w:t>每次扣1分，扣完为止</w:t>
            </w:r>
          </w:p>
        </w:tc>
        <w:tc>
          <w:tcPr>
            <w:tcW w:w="929" w:type="dxa"/>
            <w:vAlign w:val="top"/>
          </w:tcPr>
          <w:p w14:paraId="158D3220">
            <w:pPr>
              <w:jc w:val="center"/>
              <w:rPr>
                <w:rFonts w:ascii="Arial"/>
                <w:sz w:val="24"/>
                <w:szCs w:val="24"/>
              </w:rPr>
            </w:pPr>
          </w:p>
        </w:tc>
        <w:tc>
          <w:tcPr>
            <w:tcW w:w="1134" w:type="dxa"/>
            <w:vAlign w:val="top"/>
          </w:tcPr>
          <w:p w14:paraId="43333871">
            <w:pPr>
              <w:jc w:val="center"/>
              <w:rPr>
                <w:rFonts w:ascii="Arial"/>
                <w:sz w:val="24"/>
                <w:szCs w:val="24"/>
              </w:rPr>
            </w:pPr>
          </w:p>
        </w:tc>
      </w:tr>
    </w:tbl>
    <w:p w14:paraId="42C981AB">
      <w:pPr>
        <w:pStyle w:val="8"/>
        <w:jc w:val="center"/>
        <w:rPr>
          <w:sz w:val="24"/>
          <w:szCs w:val="24"/>
        </w:rPr>
      </w:pPr>
    </w:p>
    <w:p w14:paraId="31483795">
      <w:pPr>
        <w:jc w:val="center"/>
        <w:rPr>
          <w:sz w:val="24"/>
          <w:szCs w:val="24"/>
        </w:rPr>
        <w:sectPr>
          <w:footerReference r:id="rId9" w:type="default"/>
          <w:pgSz w:w="16840" w:h="11900"/>
          <w:pgMar w:top="1011" w:right="674" w:bottom="1444" w:left="1254" w:header="0" w:footer="1309" w:gutter="0"/>
          <w:pgNumType w:fmt="decimal"/>
          <w:cols w:space="720" w:num="1"/>
        </w:sectPr>
      </w:pPr>
    </w:p>
    <w:p w14:paraId="5F82956F">
      <w:pPr>
        <w:spacing w:before="232"/>
        <w:jc w:val="center"/>
        <w:rPr>
          <w:sz w:val="24"/>
          <w:szCs w:val="24"/>
        </w:rPr>
      </w:pPr>
    </w:p>
    <w:tbl>
      <w:tblPr>
        <w:tblStyle w:val="32"/>
        <w:tblW w:w="14919" w:type="dxa"/>
        <w:tblInd w:w="7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582"/>
        <w:gridCol w:w="2773"/>
        <w:gridCol w:w="3889"/>
        <w:gridCol w:w="877"/>
        <w:gridCol w:w="2552"/>
        <w:gridCol w:w="974"/>
        <w:gridCol w:w="1547"/>
      </w:tblGrid>
      <w:tr w14:paraId="7F3F1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725" w:type="dxa"/>
            <w:vMerge w:val="restart"/>
            <w:tcBorders>
              <w:bottom w:val="nil"/>
            </w:tcBorders>
            <w:vAlign w:val="top"/>
          </w:tcPr>
          <w:p w14:paraId="55BAB30F">
            <w:pPr>
              <w:jc w:val="center"/>
              <w:rPr>
                <w:rFonts w:ascii="Arial"/>
                <w:sz w:val="24"/>
                <w:szCs w:val="24"/>
              </w:rPr>
            </w:pPr>
          </w:p>
        </w:tc>
        <w:tc>
          <w:tcPr>
            <w:tcW w:w="1582" w:type="dxa"/>
            <w:vMerge w:val="restart"/>
            <w:tcBorders>
              <w:bottom w:val="nil"/>
            </w:tcBorders>
            <w:vAlign w:val="top"/>
          </w:tcPr>
          <w:p w14:paraId="1D8B507B">
            <w:pPr>
              <w:jc w:val="center"/>
              <w:rPr>
                <w:rFonts w:ascii="Arial"/>
                <w:sz w:val="24"/>
                <w:szCs w:val="24"/>
              </w:rPr>
            </w:pPr>
          </w:p>
        </w:tc>
        <w:tc>
          <w:tcPr>
            <w:tcW w:w="2773" w:type="dxa"/>
            <w:vMerge w:val="restart"/>
            <w:tcBorders>
              <w:bottom w:val="nil"/>
            </w:tcBorders>
            <w:vAlign w:val="top"/>
          </w:tcPr>
          <w:p w14:paraId="05FC242E">
            <w:pPr>
              <w:pStyle w:val="39"/>
              <w:spacing w:before="82" w:line="219" w:lineRule="auto"/>
              <w:jc w:val="both"/>
              <w:rPr>
                <w:spacing w:val="-20"/>
                <w:sz w:val="24"/>
                <w:szCs w:val="24"/>
              </w:rPr>
            </w:pPr>
          </w:p>
          <w:p w14:paraId="6B1F82DA">
            <w:pPr>
              <w:pStyle w:val="39"/>
              <w:spacing w:before="82" w:line="219" w:lineRule="auto"/>
              <w:jc w:val="both"/>
              <w:rPr>
                <w:spacing w:val="-20"/>
                <w:sz w:val="24"/>
                <w:szCs w:val="24"/>
              </w:rPr>
            </w:pPr>
          </w:p>
          <w:p w14:paraId="2A5C80D3">
            <w:pPr>
              <w:pStyle w:val="39"/>
              <w:spacing w:before="82" w:line="219" w:lineRule="auto"/>
              <w:jc w:val="both"/>
              <w:rPr>
                <w:spacing w:val="-20"/>
                <w:sz w:val="24"/>
                <w:szCs w:val="24"/>
              </w:rPr>
            </w:pPr>
          </w:p>
          <w:p w14:paraId="6A12BEDC">
            <w:pPr>
              <w:pStyle w:val="39"/>
              <w:spacing w:before="82" w:line="219" w:lineRule="auto"/>
              <w:jc w:val="both"/>
              <w:rPr>
                <w:spacing w:val="-20"/>
                <w:sz w:val="24"/>
                <w:szCs w:val="24"/>
              </w:rPr>
            </w:pPr>
          </w:p>
          <w:p w14:paraId="64F8C593">
            <w:pPr>
              <w:pStyle w:val="39"/>
              <w:spacing w:before="82" w:line="219" w:lineRule="auto"/>
              <w:jc w:val="both"/>
              <w:rPr>
                <w:sz w:val="24"/>
                <w:szCs w:val="24"/>
              </w:rPr>
            </w:pPr>
            <w:r>
              <w:rPr>
                <w:spacing w:val="-20"/>
                <w:sz w:val="24"/>
                <w:szCs w:val="24"/>
              </w:rPr>
              <w:t>草坪、花卉、树木按时浇灌，</w:t>
            </w:r>
            <w:r>
              <w:rPr>
                <w:rFonts w:ascii="宋体" w:hAnsi="宋体" w:eastAsia="宋体" w:cs="宋体"/>
                <w:spacing w:val="-1"/>
                <w:sz w:val="24"/>
                <w:szCs w:val="24"/>
              </w:rPr>
              <w:t>保证浇水到位均匀，无跑、 冒、漏水，绿地管线、喷头设施齐全，排空井按时开启、关闭。</w:t>
            </w:r>
          </w:p>
        </w:tc>
        <w:tc>
          <w:tcPr>
            <w:tcW w:w="3889" w:type="dxa"/>
            <w:vAlign w:val="top"/>
          </w:tcPr>
          <w:p w14:paraId="36960FC5">
            <w:pPr>
              <w:pStyle w:val="39"/>
              <w:spacing w:before="305" w:line="219" w:lineRule="auto"/>
              <w:jc w:val="center"/>
              <w:rPr>
                <w:rFonts w:ascii="宋体" w:hAnsi="宋体" w:eastAsia="宋体" w:cs="宋体"/>
                <w:sz w:val="24"/>
                <w:szCs w:val="24"/>
              </w:rPr>
            </w:pPr>
            <w:r>
              <w:rPr>
                <w:rFonts w:ascii="宋体" w:hAnsi="宋体" w:eastAsia="宋体" w:cs="宋体"/>
                <w:sz w:val="24"/>
                <w:szCs w:val="24"/>
              </w:rPr>
              <w:t>花、草、树木未浇灌到位，影响植物生长</w:t>
            </w:r>
          </w:p>
        </w:tc>
        <w:tc>
          <w:tcPr>
            <w:tcW w:w="877" w:type="dxa"/>
            <w:vAlign w:val="top"/>
          </w:tcPr>
          <w:p w14:paraId="21EAF120">
            <w:pPr>
              <w:pStyle w:val="39"/>
              <w:spacing w:before="305" w:line="219" w:lineRule="auto"/>
              <w:jc w:val="center"/>
              <w:rPr>
                <w:rFonts w:ascii="宋体" w:hAnsi="宋体" w:eastAsia="宋体" w:cs="宋体"/>
                <w:sz w:val="24"/>
                <w:szCs w:val="24"/>
              </w:rPr>
            </w:pPr>
            <w:r>
              <w:rPr>
                <w:rFonts w:ascii="宋体" w:hAnsi="宋体" w:eastAsia="宋体" w:cs="宋体"/>
                <w:sz w:val="24"/>
                <w:szCs w:val="24"/>
              </w:rPr>
              <w:t>2</w:t>
            </w:r>
          </w:p>
        </w:tc>
        <w:tc>
          <w:tcPr>
            <w:tcW w:w="2552" w:type="dxa"/>
            <w:vAlign w:val="top"/>
          </w:tcPr>
          <w:p w14:paraId="54FCBEFB">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每次扣0.5分，扣完为止</w:t>
            </w:r>
          </w:p>
        </w:tc>
        <w:tc>
          <w:tcPr>
            <w:tcW w:w="974" w:type="dxa"/>
            <w:vAlign w:val="top"/>
          </w:tcPr>
          <w:p w14:paraId="578F1B26">
            <w:pPr>
              <w:pStyle w:val="39"/>
              <w:spacing w:before="305" w:line="219" w:lineRule="auto"/>
              <w:jc w:val="center"/>
              <w:rPr>
                <w:rFonts w:ascii="宋体" w:hAnsi="宋体" w:eastAsia="宋体" w:cs="宋体"/>
                <w:sz w:val="24"/>
                <w:szCs w:val="24"/>
              </w:rPr>
            </w:pPr>
          </w:p>
        </w:tc>
        <w:tc>
          <w:tcPr>
            <w:tcW w:w="1547" w:type="dxa"/>
            <w:vAlign w:val="top"/>
          </w:tcPr>
          <w:p w14:paraId="2EF45867">
            <w:pPr>
              <w:pStyle w:val="39"/>
              <w:spacing w:before="305" w:line="219" w:lineRule="auto"/>
              <w:jc w:val="center"/>
              <w:rPr>
                <w:rFonts w:ascii="宋体" w:hAnsi="宋体" w:eastAsia="宋体" w:cs="宋体"/>
                <w:sz w:val="24"/>
                <w:szCs w:val="24"/>
              </w:rPr>
            </w:pPr>
          </w:p>
        </w:tc>
      </w:tr>
      <w:tr w14:paraId="51B7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725" w:type="dxa"/>
            <w:vMerge w:val="continue"/>
            <w:tcBorders>
              <w:top w:val="nil"/>
              <w:bottom w:val="nil"/>
            </w:tcBorders>
            <w:vAlign w:val="top"/>
          </w:tcPr>
          <w:p w14:paraId="0F372918">
            <w:pPr>
              <w:jc w:val="center"/>
              <w:rPr>
                <w:rFonts w:ascii="Arial"/>
                <w:sz w:val="24"/>
                <w:szCs w:val="24"/>
              </w:rPr>
            </w:pPr>
          </w:p>
        </w:tc>
        <w:tc>
          <w:tcPr>
            <w:tcW w:w="1582" w:type="dxa"/>
            <w:vMerge w:val="continue"/>
            <w:tcBorders>
              <w:top w:val="nil"/>
              <w:bottom w:val="nil"/>
            </w:tcBorders>
            <w:vAlign w:val="top"/>
          </w:tcPr>
          <w:p w14:paraId="3DB96C99">
            <w:pPr>
              <w:jc w:val="center"/>
              <w:rPr>
                <w:rFonts w:ascii="Arial"/>
                <w:sz w:val="24"/>
                <w:szCs w:val="24"/>
              </w:rPr>
            </w:pPr>
          </w:p>
        </w:tc>
        <w:tc>
          <w:tcPr>
            <w:tcW w:w="2773" w:type="dxa"/>
            <w:vMerge w:val="continue"/>
            <w:tcBorders>
              <w:top w:val="nil"/>
              <w:bottom w:val="nil"/>
            </w:tcBorders>
            <w:vAlign w:val="top"/>
          </w:tcPr>
          <w:p w14:paraId="6515CF21">
            <w:pPr>
              <w:jc w:val="center"/>
              <w:rPr>
                <w:rFonts w:ascii="Arial"/>
                <w:sz w:val="24"/>
                <w:szCs w:val="24"/>
              </w:rPr>
            </w:pPr>
          </w:p>
        </w:tc>
        <w:tc>
          <w:tcPr>
            <w:tcW w:w="3889" w:type="dxa"/>
            <w:vAlign w:val="top"/>
          </w:tcPr>
          <w:p w14:paraId="54531367">
            <w:pPr>
              <w:pStyle w:val="39"/>
              <w:spacing w:before="305" w:line="219" w:lineRule="auto"/>
              <w:jc w:val="center"/>
              <w:rPr>
                <w:rFonts w:ascii="宋体" w:hAnsi="宋体" w:eastAsia="宋体" w:cs="宋体"/>
                <w:sz w:val="24"/>
                <w:szCs w:val="24"/>
              </w:rPr>
            </w:pPr>
            <w:r>
              <w:rPr>
                <w:rFonts w:ascii="宋体" w:hAnsi="宋体" w:eastAsia="宋体" w:cs="宋体"/>
                <w:sz w:val="24"/>
                <w:szCs w:val="24"/>
              </w:rPr>
              <w:t>有跑水现象</w:t>
            </w:r>
          </w:p>
        </w:tc>
        <w:tc>
          <w:tcPr>
            <w:tcW w:w="877" w:type="dxa"/>
            <w:vAlign w:val="top"/>
          </w:tcPr>
          <w:p w14:paraId="16D846FC">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552" w:type="dxa"/>
            <w:vAlign w:val="top"/>
          </w:tcPr>
          <w:p w14:paraId="014F0C34">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每次扣1分，扣完为止</w:t>
            </w:r>
          </w:p>
        </w:tc>
        <w:tc>
          <w:tcPr>
            <w:tcW w:w="974" w:type="dxa"/>
            <w:vAlign w:val="top"/>
          </w:tcPr>
          <w:p w14:paraId="337FACFE">
            <w:pPr>
              <w:pStyle w:val="39"/>
              <w:spacing w:before="305" w:line="219" w:lineRule="auto"/>
              <w:jc w:val="center"/>
              <w:rPr>
                <w:rFonts w:ascii="宋体" w:hAnsi="宋体" w:eastAsia="宋体" w:cs="宋体"/>
                <w:sz w:val="24"/>
                <w:szCs w:val="24"/>
              </w:rPr>
            </w:pPr>
          </w:p>
        </w:tc>
        <w:tc>
          <w:tcPr>
            <w:tcW w:w="1547" w:type="dxa"/>
            <w:vAlign w:val="top"/>
          </w:tcPr>
          <w:p w14:paraId="29F128FD">
            <w:pPr>
              <w:pStyle w:val="39"/>
              <w:spacing w:before="305" w:line="219" w:lineRule="auto"/>
              <w:jc w:val="center"/>
              <w:rPr>
                <w:rFonts w:ascii="宋体" w:hAnsi="宋体" w:eastAsia="宋体" w:cs="宋体"/>
                <w:sz w:val="24"/>
                <w:szCs w:val="24"/>
              </w:rPr>
            </w:pPr>
            <w:r>
              <w:rPr>
                <w:rFonts w:ascii="宋体" w:hAnsi="宋体" w:eastAsia="宋体" w:cs="宋体"/>
                <w:sz w:val="24"/>
                <w:szCs w:val="24"/>
              </w:rPr>
              <w:t>1次扣 500元</w:t>
            </w:r>
          </w:p>
        </w:tc>
      </w:tr>
      <w:tr w14:paraId="598D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5" w:type="dxa"/>
            <w:vMerge w:val="continue"/>
            <w:tcBorders>
              <w:top w:val="nil"/>
              <w:bottom w:val="nil"/>
            </w:tcBorders>
            <w:vAlign w:val="top"/>
          </w:tcPr>
          <w:p w14:paraId="2F1EE359">
            <w:pPr>
              <w:jc w:val="center"/>
              <w:rPr>
                <w:rFonts w:ascii="Arial"/>
                <w:sz w:val="24"/>
                <w:szCs w:val="24"/>
              </w:rPr>
            </w:pPr>
          </w:p>
        </w:tc>
        <w:tc>
          <w:tcPr>
            <w:tcW w:w="1582" w:type="dxa"/>
            <w:vMerge w:val="continue"/>
            <w:tcBorders>
              <w:top w:val="nil"/>
              <w:bottom w:val="nil"/>
            </w:tcBorders>
            <w:vAlign w:val="top"/>
          </w:tcPr>
          <w:p w14:paraId="50F6A1E4">
            <w:pPr>
              <w:jc w:val="center"/>
              <w:rPr>
                <w:rFonts w:ascii="Arial"/>
                <w:sz w:val="24"/>
                <w:szCs w:val="24"/>
              </w:rPr>
            </w:pPr>
          </w:p>
        </w:tc>
        <w:tc>
          <w:tcPr>
            <w:tcW w:w="2773" w:type="dxa"/>
            <w:vMerge w:val="continue"/>
            <w:tcBorders>
              <w:top w:val="nil"/>
              <w:bottom w:val="nil"/>
            </w:tcBorders>
            <w:vAlign w:val="top"/>
          </w:tcPr>
          <w:p w14:paraId="254620F9">
            <w:pPr>
              <w:jc w:val="center"/>
              <w:rPr>
                <w:rFonts w:ascii="Arial"/>
                <w:sz w:val="24"/>
                <w:szCs w:val="24"/>
              </w:rPr>
            </w:pPr>
          </w:p>
        </w:tc>
        <w:tc>
          <w:tcPr>
            <w:tcW w:w="3889" w:type="dxa"/>
            <w:vAlign w:val="top"/>
          </w:tcPr>
          <w:p w14:paraId="74CFBC13">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每次浇灌后盲道及草坪内牵引水管线未回收，摆放不整齐</w:t>
            </w:r>
          </w:p>
        </w:tc>
        <w:tc>
          <w:tcPr>
            <w:tcW w:w="877" w:type="dxa"/>
            <w:vAlign w:val="top"/>
          </w:tcPr>
          <w:p w14:paraId="6EB683C2">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552" w:type="dxa"/>
            <w:vAlign w:val="top"/>
          </w:tcPr>
          <w:p w14:paraId="0D5150AF">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每根/次扣0.5分，扣完 为止</w:t>
            </w:r>
          </w:p>
        </w:tc>
        <w:tc>
          <w:tcPr>
            <w:tcW w:w="974" w:type="dxa"/>
            <w:vAlign w:val="top"/>
          </w:tcPr>
          <w:p w14:paraId="7F40AA10">
            <w:pPr>
              <w:pStyle w:val="39"/>
              <w:spacing w:before="305" w:line="219" w:lineRule="auto"/>
              <w:jc w:val="center"/>
              <w:rPr>
                <w:rFonts w:ascii="宋体" w:hAnsi="宋体" w:eastAsia="宋体" w:cs="宋体"/>
                <w:sz w:val="24"/>
                <w:szCs w:val="24"/>
              </w:rPr>
            </w:pPr>
          </w:p>
        </w:tc>
        <w:tc>
          <w:tcPr>
            <w:tcW w:w="1547" w:type="dxa"/>
            <w:vAlign w:val="top"/>
          </w:tcPr>
          <w:p w14:paraId="623843B5">
            <w:pPr>
              <w:pStyle w:val="39"/>
              <w:spacing w:before="305" w:line="219" w:lineRule="auto"/>
              <w:jc w:val="center"/>
              <w:rPr>
                <w:rFonts w:ascii="宋体" w:hAnsi="宋体" w:eastAsia="宋体" w:cs="宋体"/>
                <w:sz w:val="24"/>
                <w:szCs w:val="24"/>
              </w:rPr>
            </w:pPr>
            <w:r>
              <w:rPr>
                <w:rFonts w:ascii="宋体" w:hAnsi="宋体" w:eastAsia="宋体" w:cs="宋体"/>
                <w:sz w:val="24"/>
                <w:szCs w:val="24"/>
              </w:rPr>
              <w:t>1次扣 200元</w:t>
            </w:r>
          </w:p>
        </w:tc>
      </w:tr>
      <w:tr w14:paraId="43AC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725" w:type="dxa"/>
            <w:vMerge w:val="continue"/>
            <w:tcBorders>
              <w:top w:val="nil"/>
            </w:tcBorders>
            <w:vAlign w:val="top"/>
          </w:tcPr>
          <w:p w14:paraId="24E9D5AA">
            <w:pPr>
              <w:jc w:val="center"/>
              <w:rPr>
                <w:rFonts w:ascii="Arial"/>
                <w:sz w:val="24"/>
                <w:szCs w:val="24"/>
              </w:rPr>
            </w:pPr>
          </w:p>
        </w:tc>
        <w:tc>
          <w:tcPr>
            <w:tcW w:w="1582" w:type="dxa"/>
            <w:vMerge w:val="continue"/>
            <w:tcBorders>
              <w:top w:val="nil"/>
            </w:tcBorders>
            <w:vAlign w:val="top"/>
          </w:tcPr>
          <w:p w14:paraId="3BA4CEDE">
            <w:pPr>
              <w:jc w:val="center"/>
              <w:rPr>
                <w:rFonts w:ascii="Arial"/>
                <w:sz w:val="24"/>
                <w:szCs w:val="24"/>
              </w:rPr>
            </w:pPr>
          </w:p>
        </w:tc>
        <w:tc>
          <w:tcPr>
            <w:tcW w:w="2773" w:type="dxa"/>
            <w:vMerge w:val="continue"/>
            <w:tcBorders>
              <w:top w:val="nil"/>
            </w:tcBorders>
            <w:vAlign w:val="top"/>
          </w:tcPr>
          <w:p w14:paraId="7E0537EF">
            <w:pPr>
              <w:jc w:val="center"/>
              <w:rPr>
                <w:rFonts w:ascii="Arial"/>
                <w:sz w:val="24"/>
                <w:szCs w:val="24"/>
              </w:rPr>
            </w:pPr>
          </w:p>
        </w:tc>
        <w:tc>
          <w:tcPr>
            <w:tcW w:w="3889" w:type="dxa"/>
            <w:vAlign w:val="top"/>
          </w:tcPr>
          <w:p w14:paraId="59D64D53">
            <w:pPr>
              <w:pStyle w:val="39"/>
              <w:spacing w:before="305" w:line="219" w:lineRule="auto"/>
              <w:jc w:val="center"/>
              <w:rPr>
                <w:rFonts w:ascii="宋体" w:hAnsi="宋体" w:eastAsia="宋体" w:cs="宋体"/>
                <w:sz w:val="24"/>
                <w:szCs w:val="24"/>
              </w:rPr>
            </w:pPr>
            <w:r>
              <w:rPr>
                <w:rFonts w:ascii="宋体" w:hAnsi="宋体" w:eastAsia="宋体" w:cs="宋体"/>
                <w:sz w:val="24"/>
                <w:szCs w:val="24"/>
              </w:rPr>
              <w:t>排空井未按时开启、关闭，绿化井盖未上盖现象</w:t>
            </w:r>
          </w:p>
        </w:tc>
        <w:tc>
          <w:tcPr>
            <w:tcW w:w="877" w:type="dxa"/>
            <w:vAlign w:val="top"/>
          </w:tcPr>
          <w:p w14:paraId="4AA6AAB2">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552" w:type="dxa"/>
            <w:vAlign w:val="top"/>
          </w:tcPr>
          <w:p w14:paraId="352E0F2F">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每次扣1分，扣完为止</w:t>
            </w:r>
          </w:p>
        </w:tc>
        <w:tc>
          <w:tcPr>
            <w:tcW w:w="974" w:type="dxa"/>
            <w:vAlign w:val="top"/>
          </w:tcPr>
          <w:p w14:paraId="50B0A8B9">
            <w:pPr>
              <w:pStyle w:val="39"/>
              <w:spacing w:before="305" w:line="219" w:lineRule="auto"/>
              <w:jc w:val="center"/>
              <w:rPr>
                <w:rFonts w:ascii="宋体" w:hAnsi="宋体" w:eastAsia="宋体" w:cs="宋体"/>
                <w:sz w:val="24"/>
                <w:szCs w:val="24"/>
              </w:rPr>
            </w:pPr>
          </w:p>
        </w:tc>
        <w:tc>
          <w:tcPr>
            <w:tcW w:w="1547" w:type="dxa"/>
            <w:vAlign w:val="top"/>
          </w:tcPr>
          <w:p w14:paraId="4A8D40CC">
            <w:pPr>
              <w:pStyle w:val="39"/>
              <w:spacing w:before="305" w:line="219" w:lineRule="auto"/>
              <w:jc w:val="center"/>
              <w:rPr>
                <w:rFonts w:ascii="宋体" w:hAnsi="宋体" w:eastAsia="宋体" w:cs="宋体"/>
                <w:sz w:val="24"/>
                <w:szCs w:val="24"/>
              </w:rPr>
            </w:pPr>
            <w:r>
              <w:rPr>
                <w:rFonts w:ascii="宋体" w:hAnsi="宋体" w:eastAsia="宋体" w:cs="宋体"/>
                <w:sz w:val="24"/>
                <w:szCs w:val="24"/>
              </w:rPr>
              <w:t>阀门、井盖未及时关闭1次 200元</w:t>
            </w:r>
          </w:p>
        </w:tc>
      </w:tr>
      <w:tr w14:paraId="0D32E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725" w:type="dxa"/>
            <w:vMerge w:val="restart"/>
            <w:tcBorders>
              <w:bottom w:val="nil"/>
            </w:tcBorders>
            <w:vAlign w:val="top"/>
          </w:tcPr>
          <w:p w14:paraId="2DAEA189">
            <w:pPr>
              <w:jc w:val="center"/>
              <w:rPr>
                <w:rFonts w:ascii="Arial"/>
                <w:sz w:val="24"/>
                <w:szCs w:val="24"/>
              </w:rPr>
            </w:pPr>
          </w:p>
          <w:p w14:paraId="5451B8D1">
            <w:pPr>
              <w:jc w:val="center"/>
              <w:rPr>
                <w:rFonts w:ascii="Arial"/>
                <w:sz w:val="24"/>
                <w:szCs w:val="24"/>
              </w:rPr>
            </w:pPr>
          </w:p>
          <w:p w14:paraId="290BCB14">
            <w:pPr>
              <w:jc w:val="center"/>
              <w:rPr>
                <w:rFonts w:ascii="Arial"/>
                <w:sz w:val="24"/>
                <w:szCs w:val="24"/>
              </w:rPr>
            </w:pPr>
          </w:p>
          <w:p w14:paraId="7B0C1049">
            <w:pPr>
              <w:jc w:val="center"/>
              <w:rPr>
                <w:rFonts w:ascii="Arial"/>
                <w:sz w:val="24"/>
                <w:szCs w:val="24"/>
              </w:rPr>
            </w:pPr>
          </w:p>
          <w:p w14:paraId="614A6672">
            <w:pPr>
              <w:jc w:val="center"/>
              <w:rPr>
                <w:rFonts w:ascii="Arial"/>
                <w:sz w:val="24"/>
                <w:szCs w:val="24"/>
              </w:rPr>
            </w:pPr>
            <w:r>
              <w:rPr>
                <w:rFonts w:ascii="Arial"/>
                <w:sz w:val="24"/>
                <w:szCs w:val="24"/>
              </w:rPr>
              <w:t>五</w:t>
            </w:r>
          </w:p>
        </w:tc>
        <w:tc>
          <w:tcPr>
            <w:tcW w:w="1582" w:type="dxa"/>
            <w:vMerge w:val="restart"/>
            <w:tcBorders>
              <w:bottom w:val="nil"/>
            </w:tcBorders>
            <w:vAlign w:val="top"/>
          </w:tcPr>
          <w:p w14:paraId="2C0ECF28">
            <w:pPr>
              <w:spacing w:line="253" w:lineRule="auto"/>
              <w:jc w:val="center"/>
              <w:rPr>
                <w:rFonts w:ascii="宋体" w:hAnsi="宋体" w:eastAsia="宋体" w:cs="宋体"/>
                <w:spacing w:val="-1"/>
                <w:kern w:val="2"/>
                <w:sz w:val="24"/>
                <w:szCs w:val="24"/>
                <w:lang w:val="en-US" w:eastAsia="en-US" w:bidi="ar-SA"/>
              </w:rPr>
            </w:pPr>
          </w:p>
          <w:p w14:paraId="42895034">
            <w:pPr>
              <w:spacing w:line="253" w:lineRule="auto"/>
              <w:jc w:val="center"/>
              <w:rPr>
                <w:rFonts w:ascii="宋体" w:hAnsi="宋体" w:eastAsia="宋体" w:cs="宋体"/>
                <w:spacing w:val="-1"/>
                <w:kern w:val="2"/>
                <w:sz w:val="24"/>
                <w:szCs w:val="24"/>
                <w:lang w:val="en-US" w:eastAsia="en-US" w:bidi="ar-SA"/>
              </w:rPr>
            </w:pPr>
          </w:p>
          <w:p w14:paraId="04C7AD11">
            <w:pPr>
              <w:spacing w:line="254" w:lineRule="auto"/>
              <w:jc w:val="center"/>
              <w:rPr>
                <w:rFonts w:ascii="宋体" w:hAnsi="宋体" w:eastAsia="宋体" w:cs="宋体"/>
                <w:spacing w:val="-1"/>
                <w:kern w:val="2"/>
                <w:sz w:val="24"/>
                <w:szCs w:val="24"/>
                <w:lang w:val="en-US" w:eastAsia="en-US" w:bidi="ar-SA"/>
              </w:rPr>
            </w:pPr>
          </w:p>
          <w:p w14:paraId="6C280D05">
            <w:pPr>
              <w:pStyle w:val="39"/>
              <w:spacing w:before="91" w:line="314" w:lineRule="auto"/>
              <w:ind w:left="570" w:right="2" w:hanging="560"/>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草坪养护管 理</w:t>
            </w:r>
          </w:p>
        </w:tc>
        <w:tc>
          <w:tcPr>
            <w:tcW w:w="2773" w:type="dxa"/>
            <w:vMerge w:val="restart"/>
            <w:tcBorders>
              <w:bottom w:val="nil"/>
            </w:tcBorders>
            <w:vAlign w:val="top"/>
          </w:tcPr>
          <w:p w14:paraId="682DBD55">
            <w:pPr>
              <w:pStyle w:val="39"/>
              <w:spacing w:before="91" w:line="301"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草坪生长旺盛，草坪草高度 控制在10公分以内，无斑 秃、无枯黄、杂草控制2%</w:t>
            </w:r>
          </w:p>
        </w:tc>
        <w:tc>
          <w:tcPr>
            <w:tcW w:w="3889" w:type="dxa"/>
            <w:vAlign w:val="top"/>
          </w:tcPr>
          <w:p w14:paraId="6B6B9225">
            <w:pPr>
              <w:pStyle w:val="39"/>
              <w:spacing w:before="305" w:line="219" w:lineRule="auto"/>
              <w:jc w:val="center"/>
              <w:rPr>
                <w:rFonts w:ascii="宋体" w:hAnsi="宋体" w:eastAsia="宋体" w:cs="宋体"/>
                <w:sz w:val="24"/>
                <w:szCs w:val="24"/>
              </w:rPr>
            </w:pPr>
            <w:r>
              <w:rPr>
                <w:rFonts w:ascii="宋体" w:hAnsi="宋体" w:eastAsia="宋体" w:cs="宋体"/>
                <w:sz w:val="24"/>
                <w:szCs w:val="24"/>
              </w:rPr>
              <w:t>草坪斑秃未在规定时间补植到位</w:t>
            </w:r>
          </w:p>
        </w:tc>
        <w:tc>
          <w:tcPr>
            <w:tcW w:w="877" w:type="dxa"/>
            <w:vAlign w:val="top"/>
          </w:tcPr>
          <w:p w14:paraId="02234B91">
            <w:pPr>
              <w:pStyle w:val="39"/>
              <w:spacing w:before="133" w:line="221" w:lineRule="auto"/>
              <w:jc w:val="center"/>
              <w:rPr>
                <w:rFonts w:hint="eastAsia" w:eastAsia="宋体"/>
                <w:sz w:val="24"/>
                <w:szCs w:val="24"/>
                <w:lang w:eastAsia="zh-CN"/>
              </w:rPr>
            </w:pPr>
            <w:r>
              <w:rPr>
                <w:rFonts w:hint="eastAsia"/>
                <w:sz w:val="24"/>
                <w:szCs w:val="24"/>
                <w:lang w:val="en-US" w:eastAsia="zh-CN"/>
              </w:rPr>
              <w:t>5</w:t>
            </w:r>
          </w:p>
        </w:tc>
        <w:tc>
          <w:tcPr>
            <w:tcW w:w="2552" w:type="dxa"/>
            <w:vAlign w:val="top"/>
          </w:tcPr>
          <w:p w14:paraId="5886190D">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每处扣1分，扣完为止</w:t>
            </w:r>
          </w:p>
        </w:tc>
        <w:tc>
          <w:tcPr>
            <w:tcW w:w="974" w:type="dxa"/>
            <w:vAlign w:val="top"/>
          </w:tcPr>
          <w:p w14:paraId="7428B17D">
            <w:pPr>
              <w:jc w:val="center"/>
              <w:rPr>
                <w:rFonts w:ascii="Arial"/>
                <w:sz w:val="24"/>
                <w:szCs w:val="24"/>
              </w:rPr>
            </w:pPr>
          </w:p>
        </w:tc>
        <w:tc>
          <w:tcPr>
            <w:tcW w:w="1547" w:type="dxa"/>
            <w:vAlign w:val="top"/>
          </w:tcPr>
          <w:p w14:paraId="2B086FFF">
            <w:pPr>
              <w:jc w:val="center"/>
              <w:rPr>
                <w:rFonts w:ascii="Arial"/>
                <w:sz w:val="24"/>
                <w:szCs w:val="24"/>
              </w:rPr>
            </w:pPr>
          </w:p>
        </w:tc>
      </w:tr>
      <w:tr w14:paraId="41CD0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25" w:type="dxa"/>
            <w:vMerge w:val="continue"/>
            <w:tcBorders>
              <w:top w:val="nil"/>
              <w:bottom w:val="nil"/>
            </w:tcBorders>
            <w:vAlign w:val="top"/>
          </w:tcPr>
          <w:p w14:paraId="10DB34BA">
            <w:pPr>
              <w:jc w:val="center"/>
              <w:rPr>
                <w:rFonts w:ascii="Arial"/>
                <w:sz w:val="24"/>
                <w:szCs w:val="24"/>
              </w:rPr>
            </w:pPr>
          </w:p>
        </w:tc>
        <w:tc>
          <w:tcPr>
            <w:tcW w:w="1582" w:type="dxa"/>
            <w:vMerge w:val="continue"/>
            <w:tcBorders>
              <w:top w:val="nil"/>
              <w:bottom w:val="nil"/>
            </w:tcBorders>
            <w:vAlign w:val="top"/>
          </w:tcPr>
          <w:p w14:paraId="6881414A">
            <w:pPr>
              <w:jc w:val="center"/>
              <w:rPr>
                <w:rFonts w:ascii="Arial"/>
                <w:sz w:val="24"/>
                <w:szCs w:val="24"/>
              </w:rPr>
            </w:pPr>
          </w:p>
        </w:tc>
        <w:tc>
          <w:tcPr>
            <w:tcW w:w="2773" w:type="dxa"/>
            <w:vMerge w:val="continue"/>
            <w:tcBorders>
              <w:top w:val="nil"/>
              <w:bottom w:val="nil"/>
            </w:tcBorders>
            <w:vAlign w:val="top"/>
          </w:tcPr>
          <w:p w14:paraId="09FC2F4D">
            <w:pPr>
              <w:jc w:val="center"/>
              <w:rPr>
                <w:rFonts w:ascii="Arial"/>
                <w:sz w:val="24"/>
                <w:szCs w:val="24"/>
              </w:rPr>
            </w:pPr>
          </w:p>
        </w:tc>
        <w:tc>
          <w:tcPr>
            <w:tcW w:w="3889" w:type="dxa"/>
            <w:vAlign w:val="top"/>
          </w:tcPr>
          <w:p w14:paraId="0A554E0F">
            <w:pPr>
              <w:pStyle w:val="39"/>
              <w:spacing w:before="305" w:line="219" w:lineRule="auto"/>
              <w:jc w:val="center"/>
              <w:rPr>
                <w:rFonts w:ascii="宋体" w:hAnsi="宋体" w:eastAsia="宋体" w:cs="宋体"/>
                <w:sz w:val="24"/>
                <w:szCs w:val="24"/>
              </w:rPr>
            </w:pPr>
            <w:r>
              <w:rPr>
                <w:rFonts w:ascii="宋体" w:hAnsi="宋体" w:eastAsia="宋体" w:cs="宋体"/>
                <w:sz w:val="24"/>
                <w:szCs w:val="24"/>
              </w:rPr>
              <w:t>草坪内杂草较多，未在规定时间内整改</w:t>
            </w:r>
          </w:p>
        </w:tc>
        <w:tc>
          <w:tcPr>
            <w:tcW w:w="877" w:type="dxa"/>
            <w:vAlign w:val="top"/>
          </w:tcPr>
          <w:p w14:paraId="7D2984F9">
            <w:pPr>
              <w:spacing w:line="272" w:lineRule="auto"/>
              <w:jc w:val="center"/>
              <w:rPr>
                <w:rFonts w:ascii="宋体" w:hAnsi="宋体" w:eastAsia="宋体" w:cs="宋体"/>
                <w:kern w:val="2"/>
                <w:sz w:val="24"/>
                <w:szCs w:val="24"/>
                <w:lang w:val="en-US" w:eastAsia="en-US" w:bidi="ar-SA"/>
              </w:rPr>
            </w:pPr>
          </w:p>
          <w:p w14:paraId="66EE80EC">
            <w:pPr>
              <w:pStyle w:val="39"/>
              <w:spacing w:before="91"/>
              <w:jc w:val="center"/>
              <w:rPr>
                <w:rFonts w:ascii="宋体" w:hAnsi="宋体" w:eastAsia="宋体" w:cs="宋体"/>
                <w:kern w:val="2"/>
                <w:sz w:val="24"/>
                <w:szCs w:val="24"/>
                <w:lang w:val="en-US" w:eastAsia="en-US" w:bidi="ar-SA"/>
              </w:rPr>
            </w:pPr>
            <w:r>
              <w:rPr>
                <w:rFonts w:ascii="宋体" w:hAnsi="宋体" w:eastAsia="宋体" w:cs="宋体"/>
                <w:kern w:val="2"/>
                <w:sz w:val="24"/>
                <w:szCs w:val="24"/>
                <w:lang w:val="en-US" w:eastAsia="en-US" w:bidi="ar-SA"/>
              </w:rPr>
              <w:t>10</w:t>
            </w:r>
          </w:p>
        </w:tc>
        <w:tc>
          <w:tcPr>
            <w:tcW w:w="2552" w:type="dxa"/>
            <w:vAlign w:val="top"/>
          </w:tcPr>
          <w:p w14:paraId="7B66BA8B">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每块地扣1分，扣完为止</w:t>
            </w:r>
          </w:p>
        </w:tc>
        <w:tc>
          <w:tcPr>
            <w:tcW w:w="974" w:type="dxa"/>
            <w:vAlign w:val="top"/>
          </w:tcPr>
          <w:p w14:paraId="003BE9F4">
            <w:pPr>
              <w:jc w:val="center"/>
              <w:rPr>
                <w:rFonts w:ascii="Arial"/>
                <w:sz w:val="24"/>
                <w:szCs w:val="24"/>
              </w:rPr>
            </w:pPr>
          </w:p>
        </w:tc>
        <w:tc>
          <w:tcPr>
            <w:tcW w:w="1547" w:type="dxa"/>
            <w:vAlign w:val="top"/>
          </w:tcPr>
          <w:p w14:paraId="46DC8A24">
            <w:pPr>
              <w:jc w:val="center"/>
              <w:rPr>
                <w:rFonts w:ascii="Arial"/>
                <w:sz w:val="24"/>
                <w:szCs w:val="24"/>
              </w:rPr>
            </w:pPr>
          </w:p>
        </w:tc>
      </w:tr>
      <w:tr w14:paraId="5A01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725" w:type="dxa"/>
            <w:vMerge w:val="continue"/>
            <w:tcBorders>
              <w:top w:val="nil"/>
            </w:tcBorders>
            <w:vAlign w:val="top"/>
          </w:tcPr>
          <w:p w14:paraId="42092653">
            <w:pPr>
              <w:jc w:val="center"/>
              <w:rPr>
                <w:rFonts w:ascii="Arial"/>
                <w:sz w:val="24"/>
                <w:szCs w:val="24"/>
              </w:rPr>
            </w:pPr>
          </w:p>
        </w:tc>
        <w:tc>
          <w:tcPr>
            <w:tcW w:w="1582" w:type="dxa"/>
            <w:vMerge w:val="continue"/>
            <w:tcBorders>
              <w:top w:val="nil"/>
            </w:tcBorders>
            <w:vAlign w:val="top"/>
          </w:tcPr>
          <w:p w14:paraId="540E8EE0">
            <w:pPr>
              <w:jc w:val="center"/>
              <w:rPr>
                <w:rFonts w:ascii="Arial"/>
                <w:sz w:val="24"/>
                <w:szCs w:val="24"/>
              </w:rPr>
            </w:pPr>
          </w:p>
        </w:tc>
        <w:tc>
          <w:tcPr>
            <w:tcW w:w="2773" w:type="dxa"/>
            <w:vMerge w:val="continue"/>
            <w:tcBorders>
              <w:top w:val="nil"/>
            </w:tcBorders>
            <w:vAlign w:val="top"/>
          </w:tcPr>
          <w:p w14:paraId="68EB3CBF">
            <w:pPr>
              <w:jc w:val="center"/>
              <w:rPr>
                <w:rFonts w:ascii="Arial"/>
                <w:sz w:val="24"/>
                <w:szCs w:val="24"/>
              </w:rPr>
            </w:pPr>
          </w:p>
        </w:tc>
        <w:tc>
          <w:tcPr>
            <w:tcW w:w="3889" w:type="dxa"/>
            <w:vAlign w:val="top"/>
          </w:tcPr>
          <w:p w14:paraId="61699798">
            <w:pPr>
              <w:pStyle w:val="39"/>
              <w:spacing w:before="305" w:line="219" w:lineRule="auto"/>
              <w:jc w:val="center"/>
              <w:rPr>
                <w:rFonts w:ascii="宋体" w:hAnsi="宋体" w:eastAsia="宋体" w:cs="宋体"/>
                <w:sz w:val="24"/>
                <w:szCs w:val="24"/>
              </w:rPr>
            </w:pPr>
            <w:r>
              <w:rPr>
                <w:rFonts w:ascii="宋体" w:hAnsi="宋体" w:eastAsia="宋体" w:cs="宋体"/>
                <w:sz w:val="24"/>
                <w:szCs w:val="24"/>
              </w:rPr>
              <w:t>草坪未在规定时间修剪，草高度超过10公分以上</w:t>
            </w:r>
          </w:p>
        </w:tc>
        <w:tc>
          <w:tcPr>
            <w:tcW w:w="877" w:type="dxa"/>
            <w:vAlign w:val="top"/>
          </w:tcPr>
          <w:p w14:paraId="06AC7CB7">
            <w:pPr>
              <w:spacing w:line="302" w:lineRule="auto"/>
              <w:jc w:val="center"/>
              <w:rPr>
                <w:rFonts w:ascii="宋体" w:hAnsi="宋体" w:eastAsia="宋体" w:cs="宋体"/>
                <w:kern w:val="2"/>
                <w:sz w:val="24"/>
                <w:szCs w:val="24"/>
                <w:lang w:val="en-US" w:eastAsia="en-US" w:bidi="ar-SA"/>
              </w:rPr>
            </w:pPr>
          </w:p>
          <w:p w14:paraId="650B15C6">
            <w:pPr>
              <w:pStyle w:val="39"/>
              <w:spacing w:before="91"/>
              <w:jc w:val="center"/>
              <w:rPr>
                <w:rFonts w:ascii="宋体" w:hAnsi="宋体" w:eastAsia="宋体" w:cs="宋体"/>
                <w:kern w:val="2"/>
                <w:sz w:val="24"/>
                <w:szCs w:val="24"/>
                <w:lang w:val="en-US" w:eastAsia="en-US" w:bidi="ar-SA"/>
              </w:rPr>
            </w:pPr>
            <w:r>
              <w:rPr>
                <w:rFonts w:ascii="宋体" w:hAnsi="宋体" w:eastAsia="宋体" w:cs="宋体"/>
                <w:kern w:val="2"/>
                <w:sz w:val="24"/>
                <w:szCs w:val="24"/>
                <w:lang w:val="en-US" w:eastAsia="en-US" w:bidi="ar-SA"/>
              </w:rPr>
              <w:t>10</w:t>
            </w:r>
          </w:p>
        </w:tc>
        <w:tc>
          <w:tcPr>
            <w:tcW w:w="2552" w:type="dxa"/>
            <w:vAlign w:val="top"/>
          </w:tcPr>
          <w:p w14:paraId="796B2BE5">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每块地扣1分，扣完为止</w:t>
            </w:r>
          </w:p>
        </w:tc>
        <w:tc>
          <w:tcPr>
            <w:tcW w:w="974" w:type="dxa"/>
            <w:vAlign w:val="top"/>
          </w:tcPr>
          <w:p w14:paraId="1B9433D0">
            <w:pPr>
              <w:jc w:val="center"/>
              <w:rPr>
                <w:rFonts w:ascii="Arial"/>
                <w:sz w:val="24"/>
                <w:szCs w:val="24"/>
              </w:rPr>
            </w:pPr>
          </w:p>
        </w:tc>
        <w:tc>
          <w:tcPr>
            <w:tcW w:w="1547" w:type="dxa"/>
            <w:vAlign w:val="top"/>
          </w:tcPr>
          <w:p w14:paraId="1F513A63">
            <w:pPr>
              <w:jc w:val="center"/>
              <w:rPr>
                <w:rFonts w:ascii="Arial"/>
                <w:sz w:val="24"/>
                <w:szCs w:val="24"/>
              </w:rPr>
            </w:pPr>
          </w:p>
        </w:tc>
      </w:tr>
      <w:tr w14:paraId="5626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725" w:type="dxa"/>
            <w:vMerge w:val="restart"/>
            <w:tcBorders>
              <w:bottom w:val="nil"/>
            </w:tcBorders>
            <w:vAlign w:val="top"/>
          </w:tcPr>
          <w:p w14:paraId="19F72C7B">
            <w:pPr>
              <w:jc w:val="center"/>
              <w:rPr>
                <w:rFonts w:ascii="Arial"/>
                <w:sz w:val="24"/>
                <w:szCs w:val="24"/>
              </w:rPr>
            </w:pPr>
          </w:p>
          <w:p w14:paraId="70C26846">
            <w:pPr>
              <w:jc w:val="center"/>
              <w:rPr>
                <w:rFonts w:ascii="Arial"/>
                <w:sz w:val="24"/>
                <w:szCs w:val="24"/>
              </w:rPr>
            </w:pPr>
          </w:p>
          <w:p w14:paraId="3FDAD087">
            <w:pPr>
              <w:jc w:val="center"/>
              <w:rPr>
                <w:rFonts w:ascii="Arial"/>
                <w:sz w:val="24"/>
                <w:szCs w:val="24"/>
              </w:rPr>
            </w:pPr>
            <w:r>
              <w:rPr>
                <w:rFonts w:ascii="Arial"/>
                <w:sz w:val="24"/>
                <w:szCs w:val="24"/>
              </w:rPr>
              <w:t>六</w:t>
            </w:r>
          </w:p>
        </w:tc>
        <w:tc>
          <w:tcPr>
            <w:tcW w:w="1582" w:type="dxa"/>
            <w:vMerge w:val="restart"/>
            <w:tcBorders>
              <w:bottom w:val="nil"/>
            </w:tcBorders>
            <w:vAlign w:val="top"/>
          </w:tcPr>
          <w:p w14:paraId="7BAE1C47">
            <w:pPr>
              <w:spacing w:line="253" w:lineRule="auto"/>
              <w:jc w:val="center"/>
              <w:rPr>
                <w:rFonts w:ascii="宋体" w:hAnsi="宋体" w:eastAsia="宋体" w:cs="宋体"/>
                <w:spacing w:val="-1"/>
                <w:kern w:val="2"/>
                <w:sz w:val="24"/>
                <w:szCs w:val="24"/>
                <w:lang w:val="en-US" w:eastAsia="en-US" w:bidi="ar-SA"/>
              </w:rPr>
            </w:pPr>
          </w:p>
          <w:p w14:paraId="570C6861">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时令花卉、</w:t>
            </w:r>
          </w:p>
          <w:p w14:paraId="2067836C">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宿根花卉、</w:t>
            </w:r>
          </w:p>
          <w:p w14:paraId="5154F6B8">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仿真花</w:t>
            </w:r>
          </w:p>
        </w:tc>
        <w:tc>
          <w:tcPr>
            <w:tcW w:w="2773" w:type="dxa"/>
            <w:vMerge w:val="restart"/>
            <w:tcBorders>
              <w:bottom w:val="nil"/>
            </w:tcBorders>
            <w:vAlign w:val="top"/>
          </w:tcPr>
          <w:p w14:paraId="13C167A0">
            <w:pPr>
              <w:spacing w:line="253" w:lineRule="auto"/>
              <w:jc w:val="center"/>
              <w:rPr>
                <w:rFonts w:ascii="宋体" w:hAnsi="宋体" w:eastAsia="宋体" w:cs="宋体"/>
                <w:spacing w:val="-1"/>
                <w:kern w:val="2"/>
                <w:sz w:val="24"/>
                <w:szCs w:val="24"/>
                <w:lang w:val="en-US" w:eastAsia="en-US" w:bidi="ar-SA"/>
              </w:rPr>
            </w:pPr>
          </w:p>
          <w:p w14:paraId="05B3B698">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按时完成花草种植，花箱内绢花更新摆放到位，绢花摆放稳固，造型到美观，颜色鲜艳。</w:t>
            </w:r>
          </w:p>
        </w:tc>
        <w:tc>
          <w:tcPr>
            <w:tcW w:w="3889" w:type="dxa"/>
            <w:vAlign w:val="top"/>
          </w:tcPr>
          <w:p w14:paraId="512FB22C">
            <w:pPr>
              <w:pStyle w:val="39"/>
              <w:spacing w:before="305" w:line="219" w:lineRule="auto"/>
              <w:jc w:val="center"/>
              <w:rPr>
                <w:rFonts w:ascii="宋体" w:hAnsi="宋体" w:eastAsia="宋体" w:cs="宋体"/>
                <w:sz w:val="24"/>
                <w:szCs w:val="24"/>
              </w:rPr>
            </w:pPr>
            <w:r>
              <w:rPr>
                <w:rFonts w:ascii="宋体" w:hAnsi="宋体" w:eastAsia="宋体" w:cs="宋体"/>
                <w:sz w:val="24"/>
                <w:szCs w:val="24"/>
              </w:rPr>
              <w:t>未在规定时间段种植草花、摆放绢花</w:t>
            </w:r>
          </w:p>
        </w:tc>
        <w:tc>
          <w:tcPr>
            <w:tcW w:w="877" w:type="dxa"/>
            <w:vAlign w:val="top"/>
          </w:tcPr>
          <w:p w14:paraId="05308BA3">
            <w:pPr>
              <w:pStyle w:val="39"/>
              <w:spacing w:before="305" w:line="219" w:lineRule="auto"/>
              <w:jc w:val="center"/>
              <w:rPr>
                <w:rFonts w:ascii="宋体" w:hAnsi="宋体" w:eastAsia="宋体" w:cs="宋体"/>
                <w:kern w:val="2"/>
                <w:sz w:val="24"/>
                <w:szCs w:val="24"/>
                <w:lang w:val="en-US" w:eastAsia="en-US" w:bidi="ar-SA"/>
              </w:rPr>
            </w:pPr>
            <w:r>
              <w:rPr>
                <w:rFonts w:ascii="宋体" w:hAnsi="宋体" w:eastAsia="宋体" w:cs="宋体"/>
                <w:kern w:val="2"/>
                <w:sz w:val="24"/>
                <w:szCs w:val="24"/>
                <w:lang w:val="en-US" w:eastAsia="en-US" w:bidi="ar-SA"/>
              </w:rPr>
              <w:t>4</w:t>
            </w:r>
          </w:p>
        </w:tc>
        <w:tc>
          <w:tcPr>
            <w:tcW w:w="2552" w:type="dxa"/>
            <w:vAlign w:val="top"/>
          </w:tcPr>
          <w:p w14:paraId="6E3C162B">
            <w:pPr>
              <w:pStyle w:val="39"/>
              <w:spacing w:before="305" w:line="219" w:lineRule="auto"/>
              <w:jc w:val="center"/>
              <w:rPr>
                <w:rFonts w:ascii="宋体" w:hAnsi="宋体" w:eastAsia="宋体" w:cs="宋体"/>
                <w:sz w:val="24"/>
                <w:szCs w:val="24"/>
              </w:rPr>
            </w:pPr>
            <w:r>
              <w:rPr>
                <w:rFonts w:ascii="宋体" w:hAnsi="宋体" w:eastAsia="宋体" w:cs="宋体"/>
                <w:sz w:val="24"/>
                <w:szCs w:val="24"/>
              </w:rPr>
              <w:t>超1天扣1分，扣完为止</w:t>
            </w:r>
          </w:p>
        </w:tc>
        <w:tc>
          <w:tcPr>
            <w:tcW w:w="974" w:type="dxa"/>
            <w:vAlign w:val="top"/>
          </w:tcPr>
          <w:p w14:paraId="0B9BF135">
            <w:pPr>
              <w:jc w:val="center"/>
              <w:rPr>
                <w:rFonts w:ascii="Arial"/>
                <w:sz w:val="24"/>
                <w:szCs w:val="24"/>
              </w:rPr>
            </w:pPr>
          </w:p>
        </w:tc>
        <w:tc>
          <w:tcPr>
            <w:tcW w:w="1547" w:type="dxa"/>
            <w:vAlign w:val="top"/>
          </w:tcPr>
          <w:p w14:paraId="4BC5485C">
            <w:pPr>
              <w:jc w:val="center"/>
              <w:rPr>
                <w:rFonts w:ascii="Arial"/>
                <w:sz w:val="24"/>
                <w:szCs w:val="24"/>
              </w:rPr>
            </w:pPr>
          </w:p>
        </w:tc>
      </w:tr>
      <w:tr w14:paraId="14E3A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725" w:type="dxa"/>
            <w:vMerge w:val="continue"/>
            <w:tcBorders>
              <w:top w:val="nil"/>
            </w:tcBorders>
            <w:vAlign w:val="top"/>
          </w:tcPr>
          <w:p w14:paraId="20A31853">
            <w:pPr>
              <w:jc w:val="center"/>
              <w:rPr>
                <w:rFonts w:ascii="Arial"/>
                <w:sz w:val="24"/>
                <w:szCs w:val="24"/>
              </w:rPr>
            </w:pPr>
          </w:p>
        </w:tc>
        <w:tc>
          <w:tcPr>
            <w:tcW w:w="1582" w:type="dxa"/>
            <w:vMerge w:val="continue"/>
            <w:tcBorders>
              <w:top w:val="nil"/>
            </w:tcBorders>
            <w:vAlign w:val="top"/>
          </w:tcPr>
          <w:p w14:paraId="72F3AC47">
            <w:pPr>
              <w:jc w:val="center"/>
              <w:rPr>
                <w:rFonts w:ascii="Arial"/>
                <w:sz w:val="24"/>
                <w:szCs w:val="24"/>
              </w:rPr>
            </w:pPr>
          </w:p>
        </w:tc>
        <w:tc>
          <w:tcPr>
            <w:tcW w:w="2773" w:type="dxa"/>
            <w:vMerge w:val="continue"/>
            <w:tcBorders>
              <w:top w:val="nil"/>
            </w:tcBorders>
            <w:vAlign w:val="top"/>
          </w:tcPr>
          <w:p w14:paraId="0E2BD52A">
            <w:pPr>
              <w:jc w:val="center"/>
              <w:rPr>
                <w:rFonts w:ascii="Arial"/>
                <w:sz w:val="24"/>
                <w:szCs w:val="24"/>
              </w:rPr>
            </w:pPr>
          </w:p>
        </w:tc>
        <w:tc>
          <w:tcPr>
            <w:tcW w:w="3889" w:type="dxa"/>
            <w:vAlign w:val="top"/>
          </w:tcPr>
          <w:p w14:paraId="6FBBFD57">
            <w:pPr>
              <w:pStyle w:val="39"/>
              <w:spacing w:before="305" w:line="219" w:lineRule="auto"/>
              <w:jc w:val="center"/>
              <w:rPr>
                <w:rFonts w:ascii="宋体" w:hAnsi="宋体" w:eastAsia="宋体" w:cs="宋体"/>
                <w:sz w:val="24"/>
                <w:szCs w:val="24"/>
              </w:rPr>
            </w:pPr>
            <w:r>
              <w:rPr>
                <w:rFonts w:ascii="宋体" w:hAnsi="宋体" w:eastAsia="宋体" w:cs="宋体"/>
                <w:sz w:val="24"/>
                <w:szCs w:val="24"/>
              </w:rPr>
              <w:t>花卉长势不好，未按时施肥、松土除杂草</w:t>
            </w:r>
          </w:p>
        </w:tc>
        <w:tc>
          <w:tcPr>
            <w:tcW w:w="877" w:type="dxa"/>
            <w:vAlign w:val="top"/>
          </w:tcPr>
          <w:p w14:paraId="6018008F">
            <w:pPr>
              <w:pStyle w:val="39"/>
              <w:spacing w:before="305" w:line="219" w:lineRule="auto"/>
              <w:jc w:val="center"/>
              <w:rPr>
                <w:rFonts w:ascii="宋体" w:hAnsi="宋体" w:eastAsia="宋体" w:cs="宋体"/>
                <w:kern w:val="2"/>
                <w:sz w:val="24"/>
                <w:szCs w:val="24"/>
                <w:lang w:val="en-US" w:eastAsia="en-US" w:bidi="ar-SA"/>
              </w:rPr>
            </w:pPr>
            <w:r>
              <w:rPr>
                <w:rFonts w:ascii="宋体" w:hAnsi="宋体" w:eastAsia="宋体" w:cs="宋体"/>
                <w:kern w:val="2"/>
                <w:sz w:val="24"/>
                <w:szCs w:val="24"/>
                <w:lang w:val="en-US" w:eastAsia="en-US" w:bidi="ar-SA"/>
              </w:rPr>
              <w:t>4</w:t>
            </w:r>
          </w:p>
        </w:tc>
        <w:tc>
          <w:tcPr>
            <w:tcW w:w="2552" w:type="dxa"/>
            <w:vAlign w:val="top"/>
          </w:tcPr>
          <w:p w14:paraId="385263CF">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每块地扣0.5分，扣完为 止</w:t>
            </w:r>
          </w:p>
        </w:tc>
        <w:tc>
          <w:tcPr>
            <w:tcW w:w="974" w:type="dxa"/>
            <w:vAlign w:val="top"/>
          </w:tcPr>
          <w:p w14:paraId="3B8E7B2B">
            <w:pPr>
              <w:jc w:val="center"/>
              <w:rPr>
                <w:rFonts w:ascii="Arial"/>
                <w:sz w:val="24"/>
                <w:szCs w:val="24"/>
              </w:rPr>
            </w:pPr>
          </w:p>
        </w:tc>
        <w:tc>
          <w:tcPr>
            <w:tcW w:w="1547" w:type="dxa"/>
            <w:vAlign w:val="top"/>
          </w:tcPr>
          <w:p w14:paraId="63AE0FB5">
            <w:pPr>
              <w:jc w:val="center"/>
              <w:rPr>
                <w:rFonts w:ascii="Arial"/>
                <w:sz w:val="24"/>
                <w:szCs w:val="24"/>
              </w:rPr>
            </w:pPr>
          </w:p>
        </w:tc>
      </w:tr>
    </w:tbl>
    <w:p w14:paraId="196BF244">
      <w:pPr>
        <w:jc w:val="center"/>
        <w:rPr>
          <w:sz w:val="24"/>
          <w:szCs w:val="24"/>
        </w:rPr>
        <w:sectPr>
          <w:footerReference r:id="rId10" w:type="default"/>
          <w:pgSz w:w="16840" w:h="11900"/>
          <w:pgMar w:top="1011" w:right="624" w:bottom="577" w:left="515" w:header="0" w:footer="451" w:gutter="0"/>
          <w:pgNumType w:fmt="decimal"/>
          <w:cols w:space="720" w:num="1"/>
        </w:sectPr>
      </w:pPr>
    </w:p>
    <w:p w14:paraId="7AD740E8">
      <w:pPr>
        <w:spacing w:line="143" w:lineRule="exact"/>
        <w:jc w:val="center"/>
        <w:rPr>
          <w:sz w:val="24"/>
          <w:szCs w:val="24"/>
        </w:rPr>
      </w:pPr>
    </w:p>
    <w:tbl>
      <w:tblPr>
        <w:tblStyle w:val="32"/>
        <w:tblW w:w="149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385"/>
        <w:gridCol w:w="3029"/>
        <w:gridCol w:w="3709"/>
        <w:gridCol w:w="949"/>
        <w:gridCol w:w="2844"/>
        <w:gridCol w:w="1144"/>
        <w:gridCol w:w="1155"/>
      </w:tblGrid>
      <w:tr w14:paraId="75EB4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742" w:type="dxa"/>
            <w:vAlign w:val="top"/>
          </w:tcPr>
          <w:p w14:paraId="1BB69536">
            <w:pPr>
              <w:jc w:val="center"/>
              <w:rPr>
                <w:rFonts w:ascii="Arial"/>
                <w:sz w:val="24"/>
                <w:szCs w:val="24"/>
              </w:rPr>
            </w:pPr>
          </w:p>
        </w:tc>
        <w:tc>
          <w:tcPr>
            <w:tcW w:w="1385" w:type="dxa"/>
            <w:vAlign w:val="top"/>
          </w:tcPr>
          <w:p w14:paraId="41AA0CD3">
            <w:pPr>
              <w:jc w:val="center"/>
              <w:rPr>
                <w:rFonts w:ascii="Arial"/>
                <w:sz w:val="24"/>
                <w:szCs w:val="24"/>
              </w:rPr>
            </w:pPr>
          </w:p>
        </w:tc>
        <w:tc>
          <w:tcPr>
            <w:tcW w:w="3029" w:type="dxa"/>
            <w:vAlign w:val="top"/>
          </w:tcPr>
          <w:p w14:paraId="325980B4">
            <w:pPr>
              <w:jc w:val="center"/>
              <w:rPr>
                <w:rFonts w:ascii="Arial"/>
                <w:sz w:val="24"/>
                <w:szCs w:val="24"/>
              </w:rPr>
            </w:pPr>
          </w:p>
        </w:tc>
        <w:tc>
          <w:tcPr>
            <w:tcW w:w="3709" w:type="dxa"/>
            <w:vAlign w:val="top"/>
          </w:tcPr>
          <w:p w14:paraId="10ABAA86">
            <w:pPr>
              <w:pStyle w:val="39"/>
              <w:spacing w:before="305" w:line="219" w:lineRule="auto"/>
              <w:jc w:val="center"/>
              <w:rPr>
                <w:rFonts w:ascii="宋体" w:hAnsi="宋体" w:eastAsia="宋体" w:cs="宋体"/>
                <w:sz w:val="24"/>
                <w:szCs w:val="24"/>
              </w:rPr>
            </w:pPr>
            <w:r>
              <w:rPr>
                <w:rFonts w:ascii="宋体" w:hAnsi="宋体" w:eastAsia="宋体" w:cs="宋体"/>
                <w:sz w:val="24"/>
                <w:szCs w:val="24"/>
              </w:rPr>
              <w:t>缺株、斑秃花卉，种植季节未补植整改</w:t>
            </w:r>
          </w:p>
        </w:tc>
        <w:tc>
          <w:tcPr>
            <w:tcW w:w="949" w:type="dxa"/>
            <w:vAlign w:val="top"/>
          </w:tcPr>
          <w:p w14:paraId="027BA442">
            <w:pPr>
              <w:pStyle w:val="39"/>
              <w:spacing w:before="305" w:line="219" w:lineRule="auto"/>
              <w:jc w:val="center"/>
              <w:rPr>
                <w:rFonts w:ascii="宋体" w:hAnsi="宋体" w:eastAsia="宋体" w:cs="宋体"/>
                <w:sz w:val="24"/>
                <w:szCs w:val="24"/>
              </w:rPr>
            </w:pPr>
            <w:r>
              <w:rPr>
                <w:rFonts w:ascii="宋体" w:hAnsi="宋体" w:eastAsia="宋体" w:cs="宋体"/>
                <w:sz w:val="24"/>
                <w:szCs w:val="24"/>
              </w:rPr>
              <w:t>4</w:t>
            </w:r>
          </w:p>
        </w:tc>
        <w:tc>
          <w:tcPr>
            <w:tcW w:w="2844" w:type="dxa"/>
            <w:vAlign w:val="top"/>
          </w:tcPr>
          <w:p w14:paraId="1B270838">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每处扣1分，扣完为止</w:t>
            </w:r>
          </w:p>
        </w:tc>
        <w:tc>
          <w:tcPr>
            <w:tcW w:w="1144" w:type="dxa"/>
            <w:vAlign w:val="top"/>
          </w:tcPr>
          <w:p w14:paraId="17EF20AF">
            <w:pPr>
              <w:jc w:val="center"/>
              <w:rPr>
                <w:rFonts w:ascii="Arial"/>
                <w:sz w:val="24"/>
                <w:szCs w:val="24"/>
              </w:rPr>
            </w:pPr>
          </w:p>
        </w:tc>
        <w:tc>
          <w:tcPr>
            <w:tcW w:w="1155" w:type="dxa"/>
            <w:vAlign w:val="top"/>
          </w:tcPr>
          <w:p w14:paraId="55E2709B">
            <w:pPr>
              <w:jc w:val="center"/>
              <w:rPr>
                <w:rFonts w:ascii="Arial"/>
                <w:sz w:val="24"/>
                <w:szCs w:val="24"/>
              </w:rPr>
            </w:pPr>
          </w:p>
        </w:tc>
      </w:tr>
      <w:tr w14:paraId="5E2CE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42" w:type="dxa"/>
            <w:vMerge w:val="restart"/>
            <w:tcBorders>
              <w:bottom w:val="nil"/>
            </w:tcBorders>
            <w:vAlign w:val="top"/>
          </w:tcPr>
          <w:p w14:paraId="226E9FB1">
            <w:pPr>
              <w:jc w:val="center"/>
              <w:rPr>
                <w:rFonts w:ascii="Arial"/>
                <w:sz w:val="24"/>
                <w:szCs w:val="24"/>
              </w:rPr>
            </w:pPr>
          </w:p>
          <w:p w14:paraId="6FCFBE76">
            <w:pPr>
              <w:jc w:val="center"/>
              <w:rPr>
                <w:rFonts w:ascii="Arial"/>
                <w:sz w:val="24"/>
                <w:szCs w:val="24"/>
              </w:rPr>
            </w:pPr>
          </w:p>
          <w:p w14:paraId="1AF36BFE">
            <w:pPr>
              <w:jc w:val="center"/>
              <w:rPr>
                <w:rFonts w:ascii="Arial"/>
                <w:sz w:val="24"/>
                <w:szCs w:val="24"/>
              </w:rPr>
            </w:pPr>
          </w:p>
          <w:p w14:paraId="7689B6E1">
            <w:pPr>
              <w:jc w:val="center"/>
              <w:rPr>
                <w:rFonts w:ascii="Arial"/>
                <w:sz w:val="24"/>
                <w:szCs w:val="24"/>
              </w:rPr>
            </w:pPr>
          </w:p>
          <w:p w14:paraId="73FF1C84">
            <w:pPr>
              <w:jc w:val="center"/>
              <w:rPr>
                <w:rFonts w:ascii="Arial"/>
                <w:sz w:val="24"/>
                <w:szCs w:val="24"/>
              </w:rPr>
            </w:pPr>
          </w:p>
          <w:p w14:paraId="627306BC">
            <w:pPr>
              <w:jc w:val="center"/>
              <w:rPr>
                <w:rFonts w:ascii="Arial"/>
                <w:sz w:val="24"/>
                <w:szCs w:val="24"/>
              </w:rPr>
            </w:pPr>
          </w:p>
          <w:p w14:paraId="6CF49504">
            <w:pPr>
              <w:jc w:val="center"/>
              <w:rPr>
                <w:rFonts w:ascii="Arial"/>
                <w:sz w:val="24"/>
                <w:szCs w:val="24"/>
              </w:rPr>
            </w:pPr>
          </w:p>
          <w:p w14:paraId="393D2F06">
            <w:pPr>
              <w:jc w:val="center"/>
              <w:rPr>
                <w:rFonts w:ascii="Arial"/>
                <w:sz w:val="24"/>
                <w:szCs w:val="24"/>
              </w:rPr>
            </w:pPr>
            <w:r>
              <w:rPr>
                <w:rFonts w:ascii="Arial"/>
                <w:sz w:val="24"/>
                <w:szCs w:val="24"/>
              </w:rPr>
              <w:t>七</w:t>
            </w:r>
          </w:p>
        </w:tc>
        <w:tc>
          <w:tcPr>
            <w:tcW w:w="1385" w:type="dxa"/>
            <w:vMerge w:val="restart"/>
            <w:tcBorders>
              <w:bottom w:val="nil"/>
            </w:tcBorders>
            <w:vAlign w:val="top"/>
          </w:tcPr>
          <w:p w14:paraId="56D71FC8">
            <w:pPr>
              <w:spacing w:line="253" w:lineRule="auto"/>
              <w:jc w:val="center"/>
              <w:rPr>
                <w:rFonts w:ascii="宋体" w:hAnsi="宋体" w:eastAsia="宋体" w:cs="宋体"/>
                <w:spacing w:val="-1"/>
                <w:kern w:val="2"/>
                <w:sz w:val="24"/>
                <w:szCs w:val="24"/>
                <w:lang w:val="en-US" w:eastAsia="en-US" w:bidi="ar-SA"/>
              </w:rPr>
            </w:pPr>
          </w:p>
          <w:p w14:paraId="03526D1E">
            <w:pPr>
              <w:spacing w:line="253" w:lineRule="auto"/>
              <w:jc w:val="center"/>
              <w:rPr>
                <w:rFonts w:ascii="宋体" w:hAnsi="宋体" w:eastAsia="宋体" w:cs="宋体"/>
                <w:spacing w:val="-1"/>
                <w:kern w:val="2"/>
                <w:sz w:val="24"/>
                <w:szCs w:val="24"/>
                <w:lang w:val="en-US" w:eastAsia="en-US" w:bidi="ar-SA"/>
              </w:rPr>
            </w:pPr>
          </w:p>
          <w:p w14:paraId="4B938B1C">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灌木、绿篱</w:t>
            </w:r>
          </w:p>
        </w:tc>
        <w:tc>
          <w:tcPr>
            <w:tcW w:w="3029" w:type="dxa"/>
            <w:vMerge w:val="restart"/>
            <w:tcBorders>
              <w:bottom w:val="nil"/>
            </w:tcBorders>
            <w:vAlign w:val="top"/>
          </w:tcPr>
          <w:p w14:paraId="35667BA9">
            <w:pPr>
              <w:spacing w:line="253" w:lineRule="auto"/>
              <w:jc w:val="center"/>
              <w:rPr>
                <w:rFonts w:ascii="宋体" w:hAnsi="宋体" w:eastAsia="宋体" w:cs="宋体"/>
                <w:spacing w:val="-1"/>
                <w:kern w:val="2"/>
                <w:sz w:val="24"/>
                <w:szCs w:val="24"/>
                <w:lang w:val="en-US" w:eastAsia="en-US" w:bidi="ar-SA"/>
              </w:rPr>
            </w:pPr>
          </w:p>
          <w:p w14:paraId="7E3D77B6">
            <w:pPr>
              <w:spacing w:line="253" w:lineRule="auto"/>
              <w:jc w:val="both"/>
              <w:rPr>
                <w:rFonts w:ascii="宋体" w:hAnsi="宋体" w:eastAsia="宋体" w:cs="宋体"/>
                <w:spacing w:val="-1"/>
                <w:kern w:val="2"/>
                <w:sz w:val="24"/>
                <w:szCs w:val="24"/>
                <w:lang w:val="en-US" w:eastAsia="en-US" w:bidi="ar-SA"/>
              </w:rPr>
            </w:pPr>
          </w:p>
          <w:p w14:paraId="3E7E84A4">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生长良好，无断层、缺株，</w:t>
            </w:r>
          </w:p>
          <w:p w14:paraId="22A77809">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上面平整、边、直线、棱角</w:t>
            </w:r>
          </w:p>
          <w:p w14:paraId="37461C67">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分明，无杂草，无垃圾和枯、</w:t>
            </w:r>
          </w:p>
          <w:p w14:paraId="30055C5A">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绿叶堆积</w:t>
            </w:r>
          </w:p>
        </w:tc>
        <w:tc>
          <w:tcPr>
            <w:tcW w:w="3709" w:type="dxa"/>
            <w:vAlign w:val="top"/>
          </w:tcPr>
          <w:p w14:paraId="71DFAAC1">
            <w:pPr>
              <w:pStyle w:val="39"/>
              <w:spacing w:before="305" w:line="219" w:lineRule="auto"/>
              <w:jc w:val="center"/>
              <w:rPr>
                <w:rFonts w:ascii="宋体" w:hAnsi="宋体" w:eastAsia="宋体" w:cs="宋体"/>
                <w:sz w:val="24"/>
                <w:szCs w:val="24"/>
              </w:rPr>
            </w:pPr>
            <w:r>
              <w:rPr>
                <w:rFonts w:ascii="宋体" w:hAnsi="宋体" w:eastAsia="宋体" w:cs="宋体"/>
                <w:sz w:val="24"/>
                <w:szCs w:val="24"/>
              </w:rPr>
              <w:t>在规定时间内未松土、除杂草或 修剪</w:t>
            </w:r>
          </w:p>
        </w:tc>
        <w:tc>
          <w:tcPr>
            <w:tcW w:w="949" w:type="dxa"/>
            <w:vAlign w:val="top"/>
          </w:tcPr>
          <w:p w14:paraId="61F52C62">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844" w:type="dxa"/>
            <w:vAlign w:val="top"/>
          </w:tcPr>
          <w:p w14:paraId="00731BCD">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每块地扣1分，扣完为止</w:t>
            </w:r>
          </w:p>
        </w:tc>
        <w:tc>
          <w:tcPr>
            <w:tcW w:w="1144" w:type="dxa"/>
            <w:vAlign w:val="top"/>
          </w:tcPr>
          <w:p w14:paraId="21624261">
            <w:pPr>
              <w:jc w:val="center"/>
              <w:rPr>
                <w:rFonts w:ascii="Arial"/>
                <w:sz w:val="24"/>
                <w:szCs w:val="24"/>
              </w:rPr>
            </w:pPr>
          </w:p>
        </w:tc>
        <w:tc>
          <w:tcPr>
            <w:tcW w:w="1155" w:type="dxa"/>
            <w:vAlign w:val="top"/>
          </w:tcPr>
          <w:p w14:paraId="3DFDE2E1">
            <w:pPr>
              <w:jc w:val="center"/>
              <w:rPr>
                <w:rFonts w:ascii="Arial"/>
                <w:sz w:val="24"/>
                <w:szCs w:val="24"/>
              </w:rPr>
            </w:pPr>
          </w:p>
        </w:tc>
      </w:tr>
      <w:tr w14:paraId="5853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42" w:type="dxa"/>
            <w:vMerge w:val="continue"/>
            <w:tcBorders>
              <w:top w:val="nil"/>
              <w:bottom w:val="nil"/>
            </w:tcBorders>
            <w:vAlign w:val="top"/>
          </w:tcPr>
          <w:p w14:paraId="579CFA8B">
            <w:pPr>
              <w:jc w:val="center"/>
              <w:rPr>
                <w:rFonts w:ascii="Arial"/>
                <w:sz w:val="24"/>
                <w:szCs w:val="24"/>
              </w:rPr>
            </w:pPr>
          </w:p>
        </w:tc>
        <w:tc>
          <w:tcPr>
            <w:tcW w:w="1385" w:type="dxa"/>
            <w:vMerge w:val="continue"/>
            <w:tcBorders>
              <w:top w:val="nil"/>
              <w:bottom w:val="nil"/>
            </w:tcBorders>
            <w:vAlign w:val="top"/>
          </w:tcPr>
          <w:p w14:paraId="23A26BC4">
            <w:pPr>
              <w:jc w:val="center"/>
              <w:rPr>
                <w:rFonts w:ascii="Arial"/>
                <w:sz w:val="24"/>
                <w:szCs w:val="24"/>
              </w:rPr>
            </w:pPr>
          </w:p>
        </w:tc>
        <w:tc>
          <w:tcPr>
            <w:tcW w:w="3029" w:type="dxa"/>
            <w:vMerge w:val="continue"/>
            <w:tcBorders>
              <w:top w:val="nil"/>
              <w:bottom w:val="nil"/>
            </w:tcBorders>
            <w:vAlign w:val="top"/>
          </w:tcPr>
          <w:p w14:paraId="191F6CF5">
            <w:pPr>
              <w:jc w:val="center"/>
              <w:rPr>
                <w:rFonts w:ascii="Arial"/>
                <w:sz w:val="24"/>
                <w:szCs w:val="24"/>
              </w:rPr>
            </w:pPr>
          </w:p>
        </w:tc>
        <w:tc>
          <w:tcPr>
            <w:tcW w:w="3709" w:type="dxa"/>
            <w:vAlign w:val="top"/>
          </w:tcPr>
          <w:p w14:paraId="21FD82DE">
            <w:pPr>
              <w:pStyle w:val="39"/>
              <w:spacing w:before="305" w:line="219" w:lineRule="auto"/>
              <w:jc w:val="center"/>
              <w:rPr>
                <w:rFonts w:ascii="宋体" w:hAnsi="宋体" w:eastAsia="宋体" w:cs="宋体"/>
                <w:sz w:val="24"/>
                <w:szCs w:val="24"/>
              </w:rPr>
            </w:pPr>
            <w:r>
              <w:rPr>
                <w:rFonts w:ascii="宋体" w:hAnsi="宋体" w:eastAsia="宋体" w:cs="宋体"/>
                <w:sz w:val="24"/>
                <w:szCs w:val="24"/>
              </w:rPr>
              <w:t>修剪不及时或垃圾未当日清运</w:t>
            </w:r>
          </w:p>
        </w:tc>
        <w:tc>
          <w:tcPr>
            <w:tcW w:w="949" w:type="dxa"/>
            <w:vAlign w:val="top"/>
          </w:tcPr>
          <w:p w14:paraId="5857E571">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844" w:type="dxa"/>
            <w:vAlign w:val="top"/>
          </w:tcPr>
          <w:p w14:paraId="2484B0A1">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每处地扣1分，扣完为止</w:t>
            </w:r>
          </w:p>
        </w:tc>
        <w:tc>
          <w:tcPr>
            <w:tcW w:w="1144" w:type="dxa"/>
            <w:vAlign w:val="top"/>
          </w:tcPr>
          <w:p w14:paraId="62E1E0D6">
            <w:pPr>
              <w:jc w:val="center"/>
              <w:rPr>
                <w:rFonts w:ascii="Arial"/>
                <w:sz w:val="24"/>
                <w:szCs w:val="24"/>
              </w:rPr>
            </w:pPr>
          </w:p>
        </w:tc>
        <w:tc>
          <w:tcPr>
            <w:tcW w:w="1155" w:type="dxa"/>
            <w:vAlign w:val="top"/>
          </w:tcPr>
          <w:p w14:paraId="0E190294">
            <w:pPr>
              <w:jc w:val="center"/>
              <w:rPr>
                <w:rFonts w:ascii="Arial"/>
                <w:sz w:val="24"/>
                <w:szCs w:val="24"/>
              </w:rPr>
            </w:pPr>
          </w:p>
        </w:tc>
      </w:tr>
      <w:tr w14:paraId="4E907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42" w:type="dxa"/>
            <w:vMerge w:val="continue"/>
            <w:tcBorders>
              <w:top w:val="nil"/>
              <w:bottom w:val="single" w:color="auto" w:sz="4" w:space="0"/>
            </w:tcBorders>
            <w:vAlign w:val="top"/>
          </w:tcPr>
          <w:p w14:paraId="00AD0C03">
            <w:pPr>
              <w:jc w:val="center"/>
              <w:rPr>
                <w:rFonts w:ascii="Arial"/>
                <w:sz w:val="24"/>
                <w:szCs w:val="24"/>
              </w:rPr>
            </w:pPr>
          </w:p>
        </w:tc>
        <w:tc>
          <w:tcPr>
            <w:tcW w:w="1385" w:type="dxa"/>
            <w:vMerge w:val="continue"/>
            <w:tcBorders>
              <w:top w:val="nil"/>
              <w:bottom w:val="single" w:color="auto" w:sz="4" w:space="0"/>
            </w:tcBorders>
            <w:vAlign w:val="top"/>
          </w:tcPr>
          <w:p w14:paraId="7FA8729A">
            <w:pPr>
              <w:jc w:val="center"/>
              <w:rPr>
                <w:rFonts w:ascii="Arial"/>
                <w:sz w:val="24"/>
                <w:szCs w:val="24"/>
              </w:rPr>
            </w:pPr>
          </w:p>
        </w:tc>
        <w:tc>
          <w:tcPr>
            <w:tcW w:w="3029" w:type="dxa"/>
            <w:vMerge w:val="continue"/>
            <w:tcBorders>
              <w:top w:val="nil"/>
              <w:bottom w:val="single" w:color="auto" w:sz="4" w:space="0"/>
            </w:tcBorders>
            <w:vAlign w:val="top"/>
          </w:tcPr>
          <w:p w14:paraId="0A0BD082">
            <w:pPr>
              <w:jc w:val="center"/>
              <w:rPr>
                <w:rFonts w:ascii="Arial"/>
                <w:sz w:val="24"/>
                <w:szCs w:val="24"/>
              </w:rPr>
            </w:pPr>
          </w:p>
        </w:tc>
        <w:tc>
          <w:tcPr>
            <w:tcW w:w="3709" w:type="dxa"/>
            <w:tcBorders>
              <w:bottom w:val="single" w:color="auto" w:sz="4" w:space="0"/>
            </w:tcBorders>
            <w:vAlign w:val="top"/>
          </w:tcPr>
          <w:p w14:paraId="2B807193">
            <w:pPr>
              <w:pStyle w:val="39"/>
              <w:spacing w:before="305" w:line="219" w:lineRule="auto"/>
              <w:jc w:val="center"/>
              <w:rPr>
                <w:rFonts w:ascii="宋体" w:hAnsi="宋体" w:eastAsia="宋体" w:cs="宋体"/>
                <w:sz w:val="24"/>
                <w:szCs w:val="24"/>
              </w:rPr>
            </w:pPr>
            <w:r>
              <w:rPr>
                <w:rFonts w:ascii="宋体" w:hAnsi="宋体" w:eastAsia="宋体" w:cs="宋体"/>
                <w:sz w:val="24"/>
                <w:szCs w:val="24"/>
              </w:rPr>
              <w:t>缺株、斑秃，种植季节未补植</w:t>
            </w:r>
          </w:p>
        </w:tc>
        <w:tc>
          <w:tcPr>
            <w:tcW w:w="949" w:type="dxa"/>
            <w:tcBorders>
              <w:bottom w:val="single" w:color="auto" w:sz="4" w:space="0"/>
            </w:tcBorders>
            <w:vAlign w:val="top"/>
          </w:tcPr>
          <w:p w14:paraId="4E030300">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844" w:type="dxa"/>
            <w:tcBorders>
              <w:bottom w:val="single" w:color="auto" w:sz="4" w:space="0"/>
            </w:tcBorders>
            <w:vAlign w:val="top"/>
          </w:tcPr>
          <w:p w14:paraId="77E9AF59">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每处扣1分，扣完为止</w:t>
            </w:r>
          </w:p>
        </w:tc>
        <w:tc>
          <w:tcPr>
            <w:tcW w:w="1144" w:type="dxa"/>
            <w:tcBorders>
              <w:bottom w:val="single" w:color="auto" w:sz="4" w:space="0"/>
            </w:tcBorders>
            <w:vAlign w:val="top"/>
          </w:tcPr>
          <w:p w14:paraId="35919E7A">
            <w:pPr>
              <w:jc w:val="center"/>
              <w:rPr>
                <w:rFonts w:ascii="Arial"/>
                <w:sz w:val="24"/>
                <w:szCs w:val="24"/>
              </w:rPr>
            </w:pPr>
          </w:p>
        </w:tc>
        <w:tc>
          <w:tcPr>
            <w:tcW w:w="1155" w:type="dxa"/>
            <w:tcBorders>
              <w:bottom w:val="single" w:color="auto" w:sz="4" w:space="0"/>
            </w:tcBorders>
            <w:vAlign w:val="top"/>
          </w:tcPr>
          <w:p w14:paraId="3151F744">
            <w:pPr>
              <w:jc w:val="center"/>
              <w:rPr>
                <w:rFonts w:ascii="Arial"/>
                <w:sz w:val="24"/>
                <w:szCs w:val="24"/>
              </w:rPr>
            </w:pPr>
          </w:p>
        </w:tc>
      </w:tr>
      <w:tr w14:paraId="5C03F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742" w:type="dxa"/>
            <w:vMerge w:val="restart"/>
            <w:tcBorders>
              <w:top w:val="single" w:color="auto" w:sz="4" w:space="0"/>
              <w:left w:val="single" w:color="auto" w:sz="4" w:space="0"/>
              <w:bottom w:val="single" w:color="auto" w:sz="4" w:space="0"/>
              <w:right w:val="single" w:color="auto" w:sz="4" w:space="0"/>
            </w:tcBorders>
            <w:vAlign w:val="top"/>
          </w:tcPr>
          <w:p w14:paraId="4E12FC7F">
            <w:pPr>
              <w:jc w:val="center"/>
              <w:rPr>
                <w:rFonts w:ascii="Arial"/>
                <w:sz w:val="24"/>
                <w:szCs w:val="24"/>
              </w:rPr>
            </w:pPr>
          </w:p>
          <w:p w14:paraId="18CF4A97">
            <w:pPr>
              <w:jc w:val="center"/>
              <w:rPr>
                <w:rFonts w:ascii="Arial"/>
                <w:sz w:val="24"/>
                <w:szCs w:val="24"/>
              </w:rPr>
            </w:pPr>
          </w:p>
          <w:p w14:paraId="3519FBB6">
            <w:pPr>
              <w:jc w:val="center"/>
              <w:rPr>
                <w:rFonts w:ascii="Arial"/>
                <w:sz w:val="24"/>
                <w:szCs w:val="24"/>
              </w:rPr>
            </w:pPr>
          </w:p>
          <w:p w14:paraId="41C8A6CB">
            <w:pPr>
              <w:jc w:val="center"/>
              <w:rPr>
                <w:rFonts w:ascii="Arial"/>
                <w:sz w:val="24"/>
                <w:szCs w:val="24"/>
              </w:rPr>
            </w:pPr>
          </w:p>
          <w:p w14:paraId="4D984BFF">
            <w:pPr>
              <w:jc w:val="center"/>
              <w:rPr>
                <w:rFonts w:ascii="Arial"/>
                <w:sz w:val="24"/>
                <w:szCs w:val="24"/>
              </w:rPr>
            </w:pPr>
            <w:r>
              <w:rPr>
                <w:rFonts w:ascii="Arial"/>
                <w:sz w:val="24"/>
                <w:szCs w:val="24"/>
              </w:rPr>
              <w:t>八</w:t>
            </w:r>
          </w:p>
        </w:tc>
        <w:tc>
          <w:tcPr>
            <w:tcW w:w="1385" w:type="dxa"/>
            <w:vMerge w:val="restart"/>
            <w:tcBorders>
              <w:top w:val="single" w:color="auto" w:sz="4" w:space="0"/>
              <w:left w:val="single" w:color="auto" w:sz="4" w:space="0"/>
              <w:bottom w:val="single" w:color="auto" w:sz="4" w:space="0"/>
              <w:right w:val="single" w:color="auto" w:sz="4" w:space="0"/>
            </w:tcBorders>
            <w:vAlign w:val="top"/>
          </w:tcPr>
          <w:p w14:paraId="1CF970DA">
            <w:pPr>
              <w:spacing w:line="253" w:lineRule="auto"/>
              <w:jc w:val="center"/>
              <w:rPr>
                <w:rFonts w:ascii="宋体" w:hAnsi="宋体" w:eastAsia="宋体" w:cs="宋体"/>
                <w:spacing w:val="-1"/>
                <w:kern w:val="2"/>
                <w:sz w:val="24"/>
                <w:szCs w:val="24"/>
                <w:lang w:val="en-US" w:eastAsia="en-US" w:bidi="ar-SA"/>
              </w:rPr>
            </w:pPr>
          </w:p>
          <w:p w14:paraId="5654DF94">
            <w:pPr>
              <w:spacing w:line="253" w:lineRule="auto"/>
              <w:jc w:val="center"/>
              <w:rPr>
                <w:rFonts w:ascii="宋体" w:hAnsi="宋体" w:eastAsia="宋体" w:cs="宋体"/>
                <w:spacing w:val="-1"/>
                <w:kern w:val="2"/>
                <w:sz w:val="24"/>
                <w:szCs w:val="24"/>
                <w:lang w:val="en-US" w:eastAsia="en-US" w:bidi="ar-SA"/>
              </w:rPr>
            </w:pPr>
          </w:p>
          <w:p w14:paraId="011B6E0F">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乔木</w:t>
            </w:r>
          </w:p>
        </w:tc>
        <w:tc>
          <w:tcPr>
            <w:tcW w:w="3029" w:type="dxa"/>
            <w:vMerge w:val="restart"/>
            <w:tcBorders>
              <w:top w:val="single" w:color="auto" w:sz="4" w:space="0"/>
              <w:left w:val="single" w:color="auto" w:sz="4" w:space="0"/>
              <w:bottom w:val="single" w:color="auto" w:sz="4" w:space="0"/>
              <w:right w:val="single" w:color="auto" w:sz="4" w:space="0"/>
            </w:tcBorders>
            <w:vAlign w:val="top"/>
          </w:tcPr>
          <w:p w14:paraId="3540096F">
            <w:pPr>
              <w:spacing w:line="253" w:lineRule="auto"/>
              <w:jc w:val="center"/>
              <w:rPr>
                <w:rFonts w:ascii="宋体" w:hAnsi="宋体" w:eastAsia="宋体" w:cs="宋体"/>
                <w:spacing w:val="-1"/>
                <w:kern w:val="2"/>
                <w:sz w:val="24"/>
                <w:szCs w:val="24"/>
                <w:lang w:val="en-US" w:eastAsia="en-US" w:bidi="ar-SA"/>
              </w:rPr>
            </w:pPr>
          </w:p>
          <w:p w14:paraId="275CA5BF">
            <w:pPr>
              <w:spacing w:line="253" w:lineRule="auto"/>
              <w:jc w:val="center"/>
              <w:rPr>
                <w:rFonts w:ascii="宋体" w:hAnsi="宋体" w:eastAsia="宋体" w:cs="宋体"/>
                <w:spacing w:val="-1"/>
                <w:kern w:val="2"/>
                <w:sz w:val="24"/>
                <w:szCs w:val="24"/>
                <w:lang w:val="en-US" w:eastAsia="en-US" w:bidi="ar-SA"/>
              </w:rPr>
            </w:pPr>
          </w:p>
          <w:p w14:paraId="0815132C">
            <w:pPr>
              <w:spacing w:line="253" w:lineRule="auto"/>
              <w:jc w:val="center"/>
              <w:rPr>
                <w:rFonts w:ascii="宋体" w:hAnsi="宋体" w:eastAsia="宋体" w:cs="宋体"/>
                <w:spacing w:val="-1"/>
                <w:kern w:val="2"/>
                <w:sz w:val="24"/>
                <w:szCs w:val="24"/>
                <w:lang w:val="en-US" w:eastAsia="en-US" w:bidi="ar-SA"/>
              </w:rPr>
            </w:pPr>
          </w:p>
          <w:p w14:paraId="14FA8EF3">
            <w:pPr>
              <w:spacing w:line="253" w:lineRule="auto"/>
              <w:jc w:val="center"/>
              <w:rPr>
                <w:rFonts w:ascii="宋体" w:hAnsi="宋体" w:eastAsia="宋体" w:cs="宋体"/>
                <w:spacing w:val="-1"/>
                <w:kern w:val="2"/>
                <w:sz w:val="24"/>
                <w:szCs w:val="24"/>
                <w:lang w:val="en-US" w:eastAsia="en-US" w:bidi="ar-SA"/>
              </w:rPr>
            </w:pPr>
          </w:p>
          <w:p w14:paraId="6CA722F7">
            <w:pPr>
              <w:spacing w:line="253" w:lineRule="auto"/>
              <w:jc w:val="center"/>
              <w:rPr>
                <w:rFonts w:ascii="宋体" w:hAnsi="宋体" w:eastAsia="宋体" w:cs="宋体"/>
                <w:spacing w:val="-1"/>
                <w:kern w:val="2"/>
                <w:sz w:val="24"/>
                <w:szCs w:val="24"/>
                <w:lang w:val="en-US" w:eastAsia="en-US" w:bidi="ar-SA"/>
              </w:rPr>
            </w:pPr>
          </w:p>
          <w:p w14:paraId="53EA8C23">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生长旺盛，枝繁叶茂，造型</w:t>
            </w:r>
          </w:p>
          <w:p w14:paraId="35E66E3D">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美观，无枯枝残叶，枝杆、</w:t>
            </w:r>
          </w:p>
          <w:p w14:paraId="278008FA">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叶面无病虫害</w:t>
            </w:r>
          </w:p>
        </w:tc>
        <w:tc>
          <w:tcPr>
            <w:tcW w:w="3709" w:type="dxa"/>
            <w:tcBorders>
              <w:top w:val="single" w:color="auto" w:sz="4" w:space="0"/>
              <w:left w:val="single" w:color="auto" w:sz="4" w:space="0"/>
              <w:bottom w:val="single" w:color="auto" w:sz="4" w:space="0"/>
              <w:right w:val="single" w:color="auto" w:sz="4" w:space="0"/>
            </w:tcBorders>
            <w:vAlign w:val="top"/>
          </w:tcPr>
          <w:p w14:paraId="1B002BA8">
            <w:pPr>
              <w:pStyle w:val="39"/>
              <w:spacing w:before="305" w:line="219" w:lineRule="auto"/>
              <w:jc w:val="center"/>
              <w:rPr>
                <w:rFonts w:ascii="宋体" w:hAnsi="宋体" w:eastAsia="宋体" w:cs="宋体"/>
                <w:sz w:val="24"/>
                <w:szCs w:val="24"/>
              </w:rPr>
            </w:pPr>
            <w:r>
              <w:rPr>
                <w:rFonts w:ascii="宋体" w:hAnsi="宋体" w:eastAsia="宋体" w:cs="宋体"/>
                <w:sz w:val="24"/>
                <w:szCs w:val="24"/>
              </w:rPr>
              <w:t>未按时施肥浇水</w:t>
            </w:r>
          </w:p>
        </w:tc>
        <w:tc>
          <w:tcPr>
            <w:tcW w:w="949" w:type="dxa"/>
            <w:tcBorders>
              <w:top w:val="single" w:color="auto" w:sz="4" w:space="0"/>
              <w:left w:val="single" w:color="auto" w:sz="4" w:space="0"/>
              <w:bottom w:val="single" w:color="auto" w:sz="4" w:space="0"/>
              <w:right w:val="single" w:color="auto" w:sz="4" w:space="0"/>
            </w:tcBorders>
            <w:vAlign w:val="top"/>
          </w:tcPr>
          <w:p w14:paraId="32A6CAFD">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844" w:type="dxa"/>
            <w:tcBorders>
              <w:top w:val="single" w:color="auto" w:sz="4" w:space="0"/>
              <w:left w:val="single" w:color="auto" w:sz="4" w:space="0"/>
              <w:bottom w:val="single" w:color="auto" w:sz="4" w:space="0"/>
              <w:right w:val="single" w:color="auto" w:sz="4" w:space="0"/>
            </w:tcBorders>
            <w:vAlign w:val="top"/>
          </w:tcPr>
          <w:p w14:paraId="799D2898">
            <w:pPr>
              <w:pStyle w:val="39"/>
              <w:spacing w:before="305" w:line="219" w:lineRule="auto"/>
              <w:jc w:val="center"/>
              <w:rPr>
                <w:rFonts w:ascii="宋体" w:hAnsi="宋体" w:eastAsia="宋体" w:cs="宋体"/>
                <w:sz w:val="24"/>
                <w:szCs w:val="24"/>
              </w:rPr>
            </w:pPr>
            <w:r>
              <w:rPr>
                <w:rFonts w:ascii="宋体" w:hAnsi="宋体" w:eastAsia="宋体" w:cs="宋体"/>
                <w:sz w:val="24"/>
                <w:szCs w:val="24"/>
              </w:rPr>
              <w:t>超1天扣1分，扣完为止</w:t>
            </w:r>
          </w:p>
        </w:tc>
        <w:tc>
          <w:tcPr>
            <w:tcW w:w="1144" w:type="dxa"/>
            <w:tcBorders>
              <w:top w:val="single" w:color="auto" w:sz="4" w:space="0"/>
              <w:left w:val="single" w:color="auto" w:sz="4" w:space="0"/>
              <w:bottom w:val="single" w:color="auto" w:sz="4" w:space="0"/>
              <w:right w:val="single" w:color="auto" w:sz="4" w:space="0"/>
            </w:tcBorders>
            <w:vAlign w:val="top"/>
          </w:tcPr>
          <w:p w14:paraId="0C02FF53">
            <w:pPr>
              <w:jc w:val="center"/>
              <w:rPr>
                <w:rFonts w:ascii="Arial"/>
                <w:sz w:val="24"/>
                <w:szCs w:val="24"/>
              </w:rPr>
            </w:pPr>
          </w:p>
        </w:tc>
        <w:tc>
          <w:tcPr>
            <w:tcW w:w="1155" w:type="dxa"/>
            <w:tcBorders>
              <w:top w:val="single" w:color="auto" w:sz="4" w:space="0"/>
              <w:left w:val="single" w:color="auto" w:sz="4" w:space="0"/>
              <w:bottom w:val="single" w:color="auto" w:sz="4" w:space="0"/>
              <w:right w:val="single" w:color="auto" w:sz="4" w:space="0"/>
            </w:tcBorders>
            <w:vAlign w:val="top"/>
          </w:tcPr>
          <w:p w14:paraId="41FF3B05">
            <w:pPr>
              <w:jc w:val="center"/>
              <w:rPr>
                <w:rFonts w:ascii="Arial"/>
                <w:sz w:val="24"/>
                <w:szCs w:val="24"/>
              </w:rPr>
            </w:pPr>
          </w:p>
        </w:tc>
      </w:tr>
      <w:tr w14:paraId="26F6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42" w:type="dxa"/>
            <w:vMerge w:val="continue"/>
            <w:tcBorders>
              <w:top w:val="single" w:color="auto" w:sz="4" w:space="0"/>
              <w:left w:val="single" w:color="auto" w:sz="4" w:space="0"/>
              <w:bottom w:val="single" w:color="auto" w:sz="4" w:space="0"/>
              <w:right w:val="single" w:color="auto" w:sz="4" w:space="0"/>
            </w:tcBorders>
            <w:vAlign w:val="top"/>
          </w:tcPr>
          <w:p w14:paraId="71BD2440">
            <w:pPr>
              <w:jc w:val="center"/>
              <w:rPr>
                <w:rFonts w:ascii="Arial"/>
                <w:sz w:val="24"/>
                <w:szCs w:val="24"/>
              </w:rPr>
            </w:pPr>
          </w:p>
        </w:tc>
        <w:tc>
          <w:tcPr>
            <w:tcW w:w="1385" w:type="dxa"/>
            <w:vMerge w:val="continue"/>
            <w:tcBorders>
              <w:top w:val="single" w:color="auto" w:sz="4" w:space="0"/>
              <w:left w:val="single" w:color="auto" w:sz="4" w:space="0"/>
              <w:bottom w:val="single" w:color="auto" w:sz="4" w:space="0"/>
              <w:right w:val="single" w:color="auto" w:sz="4" w:space="0"/>
            </w:tcBorders>
            <w:vAlign w:val="top"/>
          </w:tcPr>
          <w:p w14:paraId="1A803BD6">
            <w:pPr>
              <w:spacing w:line="253" w:lineRule="auto"/>
              <w:jc w:val="center"/>
              <w:rPr>
                <w:rFonts w:ascii="宋体" w:hAnsi="宋体" w:eastAsia="宋体" w:cs="宋体"/>
                <w:spacing w:val="-1"/>
                <w:kern w:val="2"/>
                <w:sz w:val="24"/>
                <w:szCs w:val="24"/>
                <w:lang w:val="en-US" w:eastAsia="en-US" w:bidi="ar-SA"/>
              </w:rPr>
            </w:pPr>
          </w:p>
        </w:tc>
        <w:tc>
          <w:tcPr>
            <w:tcW w:w="3029" w:type="dxa"/>
            <w:vMerge w:val="continue"/>
            <w:tcBorders>
              <w:top w:val="single" w:color="auto" w:sz="4" w:space="0"/>
              <w:left w:val="single" w:color="auto" w:sz="4" w:space="0"/>
              <w:bottom w:val="single" w:color="auto" w:sz="4" w:space="0"/>
              <w:right w:val="single" w:color="auto" w:sz="4" w:space="0"/>
            </w:tcBorders>
            <w:vAlign w:val="top"/>
          </w:tcPr>
          <w:p w14:paraId="234E221A">
            <w:pPr>
              <w:spacing w:line="253" w:lineRule="auto"/>
              <w:jc w:val="center"/>
              <w:rPr>
                <w:rFonts w:ascii="宋体" w:hAnsi="宋体" w:eastAsia="宋体" w:cs="宋体"/>
                <w:spacing w:val="-1"/>
                <w:kern w:val="2"/>
                <w:sz w:val="24"/>
                <w:szCs w:val="24"/>
                <w:lang w:val="en-US" w:eastAsia="en-US" w:bidi="ar-SA"/>
              </w:rPr>
            </w:pPr>
          </w:p>
        </w:tc>
        <w:tc>
          <w:tcPr>
            <w:tcW w:w="3709" w:type="dxa"/>
            <w:tcBorders>
              <w:top w:val="single" w:color="auto" w:sz="4" w:space="0"/>
              <w:left w:val="single" w:color="auto" w:sz="4" w:space="0"/>
              <w:bottom w:val="single" w:color="auto" w:sz="4" w:space="0"/>
              <w:right w:val="single" w:color="auto" w:sz="4" w:space="0"/>
            </w:tcBorders>
            <w:vAlign w:val="top"/>
          </w:tcPr>
          <w:p w14:paraId="46875F75">
            <w:pPr>
              <w:pStyle w:val="39"/>
              <w:spacing w:before="305" w:line="219" w:lineRule="auto"/>
              <w:jc w:val="center"/>
              <w:rPr>
                <w:rFonts w:ascii="宋体" w:hAnsi="宋体" w:eastAsia="宋体" w:cs="宋体"/>
                <w:sz w:val="24"/>
                <w:szCs w:val="24"/>
              </w:rPr>
            </w:pPr>
            <w:r>
              <w:rPr>
                <w:rFonts w:ascii="宋体" w:hAnsi="宋体" w:eastAsia="宋体" w:cs="宋体"/>
                <w:sz w:val="24"/>
                <w:szCs w:val="24"/>
              </w:rPr>
              <w:t>秋季未涂白、未进行病虫害防治、 缺株种植季节未补植</w:t>
            </w:r>
          </w:p>
        </w:tc>
        <w:tc>
          <w:tcPr>
            <w:tcW w:w="949" w:type="dxa"/>
            <w:tcBorders>
              <w:top w:val="single" w:color="auto" w:sz="4" w:space="0"/>
              <w:left w:val="single" w:color="auto" w:sz="4" w:space="0"/>
              <w:bottom w:val="single" w:color="auto" w:sz="4" w:space="0"/>
              <w:right w:val="single" w:color="auto" w:sz="4" w:space="0"/>
            </w:tcBorders>
            <w:vAlign w:val="top"/>
          </w:tcPr>
          <w:p w14:paraId="2D4B3E27">
            <w:pPr>
              <w:pStyle w:val="39"/>
              <w:spacing w:before="305" w:line="219" w:lineRule="auto"/>
              <w:jc w:val="center"/>
              <w:rPr>
                <w:rFonts w:ascii="宋体" w:hAnsi="宋体" w:eastAsia="宋体" w:cs="宋体"/>
                <w:sz w:val="24"/>
                <w:szCs w:val="24"/>
              </w:rPr>
            </w:pPr>
            <w:r>
              <w:rPr>
                <w:rFonts w:ascii="宋体" w:hAnsi="宋体" w:eastAsia="宋体" w:cs="宋体"/>
                <w:sz w:val="24"/>
                <w:szCs w:val="24"/>
              </w:rPr>
              <w:t>5</w:t>
            </w:r>
          </w:p>
        </w:tc>
        <w:tc>
          <w:tcPr>
            <w:tcW w:w="2844" w:type="dxa"/>
            <w:tcBorders>
              <w:top w:val="single" w:color="auto" w:sz="4" w:space="0"/>
              <w:left w:val="single" w:color="auto" w:sz="4" w:space="0"/>
              <w:bottom w:val="single" w:color="auto" w:sz="4" w:space="0"/>
              <w:right w:val="single" w:color="auto" w:sz="4" w:space="0"/>
            </w:tcBorders>
            <w:vAlign w:val="top"/>
          </w:tcPr>
          <w:p w14:paraId="1E8D4132">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每株扣1分，扣完为止</w:t>
            </w:r>
          </w:p>
        </w:tc>
        <w:tc>
          <w:tcPr>
            <w:tcW w:w="1144" w:type="dxa"/>
            <w:tcBorders>
              <w:top w:val="single" w:color="auto" w:sz="4" w:space="0"/>
              <w:left w:val="single" w:color="auto" w:sz="4" w:space="0"/>
              <w:bottom w:val="single" w:color="auto" w:sz="4" w:space="0"/>
              <w:right w:val="single" w:color="auto" w:sz="4" w:space="0"/>
            </w:tcBorders>
            <w:vAlign w:val="top"/>
          </w:tcPr>
          <w:p w14:paraId="3C75772C">
            <w:pPr>
              <w:jc w:val="center"/>
              <w:rPr>
                <w:rFonts w:ascii="Arial"/>
                <w:sz w:val="24"/>
                <w:szCs w:val="24"/>
              </w:rPr>
            </w:pPr>
          </w:p>
        </w:tc>
        <w:tc>
          <w:tcPr>
            <w:tcW w:w="1155" w:type="dxa"/>
            <w:tcBorders>
              <w:top w:val="single" w:color="auto" w:sz="4" w:space="0"/>
              <w:left w:val="single" w:color="auto" w:sz="4" w:space="0"/>
              <w:bottom w:val="single" w:color="auto" w:sz="4" w:space="0"/>
              <w:right w:val="single" w:color="auto" w:sz="4" w:space="0"/>
            </w:tcBorders>
            <w:vAlign w:val="top"/>
          </w:tcPr>
          <w:p w14:paraId="0B9361BE">
            <w:pPr>
              <w:jc w:val="center"/>
              <w:rPr>
                <w:rFonts w:ascii="Arial"/>
                <w:sz w:val="24"/>
                <w:szCs w:val="24"/>
              </w:rPr>
            </w:pPr>
          </w:p>
        </w:tc>
      </w:tr>
      <w:tr w14:paraId="4B5C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742" w:type="dxa"/>
            <w:vMerge w:val="continue"/>
            <w:tcBorders>
              <w:top w:val="single" w:color="auto" w:sz="4" w:space="0"/>
              <w:left w:val="single" w:color="auto" w:sz="4" w:space="0"/>
              <w:bottom w:val="single" w:color="auto" w:sz="4" w:space="0"/>
              <w:right w:val="single" w:color="auto" w:sz="4" w:space="0"/>
            </w:tcBorders>
            <w:vAlign w:val="top"/>
          </w:tcPr>
          <w:p w14:paraId="4882A85A">
            <w:pPr>
              <w:jc w:val="center"/>
              <w:rPr>
                <w:rFonts w:ascii="Arial"/>
                <w:sz w:val="24"/>
                <w:szCs w:val="24"/>
              </w:rPr>
            </w:pPr>
          </w:p>
        </w:tc>
        <w:tc>
          <w:tcPr>
            <w:tcW w:w="1385" w:type="dxa"/>
            <w:vMerge w:val="continue"/>
            <w:tcBorders>
              <w:top w:val="single" w:color="auto" w:sz="4" w:space="0"/>
              <w:left w:val="single" w:color="auto" w:sz="4" w:space="0"/>
              <w:bottom w:val="single" w:color="auto" w:sz="4" w:space="0"/>
              <w:right w:val="single" w:color="auto" w:sz="4" w:space="0"/>
            </w:tcBorders>
            <w:vAlign w:val="top"/>
          </w:tcPr>
          <w:p w14:paraId="3514620C">
            <w:pPr>
              <w:spacing w:line="253" w:lineRule="auto"/>
              <w:jc w:val="center"/>
              <w:rPr>
                <w:rFonts w:ascii="宋体" w:hAnsi="宋体" w:eastAsia="宋体" w:cs="宋体"/>
                <w:spacing w:val="-1"/>
                <w:kern w:val="2"/>
                <w:sz w:val="24"/>
                <w:szCs w:val="24"/>
                <w:lang w:val="en-US" w:eastAsia="en-US" w:bidi="ar-SA"/>
              </w:rPr>
            </w:pPr>
          </w:p>
        </w:tc>
        <w:tc>
          <w:tcPr>
            <w:tcW w:w="3029" w:type="dxa"/>
            <w:vMerge w:val="continue"/>
            <w:tcBorders>
              <w:top w:val="single" w:color="auto" w:sz="4" w:space="0"/>
              <w:left w:val="single" w:color="auto" w:sz="4" w:space="0"/>
              <w:bottom w:val="single" w:color="auto" w:sz="4" w:space="0"/>
              <w:right w:val="single" w:color="auto" w:sz="4" w:space="0"/>
            </w:tcBorders>
            <w:vAlign w:val="top"/>
          </w:tcPr>
          <w:p w14:paraId="551E0760">
            <w:pPr>
              <w:spacing w:line="253" w:lineRule="auto"/>
              <w:jc w:val="center"/>
              <w:rPr>
                <w:rFonts w:ascii="宋体" w:hAnsi="宋体" w:eastAsia="宋体" w:cs="宋体"/>
                <w:spacing w:val="-1"/>
                <w:kern w:val="2"/>
                <w:sz w:val="24"/>
                <w:szCs w:val="24"/>
                <w:lang w:val="en-US" w:eastAsia="en-US" w:bidi="ar-SA"/>
              </w:rPr>
            </w:pPr>
          </w:p>
        </w:tc>
        <w:tc>
          <w:tcPr>
            <w:tcW w:w="3709" w:type="dxa"/>
            <w:tcBorders>
              <w:top w:val="single" w:color="auto" w:sz="4" w:space="0"/>
              <w:left w:val="single" w:color="auto" w:sz="4" w:space="0"/>
              <w:bottom w:val="single" w:color="auto" w:sz="4" w:space="0"/>
              <w:right w:val="single" w:color="auto" w:sz="4" w:space="0"/>
            </w:tcBorders>
            <w:vAlign w:val="top"/>
          </w:tcPr>
          <w:p w14:paraId="164BDA07">
            <w:pPr>
              <w:pStyle w:val="39"/>
              <w:spacing w:before="305" w:line="219" w:lineRule="auto"/>
              <w:jc w:val="center"/>
              <w:rPr>
                <w:rFonts w:ascii="宋体" w:hAnsi="宋体" w:eastAsia="宋体" w:cs="宋体"/>
                <w:sz w:val="24"/>
                <w:szCs w:val="24"/>
              </w:rPr>
            </w:pPr>
            <w:r>
              <w:rPr>
                <w:rFonts w:ascii="宋体" w:hAnsi="宋体" w:eastAsia="宋体" w:cs="宋体"/>
                <w:sz w:val="24"/>
                <w:szCs w:val="24"/>
              </w:rPr>
              <w:t>多余枝、干枝未修剪，树形歪斜</w:t>
            </w:r>
          </w:p>
        </w:tc>
        <w:tc>
          <w:tcPr>
            <w:tcW w:w="949" w:type="dxa"/>
            <w:tcBorders>
              <w:top w:val="single" w:color="auto" w:sz="4" w:space="0"/>
              <w:left w:val="single" w:color="auto" w:sz="4" w:space="0"/>
              <w:bottom w:val="single" w:color="auto" w:sz="4" w:space="0"/>
              <w:right w:val="single" w:color="auto" w:sz="4" w:space="0"/>
            </w:tcBorders>
            <w:vAlign w:val="top"/>
          </w:tcPr>
          <w:p w14:paraId="46C40C76">
            <w:pPr>
              <w:pStyle w:val="39"/>
              <w:spacing w:before="305" w:line="219" w:lineRule="auto"/>
              <w:jc w:val="center"/>
              <w:rPr>
                <w:rFonts w:ascii="宋体" w:hAnsi="宋体" w:eastAsia="宋体" w:cs="宋体"/>
                <w:sz w:val="24"/>
                <w:szCs w:val="24"/>
              </w:rPr>
            </w:pPr>
            <w:r>
              <w:rPr>
                <w:rFonts w:ascii="宋体" w:hAnsi="宋体" w:eastAsia="宋体" w:cs="宋体"/>
                <w:sz w:val="24"/>
                <w:szCs w:val="24"/>
              </w:rPr>
              <w:t>3</w:t>
            </w:r>
          </w:p>
        </w:tc>
        <w:tc>
          <w:tcPr>
            <w:tcW w:w="2844" w:type="dxa"/>
            <w:tcBorders>
              <w:top w:val="single" w:color="auto" w:sz="4" w:space="0"/>
              <w:left w:val="single" w:color="auto" w:sz="4" w:space="0"/>
              <w:bottom w:val="single" w:color="auto" w:sz="4" w:space="0"/>
              <w:right w:val="single" w:color="auto" w:sz="4" w:space="0"/>
            </w:tcBorders>
            <w:vAlign w:val="top"/>
          </w:tcPr>
          <w:p w14:paraId="67ED764A">
            <w:pPr>
              <w:pStyle w:val="39"/>
              <w:spacing w:before="305" w:line="219" w:lineRule="auto"/>
              <w:jc w:val="center"/>
              <w:rPr>
                <w:rFonts w:ascii="宋体" w:hAnsi="宋体" w:eastAsia="宋体" w:cs="宋体"/>
                <w:sz w:val="24"/>
                <w:szCs w:val="24"/>
              </w:rPr>
            </w:pPr>
            <w:r>
              <w:rPr>
                <w:rFonts w:ascii="宋体" w:hAnsi="宋体" w:eastAsia="宋体" w:cs="宋体"/>
                <w:sz w:val="24"/>
                <w:szCs w:val="24"/>
              </w:rPr>
              <w:t>每株扣0.5分，扣完为止</w:t>
            </w:r>
          </w:p>
        </w:tc>
        <w:tc>
          <w:tcPr>
            <w:tcW w:w="1144" w:type="dxa"/>
            <w:tcBorders>
              <w:top w:val="single" w:color="auto" w:sz="4" w:space="0"/>
              <w:left w:val="single" w:color="auto" w:sz="4" w:space="0"/>
              <w:bottom w:val="single" w:color="auto" w:sz="4" w:space="0"/>
              <w:right w:val="single" w:color="auto" w:sz="4" w:space="0"/>
            </w:tcBorders>
            <w:vAlign w:val="top"/>
          </w:tcPr>
          <w:p w14:paraId="2A15FEE1">
            <w:pPr>
              <w:jc w:val="center"/>
              <w:rPr>
                <w:rFonts w:ascii="Arial"/>
                <w:sz w:val="24"/>
                <w:szCs w:val="24"/>
              </w:rPr>
            </w:pPr>
          </w:p>
        </w:tc>
        <w:tc>
          <w:tcPr>
            <w:tcW w:w="1155" w:type="dxa"/>
            <w:tcBorders>
              <w:top w:val="single" w:color="auto" w:sz="4" w:space="0"/>
              <w:left w:val="single" w:color="auto" w:sz="4" w:space="0"/>
              <w:bottom w:val="single" w:color="auto" w:sz="4" w:space="0"/>
              <w:right w:val="single" w:color="auto" w:sz="4" w:space="0"/>
            </w:tcBorders>
            <w:vAlign w:val="top"/>
          </w:tcPr>
          <w:p w14:paraId="0E44701F">
            <w:pPr>
              <w:jc w:val="center"/>
              <w:rPr>
                <w:rFonts w:ascii="Arial"/>
                <w:sz w:val="24"/>
                <w:szCs w:val="24"/>
              </w:rPr>
            </w:pPr>
          </w:p>
        </w:tc>
      </w:tr>
      <w:tr w14:paraId="6CD89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742" w:type="dxa"/>
            <w:tcBorders>
              <w:top w:val="single" w:color="auto" w:sz="4" w:space="0"/>
            </w:tcBorders>
            <w:vAlign w:val="top"/>
          </w:tcPr>
          <w:p w14:paraId="24FDB659">
            <w:pPr>
              <w:jc w:val="center"/>
              <w:rPr>
                <w:rFonts w:ascii="Arial"/>
                <w:sz w:val="24"/>
                <w:szCs w:val="24"/>
              </w:rPr>
            </w:pPr>
          </w:p>
          <w:p w14:paraId="1FEA24DC">
            <w:pPr>
              <w:jc w:val="center"/>
              <w:rPr>
                <w:rFonts w:ascii="Arial"/>
                <w:sz w:val="24"/>
                <w:szCs w:val="24"/>
              </w:rPr>
            </w:pPr>
          </w:p>
          <w:p w14:paraId="23C872D9">
            <w:pPr>
              <w:jc w:val="center"/>
              <w:rPr>
                <w:sz w:val="24"/>
                <w:szCs w:val="24"/>
              </w:rPr>
            </w:pPr>
            <w:r>
              <w:rPr>
                <w:rFonts w:ascii="Arial"/>
                <w:sz w:val="24"/>
                <w:szCs w:val="24"/>
              </w:rPr>
              <w:t>九</w:t>
            </w:r>
          </w:p>
        </w:tc>
        <w:tc>
          <w:tcPr>
            <w:tcW w:w="1385" w:type="dxa"/>
            <w:tcBorders>
              <w:top w:val="single" w:color="auto" w:sz="4" w:space="0"/>
            </w:tcBorders>
            <w:vAlign w:val="top"/>
          </w:tcPr>
          <w:p w14:paraId="6DCB955F">
            <w:pPr>
              <w:spacing w:line="253" w:lineRule="auto"/>
              <w:jc w:val="center"/>
              <w:rPr>
                <w:rFonts w:ascii="宋体" w:hAnsi="宋体" w:eastAsia="宋体" w:cs="宋体"/>
                <w:spacing w:val="-1"/>
                <w:kern w:val="2"/>
                <w:sz w:val="24"/>
                <w:szCs w:val="24"/>
                <w:lang w:val="en-US" w:eastAsia="en-US" w:bidi="ar-SA"/>
              </w:rPr>
            </w:pPr>
          </w:p>
          <w:p w14:paraId="04D045E9">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病虫害防治</w:t>
            </w:r>
          </w:p>
        </w:tc>
        <w:tc>
          <w:tcPr>
            <w:tcW w:w="3029" w:type="dxa"/>
            <w:tcBorders>
              <w:top w:val="single" w:color="auto" w:sz="4" w:space="0"/>
            </w:tcBorders>
            <w:vAlign w:val="top"/>
          </w:tcPr>
          <w:p w14:paraId="6F1930B5">
            <w:pPr>
              <w:spacing w:line="253" w:lineRule="auto"/>
              <w:jc w:val="center"/>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有专业的病虫害防治设施， 并做到乔灌木无病虫害</w:t>
            </w:r>
          </w:p>
        </w:tc>
        <w:tc>
          <w:tcPr>
            <w:tcW w:w="3709" w:type="dxa"/>
            <w:tcBorders>
              <w:top w:val="single" w:color="auto" w:sz="4" w:space="0"/>
            </w:tcBorders>
            <w:vAlign w:val="top"/>
          </w:tcPr>
          <w:p w14:paraId="496D21FC">
            <w:pPr>
              <w:pStyle w:val="39"/>
              <w:spacing w:before="305" w:line="219" w:lineRule="auto"/>
              <w:jc w:val="center"/>
              <w:rPr>
                <w:rFonts w:ascii="宋体" w:hAnsi="宋体" w:eastAsia="宋体" w:cs="宋体"/>
                <w:sz w:val="24"/>
                <w:szCs w:val="24"/>
              </w:rPr>
            </w:pPr>
            <w:r>
              <w:rPr>
                <w:rFonts w:ascii="宋体" w:hAnsi="宋体" w:eastAsia="宋体" w:cs="宋体"/>
                <w:sz w:val="24"/>
                <w:szCs w:val="24"/>
              </w:rPr>
              <w:t>草坪、花卉、树木无病虫害</w:t>
            </w:r>
          </w:p>
        </w:tc>
        <w:tc>
          <w:tcPr>
            <w:tcW w:w="949" w:type="dxa"/>
            <w:tcBorders>
              <w:top w:val="single" w:color="auto" w:sz="4" w:space="0"/>
            </w:tcBorders>
            <w:vAlign w:val="top"/>
          </w:tcPr>
          <w:p w14:paraId="50AE3B86">
            <w:pPr>
              <w:pStyle w:val="39"/>
              <w:spacing w:before="305" w:line="219" w:lineRule="auto"/>
              <w:jc w:val="center"/>
              <w:rPr>
                <w:rFonts w:ascii="宋体" w:hAnsi="宋体" w:eastAsia="宋体" w:cs="宋体"/>
                <w:sz w:val="24"/>
                <w:szCs w:val="24"/>
              </w:rPr>
            </w:pPr>
            <w:r>
              <w:rPr>
                <w:rFonts w:ascii="宋体" w:hAnsi="宋体" w:eastAsia="宋体" w:cs="宋体"/>
                <w:sz w:val="24"/>
                <w:szCs w:val="24"/>
              </w:rPr>
              <w:t>4</w:t>
            </w:r>
          </w:p>
        </w:tc>
        <w:tc>
          <w:tcPr>
            <w:tcW w:w="2844" w:type="dxa"/>
            <w:tcBorders>
              <w:top w:val="single" w:color="auto" w:sz="4" w:space="0"/>
            </w:tcBorders>
            <w:vAlign w:val="top"/>
          </w:tcPr>
          <w:p w14:paraId="30FDFC11">
            <w:pPr>
              <w:pStyle w:val="39"/>
              <w:spacing w:before="305" w:line="219" w:lineRule="auto"/>
              <w:jc w:val="center"/>
              <w:rPr>
                <w:rFonts w:ascii="宋体" w:hAnsi="宋体" w:eastAsia="宋体" w:cs="宋体"/>
                <w:sz w:val="24"/>
                <w:szCs w:val="24"/>
              </w:rPr>
            </w:pPr>
            <w:r>
              <w:rPr>
                <w:rFonts w:ascii="宋体" w:hAnsi="宋体" w:eastAsia="宋体" w:cs="宋体"/>
                <w:sz w:val="24"/>
                <w:szCs w:val="24"/>
              </w:rPr>
              <w:t>未在规定时间完成，超天扣1分，扣完为止</w:t>
            </w:r>
          </w:p>
        </w:tc>
        <w:tc>
          <w:tcPr>
            <w:tcW w:w="1144" w:type="dxa"/>
            <w:tcBorders>
              <w:top w:val="single" w:color="auto" w:sz="4" w:space="0"/>
            </w:tcBorders>
            <w:vAlign w:val="top"/>
          </w:tcPr>
          <w:p w14:paraId="4505E0F5">
            <w:pPr>
              <w:jc w:val="center"/>
              <w:rPr>
                <w:rFonts w:ascii="Arial"/>
                <w:sz w:val="24"/>
                <w:szCs w:val="24"/>
              </w:rPr>
            </w:pPr>
          </w:p>
        </w:tc>
        <w:tc>
          <w:tcPr>
            <w:tcW w:w="1155" w:type="dxa"/>
            <w:tcBorders>
              <w:top w:val="single" w:color="auto" w:sz="4" w:space="0"/>
            </w:tcBorders>
            <w:vAlign w:val="top"/>
          </w:tcPr>
          <w:p w14:paraId="0D26DDA6">
            <w:pPr>
              <w:jc w:val="center"/>
              <w:rPr>
                <w:rFonts w:ascii="Arial"/>
                <w:sz w:val="24"/>
                <w:szCs w:val="24"/>
              </w:rPr>
            </w:pPr>
          </w:p>
        </w:tc>
      </w:tr>
      <w:tr w14:paraId="78B8F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42" w:type="dxa"/>
            <w:vAlign w:val="top"/>
          </w:tcPr>
          <w:p w14:paraId="3DCDEFD6">
            <w:pPr>
              <w:rPr>
                <w:rFonts w:ascii="Arial"/>
                <w:sz w:val="24"/>
                <w:szCs w:val="24"/>
              </w:rPr>
            </w:pPr>
          </w:p>
        </w:tc>
        <w:tc>
          <w:tcPr>
            <w:tcW w:w="1385" w:type="dxa"/>
            <w:vAlign w:val="top"/>
          </w:tcPr>
          <w:p w14:paraId="478E5488">
            <w:pPr>
              <w:rPr>
                <w:rFonts w:ascii="Arial"/>
                <w:sz w:val="24"/>
                <w:szCs w:val="24"/>
              </w:rPr>
            </w:pPr>
          </w:p>
        </w:tc>
        <w:tc>
          <w:tcPr>
            <w:tcW w:w="3029" w:type="dxa"/>
            <w:vAlign w:val="top"/>
          </w:tcPr>
          <w:p w14:paraId="1BC9607D">
            <w:pPr>
              <w:rPr>
                <w:rFonts w:ascii="Arial"/>
                <w:sz w:val="24"/>
                <w:szCs w:val="24"/>
              </w:rPr>
            </w:pPr>
          </w:p>
        </w:tc>
        <w:tc>
          <w:tcPr>
            <w:tcW w:w="3709" w:type="dxa"/>
            <w:vAlign w:val="top"/>
          </w:tcPr>
          <w:p w14:paraId="45EF02AD">
            <w:pPr>
              <w:rPr>
                <w:rFonts w:ascii="Arial"/>
                <w:sz w:val="24"/>
                <w:szCs w:val="24"/>
              </w:rPr>
            </w:pPr>
          </w:p>
        </w:tc>
        <w:tc>
          <w:tcPr>
            <w:tcW w:w="949" w:type="dxa"/>
            <w:vAlign w:val="top"/>
          </w:tcPr>
          <w:p w14:paraId="68D7115B">
            <w:pPr>
              <w:pStyle w:val="39"/>
              <w:spacing w:before="275"/>
              <w:ind w:left="275"/>
              <w:rPr>
                <w:sz w:val="24"/>
                <w:szCs w:val="24"/>
              </w:rPr>
            </w:pPr>
            <w:r>
              <w:rPr>
                <w:spacing w:val="-7"/>
                <w:sz w:val="24"/>
                <w:szCs w:val="24"/>
              </w:rPr>
              <w:t>100</w:t>
            </w:r>
          </w:p>
        </w:tc>
        <w:tc>
          <w:tcPr>
            <w:tcW w:w="2844" w:type="dxa"/>
            <w:vAlign w:val="top"/>
          </w:tcPr>
          <w:p w14:paraId="1979329E">
            <w:pPr>
              <w:rPr>
                <w:rFonts w:ascii="Arial"/>
                <w:sz w:val="24"/>
                <w:szCs w:val="24"/>
              </w:rPr>
            </w:pPr>
          </w:p>
        </w:tc>
        <w:tc>
          <w:tcPr>
            <w:tcW w:w="1144" w:type="dxa"/>
            <w:vAlign w:val="top"/>
          </w:tcPr>
          <w:p w14:paraId="3239F8CF">
            <w:pPr>
              <w:rPr>
                <w:rFonts w:ascii="Arial"/>
                <w:sz w:val="24"/>
                <w:szCs w:val="24"/>
              </w:rPr>
            </w:pPr>
          </w:p>
        </w:tc>
        <w:tc>
          <w:tcPr>
            <w:tcW w:w="1155" w:type="dxa"/>
            <w:vAlign w:val="top"/>
          </w:tcPr>
          <w:p w14:paraId="1931AAEF">
            <w:pPr>
              <w:rPr>
                <w:rFonts w:ascii="Arial"/>
                <w:sz w:val="24"/>
                <w:szCs w:val="24"/>
              </w:rPr>
            </w:pPr>
          </w:p>
        </w:tc>
      </w:tr>
      <w:tr w14:paraId="0B7A4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4957" w:type="dxa"/>
            <w:gridSpan w:val="8"/>
            <w:vAlign w:val="top"/>
          </w:tcPr>
          <w:p w14:paraId="12B11670">
            <w:pPr>
              <w:pStyle w:val="39"/>
              <w:spacing w:before="215" w:line="299" w:lineRule="auto"/>
              <w:rPr>
                <w:sz w:val="24"/>
                <w:szCs w:val="24"/>
              </w:rPr>
            </w:pPr>
            <w:r>
              <w:rPr>
                <w:sz w:val="24"/>
                <w:szCs w:val="24"/>
              </w:rPr>
              <w:t>备注：1、考核实行百分制，满分为100分，日常考核占60%,定期考核占40%。2、考核结果与当月养护经费挂钩，月综合考评 85分(含85分)以上，支付当月的全额养护经费。3、对85分以下者，每差1分扣除当月养护资金的1%。4、70分以下至60分，扣除当月养护经费的50%。5、60分以下扣除当</w:t>
            </w:r>
            <w:r>
              <w:rPr>
                <w:spacing w:val="-1"/>
                <w:sz w:val="24"/>
                <w:szCs w:val="24"/>
              </w:rPr>
              <w:t>月养护经费。</w:t>
            </w:r>
          </w:p>
        </w:tc>
      </w:tr>
    </w:tbl>
    <w:p w14:paraId="1ABA602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0"/>
        <w:rPr>
          <w:rFonts w:hint="eastAsia" w:ascii="宋体" w:hAnsi="宋体" w:eastAsia="宋体" w:cs="宋体"/>
          <w:b/>
          <w:bCs/>
          <w:sz w:val="40"/>
          <w:szCs w:val="40"/>
          <w:lang w:val="en-US" w:eastAsia="zh-CN"/>
        </w:rPr>
        <w:sectPr>
          <w:footerReference r:id="rId11" w:type="default"/>
          <w:pgSz w:w="16840" w:h="11907" w:orient="landscape"/>
          <w:pgMar w:top="1814" w:right="1474" w:bottom="1814" w:left="1247" w:header="850" w:footer="992" w:gutter="0"/>
          <w:pgNumType w:fmt="decimal"/>
          <w:cols w:space="720" w:num="1"/>
          <w:docGrid w:linePitch="462" w:charSpace="0"/>
        </w:sectPr>
      </w:pPr>
    </w:p>
    <w:p w14:paraId="3DB7CEA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第六章  拟签订的合同文本</w:t>
      </w:r>
      <w:bookmarkEnd w:id="5"/>
    </w:p>
    <w:p w14:paraId="4C26B654">
      <w:pPr>
        <w:spacing w:line="360" w:lineRule="auto"/>
        <w:jc w:val="center"/>
        <w:rPr>
          <w:rFonts w:hint="eastAsia" w:ascii="宋体" w:hAnsi="宋体" w:cs="宋体"/>
          <w:b/>
          <w:sz w:val="24"/>
        </w:rPr>
      </w:pPr>
      <w:bookmarkStart w:id="6" w:name="_Toc21266"/>
      <w:r>
        <w:rPr>
          <w:rFonts w:hint="eastAsia" w:ascii="宋体" w:hAnsi="宋体" w:cs="宋体"/>
          <w:b/>
          <w:sz w:val="24"/>
        </w:rPr>
        <w:t>（仅供参考，具体以实际签订合同为准）</w:t>
      </w:r>
    </w:p>
    <w:p w14:paraId="2E9A20A4">
      <w:pPr>
        <w:spacing w:line="400" w:lineRule="exact"/>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793FDF8">
      <w:pPr>
        <w:spacing w:line="400" w:lineRule="exact"/>
        <w:jc w:val="center"/>
        <w:rPr>
          <w:rFonts w:hint="eastAsia" w:ascii="宋体" w:hAnsi="宋体" w:cs="宋体"/>
          <w:b/>
          <w:sz w:val="28"/>
          <w:szCs w:val="28"/>
        </w:rPr>
      </w:pPr>
    </w:p>
    <w:p w14:paraId="2B4F0B67">
      <w:pPr>
        <w:spacing w:line="400" w:lineRule="exact"/>
        <w:jc w:val="center"/>
        <w:rPr>
          <w:rFonts w:hint="eastAsia" w:ascii="宋体" w:hAnsi="宋体" w:cs="宋体"/>
          <w:b/>
          <w:sz w:val="28"/>
          <w:szCs w:val="28"/>
        </w:rPr>
      </w:pPr>
    </w:p>
    <w:p w14:paraId="769E4F9F">
      <w:pPr>
        <w:spacing w:line="500" w:lineRule="exact"/>
        <w:jc w:val="center"/>
        <w:rPr>
          <w:rFonts w:hint="eastAsia" w:ascii="宋体" w:hAnsi="宋体" w:cs="宋体"/>
          <w:b/>
          <w:sz w:val="28"/>
          <w:szCs w:val="28"/>
        </w:rPr>
      </w:pPr>
    </w:p>
    <w:p w14:paraId="506744A8">
      <w:pPr>
        <w:spacing w:line="500" w:lineRule="exact"/>
        <w:jc w:val="center"/>
        <w:rPr>
          <w:rFonts w:hint="eastAsia" w:ascii="宋体" w:hAnsi="宋体" w:cs="宋体"/>
          <w:b/>
          <w:sz w:val="44"/>
          <w:szCs w:val="44"/>
        </w:rPr>
      </w:pPr>
      <w:r>
        <w:rPr>
          <w:rFonts w:hint="eastAsia" w:ascii="宋体" w:hAnsi="宋体" w:cs="宋体"/>
          <w:b/>
          <w:sz w:val="44"/>
          <w:szCs w:val="44"/>
        </w:rPr>
        <w:t>政府采购合同参考范本</w:t>
      </w:r>
    </w:p>
    <w:p w14:paraId="6DE316CA">
      <w:pPr>
        <w:spacing w:line="500" w:lineRule="exact"/>
        <w:jc w:val="center"/>
        <w:rPr>
          <w:rFonts w:hint="eastAsia" w:ascii="宋体" w:hAnsi="宋体" w:cs="宋体"/>
          <w:b/>
          <w:sz w:val="24"/>
        </w:rPr>
      </w:pPr>
      <w:r>
        <w:rPr>
          <w:rFonts w:hint="eastAsia" w:ascii="宋体" w:hAnsi="宋体" w:cs="宋体"/>
          <w:b/>
          <w:sz w:val="24"/>
        </w:rPr>
        <w:t>（服务类）</w:t>
      </w:r>
    </w:p>
    <w:p w14:paraId="7BA87F70">
      <w:pPr>
        <w:pStyle w:val="27"/>
        <w:spacing w:line="400" w:lineRule="exact"/>
        <w:ind w:firstLine="480"/>
        <w:rPr>
          <w:rFonts w:hint="eastAsia" w:cs="宋体"/>
          <w:szCs w:val="24"/>
        </w:rPr>
      </w:pPr>
    </w:p>
    <w:p w14:paraId="653BE2FE">
      <w:pPr>
        <w:pStyle w:val="27"/>
        <w:spacing w:line="400" w:lineRule="exact"/>
        <w:ind w:firstLine="480"/>
        <w:rPr>
          <w:rFonts w:hint="eastAsia" w:cs="宋体"/>
          <w:szCs w:val="24"/>
        </w:rPr>
      </w:pPr>
    </w:p>
    <w:p w14:paraId="1D69B0BF">
      <w:pPr>
        <w:pStyle w:val="27"/>
        <w:spacing w:line="400" w:lineRule="exact"/>
        <w:ind w:firstLine="480"/>
        <w:rPr>
          <w:rFonts w:hint="eastAsia" w:cs="宋体"/>
          <w:szCs w:val="24"/>
        </w:rPr>
      </w:pPr>
    </w:p>
    <w:p w14:paraId="1425DAFF">
      <w:pPr>
        <w:pStyle w:val="27"/>
        <w:spacing w:line="400" w:lineRule="exact"/>
        <w:ind w:firstLine="482"/>
        <w:jc w:val="center"/>
        <w:rPr>
          <w:rFonts w:hint="eastAsia" w:cs="宋体"/>
          <w:b/>
          <w:szCs w:val="24"/>
        </w:rPr>
      </w:pPr>
      <w:r>
        <w:rPr>
          <w:rFonts w:hint="eastAsia" w:cs="宋体"/>
          <w:b/>
          <w:szCs w:val="24"/>
        </w:rPr>
        <w:t>第一部分 合同书</w:t>
      </w:r>
    </w:p>
    <w:p w14:paraId="64452885">
      <w:pPr>
        <w:pStyle w:val="27"/>
        <w:spacing w:line="400" w:lineRule="exact"/>
        <w:ind w:firstLine="480"/>
        <w:rPr>
          <w:rFonts w:hint="eastAsia" w:cs="宋体"/>
          <w:szCs w:val="24"/>
        </w:rPr>
      </w:pPr>
    </w:p>
    <w:p w14:paraId="1A9215E2">
      <w:pPr>
        <w:pStyle w:val="27"/>
        <w:spacing w:line="400" w:lineRule="exact"/>
        <w:ind w:firstLine="480"/>
        <w:rPr>
          <w:rFonts w:hint="eastAsia" w:cs="宋体"/>
          <w:szCs w:val="24"/>
        </w:rPr>
      </w:pPr>
    </w:p>
    <w:p w14:paraId="6127A4F7">
      <w:pPr>
        <w:spacing w:before="120" w:line="400" w:lineRule="exact"/>
        <w:rPr>
          <w:rFonts w:hint="eastAsia" w:ascii="宋体" w:hAnsi="宋体" w:cs="宋体"/>
          <w:sz w:val="24"/>
        </w:rPr>
      </w:pPr>
    </w:p>
    <w:p w14:paraId="1B54DC58">
      <w:pPr>
        <w:spacing w:before="120" w:line="400" w:lineRule="exac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5D9F96A">
      <w:pPr>
        <w:pStyle w:val="28"/>
        <w:spacing w:before="120" w:line="400" w:lineRule="exact"/>
        <w:rPr>
          <w:rFonts w:hint="eastAsia" w:ascii="宋体" w:hAnsi="宋体" w:eastAsia="宋体" w:cs="宋体"/>
          <w:szCs w:val="24"/>
        </w:rPr>
      </w:pPr>
    </w:p>
    <w:p w14:paraId="7B4E75D0">
      <w:pPr>
        <w:spacing w:line="400" w:lineRule="exact"/>
        <w:rPr>
          <w:rFonts w:hint="eastAsia" w:ascii="宋体" w:hAnsi="宋体" w:cs="宋体"/>
        </w:rPr>
      </w:pPr>
    </w:p>
    <w:p w14:paraId="1A32C412">
      <w:pPr>
        <w:spacing w:before="120" w:line="400" w:lineRule="exac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28ECBE6">
      <w:pPr>
        <w:spacing w:before="120" w:line="400" w:lineRule="exact"/>
        <w:rPr>
          <w:rFonts w:hint="eastAsia" w:ascii="宋体" w:hAnsi="宋体" w:cs="宋体"/>
          <w:sz w:val="24"/>
        </w:rPr>
      </w:pPr>
    </w:p>
    <w:p w14:paraId="63572045">
      <w:pPr>
        <w:spacing w:before="120" w:line="400" w:lineRule="exac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4E31BB6">
      <w:pPr>
        <w:spacing w:before="120" w:line="400" w:lineRule="exact"/>
        <w:rPr>
          <w:rFonts w:hint="eastAsia" w:ascii="宋体" w:hAnsi="宋体" w:cs="宋体"/>
          <w:sz w:val="24"/>
        </w:rPr>
      </w:pPr>
    </w:p>
    <w:p w14:paraId="4451F002">
      <w:pPr>
        <w:spacing w:before="120" w:line="400" w:lineRule="exac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D9D6183">
      <w:pPr>
        <w:spacing w:before="120" w:line="400" w:lineRule="exact"/>
        <w:rPr>
          <w:rFonts w:hint="eastAsia" w:ascii="宋体" w:hAnsi="宋体" w:cs="宋体"/>
          <w:sz w:val="24"/>
        </w:rPr>
      </w:pPr>
    </w:p>
    <w:p w14:paraId="524C3A36">
      <w:pPr>
        <w:spacing w:before="120" w:line="400" w:lineRule="exac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04819E">
      <w:pPr>
        <w:autoSpaceDE w:val="0"/>
        <w:autoSpaceDN w:val="0"/>
        <w:adjustRightInd w:val="0"/>
        <w:spacing w:line="400" w:lineRule="exact"/>
        <w:ind w:firstLine="640"/>
        <w:jc w:val="center"/>
        <w:rPr>
          <w:rFonts w:hint="eastAsia" w:ascii="宋体" w:hAnsi="宋体" w:cs="宋体"/>
          <w:sz w:val="24"/>
        </w:rPr>
        <w:sectPr>
          <w:pgSz w:w="11907" w:h="16840"/>
          <w:pgMar w:top="1474" w:right="1814" w:bottom="1247" w:left="1814" w:header="850" w:footer="992" w:gutter="0"/>
          <w:pgNumType w:fmt="decimal"/>
          <w:cols w:space="720" w:num="1"/>
          <w:docGrid w:linePitch="462" w:charSpace="0"/>
        </w:sectPr>
      </w:pPr>
    </w:p>
    <w:p w14:paraId="029804D3">
      <w:pPr>
        <w:spacing w:line="480" w:lineRule="auto"/>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14:paraId="12AB77D5">
      <w:pPr>
        <w:spacing w:line="480" w:lineRule="auto"/>
        <w:ind w:firstLine="480" w:firstLineChars="200"/>
        <w:rPr>
          <w:rFonts w:hint="eastAsia" w:ascii="宋体" w:hAnsi="宋体" w:cs="宋体"/>
          <w:sz w:val="24"/>
        </w:rPr>
      </w:pPr>
      <w:r>
        <w:rPr>
          <w:rFonts w:hint="eastAsia" w:ascii="宋体" w:hAnsi="宋体" w:cs="宋体"/>
          <w:sz w:val="24"/>
          <w:lang w:val="zh-CN"/>
        </w:rPr>
        <w:t>根据《中华人民共和国民</w:t>
      </w:r>
      <w:r>
        <w:rPr>
          <w:rFonts w:hint="eastAsia" w:ascii="宋体" w:hAnsi="宋体" w:cs="宋体"/>
          <w:sz w:val="24"/>
        </w:rPr>
        <w:t>法典</w:t>
      </w:r>
      <w:r>
        <w:rPr>
          <w:rFonts w:hint="eastAsia" w:ascii="宋体" w:hAnsi="宋体" w:cs="宋体"/>
          <w:sz w:val="24"/>
          <w:lang w:val="zh-CN"/>
        </w:rPr>
        <w:t>》、《中华人民共和国政府采购法》等相关法律法规之规定，按照平等、自愿、公平和诚实信用的原则，经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EE79DC3">
      <w:pPr>
        <w:spacing w:line="480" w:lineRule="auto"/>
        <w:ind w:firstLine="482" w:firstLineChars="200"/>
        <w:outlineLvl w:val="0"/>
        <w:rPr>
          <w:rFonts w:hint="eastAsia" w:ascii="宋体" w:hAnsi="宋体" w:cs="宋体"/>
          <w:sz w:val="24"/>
        </w:rPr>
      </w:pPr>
      <w:bookmarkStart w:id="7" w:name="_Toc11756"/>
      <w:bookmarkStart w:id="8" w:name="_Toc20421"/>
      <w:bookmarkStart w:id="9" w:name="_Toc22374"/>
      <w:bookmarkStart w:id="10" w:name="_Toc19273"/>
      <w:bookmarkStart w:id="11" w:name="_Toc15367"/>
      <w:bookmarkStart w:id="12" w:name="_Toc11585"/>
      <w:bookmarkStart w:id="13" w:name="_Toc11236"/>
      <w:bookmarkStart w:id="14" w:name="_Toc20566"/>
      <w:bookmarkStart w:id="15" w:name="_Toc28855"/>
      <w:r>
        <w:rPr>
          <w:rFonts w:hint="eastAsia" w:ascii="宋体" w:hAnsi="宋体" w:cs="宋体"/>
          <w:b/>
          <w:sz w:val="24"/>
        </w:rPr>
        <w:t>1.1 合同组成部分</w:t>
      </w:r>
      <w:bookmarkEnd w:id="7"/>
      <w:bookmarkEnd w:id="8"/>
      <w:bookmarkEnd w:id="9"/>
      <w:bookmarkEnd w:id="10"/>
      <w:bookmarkEnd w:id="11"/>
      <w:bookmarkEnd w:id="12"/>
      <w:bookmarkEnd w:id="13"/>
      <w:bookmarkEnd w:id="14"/>
      <w:bookmarkEnd w:id="15"/>
    </w:p>
    <w:p w14:paraId="6D638031">
      <w:pPr>
        <w:spacing w:line="48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6B20A5">
      <w:pPr>
        <w:spacing w:line="480" w:lineRule="auto"/>
        <w:ind w:firstLine="480" w:firstLineChars="200"/>
        <w:rPr>
          <w:rFonts w:hint="eastAsia" w:ascii="宋体" w:hAnsi="宋体" w:cs="宋体"/>
          <w:sz w:val="24"/>
        </w:rPr>
      </w:pPr>
      <w:r>
        <w:rPr>
          <w:rFonts w:hint="eastAsia" w:ascii="宋体" w:hAnsi="宋体" w:cs="宋体"/>
          <w:sz w:val="24"/>
        </w:rPr>
        <w:t>1.1.1 本合同及其补充合同、变更协议；</w:t>
      </w:r>
    </w:p>
    <w:p w14:paraId="10872BE1">
      <w:pPr>
        <w:spacing w:line="480" w:lineRule="auto"/>
        <w:ind w:firstLine="480" w:firstLineChars="200"/>
        <w:rPr>
          <w:rFonts w:hint="eastAsia" w:ascii="宋体" w:hAnsi="宋体" w:cs="宋体"/>
          <w:sz w:val="24"/>
        </w:rPr>
      </w:pPr>
      <w:r>
        <w:rPr>
          <w:rFonts w:hint="eastAsia" w:ascii="宋体" w:hAnsi="宋体" w:cs="宋体"/>
          <w:sz w:val="24"/>
        </w:rPr>
        <w:t>1.1.2 中标通知书；</w:t>
      </w:r>
    </w:p>
    <w:p w14:paraId="7F863BE7">
      <w:pPr>
        <w:spacing w:line="480" w:lineRule="auto"/>
        <w:ind w:firstLine="480" w:firstLineChars="200"/>
        <w:rPr>
          <w:rFonts w:hint="eastAsia" w:ascii="宋体" w:hAnsi="宋体" w:cs="宋体"/>
          <w:sz w:val="24"/>
        </w:rPr>
      </w:pPr>
      <w:r>
        <w:rPr>
          <w:rFonts w:hint="eastAsia" w:ascii="宋体" w:hAnsi="宋体" w:cs="宋体"/>
          <w:sz w:val="24"/>
        </w:rPr>
        <w:t>1.1.3 投标文件（含澄清或者说明文件）；</w:t>
      </w:r>
    </w:p>
    <w:p w14:paraId="2BA052C9">
      <w:pPr>
        <w:spacing w:line="480" w:lineRule="auto"/>
        <w:ind w:firstLine="480" w:firstLineChars="200"/>
        <w:rPr>
          <w:rFonts w:hint="eastAsia" w:ascii="宋体" w:hAnsi="宋体" w:cs="宋体"/>
          <w:sz w:val="24"/>
        </w:rPr>
      </w:pPr>
      <w:r>
        <w:rPr>
          <w:rFonts w:hint="eastAsia" w:ascii="宋体" w:hAnsi="宋体" w:cs="宋体"/>
          <w:sz w:val="24"/>
        </w:rPr>
        <w:t>1.1.4 招标文件（含澄清或者修改文件）；</w:t>
      </w:r>
    </w:p>
    <w:p w14:paraId="13129D9F">
      <w:pPr>
        <w:spacing w:line="480" w:lineRule="auto"/>
        <w:ind w:firstLine="480" w:firstLineChars="200"/>
        <w:rPr>
          <w:rFonts w:hint="eastAsia" w:ascii="宋体" w:hAnsi="宋体" w:cs="宋体"/>
          <w:sz w:val="24"/>
        </w:rPr>
      </w:pPr>
      <w:r>
        <w:rPr>
          <w:rFonts w:hint="eastAsia" w:ascii="宋体" w:hAnsi="宋体" w:cs="宋体"/>
          <w:sz w:val="24"/>
        </w:rPr>
        <w:t>1.1.5 其他相关采购文件。</w:t>
      </w:r>
    </w:p>
    <w:p w14:paraId="0D842EB6">
      <w:pPr>
        <w:spacing w:line="480" w:lineRule="auto"/>
        <w:ind w:firstLine="482" w:firstLineChars="200"/>
        <w:outlineLvl w:val="0"/>
        <w:rPr>
          <w:rFonts w:hint="eastAsia" w:ascii="宋体" w:hAnsi="宋体" w:cs="宋体"/>
          <w:b/>
          <w:sz w:val="24"/>
        </w:rPr>
      </w:pPr>
      <w:bookmarkStart w:id="16" w:name="_Toc2918"/>
      <w:bookmarkStart w:id="17" w:name="_Toc23275"/>
      <w:bookmarkStart w:id="18" w:name="_Toc22185"/>
      <w:bookmarkStart w:id="19" w:name="_Toc10537"/>
      <w:bookmarkStart w:id="20" w:name="_Toc10044"/>
      <w:bookmarkStart w:id="21" w:name="_Toc18585"/>
      <w:bookmarkStart w:id="22" w:name="_Toc6773"/>
      <w:bookmarkStart w:id="23" w:name="_Toc6311"/>
      <w:bookmarkStart w:id="24" w:name="_Toc29108"/>
      <w:bookmarkStart w:id="25" w:name="_Toc26918"/>
      <w:r>
        <w:rPr>
          <w:rFonts w:hint="eastAsia" w:ascii="宋体" w:hAnsi="宋体" w:cs="宋体"/>
          <w:b/>
          <w:sz w:val="24"/>
        </w:rPr>
        <w:t>1.2 标的</w:t>
      </w:r>
      <w:bookmarkEnd w:id="16"/>
      <w:bookmarkEnd w:id="17"/>
      <w:bookmarkEnd w:id="18"/>
      <w:bookmarkEnd w:id="19"/>
      <w:bookmarkEnd w:id="20"/>
      <w:bookmarkEnd w:id="21"/>
      <w:bookmarkEnd w:id="22"/>
      <w:bookmarkEnd w:id="23"/>
      <w:bookmarkEnd w:id="24"/>
      <w:bookmarkEnd w:id="25"/>
    </w:p>
    <w:p w14:paraId="4E9396FF">
      <w:pPr>
        <w:spacing w:line="480" w:lineRule="auto"/>
        <w:ind w:firstLine="480" w:firstLineChars="200"/>
        <w:rPr>
          <w:rFonts w:hint="eastAsia"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45CB4251">
      <w:pPr>
        <w:spacing w:line="480" w:lineRule="auto"/>
        <w:ind w:firstLine="480" w:firstLineChars="200"/>
        <w:rPr>
          <w:rFonts w:hint="eastAsia"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45597E00">
      <w:pPr>
        <w:spacing w:line="480" w:lineRule="auto"/>
        <w:ind w:firstLine="480" w:firstLineChars="200"/>
        <w:rPr>
          <w:rFonts w:hint="eastAsia"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23B3650F">
      <w:pPr>
        <w:spacing w:line="480" w:lineRule="auto"/>
        <w:ind w:firstLine="482" w:firstLineChars="200"/>
        <w:outlineLvl w:val="0"/>
        <w:rPr>
          <w:rFonts w:hint="eastAsia" w:ascii="宋体" w:hAnsi="宋体" w:cs="宋体"/>
          <w:b/>
          <w:sz w:val="24"/>
        </w:rPr>
      </w:pPr>
      <w:bookmarkStart w:id="26" w:name="_Toc1386"/>
      <w:bookmarkStart w:id="27" w:name="_Toc1757"/>
      <w:bookmarkStart w:id="28" w:name="_Toc4929"/>
      <w:bookmarkStart w:id="29" w:name="_Toc16842"/>
      <w:bookmarkStart w:id="30" w:name="_Toc27077"/>
      <w:bookmarkStart w:id="31" w:name="_Toc13918"/>
      <w:bookmarkStart w:id="32" w:name="_Toc21124"/>
      <w:bookmarkStart w:id="33" w:name="_Toc5635"/>
      <w:bookmarkStart w:id="34" w:name="_Toc23817"/>
      <w:bookmarkStart w:id="35" w:name="_Toc17173"/>
      <w:r>
        <w:rPr>
          <w:rFonts w:hint="eastAsia" w:ascii="宋体" w:hAnsi="宋体" w:cs="宋体"/>
          <w:b/>
          <w:sz w:val="24"/>
        </w:rPr>
        <w:t>1.3 价款</w:t>
      </w:r>
      <w:bookmarkEnd w:id="26"/>
      <w:bookmarkEnd w:id="27"/>
      <w:bookmarkEnd w:id="28"/>
      <w:bookmarkEnd w:id="29"/>
      <w:bookmarkEnd w:id="30"/>
      <w:bookmarkEnd w:id="31"/>
      <w:bookmarkEnd w:id="32"/>
      <w:bookmarkEnd w:id="33"/>
      <w:bookmarkEnd w:id="34"/>
      <w:bookmarkEnd w:id="35"/>
    </w:p>
    <w:p w14:paraId="67DC39AB">
      <w:pPr>
        <w:spacing w:line="480" w:lineRule="auto"/>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892707E">
      <w:pPr>
        <w:spacing w:line="480" w:lineRule="auto"/>
        <w:ind w:firstLine="480" w:firstLineChars="200"/>
        <w:rPr>
          <w:rFonts w:hint="eastAsia" w:ascii="宋体" w:hAnsi="宋体" w:cs="宋体"/>
          <w:sz w:val="24"/>
          <w:u w:val="single"/>
        </w:rPr>
      </w:pPr>
      <w:r>
        <w:rPr>
          <w:rFonts w:hint="eastAsia" w:ascii="宋体" w:hAnsi="宋体" w:cs="宋体"/>
          <w:sz w:val="24"/>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5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66A27C">
            <w:pPr>
              <w:pStyle w:val="29"/>
              <w:spacing w:line="480" w:lineRule="auto"/>
              <w:jc w:val="center"/>
              <w:rPr>
                <w:rFonts w:hint="eastAsia" w:hAnsi="宋体" w:cs="宋体"/>
                <w:kern w:val="2"/>
                <w:sz w:val="24"/>
                <w:szCs w:val="24"/>
              </w:rPr>
            </w:pPr>
            <w:r>
              <w:rPr>
                <w:rFonts w:hint="eastAsia" w:hAnsi="宋体" w:cs="宋体"/>
                <w:kern w:val="2"/>
                <w:sz w:val="24"/>
                <w:szCs w:val="24"/>
              </w:rPr>
              <w:t>序号</w:t>
            </w:r>
          </w:p>
        </w:tc>
        <w:tc>
          <w:tcPr>
            <w:tcW w:w="3402" w:type="dxa"/>
            <w:noWrap w:val="0"/>
            <w:vAlign w:val="center"/>
          </w:tcPr>
          <w:p w14:paraId="1C40A58F">
            <w:pPr>
              <w:pStyle w:val="29"/>
              <w:spacing w:line="480" w:lineRule="auto"/>
              <w:ind w:firstLine="200"/>
              <w:jc w:val="center"/>
              <w:rPr>
                <w:rFonts w:hint="eastAsia" w:hAnsi="宋体" w:cs="宋体"/>
                <w:kern w:val="2"/>
                <w:sz w:val="24"/>
                <w:szCs w:val="24"/>
              </w:rPr>
            </w:pPr>
            <w:r>
              <w:rPr>
                <w:rFonts w:hint="eastAsia" w:hAnsi="宋体" w:cs="宋体"/>
                <w:kern w:val="2"/>
                <w:sz w:val="24"/>
                <w:szCs w:val="24"/>
              </w:rPr>
              <w:t>分项名称</w:t>
            </w:r>
          </w:p>
        </w:tc>
        <w:tc>
          <w:tcPr>
            <w:tcW w:w="2552" w:type="dxa"/>
            <w:noWrap w:val="0"/>
            <w:vAlign w:val="center"/>
          </w:tcPr>
          <w:p w14:paraId="62824552">
            <w:pPr>
              <w:pStyle w:val="29"/>
              <w:spacing w:line="480" w:lineRule="auto"/>
              <w:jc w:val="center"/>
              <w:rPr>
                <w:rFonts w:hint="eastAsia" w:hAnsi="宋体" w:cs="宋体"/>
                <w:kern w:val="2"/>
                <w:sz w:val="24"/>
                <w:szCs w:val="24"/>
              </w:rPr>
            </w:pPr>
            <w:r>
              <w:rPr>
                <w:rFonts w:hint="eastAsia" w:hAnsi="宋体" w:cs="宋体"/>
                <w:kern w:val="2"/>
                <w:sz w:val="24"/>
                <w:szCs w:val="24"/>
              </w:rPr>
              <w:t>分项价格</w:t>
            </w:r>
          </w:p>
        </w:tc>
      </w:tr>
      <w:tr w14:paraId="691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F7B07C">
            <w:pPr>
              <w:pStyle w:val="29"/>
              <w:spacing w:line="480" w:lineRule="auto"/>
              <w:ind w:firstLine="200"/>
              <w:jc w:val="center"/>
              <w:rPr>
                <w:rFonts w:hint="eastAsia" w:hAnsi="宋体" w:cs="宋体"/>
                <w:kern w:val="2"/>
                <w:sz w:val="24"/>
                <w:szCs w:val="24"/>
              </w:rPr>
            </w:pPr>
          </w:p>
        </w:tc>
        <w:tc>
          <w:tcPr>
            <w:tcW w:w="3402" w:type="dxa"/>
            <w:noWrap w:val="0"/>
            <w:vAlign w:val="center"/>
          </w:tcPr>
          <w:p w14:paraId="2F24F2BD">
            <w:pPr>
              <w:pStyle w:val="29"/>
              <w:spacing w:line="480" w:lineRule="auto"/>
              <w:ind w:firstLine="200"/>
              <w:jc w:val="center"/>
              <w:rPr>
                <w:rFonts w:hint="eastAsia" w:hAnsi="宋体" w:cs="宋体"/>
                <w:kern w:val="2"/>
                <w:sz w:val="24"/>
                <w:szCs w:val="24"/>
              </w:rPr>
            </w:pPr>
          </w:p>
        </w:tc>
        <w:tc>
          <w:tcPr>
            <w:tcW w:w="2552" w:type="dxa"/>
            <w:noWrap w:val="0"/>
            <w:vAlign w:val="center"/>
          </w:tcPr>
          <w:p w14:paraId="75132E31">
            <w:pPr>
              <w:pStyle w:val="29"/>
              <w:spacing w:line="480" w:lineRule="auto"/>
              <w:ind w:firstLine="200"/>
              <w:jc w:val="center"/>
              <w:rPr>
                <w:rFonts w:hint="eastAsia" w:hAnsi="宋体" w:cs="宋体"/>
                <w:kern w:val="2"/>
                <w:sz w:val="24"/>
                <w:szCs w:val="24"/>
              </w:rPr>
            </w:pPr>
          </w:p>
        </w:tc>
      </w:tr>
      <w:tr w14:paraId="68A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7536DE">
            <w:pPr>
              <w:pStyle w:val="29"/>
              <w:spacing w:line="480" w:lineRule="auto"/>
              <w:ind w:firstLine="200"/>
              <w:jc w:val="center"/>
              <w:rPr>
                <w:rFonts w:hint="eastAsia" w:hAnsi="宋体" w:cs="宋体"/>
                <w:kern w:val="2"/>
                <w:sz w:val="24"/>
                <w:szCs w:val="24"/>
              </w:rPr>
            </w:pPr>
          </w:p>
        </w:tc>
        <w:tc>
          <w:tcPr>
            <w:tcW w:w="3402" w:type="dxa"/>
            <w:noWrap w:val="0"/>
            <w:vAlign w:val="center"/>
          </w:tcPr>
          <w:p w14:paraId="193CA9DB">
            <w:pPr>
              <w:pStyle w:val="29"/>
              <w:spacing w:line="480" w:lineRule="auto"/>
              <w:ind w:firstLine="200"/>
              <w:jc w:val="center"/>
              <w:rPr>
                <w:rFonts w:hint="eastAsia" w:hAnsi="宋体" w:cs="宋体"/>
                <w:kern w:val="2"/>
                <w:sz w:val="24"/>
                <w:szCs w:val="24"/>
              </w:rPr>
            </w:pPr>
          </w:p>
        </w:tc>
        <w:tc>
          <w:tcPr>
            <w:tcW w:w="2552" w:type="dxa"/>
            <w:noWrap w:val="0"/>
            <w:vAlign w:val="center"/>
          </w:tcPr>
          <w:p w14:paraId="42F98717">
            <w:pPr>
              <w:pStyle w:val="29"/>
              <w:spacing w:line="480" w:lineRule="auto"/>
              <w:ind w:firstLine="200"/>
              <w:jc w:val="center"/>
              <w:rPr>
                <w:rFonts w:hint="eastAsia" w:hAnsi="宋体" w:cs="宋体"/>
                <w:kern w:val="2"/>
                <w:sz w:val="24"/>
                <w:szCs w:val="24"/>
              </w:rPr>
            </w:pPr>
          </w:p>
        </w:tc>
      </w:tr>
      <w:tr w14:paraId="538A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5C9F1C">
            <w:pPr>
              <w:pStyle w:val="29"/>
              <w:spacing w:line="480" w:lineRule="auto"/>
              <w:ind w:firstLine="200"/>
              <w:jc w:val="center"/>
              <w:rPr>
                <w:rFonts w:hint="eastAsia" w:hAnsi="宋体" w:cs="宋体"/>
                <w:kern w:val="2"/>
                <w:sz w:val="24"/>
                <w:szCs w:val="24"/>
              </w:rPr>
            </w:pPr>
          </w:p>
        </w:tc>
        <w:tc>
          <w:tcPr>
            <w:tcW w:w="3402" w:type="dxa"/>
            <w:noWrap w:val="0"/>
            <w:vAlign w:val="center"/>
          </w:tcPr>
          <w:p w14:paraId="26E5F069">
            <w:pPr>
              <w:pStyle w:val="29"/>
              <w:spacing w:line="480" w:lineRule="auto"/>
              <w:ind w:firstLine="200"/>
              <w:jc w:val="center"/>
              <w:rPr>
                <w:rFonts w:hint="eastAsia" w:hAnsi="宋体" w:cs="宋体"/>
                <w:kern w:val="2"/>
                <w:sz w:val="24"/>
                <w:szCs w:val="24"/>
              </w:rPr>
            </w:pPr>
          </w:p>
        </w:tc>
        <w:tc>
          <w:tcPr>
            <w:tcW w:w="2552" w:type="dxa"/>
            <w:noWrap w:val="0"/>
            <w:vAlign w:val="center"/>
          </w:tcPr>
          <w:p w14:paraId="1FE73189">
            <w:pPr>
              <w:pStyle w:val="29"/>
              <w:spacing w:line="480" w:lineRule="auto"/>
              <w:ind w:firstLine="200"/>
              <w:jc w:val="center"/>
              <w:rPr>
                <w:rFonts w:hint="eastAsia" w:hAnsi="宋体" w:cs="宋体"/>
                <w:kern w:val="2"/>
                <w:sz w:val="24"/>
                <w:szCs w:val="24"/>
              </w:rPr>
            </w:pPr>
          </w:p>
        </w:tc>
      </w:tr>
      <w:tr w14:paraId="605B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3EF37D">
            <w:pPr>
              <w:pStyle w:val="29"/>
              <w:spacing w:line="480" w:lineRule="auto"/>
              <w:ind w:firstLine="200"/>
              <w:jc w:val="center"/>
              <w:rPr>
                <w:rFonts w:hint="eastAsia" w:hAnsi="宋体" w:cs="宋体"/>
                <w:kern w:val="2"/>
                <w:sz w:val="24"/>
                <w:szCs w:val="24"/>
              </w:rPr>
            </w:pPr>
          </w:p>
        </w:tc>
        <w:tc>
          <w:tcPr>
            <w:tcW w:w="3402" w:type="dxa"/>
            <w:noWrap w:val="0"/>
            <w:vAlign w:val="center"/>
          </w:tcPr>
          <w:p w14:paraId="7744F6DE">
            <w:pPr>
              <w:pStyle w:val="29"/>
              <w:spacing w:line="480" w:lineRule="auto"/>
              <w:ind w:firstLine="200"/>
              <w:jc w:val="center"/>
              <w:rPr>
                <w:rFonts w:hint="eastAsia" w:hAnsi="宋体" w:cs="宋体"/>
                <w:kern w:val="2"/>
                <w:sz w:val="24"/>
                <w:szCs w:val="24"/>
              </w:rPr>
            </w:pPr>
          </w:p>
        </w:tc>
        <w:tc>
          <w:tcPr>
            <w:tcW w:w="2552" w:type="dxa"/>
            <w:noWrap w:val="0"/>
            <w:vAlign w:val="center"/>
          </w:tcPr>
          <w:p w14:paraId="78162BEE">
            <w:pPr>
              <w:pStyle w:val="29"/>
              <w:spacing w:line="480" w:lineRule="auto"/>
              <w:ind w:firstLine="200"/>
              <w:jc w:val="center"/>
              <w:rPr>
                <w:rFonts w:hint="eastAsia" w:hAnsi="宋体" w:cs="宋体"/>
                <w:kern w:val="2"/>
                <w:sz w:val="24"/>
                <w:szCs w:val="24"/>
              </w:rPr>
            </w:pPr>
          </w:p>
        </w:tc>
      </w:tr>
      <w:tr w14:paraId="776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D7B984C">
            <w:pPr>
              <w:pStyle w:val="29"/>
              <w:spacing w:line="480" w:lineRule="auto"/>
              <w:ind w:firstLine="200"/>
              <w:jc w:val="center"/>
              <w:rPr>
                <w:rFonts w:hint="eastAsia" w:hAnsi="宋体" w:cs="宋体"/>
                <w:kern w:val="2"/>
                <w:sz w:val="24"/>
                <w:szCs w:val="24"/>
              </w:rPr>
            </w:pPr>
            <w:r>
              <w:rPr>
                <w:rFonts w:hint="eastAsia" w:hAnsi="宋体" w:cs="宋体"/>
                <w:kern w:val="2"/>
                <w:sz w:val="24"/>
                <w:szCs w:val="24"/>
              </w:rPr>
              <w:t>总价</w:t>
            </w:r>
          </w:p>
        </w:tc>
        <w:tc>
          <w:tcPr>
            <w:tcW w:w="2552" w:type="dxa"/>
            <w:noWrap w:val="0"/>
            <w:vAlign w:val="center"/>
          </w:tcPr>
          <w:p w14:paraId="47BBD938">
            <w:pPr>
              <w:pStyle w:val="29"/>
              <w:spacing w:line="480" w:lineRule="auto"/>
              <w:ind w:firstLine="200"/>
              <w:jc w:val="center"/>
              <w:rPr>
                <w:rFonts w:hint="eastAsia" w:hAnsi="宋体" w:cs="宋体"/>
                <w:kern w:val="2"/>
                <w:sz w:val="24"/>
                <w:szCs w:val="24"/>
              </w:rPr>
            </w:pPr>
          </w:p>
        </w:tc>
      </w:tr>
    </w:tbl>
    <w:p w14:paraId="78E49ACE">
      <w:pPr>
        <w:spacing w:line="480" w:lineRule="auto"/>
        <w:ind w:firstLine="482" w:firstLineChars="200"/>
        <w:outlineLvl w:val="0"/>
        <w:rPr>
          <w:rFonts w:hint="eastAsia" w:ascii="宋体" w:hAnsi="宋体" w:cs="宋体"/>
          <w:b/>
          <w:sz w:val="24"/>
        </w:rPr>
      </w:pPr>
      <w:bookmarkStart w:id="36" w:name="_Toc1056"/>
      <w:bookmarkStart w:id="37" w:name="_Toc30506"/>
      <w:bookmarkStart w:id="38" w:name="_Toc3654"/>
      <w:bookmarkStart w:id="39" w:name="_Toc21702"/>
      <w:bookmarkStart w:id="40" w:name="_Toc7832"/>
      <w:bookmarkStart w:id="41" w:name="_Toc25642"/>
      <w:bookmarkStart w:id="42" w:name="_Toc14993"/>
      <w:bookmarkStart w:id="43" w:name="_Toc26916"/>
      <w:bookmarkStart w:id="44" w:name="_Toc7990"/>
      <w:bookmarkStart w:id="45" w:name="_Toc30158"/>
      <w:r>
        <w:rPr>
          <w:rFonts w:hint="eastAsia" w:ascii="宋体" w:hAnsi="宋体" w:cs="宋体"/>
          <w:b/>
          <w:sz w:val="24"/>
        </w:rPr>
        <w:t>1.4 付款方式和发票开具方式</w:t>
      </w:r>
      <w:bookmarkEnd w:id="36"/>
      <w:bookmarkEnd w:id="37"/>
      <w:bookmarkEnd w:id="38"/>
      <w:bookmarkEnd w:id="39"/>
      <w:bookmarkEnd w:id="40"/>
      <w:bookmarkEnd w:id="41"/>
      <w:bookmarkEnd w:id="42"/>
      <w:bookmarkEnd w:id="43"/>
      <w:bookmarkEnd w:id="44"/>
      <w:bookmarkEnd w:id="45"/>
    </w:p>
    <w:p w14:paraId="1F3DA4B9">
      <w:pPr>
        <w:spacing w:line="480" w:lineRule="auto"/>
        <w:ind w:firstLine="480" w:firstLineChars="200"/>
        <w:rPr>
          <w:rFonts w:hint="eastAsia"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730B561B">
      <w:pPr>
        <w:spacing w:line="480" w:lineRule="auto"/>
        <w:ind w:firstLine="480" w:firstLineChars="200"/>
        <w:rPr>
          <w:rFonts w:hint="eastAsia"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3600BE2A">
      <w:pPr>
        <w:spacing w:line="480" w:lineRule="auto"/>
        <w:ind w:firstLine="482" w:firstLineChars="200"/>
        <w:outlineLvl w:val="0"/>
        <w:rPr>
          <w:rFonts w:hint="eastAsia" w:ascii="宋体" w:hAnsi="宋体" w:cs="宋体"/>
          <w:b/>
          <w:sz w:val="24"/>
        </w:rPr>
      </w:pPr>
      <w:bookmarkStart w:id="46" w:name="_Toc31421"/>
      <w:bookmarkStart w:id="47" w:name="_Toc23112"/>
      <w:bookmarkStart w:id="48" w:name="_Toc4760"/>
      <w:bookmarkStart w:id="49" w:name="_Toc17443"/>
      <w:bookmarkStart w:id="50" w:name="_Toc8772"/>
      <w:bookmarkStart w:id="51" w:name="_Toc21606"/>
      <w:bookmarkStart w:id="52" w:name="_Toc3625"/>
      <w:bookmarkStart w:id="53" w:name="_Toc32119"/>
      <w:bookmarkStart w:id="54" w:name="_Toc6700"/>
      <w:bookmarkStart w:id="55" w:name="_Toc11108"/>
      <w:r>
        <w:rPr>
          <w:rFonts w:hint="eastAsia" w:ascii="宋体" w:hAnsi="宋体" w:cs="宋体"/>
          <w:b/>
          <w:sz w:val="24"/>
        </w:rPr>
        <w:t>1.5 履行期限、地点和方式</w:t>
      </w:r>
      <w:bookmarkEnd w:id="46"/>
      <w:bookmarkEnd w:id="47"/>
      <w:bookmarkEnd w:id="48"/>
      <w:bookmarkEnd w:id="49"/>
      <w:bookmarkEnd w:id="50"/>
      <w:bookmarkEnd w:id="51"/>
      <w:bookmarkEnd w:id="52"/>
      <w:bookmarkEnd w:id="53"/>
      <w:bookmarkEnd w:id="54"/>
      <w:bookmarkEnd w:id="55"/>
    </w:p>
    <w:p w14:paraId="389A17D3">
      <w:pPr>
        <w:spacing w:line="480" w:lineRule="auto"/>
        <w:ind w:firstLine="480" w:firstLineChars="200"/>
        <w:rPr>
          <w:rFonts w:hint="eastAsia"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532A29A2">
      <w:pPr>
        <w:spacing w:line="480" w:lineRule="auto"/>
        <w:ind w:firstLine="480" w:firstLineChars="200"/>
        <w:rPr>
          <w:rFonts w:hint="eastAsia"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67B77943">
      <w:pPr>
        <w:spacing w:line="480" w:lineRule="auto"/>
        <w:ind w:firstLine="480" w:firstLineChars="200"/>
        <w:rPr>
          <w:rFonts w:hint="eastAsia"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59570076">
      <w:pPr>
        <w:spacing w:line="480" w:lineRule="auto"/>
        <w:ind w:firstLine="482" w:firstLineChars="200"/>
        <w:outlineLvl w:val="0"/>
        <w:rPr>
          <w:rFonts w:hint="eastAsia" w:ascii="宋体" w:hAnsi="宋体" w:cs="宋体"/>
          <w:sz w:val="24"/>
          <w:u w:val="single"/>
        </w:rPr>
      </w:pPr>
      <w:bookmarkStart w:id="56" w:name="_Toc2375"/>
      <w:bookmarkStart w:id="57" w:name="_Toc3079"/>
      <w:bookmarkStart w:id="58" w:name="_Toc24662"/>
      <w:bookmarkStart w:id="59" w:name="_Toc30396"/>
      <w:bookmarkStart w:id="60" w:name="_Toc535"/>
      <w:bookmarkStart w:id="61" w:name="_Toc5698"/>
      <w:bookmarkStart w:id="62" w:name="_Toc14969"/>
      <w:bookmarkStart w:id="63" w:name="_Toc14156"/>
      <w:bookmarkStart w:id="64" w:name="_Toc8586"/>
      <w:bookmarkStart w:id="65" w:name="_Toc3290"/>
      <w:r>
        <w:rPr>
          <w:rFonts w:hint="eastAsia" w:ascii="宋体" w:hAnsi="宋体" w:cs="宋体"/>
          <w:b/>
          <w:sz w:val="24"/>
        </w:rPr>
        <w:t>1.6 违约责任</w:t>
      </w:r>
      <w:bookmarkEnd w:id="56"/>
      <w:bookmarkEnd w:id="57"/>
      <w:bookmarkEnd w:id="58"/>
      <w:bookmarkEnd w:id="59"/>
      <w:bookmarkEnd w:id="60"/>
      <w:bookmarkEnd w:id="61"/>
      <w:bookmarkEnd w:id="62"/>
      <w:bookmarkEnd w:id="63"/>
      <w:bookmarkEnd w:id="64"/>
      <w:bookmarkEnd w:id="65"/>
    </w:p>
    <w:p w14:paraId="2B7EC994">
      <w:pPr>
        <w:spacing w:line="480" w:lineRule="auto"/>
        <w:ind w:firstLine="480" w:firstLineChars="200"/>
        <w:rPr>
          <w:rFonts w:hint="eastAsia"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0B56BAF8">
      <w:pPr>
        <w:spacing w:line="480" w:lineRule="auto"/>
        <w:ind w:firstLine="480" w:firstLineChars="200"/>
        <w:rPr>
          <w:rFonts w:hint="eastAsia"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6497FA5B">
      <w:pPr>
        <w:spacing w:line="480" w:lineRule="auto"/>
        <w:ind w:firstLine="480" w:firstLineChars="200"/>
        <w:rPr>
          <w:rFonts w:hint="eastAsia"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D4F1F1">
      <w:pPr>
        <w:spacing w:line="480" w:lineRule="auto"/>
        <w:ind w:firstLine="480" w:firstLineChars="200"/>
        <w:rPr>
          <w:rFonts w:hint="eastAsia"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F0A670">
      <w:pPr>
        <w:spacing w:line="480" w:lineRule="auto"/>
        <w:ind w:firstLine="480" w:firstLineChars="200"/>
        <w:rPr>
          <w:rFonts w:hint="eastAsia"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6754F6">
      <w:pPr>
        <w:spacing w:line="480" w:lineRule="auto"/>
        <w:ind w:firstLine="480" w:firstLineChars="200"/>
        <w:rPr>
          <w:rFonts w:hint="eastAsia"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091C8209">
      <w:pPr>
        <w:spacing w:line="480" w:lineRule="auto"/>
        <w:ind w:firstLine="482" w:firstLineChars="200"/>
        <w:outlineLvl w:val="0"/>
        <w:rPr>
          <w:rFonts w:hint="eastAsia" w:ascii="宋体" w:hAnsi="宋体" w:cs="宋体"/>
          <w:b/>
          <w:sz w:val="24"/>
        </w:rPr>
      </w:pPr>
      <w:bookmarkStart w:id="66" w:name="_Toc29832"/>
      <w:bookmarkStart w:id="67" w:name="_Toc32454"/>
      <w:bookmarkStart w:id="68" w:name="_Toc4563"/>
      <w:bookmarkStart w:id="69" w:name="_Toc18683"/>
      <w:bookmarkStart w:id="70" w:name="_Toc26807"/>
      <w:bookmarkStart w:id="71" w:name="_Toc17968"/>
      <w:bookmarkStart w:id="72" w:name="_Toc19773"/>
      <w:bookmarkStart w:id="73" w:name="_Toc9497"/>
      <w:bookmarkStart w:id="74" w:name="_Toc25368"/>
      <w:bookmarkStart w:id="75" w:name="_Toc30329"/>
      <w:r>
        <w:rPr>
          <w:rFonts w:hint="eastAsia" w:ascii="宋体" w:hAnsi="宋体" w:cs="宋体"/>
          <w:b/>
          <w:sz w:val="24"/>
        </w:rPr>
        <w:t>1.7 合同争议的解决</w:t>
      </w:r>
      <w:bookmarkEnd w:id="66"/>
      <w:bookmarkEnd w:id="67"/>
      <w:bookmarkEnd w:id="68"/>
      <w:bookmarkEnd w:id="69"/>
      <w:bookmarkEnd w:id="70"/>
      <w:bookmarkEnd w:id="71"/>
      <w:bookmarkEnd w:id="72"/>
      <w:bookmarkEnd w:id="73"/>
      <w:bookmarkEnd w:id="74"/>
      <w:bookmarkEnd w:id="75"/>
    </w:p>
    <w:p w14:paraId="54EB00B6">
      <w:pPr>
        <w:spacing w:line="480" w:lineRule="auto"/>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35D457CB">
      <w:pPr>
        <w:spacing w:line="480" w:lineRule="auto"/>
        <w:ind w:firstLine="480" w:firstLineChars="200"/>
        <w:rPr>
          <w:rFonts w:hint="eastAsia"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47D4CEAC">
      <w:pPr>
        <w:spacing w:line="480" w:lineRule="auto"/>
        <w:ind w:firstLine="480" w:firstLineChars="200"/>
        <w:rPr>
          <w:rFonts w:hint="eastAsia"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1717C789">
      <w:pPr>
        <w:spacing w:line="480" w:lineRule="auto"/>
        <w:ind w:firstLine="482" w:firstLineChars="200"/>
        <w:outlineLvl w:val="0"/>
        <w:rPr>
          <w:rFonts w:hint="eastAsia" w:ascii="宋体" w:hAnsi="宋体" w:cs="宋体"/>
          <w:b/>
          <w:sz w:val="24"/>
        </w:rPr>
      </w:pPr>
      <w:bookmarkStart w:id="76" w:name="_Toc26227"/>
      <w:bookmarkStart w:id="77" w:name="_Toc12273"/>
      <w:bookmarkStart w:id="78" w:name="_Toc15827"/>
      <w:bookmarkStart w:id="79" w:name="_Toc1048"/>
      <w:bookmarkStart w:id="80" w:name="_Toc31258"/>
      <w:bookmarkStart w:id="81" w:name="_Toc23784"/>
      <w:bookmarkStart w:id="82" w:name="_Toc16417"/>
      <w:bookmarkStart w:id="83" w:name="_Toc18657"/>
      <w:bookmarkStart w:id="84" w:name="_Toc9752"/>
      <w:bookmarkStart w:id="85" w:name="_Toc31535"/>
      <w:r>
        <w:rPr>
          <w:rFonts w:hint="eastAsia" w:ascii="宋体" w:hAnsi="宋体" w:cs="宋体"/>
          <w:b/>
          <w:sz w:val="24"/>
        </w:rPr>
        <w:t>1.8 合同生效</w:t>
      </w:r>
      <w:bookmarkEnd w:id="76"/>
      <w:bookmarkEnd w:id="77"/>
      <w:bookmarkEnd w:id="78"/>
      <w:bookmarkEnd w:id="79"/>
      <w:bookmarkEnd w:id="80"/>
      <w:bookmarkEnd w:id="81"/>
      <w:bookmarkEnd w:id="82"/>
      <w:bookmarkEnd w:id="83"/>
      <w:bookmarkEnd w:id="84"/>
      <w:bookmarkEnd w:id="85"/>
    </w:p>
    <w:p w14:paraId="4BB35E71">
      <w:pPr>
        <w:spacing w:line="480" w:lineRule="auto"/>
        <w:ind w:firstLine="480" w:firstLineChars="200"/>
        <w:rPr>
          <w:rFonts w:hint="eastAsia" w:ascii="宋体" w:hAnsi="宋体" w:cs="宋体"/>
          <w:b/>
          <w:sz w:val="24"/>
        </w:rPr>
      </w:pPr>
      <w:r>
        <w:rPr>
          <w:rFonts w:hint="eastAsia" w:ascii="宋体" w:hAnsi="宋体" w:cs="宋体"/>
          <w:sz w:val="24"/>
        </w:rPr>
        <w:t>本合同自双方当事人授权代表签字并加盖公章后生效。</w:t>
      </w:r>
    </w:p>
    <w:p w14:paraId="5F484B4E">
      <w:pPr>
        <w:autoSpaceDE w:val="0"/>
        <w:autoSpaceDN w:val="0"/>
        <w:adjustRightInd w:val="0"/>
        <w:spacing w:line="480" w:lineRule="auto"/>
        <w:rPr>
          <w:rFonts w:hint="eastAsia" w:ascii="宋体" w:hAnsi="宋体" w:cs="宋体"/>
          <w:sz w:val="24"/>
          <w:lang w:val="zh-CN"/>
        </w:rPr>
      </w:pPr>
    </w:p>
    <w:p w14:paraId="5FFE939E">
      <w:pPr>
        <w:autoSpaceDE w:val="0"/>
        <w:autoSpaceDN w:val="0"/>
        <w:adjustRightInd w:val="0"/>
        <w:spacing w:line="48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3B373ED">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3A5915DB">
      <w:pPr>
        <w:autoSpaceDE w:val="0"/>
        <w:autoSpaceDN w:val="0"/>
        <w:adjustRightInd w:val="0"/>
        <w:spacing w:line="480" w:lineRule="auto"/>
        <w:rPr>
          <w:rFonts w:hint="eastAsia" w:ascii="宋体" w:hAnsi="宋体" w:cs="宋体"/>
          <w:sz w:val="24"/>
          <w:lang w:val="zh-CN"/>
        </w:rPr>
      </w:pPr>
    </w:p>
    <w:p w14:paraId="62D009D1">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住所：                                   住所：</w:t>
      </w:r>
    </w:p>
    <w:p w14:paraId="78429ED2">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法定代表人或                             法定代表人</w:t>
      </w:r>
    </w:p>
    <w:p w14:paraId="31C21056">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14:paraId="0041E367">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联系人：                                 联系人：</w:t>
      </w:r>
    </w:p>
    <w:p w14:paraId="0279F93E">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约定送达地址：                           约定送达地址：</w:t>
      </w:r>
    </w:p>
    <w:p w14:paraId="37B6A975">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邮政编码：                               邮政编码：</w:t>
      </w:r>
    </w:p>
    <w:p w14:paraId="6B663F64">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 xml:space="preserve">电话：                                    电话： </w:t>
      </w:r>
    </w:p>
    <w:p w14:paraId="20EEF447">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传真：                                    传真：</w:t>
      </w:r>
    </w:p>
    <w:p w14:paraId="67162381">
      <w:pPr>
        <w:autoSpaceDE w:val="0"/>
        <w:autoSpaceDN w:val="0"/>
        <w:adjustRightInd w:val="0"/>
        <w:spacing w:line="480" w:lineRule="auto"/>
        <w:rPr>
          <w:rFonts w:hint="eastAsia" w:ascii="宋体" w:hAnsi="宋体" w:cs="宋体"/>
          <w:sz w:val="24"/>
        </w:rPr>
      </w:pPr>
      <w:r>
        <w:rPr>
          <w:rFonts w:hint="eastAsia" w:ascii="宋体" w:hAnsi="宋体" w:cs="宋体"/>
          <w:sz w:val="24"/>
          <w:lang w:val="zh-CN"/>
        </w:rPr>
        <w:t>电子邮箱：                               电子邮箱：</w:t>
      </w:r>
    </w:p>
    <w:p w14:paraId="223E4CCE">
      <w:pPr>
        <w:autoSpaceDE w:val="0"/>
        <w:autoSpaceDN w:val="0"/>
        <w:adjustRightInd w:val="0"/>
        <w:spacing w:line="480" w:lineRule="auto"/>
        <w:rPr>
          <w:rFonts w:hint="eastAsia" w:ascii="宋体" w:hAnsi="宋体" w:cs="宋体"/>
          <w:sz w:val="24"/>
        </w:rPr>
      </w:pPr>
      <w:r>
        <w:rPr>
          <w:rFonts w:hint="eastAsia" w:ascii="宋体" w:hAnsi="宋体" w:cs="宋体"/>
          <w:sz w:val="24"/>
        </w:rPr>
        <w:t xml:space="preserve">开户银行：                               开户银行： </w:t>
      </w:r>
    </w:p>
    <w:p w14:paraId="27941328">
      <w:pPr>
        <w:autoSpaceDE w:val="0"/>
        <w:autoSpaceDN w:val="0"/>
        <w:adjustRightInd w:val="0"/>
        <w:spacing w:line="480" w:lineRule="auto"/>
        <w:rPr>
          <w:rFonts w:hint="eastAsia" w:ascii="宋体" w:hAnsi="宋体" w:cs="宋体"/>
          <w:sz w:val="24"/>
        </w:rPr>
      </w:pPr>
      <w:r>
        <w:rPr>
          <w:rFonts w:hint="eastAsia" w:ascii="宋体" w:hAnsi="宋体" w:cs="宋体"/>
          <w:sz w:val="24"/>
        </w:rPr>
        <w:t xml:space="preserve">开户名称：                               开户名称： </w:t>
      </w:r>
    </w:p>
    <w:p w14:paraId="6349B9EB">
      <w:pPr>
        <w:autoSpaceDE w:val="0"/>
        <w:autoSpaceDN w:val="0"/>
        <w:adjustRightInd w:val="0"/>
        <w:spacing w:line="480" w:lineRule="auto"/>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A42820D">
      <w:pPr>
        <w:widowControl/>
        <w:spacing w:line="400" w:lineRule="exact"/>
        <w:jc w:val="left"/>
        <w:rPr>
          <w:rFonts w:hint="eastAsia" w:ascii="宋体" w:hAnsi="宋体" w:cs="宋体"/>
          <w:b/>
        </w:rPr>
      </w:pPr>
    </w:p>
    <w:p w14:paraId="207D3C6F">
      <w:pPr>
        <w:pStyle w:val="17"/>
        <w:numPr>
          <w:ilvl w:val="0"/>
          <w:numId w:val="0"/>
        </w:numPr>
        <w:rPr>
          <w:rFonts w:hint="default"/>
          <w:lang w:val="en-US"/>
        </w:rPr>
      </w:pPr>
    </w:p>
    <w:p w14:paraId="2B0147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73E9234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r>
        <w:rPr>
          <w:rFonts w:hint="eastAsia" w:ascii="宋体" w:hAnsi="宋体" w:eastAsia="宋体" w:cs="宋体"/>
          <w:b/>
          <w:bCs/>
          <w:sz w:val="40"/>
          <w:szCs w:val="40"/>
          <w:lang w:val="en-US" w:eastAsia="zh-CN"/>
        </w:rPr>
        <w:t>第七章  投标文件格式</w:t>
      </w:r>
      <w:bookmarkEnd w:id="6"/>
    </w:p>
    <w:p w14:paraId="66D1660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b/>
          <w:bCs/>
          <w:sz w:val="24"/>
          <w:szCs w:val="24"/>
        </w:rPr>
        <w:t>投标人编制文件须知</w:t>
      </w:r>
      <w:r>
        <w:rPr>
          <w:rFonts w:ascii="宋体" w:hAnsi="宋体" w:eastAsia="宋体" w:cs="宋体"/>
          <w:sz w:val="24"/>
          <w:szCs w:val="24"/>
        </w:rPr>
        <w:t xml:space="preserve"> </w:t>
      </w:r>
    </w:p>
    <w:p w14:paraId="0AC0EF81">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投标人按照本部分的顺序编制投标文件（资格证明文件）、投标文件（商务技术文件），编制中涉及格式资料的，应按照本部分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7F911024">
      <w:pPr>
        <w:keepNext w:val="0"/>
        <w:keepLines w:val="0"/>
        <w:pageBreakBefore w:val="0"/>
        <w:widowControl w:val="0"/>
        <w:numPr>
          <w:ilvl w:val="0"/>
          <w:numId w:val="10"/>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 xml:space="preserve">格式的内容，可由投标人自行编写。 </w:t>
      </w:r>
    </w:p>
    <w:p w14:paraId="607907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301C82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 xml:space="preserve">资格证明文件格式投标文件 </w:t>
      </w:r>
    </w:p>
    <w:p w14:paraId="72335E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（资格证明文件）封面（非实质性格式）</w:t>
      </w:r>
    </w:p>
    <w:p w14:paraId="184B6F6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1EAEDF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2804B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422B4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000F9F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r>
        <w:rPr>
          <w:rFonts w:ascii="宋体" w:hAnsi="宋体" w:eastAsia="宋体" w:cs="宋体"/>
          <w:b/>
          <w:bCs/>
          <w:sz w:val="36"/>
          <w:szCs w:val="36"/>
        </w:rPr>
        <w:t>（资格证明文件）</w:t>
      </w:r>
    </w:p>
    <w:p w14:paraId="484180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DC2D3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865C9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EAC5B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A9785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34DE38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209C68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7A6FD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AF098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21422C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p>
    <w:p w14:paraId="67CF10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项目包号：</w:t>
      </w:r>
      <w:r>
        <w:rPr>
          <w:rFonts w:ascii="宋体" w:hAnsi="宋体" w:eastAsia="宋体" w:cs="宋体"/>
          <w:sz w:val="24"/>
          <w:szCs w:val="24"/>
        </w:rPr>
        <w:t xml:space="preserve"> </w:t>
      </w:r>
    </w:p>
    <w:p w14:paraId="04B199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投标人名称：</w:t>
      </w:r>
    </w:p>
    <w:p w14:paraId="4058EF4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p w14:paraId="52F703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p w14:paraId="6415FE1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联系地址：</w:t>
      </w:r>
    </w:p>
    <w:p w14:paraId="16EBF103">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5DEF20E4">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6809EA0E">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投标人资格声明书 </w:t>
      </w:r>
    </w:p>
    <w:p w14:paraId="3449DBB7">
      <w:pPr>
        <w:keepNext w:val="0"/>
        <w:keepLines w:val="0"/>
        <w:widowControl/>
        <w:suppressLineNumbers w:val="0"/>
        <w:jc w:val="center"/>
        <w:rPr>
          <w:rFonts w:ascii="宋体" w:hAnsi="宋体" w:eastAsia="宋体" w:cs="宋体"/>
          <w:b/>
          <w:bCs/>
          <w:sz w:val="28"/>
          <w:szCs w:val="28"/>
        </w:rPr>
      </w:pPr>
      <w:r>
        <w:rPr>
          <w:rFonts w:ascii="宋体" w:hAnsi="宋体" w:eastAsia="宋体" w:cs="宋体"/>
          <w:b/>
          <w:bCs/>
          <w:sz w:val="28"/>
          <w:szCs w:val="28"/>
        </w:rPr>
        <w:t>投标人资格声明书</w:t>
      </w:r>
    </w:p>
    <w:p w14:paraId="1E0FE8AC">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B8C2D17">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在参与本次项目投标中，我单位承诺： </w:t>
      </w:r>
    </w:p>
    <w:p w14:paraId="4A7D6E13">
      <w:pPr>
        <w:keepNext w:val="0"/>
        <w:keepLines w:val="0"/>
        <w:widowControl/>
        <w:numPr>
          <w:ilvl w:val="0"/>
          <w:numId w:val="11"/>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75CB1FFC">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4B3F648F">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6B1A3384">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0A91D330">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7C096E92">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1BB0F2FB">
      <w:pPr>
        <w:keepNext w:val="0"/>
        <w:keepLines w:val="0"/>
        <w:widowControl/>
        <w:numPr>
          <w:ilvl w:val="0"/>
          <w:numId w:val="11"/>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18"/>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7726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7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5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339B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7C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0E94">
            <w:pPr>
              <w:rPr>
                <w:rFonts w:hint="eastAsia" w:ascii="宋体" w:hAnsi="宋体" w:eastAsia="宋体" w:cs="宋体"/>
                <w:i w:val="0"/>
                <w:iCs w:val="0"/>
                <w:color w:val="000000"/>
                <w:sz w:val="22"/>
                <w:szCs w:val="22"/>
                <w:u w:val="none"/>
              </w:rPr>
            </w:pPr>
          </w:p>
        </w:tc>
      </w:tr>
      <w:tr w14:paraId="71B6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9E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9136">
            <w:pPr>
              <w:rPr>
                <w:rFonts w:hint="eastAsia" w:ascii="宋体" w:hAnsi="宋体" w:eastAsia="宋体" w:cs="宋体"/>
                <w:i w:val="0"/>
                <w:iCs w:val="0"/>
                <w:color w:val="000000"/>
                <w:sz w:val="22"/>
                <w:szCs w:val="22"/>
                <w:u w:val="none"/>
              </w:rPr>
            </w:pPr>
          </w:p>
        </w:tc>
      </w:tr>
      <w:tr w14:paraId="1BE5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B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BD1E">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46E1">
            <w:pPr>
              <w:rPr>
                <w:rFonts w:hint="eastAsia" w:ascii="宋体" w:hAnsi="宋体" w:eastAsia="宋体" w:cs="宋体"/>
                <w:i w:val="0"/>
                <w:iCs w:val="0"/>
                <w:color w:val="000000"/>
                <w:sz w:val="22"/>
                <w:szCs w:val="22"/>
                <w:u w:val="none"/>
              </w:rPr>
            </w:pPr>
          </w:p>
        </w:tc>
      </w:tr>
    </w:tbl>
    <w:p w14:paraId="43FD132A">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5873F8BB">
      <w:pPr>
        <w:keepNext w:val="0"/>
        <w:keepLines w:val="0"/>
        <w:widowControl/>
        <w:suppressLineNumbers w:val="0"/>
        <w:jc w:val="left"/>
        <w:rPr>
          <w:rFonts w:ascii="宋体" w:hAnsi="宋体" w:eastAsia="宋体" w:cs="宋体"/>
          <w:sz w:val="24"/>
          <w:szCs w:val="24"/>
        </w:rPr>
      </w:pPr>
    </w:p>
    <w:p w14:paraId="1FF362B3">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投标人名称（加盖公章）： ____________ </w:t>
      </w:r>
    </w:p>
    <w:p w14:paraId="426DA6AE">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1EEF68B4">
      <w:pPr>
        <w:keepNext w:val="0"/>
        <w:keepLines w:val="0"/>
        <w:widowControl/>
        <w:suppressLineNumbers w:val="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5E8BCAA9">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43D93C7B">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3F66A740">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61062490">
      <w:pPr>
        <w:keepNext w:val="0"/>
        <w:keepLines w:val="0"/>
        <w:widowControl/>
        <w:numPr>
          <w:ilvl w:val="0"/>
          <w:numId w:val="12"/>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如本项目（包）不专门面向中小企业预留采购份额，资格证明文件部分无需</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439251D">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如本项目（包）专门面向中小企业采购，投标文件中须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 设兵团）出具的属于监狱企业的证明文件，且建议在资格证明文件部分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6D87DF31">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如本项目（包）预留部分采购项目预算专门面向中小企业采购，且要求获得采购合同的供应商将采购项目中的一定比例分包给一家或者多家中小企业的，投标文件中除须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《拟分包情况说明》及《分包意向协议》</w:t>
      </w:r>
      <w:r>
        <w:rPr>
          <w:rFonts w:hint="eastAsia" w:ascii="宋体" w:hAnsi="宋体" w:eastAsia="宋体" w:cs="宋体"/>
          <w:sz w:val="24"/>
          <w:szCs w:val="24"/>
          <w:lang w:eastAsia="zh-CN"/>
        </w:rPr>
        <w:t>，</w:t>
      </w:r>
      <w:r>
        <w:rPr>
          <w:rFonts w:ascii="宋体" w:hAnsi="宋体" w:eastAsia="宋体" w:cs="宋体"/>
          <w:sz w:val="24"/>
          <w:szCs w:val="24"/>
        </w:rPr>
        <w:t>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4BE8B570">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如本项目（包）预留部分采购项目预算专门面向中小企业采购，且要求供应商以联合体形式参加采购活动，投标文件中除须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《联合协议》；上述文件建议在资格证明文件部分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4AA74B0B">
      <w:pPr>
        <w:keepNext w:val="0"/>
        <w:keepLines w:val="0"/>
        <w:widowControl/>
        <w:numPr>
          <w:ilvl w:val="0"/>
          <w:numId w:val="12"/>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52147F9C">
      <w:pPr>
        <w:keepNext w:val="0"/>
        <w:keepLines w:val="0"/>
        <w:widowControl/>
        <w:numPr>
          <w:ilvl w:val="0"/>
          <w:numId w:val="13"/>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61D0CBA0">
      <w:pPr>
        <w:keepNext w:val="0"/>
        <w:keepLines w:val="0"/>
        <w:widowControl/>
        <w:numPr>
          <w:ilvl w:val="0"/>
          <w:numId w:val="13"/>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38ACB7F4">
      <w:pPr>
        <w:keepNext w:val="0"/>
        <w:keepLines w:val="0"/>
        <w:widowControl/>
        <w:numPr>
          <w:ilvl w:val="0"/>
          <w:numId w:val="13"/>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4E8B7655">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（6）温馨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工业和信息化部组织开发了中小企业规模类型自测小程序，在国务院客户端和工业和信息化部网站上均有链接</w:t>
      </w:r>
      <w:r>
        <w:rPr>
          <w:rFonts w:hint="eastAsia" w:ascii="宋体" w:hAnsi="宋体" w:eastAsia="宋体" w:cs="宋体"/>
          <w:sz w:val="24"/>
          <w:szCs w:val="24"/>
          <w:lang w:eastAsia="zh-CN"/>
        </w:rPr>
        <w:t>，</w:t>
      </w:r>
      <w:r>
        <w:rPr>
          <w:rFonts w:ascii="宋体" w:hAnsi="宋体" w:eastAsia="宋体" w:cs="宋体"/>
          <w:sz w:val="24"/>
          <w:szCs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F183BF">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318328A8">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2FEEDEC6">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14:paraId="5F33310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43D53735">
      <w:pPr>
        <w:keepNext w:val="0"/>
        <w:keepLines w:val="0"/>
        <w:widowControl/>
        <w:numPr>
          <w:ilvl w:val="0"/>
          <w:numId w:val="14"/>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（标的名称），属于（采购文件中明确的所属行业）行业；承建（承接）企业为（企业名称），从业人员______人，营业收入为______万元，资产总额为______ 万元，属于（中型企业、小型企业、微型企业）； </w:t>
      </w:r>
    </w:p>
    <w:p w14:paraId="4A6D1DEA">
      <w:pPr>
        <w:keepNext w:val="0"/>
        <w:keepLines w:val="0"/>
        <w:widowControl/>
        <w:numPr>
          <w:ilvl w:val="0"/>
          <w:numId w:val="14"/>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（标的名称），属于（采购文件中明确的所属行业）行业；承建（承接）企业为（企业名称），从业人员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14:paraId="4C3F2F4D">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809D7C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3325120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4B4B7E1A">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42700DA5">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0E71928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6265617">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14:paraId="36815566">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14:paraId="065B0819">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7B09605">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p>
    <w:p w14:paraId="3DA43711">
      <w:pPr>
        <w:keepNext w:val="0"/>
        <w:keepLines w:val="0"/>
        <w:widowControl/>
        <w:numPr>
          <w:ilvl w:val="0"/>
          <w:numId w:val="0"/>
        </w:numPr>
        <w:suppressLineNumbers w:val="0"/>
        <w:jc w:val="left"/>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14:paraId="645FB0C0">
      <w:pPr>
        <w:keepNext w:val="0"/>
        <w:keepLines w:val="0"/>
        <w:widowControl/>
        <w:numPr>
          <w:ilvl w:val="0"/>
          <w:numId w:val="0"/>
        </w:numPr>
        <w:suppressLineNumbers w:val="0"/>
        <w:jc w:val="left"/>
        <w:rPr>
          <w:rFonts w:ascii="宋体" w:hAnsi="宋体" w:eastAsia="宋体" w:cs="宋体"/>
          <w:sz w:val="21"/>
          <w:szCs w:val="21"/>
        </w:rPr>
      </w:pPr>
    </w:p>
    <w:p w14:paraId="51347E38">
      <w:pPr>
        <w:keepNext w:val="0"/>
        <w:keepLines w:val="0"/>
        <w:widowControl/>
        <w:numPr>
          <w:ilvl w:val="0"/>
          <w:numId w:val="0"/>
        </w:numPr>
        <w:suppressLineNumbers w:val="0"/>
        <w:jc w:val="left"/>
        <w:rPr>
          <w:rFonts w:ascii="宋体" w:hAnsi="宋体" w:eastAsia="宋体" w:cs="宋体"/>
          <w:sz w:val="21"/>
          <w:szCs w:val="21"/>
        </w:rPr>
      </w:pPr>
    </w:p>
    <w:p w14:paraId="46474606">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p>
    <w:p w14:paraId="7BF5FE77">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51EDD6EA">
      <w:pPr>
        <w:keepNext w:val="0"/>
        <w:keepLines w:val="0"/>
        <w:widowControl/>
        <w:numPr>
          <w:ilvl w:val="0"/>
          <w:numId w:val="0"/>
        </w:numPr>
        <w:suppressLineNumbers w:val="0"/>
        <w:jc w:val="center"/>
        <w:rPr>
          <w:rFonts w:ascii="宋体" w:hAnsi="宋体" w:eastAsia="宋体" w:cs="宋体"/>
          <w:b/>
          <w:bCs/>
          <w:sz w:val="28"/>
          <w:szCs w:val="28"/>
        </w:rPr>
      </w:pPr>
    </w:p>
    <w:p w14:paraId="788FB021">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 号）的规定，本单位</w:t>
      </w:r>
      <w:r>
        <w:rPr>
          <w:rFonts w:ascii="宋体" w:hAnsi="宋体" w:eastAsia="宋体" w:cs="宋体"/>
          <w:b/>
          <w:bCs/>
          <w:sz w:val="24"/>
          <w:szCs w:val="24"/>
        </w:rPr>
        <w:t>（请进行选择）</w:t>
      </w:r>
      <w:r>
        <w:rPr>
          <w:rFonts w:ascii="宋体" w:hAnsi="宋体" w:eastAsia="宋体" w:cs="宋体"/>
          <w:sz w:val="24"/>
          <w:szCs w:val="24"/>
        </w:rPr>
        <w:t>：</w:t>
      </w:r>
    </w:p>
    <w:p w14:paraId="51297964">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52E5A133">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1C5F61F3">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1F96998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695836EE">
      <w:pPr>
        <w:keepNext w:val="0"/>
        <w:keepLines w:val="0"/>
        <w:widowControl/>
        <w:numPr>
          <w:ilvl w:val="0"/>
          <w:numId w:val="0"/>
        </w:numPr>
        <w:suppressLineNumbers w:val="0"/>
        <w:jc w:val="center"/>
        <w:rPr>
          <w:rFonts w:ascii="宋体" w:hAnsi="宋体" w:eastAsia="宋体" w:cs="宋体"/>
          <w:sz w:val="24"/>
          <w:szCs w:val="24"/>
        </w:rPr>
      </w:pPr>
    </w:p>
    <w:p w14:paraId="640AE705">
      <w:pPr>
        <w:keepNext w:val="0"/>
        <w:keepLines w:val="0"/>
        <w:widowControl/>
        <w:numPr>
          <w:ilvl w:val="0"/>
          <w:numId w:val="0"/>
        </w:numPr>
        <w:suppressLineNumbers w:val="0"/>
        <w:jc w:val="center"/>
        <w:rPr>
          <w:rFonts w:ascii="宋体" w:hAnsi="宋体" w:eastAsia="宋体" w:cs="宋体"/>
          <w:sz w:val="24"/>
          <w:szCs w:val="24"/>
        </w:rPr>
      </w:pPr>
    </w:p>
    <w:p w14:paraId="7386965C">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0AFA7FB0">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679C4C62">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3 本项目的特定资格要求（如有） </w:t>
      </w:r>
    </w:p>
    <w:p w14:paraId="629A997A">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3-1 联合协议</w:t>
      </w:r>
    </w:p>
    <w:p w14:paraId="1D678A29">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联合协议</w:t>
      </w:r>
    </w:p>
    <w:p w14:paraId="75E08E08">
      <w:pPr>
        <w:keepNext w:val="0"/>
        <w:keepLines w:val="0"/>
        <w:widowControl/>
        <w:numPr>
          <w:ilvl w:val="0"/>
          <w:numId w:val="0"/>
        </w:numPr>
        <w:suppressLineNumbers w:val="0"/>
        <w:jc w:val="center"/>
        <w:rPr>
          <w:rFonts w:ascii="宋体" w:hAnsi="宋体" w:eastAsia="宋体" w:cs="宋体"/>
          <w:b/>
          <w:bCs/>
          <w:sz w:val="28"/>
          <w:szCs w:val="28"/>
        </w:rPr>
      </w:pPr>
    </w:p>
    <w:p w14:paraId="2A4D959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______ 、 _____ 及 _____就</w:t>
      </w:r>
      <w:r>
        <w:rPr>
          <w:rFonts w:hint="eastAsia" w:ascii="宋体" w:hAnsi="宋体" w:eastAsia="宋体" w:cs="宋体"/>
          <w:sz w:val="24"/>
          <w:szCs w:val="24"/>
          <w:lang w:eastAsia="zh-CN"/>
        </w:rPr>
        <w:t>“</w:t>
      </w:r>
      <w:r>
        <w:rPr>
          <w:rFonts w:ascii="宋体" w:hAnsi="宋体" w:eastAsia="宋体" w:cs="宋体"/>
          <w:sz w:val="24"/>
          <w:szCs w:val="24"/>
        </w:rPr>
        <w:t>________（项目名称）</w:t>
      </w:r>
      <w:r>
        <w:rPr>
          <w:rFonts w:hint="eastAsia" w:ascii="宋体" w:hAnsi="宋体" w:eastAsia="宋体" w:cs="宋体"/>
          <w:sz w:val="24"/>
          <w:szCs w:val="24"/>
          <w:lang w:eastAsia="zh-CN"/>
        </w:rPr>
        <w:t>”</w:t>
      </w:r>
      <w:r>
        <w:rPr>
          <w:rFonts w:ascii="宋体" w:hAnsi="宋体" w:eastAsia="宋体" w:cs="宋体"/>
          <w:sz w:val="24"/>
          <w:szCs w:val="24"/>
        </w:rPr>
        <w:t>____包</w:t>
      </w:r>
      <w:r>
        <w:rPr>
          <w:rFonts w:hint="eastAsia" w:ascii="宋体" w:hAnsi="宋体" w:eastAsia="宋体" w:cs="宋体"/>
          <w:sz w:val="24"/>
          <w:szCs w:val="24"/>
          <w:lang w:val="en-US" w:eastAsia="zh-CN"/>
        </w:rPr>
        <w:t>采购</w:t>
      </w:r>
      <w:r>
        <w:rPr>
          <w:rFonts w:ascii="宋体" w:hAnsi="宋体" w:eastAsia="宋体" w:cs="宋体"/>
          <w:sz w:val="24"/>
          <w:szCs w:val="24"/>
        </w:rPr>
        <w:t>项目的</w:t>
      </w:r>
      <w:r>
        <w:rPr>
          <w:rFonts w:hint="eastAsia" w:ascii="宋体" w:hAnsi="宋体" w:eastAsia="宋体" w:cs="宋体"/>
          <w:sz w:val="24"/>
          <w:szCs w:val="24"/>
          <w:lang w:val="en-US" w:eastAsia="zh-CN"/>
        </w:rPr>
        <w:t>磋商</w:t>
      </w:r>
      <w:r>
        <w:rPr>
          <w:rFonts w:ascii="宋体" w:hAnsi="宋体" w:eastAsia="宋体" w:cs="宋体"/>
          <w:sz w:val="24"/>
          <w:szCs w:val="24"/>
        </w:rPr>
        <w:t>事宜，经各方充分协商一致，达成如下协议：</w:t>
      </w:r>
    </w:p>
    <w:p w14:paraId="3CEEEAC7">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一、</w:t>
      </w:r>
      <w:r>
        <w:rPr>
          <w:rFonts w:ascii="宋体" w:hAnsi="宋体" w:eastAsia="宋体" w:cs="宋体"/>
          <w:sz w:val="24"/>
          <w:szCs w:val="24"/>
        </w:rPr>
        <w:t>由_________牵头，_________、__________参加，组成联合体共同进行</w:t>
      </w:r>
      <w:r>
        <w:rPr>
          <w:rFonts w:hint="eastAsia" w:ascii="宋体" w:hAnsi="宋体" w:eastAsia="宋体" w:cs="宋体"/>
          <w:sz w:val="24"/>
          <w:szCs w:val="24"/>
          <w:lang w:val="en-US" w:eastAsia="zh-CN"/>
        </w:rPr>
        <w:t>采购</w:t>
      </w:r>
      <w:r>
        <w:rPr>
          <w:rFonts w:ascii="宋体" w:hAnsi="宋体" w:eastAsia="宋体" w:cs="宋体"/>
          <w:sz w:val="24"/>
          <w:szCs w:val="24"/>
        </w:rPr>
        <w:t>项目的</w:t>
      </w:r>
      <w:r>
        <w:rPr>
          <w:rFonts w:hint="eastAsia" w:ascii="宋体" w:hAnsi="宋体" w:eastAsia="宋体" w:cs="宋体"/>
          <w:sz w:val="24"/>
          <w:szCs w:val="24"/>
          <w:lang w:val="en-US" w:eastAsia="zh-CN"/>
        </w:rPr>
        <w:t>磋商</w:t>
      </w:r>
      <w:r>
        <w:rPr>
          <w:rFonts w:ascii="宋体" w:hAnsi="宋体" w:eastAsia="宋体" w:cs="宋体"/>
          <w:sz w:val="24"/>
          <w:szCs w:val="24"/>
        </w:rPr>
        <w:t xml:space="preserve">工作。 </w:t>
      </w:r>
    </w:p>
    <w:p w14:paraId="6C59DCE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二、 联合体</w:t>
      </w:r>
      <w:r>
        <w:rPr>
          <w:rFonts w:hint="eastAsia" w:ascii="宋体" w:hAnsi="宋体" w:eastAsia="宋体" w:cs="宋体"/>
          <w:sz w:val="24"/>
          <w:szCs w:val="24"/>
          <w:lang w:val="en-US" w:eastAsia="zh-CN"/>
        </w:rPr>
        <w:t>成交</w:t>
      </w:r>
      <w:r>
        <w:rPr>
          <w:rFonts w:ascii="宋体" w:hAnsi="宋体" w:eastAsia="宋体" w:cs="宋体"/>
          <w:sz w:val="24"/>
          <w:szCs w:val="24"/>
        </w:rPr>
        <w:t xml:space="preserve">后，联合体各方共同与采购人签订合同，就采购合同约定的事项对采购人承担连带责任。 </w:t>
      </w:r>
    </w:p>
    <w:p w14:paraId="762B8326">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三、 联合体各方均同意由牵头人代表其他联合体成员单位按按竞争性磋商文件要求出具《授权委托书》。 </w:t>
      </w:r>
    </w:p>
    <w:p w14:paraId="2FA31AA8">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四、 牵头人为项目的总负责单位</w:t>
      </w:r>
      <w:r>
        <w:rPr>
          <w:rFonts w:hint="eastAsia" w:ascii="宋体" w:hAnsi="宋体" w:eastAsia="宋体" w:cs="宋体"/>
          <w:sz w:val="24"/>
          <w:szCs w:val="24"/>
          <w:lang w:eastAsia="zh-CN"/>
        </w:rPr>
        <w:t>；</w:t>
      </w:r>
      <w:r>
        <w:rPr>
          <w:rFonts w:ascii="宋体" w:hAnsi="宋体" w:eastAsia="宋体" w:cs="宋体"/>
          <w:sz w:val="24"/>
          <w:szCs w:val="24"/>
        </w:rPr>
        <w:t xml:space="preserve">组织各参加方进行项目实施工作。 </w:t>
      </w:r>
    </w:p>
    <w:p w14:paraId="58C32A3A">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五、______负责_____，具体工作范围、内容以</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文件及合同为准。 </w:t>
      </w:r>
    </w:p>
    <w:p w14:paraId="6096FF8E">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六、______负责_____，具体工作范围、内容以</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文件及合同为准。 </w:t>
      </w:r>
    </w:p>
    <w:p w14:paraId="3742C62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七、______负责_____（如有），具体工作范围、内容以</w:t>
      </w:r>
      <w:r>
        <w:rPr>
          <w:rFonts w:hint="eastAsia" w:ascii="宋体" w:hAnsi="宋体" w:eastAsia="宋体" w:cs="宋体"/>
          <w:sz w:val="24"/>
          <w:szCs w:val="24"/>
          <w:lang w:val="en-US" w:eastAsia="zh-CN"/>
        </w:rPr>
        <w:t>响应</w:t>
      </w:r>
      <w:r>
        <w:rPr>
          <w:rFonts w:ascii="宋体" w:hAnsi="宋体" w:eastAsia="宋体" w:cs="宋体"/>
          <w:sz w:val="24"/>
          <w:szCs w:val="24"/>
        </w:rPr>
        <w:t xml:space="preserve">文件及合同为准。 </w:t>
      </w:r>
    </w:p>
    <w:p w14:paraId="27A5EAD5">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八、本项目联合协议合同总额为________元，联合体各成员按照如下比例分摊（按联合体成员分别列明）： </w:t>
      </w:r>
    </w:p>
    <w:p w14:paraId="3416794D">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（1）______为□大型企业□中型企业、□小微企业（包含监狱企业、残疾人福利性单位）、□其他，合同金额为_____元</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3B4B70EC">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（2）______为□大型企业□中型企业、□小微企业（包含监狱企业、残疾人福利性单位）、□其他，合同金额为_____元</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34083ED">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（…）______为□大型企业□中型企业、□小微企业（包含监狱企业、残疾人福利性单位）、□其他，合同金额为_____元。 </w:t>
      </w:r>
    </w:p>
    <w:p w14:paraId="42E546A1">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val="en-US" w:eastAsia="zh-CN"/>
        </w:rPr>
        <w:t>九、</w:t>
      </w:r>
      <w:r>
        <w:rPr>
          <w:rFonts w:ascii="宋体" w:hAnsi="宋体" w:eastAsia="宋体" w:cs="宋体"/>
          <w:sz w:val="24"/>
          <w:szCs w:val="24"/>
        </w:rPr>
        <w:t xml:space="preserve">以联合体形式参加政府采购活动的，联合体各方不得再单独参加或者与其他供应商另外组成联合体参加同一合同项下的政府采购活动。 </w:t>
      </w:r>
    </w:p>
    <w:p w14:paraId="566C4550">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十、 其他约定（如有）：_______。 </w:t>
      </w:r>
    </w:p>
    <w:p w14:paraId="09711B49">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本协议自各方盖章后生效，采购合同履行完毕后自动失效。如未</w:t>
      </w:r>
      <w:r>
        <w:rPr>
          <w:rFonts w:hint="eastAsia" w:ascii="宋体" w:hAnsi="宋体" w:eastAsia="宋体" w:cs="宋体"/>
          <w:sz w:val="24"/>
          <w:szCs w:val="24"/>
          <w:lang w:val="en-US" w:eastAsia="zh-CN"/>
        </w:rPr>
        <w:t>成交</w:t>
      </w:r>
      <w:r>
        <w:rPr>
          <w:rFonts w:ascii="宋体" w:hAnsi="宋体" w:eastAsia="宋体" w:cs="宋体"/>
          <w:sz w:val="24"/>
          <w:szCs w:val="24"/>
        </w:rPr>
        <w:t>，本协议自动终止。</w:t>
      </w:r>
    </w:p>
    <w:p w14:paraId="77B0E952">
      <w:pPr>
        <w:keepNext w:val="0"/>
        <w:keepLines w:val="0"/>
        <w:widowControl/>
        <w:numPr>
          <w:ilvl w:val="0"/>
          <w:numId w:val="0"/>
        </w:numPr>
        <w:suppressLineNumbers w:val="0"/>
        <w:ind w:firstLine="480" w:firstLineChars="200"/>
        <w:jc w:val="both"/>
        <w:rPr>
          <w:rFonts w:ascii="宋体" w:hAnsi="宋体" w:eastAsia="宋体" w:cs="宋体"/>
          <w:sz w:val="24"/>
          <w:szCs w:val="24"/>
        </w:rPr>
      </w:pPr>
    </w:p>
    <w:p w14:paraId="5A36A397">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联合体牵头人名称：______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联合体成员名称：______ </w:t>
      </w:r>
    </w:p>
    <w:p w14:paraId="37B21F7D">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盖</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章：______ </w:t>
      </w:r>
      <w:r>
        <w:rPr>
          <w:rFonts w:hint="eastAsia" w:ascii="宋体" w:hAnsi="宋体" w:eastAsia="宋体" w:cs="宋体"/>
          <w:sz w:val="24"/>
          <w:szCs w:val="24"/>
          <w:lang w:val="en-US" w:eastAsia="zh-CN"/>
        </w:rPr>
        <w:t xml:space="preserve">              </w:t>
      </w:r>
      <w:r>
        <w:rPr>
          <w:rFonts w:ascii="宋体" w:hAnsi="宋体" w:eastAsia="宋体" w:cs="宋体"/>
          <w:sz w:val="24"/>
          <w:szCs w:val="24"/>
        </w:rPr>
        <w:t>盖</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章：______ </w:t>
      </w:r>
    </w:p>
    <w:p w14:paraId="186DAF92">
      <w:pPr>
        <w:keepNext w:val="0"/>
        <w:keepLines w:val="0"/>
        <w:widowControl/>
        <w:numPr>
          <w:ilvl w:val="0"/>
          <w:numId w:val="0"/>
        </w:numPr>
        <w:suppressLineNumbers w:val="0"/>
        <w:jc w:val="both"/>
        <w:rPr>
          <w:rFonts w:ascii="宋体" w:hAnsi="宋体" w:eastAsia="宋体" w:cs="宋体"/>
          <w:sz w:val="24"/>
          <w:szCs w:val="24"/>
        </w:rPr>
      </w:pPr>
    </w:p>
    <w:p w14:paraId="10B109F6">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联合体成员名称：______ </w:t>
      </w:r>
    </w:p>
    <w:p w14:paraId="3983714C">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盖</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章：______ </w:t>
      </w:r>
    </w:p>
    <w:p w14:paraId="1D67C0CE">
      <w:pPr>
        <w:keepNext w:val="0"/>
        <w:keepLines w:val="0"/>
        <w:widowControl/>
        <w:numPr>
          <w:ilvl w:val="0"/>
          <w:numId w:val="0"/>
        </w:numPr>
        <w:suppressLineNumbers w:val="0"/>
        <w:jc w:val="right"/>
        <w:rPr>
          <w:rFonts w:ascii="宋体" w:hAnsi="宋体" w:eastAsia="宋体" w:cs="宋体"/>
          <w:sz w:val="24"/>
          <w:szCs w:val="24"/>
        </w:rPr>
      </w:pPr>
      <w:r>
        <w:rPr>
          <w:rFonts w:ascii="宋体" w:hAnsi="宋体" w:eastAsia="宋体" w:cs="宋体"/>
          <w:sz w:val="24"/>
          <w:szCs w:val="24"/>
        </w:rPr>
        <w:t>日期：_____年______月______日</w:t>
      </w:r>
    </w:p>
    <w:p w14:paraId="4811A4A7">
      <w:pPr>
        <w:keepNext w:val="0"/>
        <w:keepLines w:val="0"/>
        <w:widowControl/>
        <w:numPr>
          <w:ilvl w:val="0"/>
          <w:numId w:val="0"/>
        </w:numPr>
        <w:suppressLineNumbers w:val="0"/>
        <w:jc w:val="right"/>
        <w:rPr>
          <w:rFonts w:ascii="宋体" w:hAnsi="宋体" w:eastAsia="宋体" w:cs="宋体"/>
          <w:sz w:val="24"/>
          <w:szCs w:val="24"/>
        </w:rPr>
      </w:pPr>
      <w:r>
        <w:rPr>
          <w:rFonts w:ascii="宋体" w:hAnsi="宋体" w:eastAsia="宋体" w:cs="宋体"/>
          <w:sz w:val="24"/>
          <w:szCs w:val="24"/>
        </w:rPr>
        <w:t xml:space="preserve"> </w:t>
      </w:r>
    </w:p>
    <w:p w14:paraId="56CF3F31">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注：</w:t>
      </w:r>
    </w:p>
    <w:p w14:paraId="71F844EE">
      <w:pPr>
        <w:keepNext w:val="0"/>
        <w:keepLines w:val="0"/>
        <w:pageBreakBefore w:val="0"/>
        <w:widowControl/>
        <w:numPr>
          <w:ilvl w:val="0"/>
          <w:numId w:val="15"/>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t>如本项目（包）接受供应商以联合体形式参加采购活动，且供应商以联合体形式参与时，须</w:t>
      </w:r>
      <w:r>
        <w:rPr>
          <w:rFonts w:hint="eastAsia" w:ascii="宋体" w:hAnsi="宋体" w:eastAsia="宋体" w:cs="宋体"/>
          <w:sz w:val="24"/>
          <w:szCs w:val="24"/>
          <w:lang w:val="en-US" w:eastAsia="zh-CN"/>
        </w:rPr>
        <w:t>提供</w:t>
      </w:r>
      <w:r>
        <w:rPr>
          <w:rFonts w:ascii="宋体" w:hAnsi="宋体" w:eastAsia="宋体" w:cs="宋体"/>
          <w:sz w:val="24"/>
          <w:szCs w:val="24"/>
        </w:rPr>
        <w:t>《联合协议》，否则</w:t>
      </w:r>
      <w:r>
        <w:rPr>
          <w:rFonts w:hint="eastAsia" w:ascii="宋体" w:hAnsi="宋体" w:eastAsia="宋体" w:cs="宋体"/>
          <w:b/>
          <w:bCs/>
          <w:sz w:val="24"/>
          <w:szCs w:val="24"/>
          <w:lang w:val="en-US" w:eastAsia="zh-CN"/>
        </w:rPr>
        <w:t>响应</w:t>
      </w:r>
      <w:r>
        <w:rPr>
          <w:rFonts w:ascii="宋体" w:hAnsi="宋体" w:eastAsia="宋体" w:cs="宋体"/>
          <w:b/>
          <w:bCs/>
          <w:sz w:val="24"/>
          <w:szCs w:val="24"/>
        </w:rPr>
        <w:t>无效</w:t>
      </w:r>
      <w:r>
        <w:rPr>
          <w:rFonts w:ascii="宋体" w:hAnsi="宋体" w:eastAsia="宋体" w:cs="宋体"/>
          <w:sz w:val="24"/>
          <w:szCs w:val="24"/>
        </w:rPr>
        <w:t xml:space="preserve">。 </w:t>
      </w:r>
    </w:p>
    <w:p w14:paraId="4F6C74F4">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 联合体各方成员需在本协议上共同盖章。</w:t>
      </w:r>
    </w:p>
    <w:p w14:paraId="1A512B95">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3-2 其他特定资格要求</w:t>
      </w:r>
    </w:p>
    <w:p w14:paraId="072924FD">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 投标保证金凭证/交款单据电子件</w:t>
      </w:r>
    </w:p>
    <w:p w14:paraId="65D82B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商务技术文件格式</w:t>
      </w:r>
    </w:p>
    <w:p w14:paraId="07B9DB3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 xml:space="preserve">投标文件（商务技术文件）封面（非实质性格式） </w:t>
      </w:r>
    </w:p>
    <w:p w14:paraId="7FECEA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E9A49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4FD8D9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875F9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73F16A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5BCFD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7DD3310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（商务技术文件） </w:t>
      </w:r>
    </w:p>
    <w:p w14:paraId="576238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7788E49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35EDBE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130C52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5F911D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4334B1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7457B63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项目名称</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967A9D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 </w:t>
      </w:r>
    </w:p>
    <w:p w14:paraId="26114F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27ED5B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投标书（实质性格式） </w:t>
      </w:r>
    </w:p>
    <w:p w14:paraId="77BDA8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投标书</w:t>
      </w:r>
    </w:p>
    <w:p w14:paraId="61751A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5EDB35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18A90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我方参加你方就___________（项目名称，项目编号/包号）组织的招标活动，并对此项目进行投标。 </w:t>
      </w:r>
    </w:p>
    <w:p w14:paraId="1C7EF843">
      <w:pPr>
        <w:keepNext w:val="0"/>
        <w:keepLines w:val="0"/>
        <w:pageBreakBefore w:val="0"/>
        <w:widowControl w:val="0"/>
        <w:numPr>
          <w:ilvl w:val="0"/>
          <w:numId w:val="16"/>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我方已详细审查全部招标文件，自愿参与投标并承诺如下： </w:t>
      </w:r>
    </w:p>
    <w:p w14:paraId="0E54B2B6">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本投标有效期为自</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投标文件的截止之日起_____个日历日。 </w:t>
      </w:r>
    </w:p>
    <w:p w14:paraId="5D8FE3AF">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 xml:space="preserve">除合同条款及采购需求偏离表列出的偏离外，我方响应招标文件的全部要求。 </w:t>
      </w:r>
    </w:p>
    <w:p w14:paraId="5A494884">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64DCD13C">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如我方中标，我方将在法律规定的期限内与你方签订合同，按照招标文件要求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69B787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60FD59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与本投标有关的一切正式往来信函请寄： </w:t>
      </w:r>
    </w:p>
    <w:p w14:paraId="6E9CFFA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1C35B3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42E0B5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AF8957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2C05B2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6E9488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2 授权委托书（实质性格式） </w:t>
      </w:r>
    </w:p>
    <w:p w14:paraId="512FEB4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0DE104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本人_______（姓名）系________________（投标人名称）的法定代表人（单位负责人），现委托_______（姓名）为我方代理人。代理人根据授权，以我方名义签署、澄清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 xml:space="preserve">、撤回、修改________________（项目名称）投标文件和处理有关事宜，其法律后果由我方承担。 </w:t>
      </w:r>
    </w:p>
    <w:p w14:paraId="5A0AAB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委托期限：自本授权委托书签署之日起至投标有效期届满之日止。 </w:t>
      </w:r>
    </w:p>
    <w:p w14:paraId="3E7C02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2BC9A6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770B38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630B93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79D251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7F3DB6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28A6DF3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A8F2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3AA8F285"/>
                  </w:txbxContent>
                </v:textbox>
              </v:shape>
            </w:pict>
          </mc:Fallback>
        </mc:AlternateContent>
      </w:r>
    </w:p>
    <w:p w14:paraId="043C2F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7BEAC5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070527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E1919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47ADBE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若投标文件中签字之处均为法定代表人（单位负责人）本人签署，则可不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37DC0F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1126F30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身份证双面电子件。</w:t>
      </w:r>
    </w:p>
    <w:p w14:paraId="3C78A3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019738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73FF72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0BAA0D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5B1491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系（投标人名称）的法定代表人（单位负责人）。</w:t>
      </w:r>
    </w:p>
    <w:p w14:paraId="22152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0B98F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8D58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708D5800"/>
                  </w:txbxContent>
                </v:textbox>
              </v:shape>
            </w:pict>
          </mc:Fallback>
        </mc:AlternateContent>
      </w:r>
    </w:p>
    <w:p w14:paraId="2FADBF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3207C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A6588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1B5C0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694D76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3E4803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F270A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57382F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3 开标一览表（实质性格式） </w:t>
      </w:r>
    </w:p>
    <w:p w14:paraId="65581AB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ascii="宋体" w:hAnsi="宋体" w:eastAsia="宋体" w:cs="宋体"/>
          <w:b/>
          <w:bCs/>
          <w:i w:val="0"/>
          <w:iCs w:val="0"/>
          <w:color w:val="auto"/>
          <w:sz w:val="28"/>
          <w:szCs w:val="28"/>
          <w:u w:val="none"/>
        </w:rPr>
        <w:t>开标一览表</w:t>
      </w:r>
    </w:p>
    <w:p w14:paraId="575540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8718" w:type="dxa"/>
        <w:tblInd w:w="-251" w:type="dxa"/>
        <w:tblLayout w:type="fixed"/>
        <w:tblCellMar>
          <w:top w:w="0" w:type="dxa"/>
          <w:left w:w="108" w:type="dxa"/>
          <w:bottom w:w="0" w:type="dxa"/>
          <w:right w:w="108" w:type="dxa"/>
        </w:tblCellMar>
      </w:tblPr>
      <w:tblGrid>
        <w:gridCol w:w="643"/>
        <w:gridCol w:w="2873"/>
        <w:gridCol w:w="2654"/>
        <w:gridCol w:w="2548"/>
      </w:tblGrid>
      <w:tr w14:paraId="232D689C">
        <w:tblPrEx>
          <w:tblCellMar>
            <w:top w:w="0" w:type="dxa"/>
            <w:left w:w="108" w:type="dxa"/>
            <w:bottom w:w="0" w:type="dxa"/>
            <w:right w:w="108" w:type="dxa"/>
          </w:tblCellMar>
        </w:tblPrEx>
        <w:trPr>
          <w:trHeight w:val="793"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48B">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7D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标的名称</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73AC">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投标</w:t>
            </w:r>
            <w:r>
              <w:rPr>
                <w:rFonts w:hint="eastAsia" w:asciiTheme="minorEastAsia" w:hAnsiTheme="minorEastAsia" w:eastAsiaTheme="minorEastAsia" w:cstheme="minorEastAsia"/>
                <w:b/>
                <w:bCs/>
                <w:color w:val="000000"/>
                <w:kern w:val="0"/>
                <w:sz w:val="24"/>
                <w:szCs w:val="24"/>
                <w:lang w:eastAsia="zh-CN" w:bidi="ar"/>
              </w:rPr>
              <w:t>总</w:t>
            </w:r>
            <w:r>
              <w:rPr>
                <w:rFonts w:hint="eastAsia" w:asciiTheme="minorEastAsia" w:hAnsiTheme="minorEastAsia" w:eastAsiaTheme="minorEastAsia" w:cstheme="minorEastAsia"/>
                <w:b/>
                <w:bCs/>
                <w:color w:val="000000"/>
                <w:kern w:val="0"/>
                <w:sz w:val="24"/>
                <w:szCs w:val="24"/>
                <w:lang w:bidi="ar"/>
              </w:rPr>
              <w:t>价（元）</w:t>
            </w:r>
          </w:p>
        </w:tc>
        <w:tc>
          <w:tcPr>
            <w:tcW w:w="2548" w:type="dxa"/>
            <w:tcBorders>
              <w:top w:val="single" w:color="000000" w:sz="4" w:space="0"/>
              <w:left w:val="single" w:color="000000" w:sz="4" w:space="0"/>
              <w:right w:val="single" w:color="000000" w:sz="4" w:space="0"/>
            </w:tcBorders>
            <w:shd w:val="clear" w:color="auto" w:fill="auto"/>
            <w:noWrap/>
            <w:vAlign w:val="center"/>
          </w:tcPr>
          <w:p w14:paraId="4A4CCB70">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合同履行期限</w:t>
            </w:r>
          </w:p>
          <w:p w14:paraId="239BAB76">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w:t>
            </w:r>
            <w:r>
              <w:rPr>
                <w:rFonts w:hint="eastAsia" w:ascii="宋体" w:hAnsi="宋体" w:eastAsia="宋体" w:cs="宋体"/>
                <w:b/>
                <w:bCs/>
                <w:color w:val="000000"/>
                <w:kern w:val="0"/>
                <w:sz w:val="22"/>
                <w:szCs w:val="22"/>
                <w:lang w:eastAsia="zh-CN" w:bidi="ar"/>
              </w:rPr>
              <w:t>服务期限</w:t>
            </w:r>
            <w:r>
              <w:rPr>
                <w:rFonts w:hint="eastAsia" w:ascii="宋体" w:hAnsi="宋体" w:eastAsia="宋体" w:cs="宋体"/>
                <w:b/>
                <w:bCs/>
                <w:color w:val="000000"/>
                <w:kern w:val="0"/>
                <w:sz w:val="22"/>
                <w:szCs w:val="22"/>
                <w:lang w:bidi="ar"/>
              </w:rPr>
              <w:t>）</w:t>
            </w:r>
          </w:p>
        </w:tc>
      </w:tr>
      <w:tr w14:paraId="4A882A45">
        <w:tblPrEx>
          <w:tblCellMar>
            <w:top w:w="0" w:type="dxa"/>
            <w:left w:w="108" w:type="dxa"/>
            <w:bottom w:w="0" w:type="dxa"/>
            <w:right w:w="108" w:type="dxa"/>
          </w:tblCellMar>
        </w:tblPrEx>
        <w:trPr>
          <w:trHeight w:val="944"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F72">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1</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A0D">
            <w:pPr>
              <w:widowControl/>
              <w:jc w:val="center"/>
              <w:textAlignment w:val="center"/>
              <w:rPr>
                <w:rFonts w:ascii="宋体" w:hAnsi="宋体" w:eastAsia="宋体" w:cs="宋体"/>
                <w:b/>
                <w:bCs/>
                <w:color w:val="000000"/>
                <w:kern w:val="0"/>
                <w:sz w:val="22"/>
                <w:szCs w:val="22"/>
                <w:lang w:bidi="ar"/>
              </w:rPr>
            </w:pP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715">
            <w:pPr>
              <w:widowControl/>
              <w:textAlignment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大写：</w:t>
            </w:r>
          </w:p>
          <w:p w14:paraId="3C93F7E0">
            <w:pPr>
              <w:pStyle w:val="1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小写：</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686E">
            <w:pPr>
              <w:widowControl/>
              <w:jc w:val="center"/>
              <w:textAlignment w:val="center"/>
              <w:rPr>
                <w:rFonts w:ascii="宋体" w:hAnsi="宋体" w:eastAsia="宋体" w:cs="宋体"/>
                <w:b/>
                <w:bCs/>
                <w:color w:val="000000"/>
                <w:kern w:val="0"/>
                <w:sz w:val="22"/>
                <w:szCs w:val="22"/>
                <w:lang w:bidi="ar"/>
              </w:rPr>
            </w:pPr>
          </w:p>
        </w:tc>
      </w:tr>
    </w:tbl>
    <w:p w14:paraId="6181D1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i/>
          <w:iCs/>
          <w:color w:val="FF0000"/>
          <w:sz w:val="24"/>
          <w:szCs w:val="24"/>
          <w:u w:val="none"/>
        </w:rPr>
      </w:pPr>
    </w:p>
    <w:p w14:paraId="5A6879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本表格式不得更改，供应商只能按要求填报，否则将被视为无效响应。</w:t>
      </w:r>
    </w:p>
    <w:p w14:paraId="7623E4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2、本项目总价不得超过最高限价，否则将被视为无效响应。</w:t>
      </w:r>
    </w:p>
    <w:p w14:paraId="49231C5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3、投标总价（元）应与分项报价表中投标总价（元）一致。</w:t>
      </w:r>
      <w:bookmarkStart w:id="86" w:name="_GoBack"/>
      <w:bookmarkEnd w:id="86"/>
    </w:p>
    <w:p w14:paraId="29753F60">
      <w:pPr>
        <w:pStyle w:val="14"/>
        <w:rPr>
          <w:rFonts w:hint="default"/>
          <w:lang w:val="en-US" w:eastAsia="zh-CN"/>
        </w:rPr>
      </w:pPr>
    </w:p>
    <w:p w14:paraId="55891AF0">
      <w:pPr>
        <w:pStyle w:val="14"/>
        <w:rPr>
          <w:rFonts w:hint="eastAsia"/>
          <w:lang w:eastAsia="zh-CN"/>
        </w:rPr>
      </w:pPr>
    </w:p>
    <w:p w14:paraId="66A5DF2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34BF9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5336651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671C9EF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66FB9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投标人名称（加盖公章）：____________ </w:t>
      </w:r>
    </w:p>
    <w:p w14:paraId="4503471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w:t>
      </w:r>
    </w:p>
    <w:p w14:paraId="5F2F297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分项报价表（实质性格式）</w:t>
      </w:r>
    </w:p>
    <w:p w14:paraId="07C2CA7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32"/>
          <w:szCs w:val="32"/>
          <w:u w:val="none"/>
          <w:lang w:val="en-US" w:eastAsia="zh-CN" w:bidi="ar"/>
        </w:rPr>
        <w:t>水磨沟区公共绿地市场化养护</w:t>
      </w:r>
    </w:p>
    <w:tbl>
      <w:tblPr>
        <w:tblStyle w:val="18"/>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2816"/>
        <w:gridCol w:w="1689"/>
        <w:gridCol w:w="1485"/>
        <w:gridCol w:w="1088"/>
        <w:gridCol w:w="923"/>
        <w:gridCol w:w="917"/>
      </w:tblGrid>
      <w:tr w14:paraId="496C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0D18BDB">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81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E33AE68">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道路名称</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61639E8">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养护等级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top"/>
          </w:tcPr>
          <w:p w14:paraId="404C4F85">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面积</w:t>
            </w:r>
          </w:p>
        </w:tc>
        <w:tc>
          <w:tcPr>
            <w:tcW w:w="1088" w:type="dxa"/>
            <w:vMerge w:val="restart"/>
            <w:tcBorders>
              <w:top w:val="single" w:color="000000" w:sz="4" w:space="0"/>
              <w:left w:val="single" w:color="000000" w:sz="4" w:space="0"/>
              <w:right w:val="single" w:color="000000" w:sz="4" w:space="0"/>
            </w:tcBorders>
            <w:shd w:val="clear" w:color="auto" w:fill="auto"/>
            <w:noWrap/>
            <w:vAlign w:val="center"/>
          </w:tcPr>
          <w:p w14:paraId="4B7ED5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最高限制单价</w:t>
            </w:r>
          </w:p>
          <w:p w14:paraId="400BDCB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（㎡/元）</w:t>
            </w:r>
          </w:p>
        </w:tc>
        <w:tc>
          <w:tcPr>
            <w:tcW w:w="923" w:type="dxa"/>
            <w:vMerge w:val="restart"/>
            <w:tcBorders>
              <w:top w:val="single" w:color="000000" w:sz="4" w:space="0"/>
              <w:left w:val="single" w:color="000000" w:sz="4" w:space="0"/>
              <w:right w:val="single" w:color="000000" w:sz="4" w:space="0"/>
            </w:tcBorders>
            <w:shd w:val="clear" w:color="auto" w:fill="auto"/>
            <w:noWrap/>
            <w:vAlign w:val="center"/>
          </w:tcPr>
          <w:p w14:paraId="5598D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单价报价</w:t>
            </w:r>
          </w:p>
          <w:p w14:paraId="150A38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917" w:type="dxa"/>
            <w:vMerge w:val="restart"/>
            <w:tcBorders>
              <w:top w:val="single" w:color="000000" w:sz="4" w:space="0"/>
              <w:left w:val="single" w:color="000000" w:sz="4" w:space="0"/>
              <w:right w:val="single" w:color="000000" w:sz="4" w:space="0"/>
            </w:tcBorders>
            <w:shd w:val="clear" w:color="auto" w:fill="auto"/>
            <w:noWrap/>
            <w:vAlign w:val="center"/>
          </w:tcPr>
          <w:p w14:paraId="594E41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总价报价</w:t>
            </w:r>
          </w:p>
          <w:p w14:paraId="5A1F87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r>
      <w:tr w14:paraId="585A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12459D">
            <w:pPr>
              <w:jc w:val="center"/>
              <w:rPr>
                <w:rFonts w:hint="eastAsia" w:ascii="宋体" w:hAnsi="宋体" w:eastAsia="宋体" w:cs="宋体"/>
                <w:b/>
                <w:bCs/>
                <w:i w:val="0"/>
                <w:iCs w:val="0"/>
                <w:color w:val="000000"/>
                <w:sz w:val="28"/>
                <w:szCs w:val="28"/>
                <w:u w:val="none"/>
              </w:rPr>
            </w:pPr>
          </w:p>
        </w:tc>
        <w:tc>
          <w:tcPr>
            <w:tcW w:w="281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18B6C9">
            <w:pPr>
              <w:jc w:val="center"/>
              <w:rPr>
                <w:rFonts w:hint="eastAsia" w:ascii="宋体" w:hAnsi="宋体" w:eastAsia="宋体" w:cs="宋体"/>
                <w:b/>
                <w:bCs/>
                <w:i w:val="0"/>
                <w:iCs w:val="0"/>
                <w:color w:val="000000"/>
                <w:sz w:val="28"/>
                <w:szCs w:val="28"/>
                <w:u w:val="none"/>
              </w:rPr>
            </w:pP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733BAE">
            <w:pPr>
              <w:jc w:val="center"/>
              <w:rPr>
                <w:rFonts w:hint="eastAsia" w:ascii="宋体" w:hAnsi="宋体" w:eastAsia="宋体" w:cs="宋体"/>
                <w:b/>
                <w:bCs/>
                <w:i w:val="0"/>
                <w:iCs w:val="0"/>
                <w:color w:val="000000"/>
                <w:sz w:val="28"/>
                <w:szCs w:val="2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top"/>
          </w:tcPr>
          <w:p w14:paraId="604AC953">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w:t>
            </w:r>
          </w:p>
        </w:tc>
        <w:tc>
          <w:tcPr>
            <w:tcW w:w="1088" w:type="dxa"/>
            <w:vMerge w:val="continue"/>
            <w:tcBorders>
              <w:left w:val="single" w:color="000000" w:sz="4" w:space="0"/>
              <w:bottom w:val="single" w:color="000000" w:sz="4" w:space="0"/>
              <w:right w:val="single" w:color="000000" w:sz="4" w:space="0"/>
            </w:tcBorders>
            <w:shd w:val="clear" w:color="auto" w:fill="auto"/>
            <w:noWrap/>
            <w:vAlign w:val="center"/>
          </w:tcPr>
          <w:p w14:paraId="3D7775EB">
            <w:pPr>
              <w:jc w:val="center"/>
              <w:rPr>
                <w:rFonts w:hint="eastAsia" w:ascii="宋体" w:hAnsi="宋体" w:eastAsia="宋体" w:cs="宋体"/>
                <w:i w:val="0"/>
                <w:iCs w:val="0"/>
                <w:color w:val="000000"/>
                <w:sz w:val="24"/>
                <w:szCs w:val="24"/>
                <w:u w:val="none"/>
              </w:rPr>
            </w:pPr>
          </w:p>
        </w:tc>
        <w:tc>
          <w:tcPr>
            <w:tcW w:w="923" w:type="dxa"/>
            <w:vMerge w:val="continue"/>
            <w:tcBorders>
              <w:left w:val="single" w:color="000000" w:sz="4" w:space="0"/>
              <w:bottom w:val="single" w:color="000000" w:sz="4" w:space="0"/>
              <w:right w:val="single" w:color="000000" w:sz="4" w:space="0"/>
            </w:tcBorders>
            <w:shd w:val="clear" w:color="auto" w:fill="auto"/>
            <w:noWrap/>
            <w:vAlign w:val="center"/>
          </w:tcPr>
          <w:p w14:paraId="7FCD3AE1">
            <w:pPr>
              <w:jc w:val="center"/>
              <w:rPr>
                <w:rFonts w:hint="eastAsia" w:ascii="宋体" w:hAnsi="宋体" w:eastAsia="宋体" w:cs="宋体"/>
                <w:i w:val="0"/>
                <w:iCs w:val="0"/>
                <w:color w:val="000000"/>
                <w:sz w:val="24"/>
                <w:szCs w:val="24"/>
                <w:u w:val="none"/>
              </w:rPr>
            </w:pPr>
          </w:p>
        </w:tc>
        <w:tc>
          <w:tcPr>
            <w:tcW w:w="917" w:type="dxa"/>
            <w:vMerge w:val="continue"/>
            <w:tcBorders>
              <w:left w:val="single" w:color="000000" w:sz="4" w:space="0"/>
              <w:bottom w:val="single" w:color="000000" w:sz="4" w:space="0"/>
              <w:right w:val="single" w:color="000000" w:sz="4" w:space="0"/>
            </w:tcBorders>
            <w:shd w:val="clear" w:color="auto" w:fill="auto"/>
            <w:noWrap/>
            <w:vAlign w:val="center"/>
          </w:tcPr>
          <w:p w14:paraId="70FCCD6A">
            <w:pPr>
              <w:jc w:val="center"/>
              <w:rPr>
                <w:rFonts w:hint="eastAsia" w:ascii="宋体" w:hAnsi="宋体" w:eastAsia="宋体" w:cs="宋体"/>
                <w:i w:val="0"/>
                <w:iCs w:val="0"/>
                <w:color w:val="000000"/>
                <w:sz w:val="24"/>
                <w:szCs w:val="24"/>
                <w:u w:val="none"/>
              </w:rPr>
            </w:pPr>
          </w:p>
        </w:tc>
      </w:tr>
      <w:tr w14:paraId="1DD8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14C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00AB0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DE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B9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6333.88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4D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FC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0A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16F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450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8F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府南路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20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F2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14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9F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9F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1AB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374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C3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红山东路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84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3F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3821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62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DD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DB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712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6C78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47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F1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75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2068.61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A3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D7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71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1BA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D7F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C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8A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90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4498.47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9F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4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2D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6BF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823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8A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西虹东路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28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3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14784.86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DF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54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2C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741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6B7C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48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0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A1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36629.6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BE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60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74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96C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20B6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D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74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3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8E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6A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D5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0E0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FD9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6A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8C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A6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26209.31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4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19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E0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45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F73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3A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南湖北路北延</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A4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2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13495.7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68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54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B1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B1D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951C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4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凤起街（会展南路至七道湾路）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1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3C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18856.1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B9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24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0A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33A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310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67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龙腾路（准葛尔路至会展中街）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30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D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10603.86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EF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2B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29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F19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E1F9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2D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会展纬二路（凤翔街）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E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7B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5893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A7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AF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7F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019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2377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55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会展纬三路（凤仪街）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30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55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B6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E2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6E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526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250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96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龙鹏路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EE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D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C0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D7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47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DA4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580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1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观园路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43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A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219350.4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3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45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3B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2FE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0DA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A9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水磨沟路（包括虹桥彩门、三角地）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D5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77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8121.52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7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A1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E9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4B9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5082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93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4E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46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78099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DC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63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3A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B21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9D2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8E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13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67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268612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F8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44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ED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E1D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3B2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CE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9A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6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124366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75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0E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94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6E4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76D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4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观景路（大学路）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D8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12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161828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0E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20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58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E13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0A8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A6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书苑路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25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47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73143.48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F9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1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D2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01B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DE6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F9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规划八路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7F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9B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3228.74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A2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3B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E5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82F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842C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DC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景辉路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F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2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B1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D6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27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D0C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905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B5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53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82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37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55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B2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707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D72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BE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E0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3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2548.32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E3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4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D41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AD7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4C9A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E8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南湖南路西二巷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26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A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1378.1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5A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CA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0F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1EB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7492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5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南湖南路西三巷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72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26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1619.28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6A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6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28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B0A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E05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30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天平巷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4E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19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51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29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33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3B3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7AE1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6E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D4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D4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4467.2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8C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4C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7C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B84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B49A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A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红山西路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C6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C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1694.17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DD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D5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87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65F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E58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32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2D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2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09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0A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E9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9D9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AFF0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41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犁铧街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A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B15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431.9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8D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B8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E2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3BA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906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90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新兴北街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E3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05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1293.86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9D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76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80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8A4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2E7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91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新兴南街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5E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E0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F4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31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6C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C62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478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C6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DA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05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61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35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3F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F4C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DD3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97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B7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E0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63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92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46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B0A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080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A7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42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0C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53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AB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9A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53F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2C40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8F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南湖北路与东八家户街相交地四块绿地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D5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C1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2588.78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5E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C1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46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73A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EA1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20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南湖东路南二巷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0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1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681.16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C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82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72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B98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8A6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B4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FA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7D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2961.37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91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D7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31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100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A72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17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21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67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1250.01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B5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DA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80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670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C35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9A4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昆仑路（新医路段）</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2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3B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4144.35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93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5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E7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883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0A8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D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6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67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9143.8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F7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D1E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BD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33D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36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1D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12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42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23F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F3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3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18A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FAE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C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昆仑东街北三巷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DA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804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862.03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F5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48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31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280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83E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56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昆仑东街北四巷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27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0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1177.46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72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E7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4F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FC2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47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E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昆仑东街东延</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22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2A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7809.8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7D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93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E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0F4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601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47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帕米尔街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EA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2C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8613.91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E4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1E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BA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AE2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1D6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804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七道湾南路西测绿地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71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1D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24423.28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01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25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CD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CAA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3C1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42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1F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FF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17509.25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BC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2D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A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4F5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8592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53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七道湾东街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37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4A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10360.6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D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6D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E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E20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A72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37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鸿园南路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2A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59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5644.8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05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67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25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91F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D82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30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法院入口及春景巷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E3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9D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2282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5E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15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357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80C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3C2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0B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九道湾路（八道湾桥至腾汇三路路口）</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CE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64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34787.8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AB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59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B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C792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CC5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D4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腾汇一路（经二路）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51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FE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4390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35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82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81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4A6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59F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22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腾汇二路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AA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EF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1538.67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57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85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B9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473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D2FA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51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腾汇三路（经五路）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C3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9E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95362.63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DD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54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62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ACE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87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62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欣园一街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F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34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5294.59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0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48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A1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E0E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00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82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欣园二街（腾汇三路西二巷）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9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6A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4985.56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B8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60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B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632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E9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6D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欣园一街与欣园二街交汇处（天山明月城西门口路段）</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49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E3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5F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1E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08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30A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6D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B9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振安街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7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A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14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14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4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207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82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04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振安街北六巷（经一路）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14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64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4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AC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32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D78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3E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8F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会展中街（会展大道--七道湾路）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5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EA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5787.67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6A1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04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37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CC83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9F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1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会展南路东一巷（会展纬五路）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8A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D3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2952.61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AE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7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B3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F71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7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693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融飞巷（会展经四路南北路段绿化带）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5D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50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1413.23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AE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ED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E1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13F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93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BB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纬四路（欣园一街交叉口至腾汇一路交叉口）</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CF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C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B2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2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0B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A32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52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D3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规划五路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36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6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7CA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BC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8F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086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1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85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规划九路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F1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E3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50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DB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3A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0CA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E9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98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会展纬十路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65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7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3283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FD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66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9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E5A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0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A4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龙舞街（会展经九东路）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4C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C6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E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24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00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620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0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10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美丰街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B6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B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7F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290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35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5DF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10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8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准格尔路（会展大道--规划十路）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D0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22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4374.5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AD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32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27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7A1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7B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91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克南高架桥下世界公元段绿地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7C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4B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11019.85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25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C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FC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894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C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6F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沿河路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F6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48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2519.89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29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D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B48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052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1F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3D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4D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B1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3483.08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8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50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C8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AF3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46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4D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仁园路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1D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EF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F7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C8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0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D22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A3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8C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仁里路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99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4C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1F6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6B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3F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058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2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D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CD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B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8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E7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E5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937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AF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03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六道湾路立井街交汇处右侧绿化带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EA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C2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6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FE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88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2C1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CD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0F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华祥五巷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51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C7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1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14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F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B21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D1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1C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华祥六巷安居南路东一巷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95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32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0C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27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2D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EB7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D71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36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华祥七巷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D3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F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1012.48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3E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14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A8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050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25E7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红山东路北十六巷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72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9E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2742.05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A5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40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BF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CDF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A5A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C1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红山东路北十七巷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4B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8D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17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D7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27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475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0E3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C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新民西街南一巷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DF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0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A7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DD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D77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5F5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32628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F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新民西街社区门前</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33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AC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99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F8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C0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27FC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DFB9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D7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药材巷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6F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E5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1C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37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3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45B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91E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AA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新兴街东一巷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2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6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09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E4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1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593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40C6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1A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新兴街北一巷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9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4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25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E2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82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0C8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A618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BBC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新兴街北二巷、北三巷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8A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5820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79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4A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9B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1D8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CDDD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35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西虹东路北十三巷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A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7E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FE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7D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8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B5E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FE5E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F7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西虹东路北十四巷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11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C3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6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47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F4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AC6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883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A5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南湖北路西三、四巷、惠民巷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8A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4C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5120.7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50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E3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72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CBE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E498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D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南湖北路友好花园一期西侧废弃铁道两侧林地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2F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3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25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EB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94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BCF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261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4E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河滩路天山景轩小区门口巷道</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B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2D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497.62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31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A3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3B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018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2C4A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6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南湖北路东四巷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0AB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6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598.4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7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C6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0F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27E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FDA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58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南湖北路东五巷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9F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5A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1755.8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2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AA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DB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C31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5550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1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康兴巷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C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C7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1196.6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22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0F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47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EBA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A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B3D0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南湖东路北五巷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8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117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935.22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45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A5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8A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3DA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DD4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970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南湖东路北六巷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2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816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8D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FD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D0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234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A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F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青玉十三巷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3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03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817.8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EA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94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EB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13F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A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D57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长青五巷（六中分校门口路段）</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FC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D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E8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FF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1F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3A2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6A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12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恒翠巷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6F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84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1907.02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61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DB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A9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3D4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F84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BF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南湖西路北一巷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3B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8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7F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A0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AA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64A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7C4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7F7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南湖西路北二巷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11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58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C9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EE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89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6EF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6650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A0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昆仑路北一巷、二巷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47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5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B5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96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8F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890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4E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0B1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安居北路西五巷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EC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6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7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D6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02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064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52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FB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五星北路东二巷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87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65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76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BD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59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917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A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5C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三路车站上彩门路口</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B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B9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B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40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C3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1F7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0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07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2D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7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79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F9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11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A50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6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57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五星北路西二巷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13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D4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E9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040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19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7C2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50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AB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同心路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0F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1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4346.38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3C0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DF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F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3B3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2E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2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五星北路市刑侦队外墙路段绿化带</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43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8A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E3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FD3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13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A88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2B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95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六道湾路东二巷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9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top"/>
          </w:tcPr>
          <w:p w14:paraId="090884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F9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08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0F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12E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30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2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3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C6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DF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17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74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83B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9D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00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56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6D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F2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C0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1F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D0F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9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top"/>
          </w:tcPr>
          <w:p w14:paraId="1FBA3C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七道湾南路西三巷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0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01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A0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CF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2B4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7A9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57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top"/>
          </w:tcPr>
          <w:p w14:paraId="724164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八道湾叉路口巷道</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10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8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6D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04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32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A3F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C7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39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7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90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4693.8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00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90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39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8C3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5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E3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和顺巷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7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0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D7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59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79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CB8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A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6B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龙瑞街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04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E23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54029.81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4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B5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B9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B9D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0C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40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立井街南侧绿地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4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8B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3564.2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24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35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3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FB4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3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A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A8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22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D7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D8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9A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4FC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9D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BD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康明园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7B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AF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A7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4C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AB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A0A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3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4C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东八家户北二巷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3E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8E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09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D8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BA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7F1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57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3B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环卫基地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09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62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32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4C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AE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9AC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BE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7C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红光山路南一巷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24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8B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26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92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B3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66F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3B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3F4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春晖巷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05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6D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76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96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EB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887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3B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B5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龙翔路（龙盛街--苇湖梁一路二标）</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85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932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4143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22E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A0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08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2ED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0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9B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八道湾经一路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32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DE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31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8D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91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EBF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D7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0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观园路高跑团巷道</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9B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9A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86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F8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55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476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6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1D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安平路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0E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66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4205.35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D3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978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9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8D5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9D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6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温泉东路北四巷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1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14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E4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83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7C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7DE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2F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24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温泉东路北一、二、三巷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26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F7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68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E4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DB2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6FA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72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4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高尔夫路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83C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CB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7121.28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5E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D0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89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0E6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B8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1F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6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C5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785.7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5F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B3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46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DF9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14F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1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七纺四路（温泉北路西一巷）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9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EE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71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01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17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94A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C4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A6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温泉东路三角地人行道</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21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7B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590.04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44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6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17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B2B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E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57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沿河路西一巷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2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A4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1664.05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F6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99D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BF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F2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16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CCB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沿河路东一巷（北山大桥）</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29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A0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A6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C1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32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56C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3B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D6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温泉西路北一、二巷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9F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1B5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97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E8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DE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4DB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1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88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温泉西路北五巷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82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74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1116.65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4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5E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E60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62D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61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544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温泉西路南四巷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2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0B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401.5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FC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9B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F6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CBA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08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8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温泉西路南五巷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D1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BC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617.5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767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71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78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B79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689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02D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温泉西路南五巷31中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B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道路二级养护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48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90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7E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F8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06D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8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30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山景巷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DA6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6C2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AB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6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6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B21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51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8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水磨沟硫磺河游园世界公园段</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03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0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15330.44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BC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F8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5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84F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EB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32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华光街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2C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EE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59245.07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4C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A0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4D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A25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26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5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七纺锦绣园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E7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85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E8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FFB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7CE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A83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70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A7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和谐园游园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58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75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51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5F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13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36B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B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96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龙盛街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A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551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49832.12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A9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EC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B2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3E9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A2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F5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帕米尔游园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21A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F8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26412.6</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E6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F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7B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0A2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34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ED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B0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16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3970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AB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7B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41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D3B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D9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65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水区政府大院绿地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64F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DD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2987.67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02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FD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5F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63FE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012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A9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新民东街游园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BF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5C4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4979.23</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F7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9F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6D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51C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1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8E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温泉西路南二巷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68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19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8589</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EE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AF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AF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917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A1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15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美食街南侧游园（南湖东路南二巷长青二队）</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B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E59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7C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F2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D33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5B3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A3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2E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焦煤集团两侧游园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04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DB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3684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7C1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F0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CC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861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BAD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6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一号立井与南湖北路交叉路口</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0B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41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C8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A5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97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D26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43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BB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东八家户水库绿地建设项目</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97D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7B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253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3AA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50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0B4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28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8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北郊客运站路对面游园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33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82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3771.2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9F4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88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CC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9B5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F5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DF5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苇美小区小游园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A2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6A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2440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6D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22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A5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3C6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51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54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温泉东路三角地游园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82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E74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22117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3B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A7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D0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CD8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9C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B2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吉兴巷及游园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E38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A1F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63F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57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D01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AF5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E2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2A4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北山坡游园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BE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76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CD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6C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BB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40F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A3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3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新大地纺校游园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C9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F1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54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7A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C0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F1F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58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5C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香草巷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20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7E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4605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AE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9B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52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75D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34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6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华光街光华园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68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726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1064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D0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E7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D0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66E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15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8D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和顺巷游园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1B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B4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3078.28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4D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37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A54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CAA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9C0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CA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东绕城绿化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E3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B40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119988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DF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AC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61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323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8A2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7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依岚山庄</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21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2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F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07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BB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118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27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F5D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八道湾苗圃基地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64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D88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133334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96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7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D3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557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884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1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水墨嘉苑后山绿化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C8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F7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59994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259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71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0D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AD5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E8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2E6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万科大都会</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top"/>
          </w:tcPr>
          <w:p w14:paraId="1ABCE33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85DE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0E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C2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D4C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608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BB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E7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六道湾路立井街对面游园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281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80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41C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CC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B1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AA0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7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030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东八家户自建房片区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BF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39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D1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47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4A0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82DF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88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1F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成功街自建房片区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47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CE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D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6D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C8B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B9E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4E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F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水塔山自建房片区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5A0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D7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6C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20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36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24D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FB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0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南大湖自建房片区（西虹东路南三巷）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AF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CB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E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B4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C7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4D7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293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9AD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新民社区自建房片区（西虹东路南四巷至南十巷）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5A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2A3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350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1B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AE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84F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D1B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EB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兴惠社区自建房片区（新民东街南三巷）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A3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3B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D45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D45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99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C6A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9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B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新民西街北社区自建房片区（犁铧街西一巷）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2CF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32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55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48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528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FF1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7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79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安居南路自建房片区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68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E7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ADF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CC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44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FA1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1F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CC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安居北路自建房片区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2D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BD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90D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3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F7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267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66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D6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劳动街自建房片区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06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D3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4E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8D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21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1E1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8E6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86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长青四队自建房片区（南湖东路北五、北六巷）</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7A1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10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7D8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E7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85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045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50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F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华凌公寓自建房片区（二附医院周边）</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2E9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2B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D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2E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AA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282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FC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69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王家梁自建房片区（南湖北路东四巷至东五巷里面）</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EF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43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2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EC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A0E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FA0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17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2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百万庄自建房片区（南湖北路）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FC4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49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B4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D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08C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765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7EB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E7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昆仑北社区自建房片区（高级法院后边片区）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104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210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B8C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0C9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719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912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B1F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54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红山路北六、北七、北八巷、军民巷树穴面积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EEC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95E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DA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86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D4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404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35A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6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七道湾南路苇湖庄东侧自建房</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2E4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DE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7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2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60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3D3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D63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CF1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七道湾南路苇湖庄西侧自建房</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94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D1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9B8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EBB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5A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D58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C58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81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苇湖梁派出所巷道自建房</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5E8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游园三级养护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DF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F5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70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5F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E5E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CD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7E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会展南路东一巷北侧平台</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9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36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31468.2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72F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B53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22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551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F5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79A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恒大绿洲三期中间绿地</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E6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C5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1D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8E1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3E9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4D3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3A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0DB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七纺二街边坡绿化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994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245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11469.45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44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01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3D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0CE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61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49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景辉路边坡绿化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94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04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4128.54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CD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B4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F1F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465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FED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EDD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静园路边坡绿化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D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C5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3812.68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5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C5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AA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7BC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29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20A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泽泰雅居边坡绿化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076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9A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4647.75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5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C2A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DA9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0EC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C33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82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榆盛巷道路绿化及边坡绿化</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72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F1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5486.5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DA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878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61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2B7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4FB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C6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清新路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B05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7CC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CE7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676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A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2D5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E17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40E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清新路游园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ED1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3F2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B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9F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B2F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655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8CA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78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书苑路北段</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456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BB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3619.62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82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E6E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B1D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5D03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8E8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A9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筑牢中华民族共同体意识主题游园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49A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AE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12938.97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74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13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BD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72A9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15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253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丽景丰华园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0D2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7E1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033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519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C29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64E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AA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465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东街游园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DF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10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76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95F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33A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F18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C90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D3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华祥幸福园</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91B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游园一级养护</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206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343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495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AA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C22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02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8FB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华光街东延——七纺二路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09C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60E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4584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6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4C4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F1B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29A0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A65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FF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苇电南路——七坊六路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D08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2B6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3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B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F3F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E38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792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C88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七纺七路——华光街东延</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EAD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583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C0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90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B7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B19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7A1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FBE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春涌路现状道路——龙腾路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F79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C3C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E2B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E8D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82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DAA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47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1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立井街——龙盛街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E2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A2F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172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DD2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A59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0794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FB4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01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秋实路——彩霞路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2EC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78F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B79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93C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EA7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1D6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22C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286">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梅兰街——华强街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107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B3F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C20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C01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5D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6866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5B8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0E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红光山路——创业路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201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57E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4F7B">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027F">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2A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4AF3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2A1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F3B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振安街精细化一期（创业路南南六巷、南四巷、南三巷、八道湾路、春景街）</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A84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95E8">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8D5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6A9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E2C">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1598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5F6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C422">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工业园纬七路</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1051">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道路一级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3D7">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0284">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45EE">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8E8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14:paraId="3754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95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82B953">
            <w:pPr>
              <w:keepNext w:val="0"/>
              <w:keepLines w:val="0"/>
              <w:widowControl/>
              <w:suppressLineNumbers w:val="0"/>
              <w:jc w:val="both"/>
              <w:textAlignment w:val="bottom"/>
              <w:rPr>
                <w:rFonts w:hint="eastAsia" w:asciiTheme="minorEastAsia" w:hAnsiTheme="minorEastAsia" w:cstheme="minorEastAsia"/>
                <w:b/>
                <w:bCs/>
                <w:color w:val="000000"/>
                <w:kern w:val="0"/>
                <w:sz w:val="24"/>
                <w:szCs w:val="24"/>
                <w:lang w:eastAsia="zh-CN" w:bidi="ar"/>
              </w:rPr>
            </w:pPr>
            <w:r>
              <w:rPr>
                <w:rFonts w:hint="eastAsia" w:asciiTheme="minorEastAsia" w:hAnsiTheme="minorEastAsia" w:eastAsiaTheme="minorEastAsia" w:cstheme="minorEastAsia"/>
                <w:b/>
                <w:bCs/>
                <w:color w:val="000000"/>
                <w:kern w:val="0"/>
                <w:sz w:val="24"/>
                <w:szCs w:val="24"/>
                <w:lang w:bidi="ar"/>
              </w:rPr>
              <w:t>投标</w:t>
            </w:r>
            <w:r>
              <w:rPr>
                <w:rFonts w:hint="eastAsia" w:asciiTheme="minorEastAsia" w:hAnsiTheme="minorEastAsia" w:eastAsiaTheme="minorEastAsia" w:cstheme="minorEastAsia"/>
                <w:b/>
                <w:bCs/>
                <w:color w:val="000000"/>
                <w:kern w:val="0"/>
                <w:sz w:val="24"/>
                <w:szCs w:val="24"/>
                <w:lang w:eastAsia="zh-CN" w:bidi="ar"/>
              </w:rPr>
              <w:t>总</w:t>
            </w:r>
            <w:r>
              <w:rPr>
                <w:rFonts w:hint="eastAsia" w:asciiTheme="minorEastAsia" w:hAnsiTheme="minorEastAsia" w:eastAsiaTheme="minorEastAsia" w:cstheme="minorEastAsia"/>
                <w:b/>
                <w:bCs/>
                <w:color w:val="000000"/>
                <w:kern w:val="0"/>
                <w:sz w:val="24"/>
                <w:szCs w:val="24"/>
                <w:lang w:bidi="ar"/>
              </w:rPr>
              <w:t>价（元）</w:t>
            </w:r>
            <w:r>
              <w:rPr>
                <w:rFonts w:hint="eastAsia" w:asciiTheme="minorEastAsia" w:hAnsiTheme="minorEastAsia" w:cstheme="minorEastAsia"/>
                <w:b/>
                <w:bCs/>
                <w:color w:val="000000"/>
                <w:kern w:val="0"/>
                <w:sz w:val="24"/>
                <w:szCs w:val="24"/>
                <w:lang w:eastAsia="zh-CN" w:bidi="ar"/>
              </w:rPr>
              <w:t>：大写：</w:t>
            </w:r>
          </w:p>
          <w:p w14:paraId="0E726C4F">
            <w:pPr>
              <w:keepNext w:val="0"/>
              <w:keepLines w:val="0"/>
              <w:widowControl/>
              <w:suppressLineNumbers w:val="0"/>
              <w:ind w:firstLine="1928" w:firstLineChars="800"/>
              <w:jc w:val="both"/>
              <w:textAlignment w:val="bottom"/>
              <w:rPr>
                <w:rFonts w:hint="eastAsia" w:asciiTheme="minorEastAsia" w:hAnsiTheme="minorEastAsia" w:cstheme="minorEastAsia"/>
                <w:b/>
                <w:bCs/>
                <w:color w:val="000000"/>
                <w:kern w:val="0"/>
                <w:sz w:val="24"/>
                <w:szCs w:val="24"/>
                <w:lang w:val="en-US" w:eastAsia="zh-CN" w:bidi="ar"/>
              </w:rPr>
            </w:pPr>
            <w:r>
              <w:rPr>
                <w:rFonts w:hint="eastAsia" w:asciiTheme="minorEastAsia" w:hAnsiTheme="minorEastAsia" w:cstheme="minorEastAsia"/>
                <w:b/>
                <w:bCs/>
                <w:color w:val="000000"/>
                <w:kern w:val="0"/>
                <w:sz w:val="24"/>
                <w:szCs w:val="24"/>
                <w:lang w:eastAsia="zh-CN" w:bidi="ar"/>
              </w:rPr>
              <w:t>小写：</w:t>
            </w:r>
          </w:p>
        </w:tc>
      </w:tr>
    </w:tbl>
    <w:p w14:paraId="4F20224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本表格式不得更改，供应商只能按要求填报，否则将被视为无效响应。</w:t>
      </w:r>
    </w:p>
    <w:p w14:paraId="12CBE240">
      <w:pPr>
        <w:pStyle w:val="14"/>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2.本项目单价报价时不得超过最高限制单价，否则将被视为无效响应。</w:t>
      </w:r>
    </w:p>
    <w:p w14:paraId="16C5BC33">
      <w:pPr>
        <w:pStyle w:val="14"/>
        <w:rPr>
          <w:rFonts w:hint="default"/>
          <w:lang w:val="en-US" w:eastAsia="zh-CN"/>
        </w:rPr>
      </w:pPr>
    </w:p>
    <w:p w14:paraId="5EFEFD7E">
      <w:pPr>
        <w:pStyle w:val="14"/>
        <w:rPr>
          <w:rFonts w:hint="eastAsia"/>
          <w:lang w:eastAsia="zh-CN"/>
        </w:rPr>
      </w:pPr>
    </w:p>
    <w:p w14:paraId="20BB8E9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投标人名称（加盖公章）：____________ </w:t>
      </w:r>
    </w:p>
    <w:p w14:paraId="791BD54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w:t>
      </w:r>
    </w:p>
    <w:p w14:paraId="509FED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 采购需求偏离表（实质性格式） </w:t>
      </w:r>
    </w:p>
    <w:p w14:paraId="0D8932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采购需求偏离表</w:t>
      </w:r>
    </w:p>
    <w:p w14:paraId="4FE222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18"/>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14:paraId="7C17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C0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B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75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536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BADC">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6CF">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F949">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01AB">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A85">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B9B">
            <w:pPr>
              <w:rPr>
                <w:rFonts w:hint="eastAsia" w:ascii="宋体" w:hAnsi="宋体" w:eastAsia="宋体" w:cs="宋体"/>
                <w:i w:val="0"/>
                <w:iCs w:val="0"/>
                <w:color w:val="000000"/>
                <w:sz w:val="22"/>
                <w:szCs w:val="22"/>
                <w:u w:val="none"/>
              </w:rPr>
            </w:pPr>
          </w:p>
        </w:tc>
      </w:tr>
      <w:tr w14:paraId="4E8D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F31D">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0B4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65FE">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87A0">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B50E">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AFC2">
            <w:pPr>
              <w:rPr>
                <w:rFonts w:hint="eastAsia" w:ascii="宋体" w:hAnsi="宋体" w:eastAsia="宋体" w:cs="宋体"/>
                <w:i w:val="0"/>
                <w:iCs w:val="0"/>
                <w:color w:val="000000"/>
                <w:sz w:val="22"/>
                <w:szCs w:val="22"/>
                <w:u w:val="none"/>
              </w:rPr>
            </w:pPr>
          </w:p>
        </w:tc>
      </w:tr>
      <w:tr w14:paraId="011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3D9">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352">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51B4">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F606">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909D">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6556">
            <w:pPr>
              <w:rPr>
                <w:rFonts w:hint="eastAsia" w:ascii="宋体" w:hAnsi="宋体" w:eastAsia="宋体" w:cs="宋体"/>
                <w:i w:val="0"/>
                <w:iCs w:val="0"/>
                <w:color w:val="000000"/>
                <w:sz w:val="22"/>
                <w:szCs w:val="22"/>
                <w:u w:val="none"/>
              </w:rPr>
            </w:pPr>
          </w:p>
        </w:tc>
      </w:tr>
      <w:tr w14:paraId="3583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9C3">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AB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C62A">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DF8">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1993">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D061">
            <w:pPr>
              <w:rPr>
                <w:rFonts w:hint="eastAsia" w:ascii="宋体" w:hAnsi="宋体" w:eastAsia="宋体" w:cs="宋体"/>
                <w:i w:val="0"/>
                <w:iCs w:val="0"/>
                <w:color w:val="000000"/>
                <w:sz w:val="22"/>
                <w:szCs w:val="22"/>
                <w:u w:val="none"/>
              </w:rPr>
            </w:pPr>
          </w:p>
        </w:tc>
      </w:tr>
      <w:tr w14:paraId="1D22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DD1">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8297">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B01B">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E2A6">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101F">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0D0">
            <w:pPr>
              <w:rPr>
                <w:rFonts w:hint="eastAsia" w:ascii="宋体" w:hAnsi="宋体" w:eastAsia="宋体" w:cs="宋体"/>
                <w:i w:val="0"/>
                <w:iCs w:val="0"/>
                <w:color w:val="000000"/>
                <w:sz w:val="22"/>
                <w:szCs w:val="22"/>
                <w:u w:val="none"/>
              </w:rPr>
            </w:pPr>
          </w:p>
        </w:tc>
      </w:tr>
      <w:tr w14:paraId="5421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4C77">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B8E8">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4E67">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382">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83A3">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A4D">
            <w:pPr>
              <w:rPr>
                <w:rFonts w:hint="eastAsia" w:ascii="宋体" w:hAnsi="宋体" w:eastAsia="宋体" w:cs="宋体"/>
                <w:i w:val="0"/>
                <w:iCs w:val="0"/>
                <w:color w:val="000000"/>
                <w:sz w:val="22"/>
                <w:szCs w:val="22"/>
                <w:u w:val="none"/>
              </w:rPr>
            </w:pPr>
          </w:p>
        </w:tc>
      </w:tr>
    </w:tbl>
    <w:p w14:paraId="3EE6AE0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BC64A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 </w:t>
      </w:r>
    </w:p>
    <w:p w14:paraId="6140DCF9">
      <w:pPr>
        <w:keepNext w:val="0"/>
        <w:keepLines w:val="0"/>
        <w:pageBreakBefore w:val="0"/>
        <w:widowControl w:val="0"/>
        <w:numPr>
          <w:ilvl w:val="0"/>
          <w:numId w:val="18"/>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对招标文件中的所有商务、技术要求，除本表所列明的所有偏离外，均视作供应商已对之理解和响应。此表中若无任何文字说明，内容为空白的，</w:t>
      </w:r>
      <w:r>
        <w:rPr>
          <w:rFonts w:ascii="宋体" w:hAnsi="宋体" w:eastAsia="宋体" w:cs="宋体"/>
          <w:b/>
          <w:bCs/>
          <w:sz w:val="24"/>
          <w:szCs w:val="24"/>
        </w:rPr>
        <w:t>投标无效</w:t>
      </w:r>
      <w:r>
        <w:rPr>
          <w:rFonts w:ascii="宋体" w:hAnsi="宋体" w:eastAsia="宋体" w:cs="宋体"/>
          <w:sz w:val="24"/>
          <w:szCs w:val="24"/>
        </w:rPr>
        <w:t>。 2.偏离情况଀列应据实填写</w:t>
      </w:r>
      <w:r>
        <w:rPr>
          <w:rFonts w:hint="eastAsia" w:ascii="宋体" w:hAnsi="宋体" w:eastAsia="宋体" w:cs="宋体"/>
          <w:sz w:val="24"/>
          <w:szCs w:val="24"/>
          <w:lang w:eastAsia="zh-CN"/>
        </w:rPr>
        <w:t>“</w:t>
      </w:r>
      <w:r>
        <w:rPr>
          <w:rFonts w:ascii="宋体" w:hAnsi="宋体" w:eastAsia="宋体" w:cs="宋体"/>
          <w:sz w:val="24"/>
          <w:szCs w:val="24"/>
        </w:rPr>
        <w:t>无偏离</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正偏离</w:t>
      </w:r>
      <w:r>
        <w:rPr>
          <w:rFonts w:hint="eastAsia" w:ascii="宋体" w:hAnsi="宋体" w:eastAsia="宋体" w:cs="宋体"/>
          <w:sz w:val="24"/>
          <w:szCs w:val="24"/>
          <w:lang w:eastAsia="zh-CN"/>
        </w:rPr>
        <w:t>”</w:t>
      </w:r>
      <w:r>
        <w:rPr>
          <w:rFonts w:ascii="宋体" w:hAnsi="宋体" w:eastAsia="宋体" w:cs="宋体"/>
          <w:sz w:val="24"/>
          <w:szCs w:val="24"/>
        </w:rPr>
        <w:t>或</w:t>
      </w:r>
      <w:r>
        <w:rPr>
          <w:rFonts w:hint="eastAsia" w:ascii="宋体" w:hAnsi="宋体" w:eastAsia="宋体" w:cs="宋体"/>
          <w:sz w:val="24"/>
          <w:szCs w:val="24"/>
          <w:lang w:eastAsia="zh-CN"/>
        </w:rPr>
        <w:t>“</w:t>
      </w:r>
      <w:r>
        <w:rPr>
          <w:rFonts w:ascii="宋体" w:hAnsi="宋体" w:eastAsia="宋体" w:cs="宋体"/>
          <w:sz w:val="24"/>
          <w:szCs w:val="24"/>
        </w:rPr>
        <w:t>负偏离</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62858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39F1C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0A94C8F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7DE2D6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中小企业证明文件 </w:t>
      </w:r>
    </w:p>
    <w:p w14:paraId="48C4BCD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0447E85F">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7553A50C">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37FC073A">
      <w:pPr>
        <w:keepNext w:val="0"/>
        <w:keepLines w:val="0"/>
        <w:pageBreakBefore w:val="0"/>
        <w:widowControl w:val="0"/>
        <w:numPr>
          <w:ilvl w:val="0"/>
          <w:numId w:val="19"/>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r>
        <w:rPr>
          <w:rFonts w:hint="eastAsia" w:ascii="宋体" w:hAnsi="宋体" w:eastAsia="宋体" w:cs="宋体"/>
          <w:sz w:val="24"/>
          <w:szCs w:val="24"/>
          <w:lang w:val="en-US" w:eastAsia="zh-CN"/>
        </w:rPr>
        <w:t xml:space="preserve"> </w:t>
      </w:r>
    </w:p>
    <w:p w14:paraId="4F33D4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8A262A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中小企业声明函（工程、服务）格式 </w:t>
      </w:r>
    </w:p>
    <w:p w14:paraId="3F411E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42A9AF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 （财库﹝2020﹞46号）的规定，本公司（联合体）参加</w:t>
      </w:r>
      <w:r>
        <w:rPr>
          <w:rFonts w:ascii="宋体" w:hAnsi="宋体" w:eastAsia="宋体" w:cs="宋体"/>
          <w:i/>
          <w:iCs/>
          <w:sz w:val="24"/>
          <w:szCs w:val="24"/>
          <w:u w:val="single"/>
        </w:rPr>
        <w:t>（单位名称）</w:t>
      </w:r>
      <w:r>
        <w:rPr>
          <w:rFonts w:ascii="宋体" w:hAnsi="宋体" w:eastAsia="宋体" w:cs="宋体"/>
          <w:sz w:val="24"/>
          <w:szCs w:val="24"/>
        </w:rPr>
        <w:t>的</w:t>
      </w:r>
      <w:r>
        <w:rPr>
          <w:rFonts w:ascii="宋体" w:hAnsi="宋体" w:eastAsia="宋体" w:cs="宋体"/>
          <w:i/>
          <w:iCs/>
          <w:sz w:val="24"/>
          <w:szCs w:val="24"/>
          <w:u w:val="single"/>
        </w:rPr>
        <w:t>（项目名称）</w:t>
      </w:r>
      <w:r>
        <w:rPr>
          <w:rFonts w:ascii="宋体" w:hAnsi="宋体" w:eastAsia="宋体" w:cs="宋体"/>
          <w:sz w:val="24"/>
          <w:szCs w:val="24"/>
        </w:rPr>
        <w:t xml:space="preserve">采购活动，工程的施工单位全部为符合政策要求的中小企业（或者：服务 全部由符合政策要求的中小企业承接）。相关企业（含联合体中的中小企业、签 订分包意向协议的中小企业）的具体情况如下： </w:t>
      </w:r>
    </w:p>
    <w:p w14:paraId="78BDAFB5">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；承建（承接）企业 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716DC08A">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；承建（承接）企业 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142237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 </w:t>
      </w:r>
    </w:p>
    <w:p w14:paraId="2D98001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 也不存在与大企业的负责人为同一人的情形。 </w:t>
      </w:r>
    </w:p>
    <w:p w14:paraId="0A4B74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395328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5C98D9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ascii="宋体" w:hAnsi="宋体" w:eastAsia="宋体" w:cs="宋体"/>
          <w:sz w:val="24"/>
          <w:szCs w:val="24"/>
        </w:rPr>
      </w:pPr>
      <w:r>
        <w:rPr>
          <w:rFonts w:ascii="宋体" w:hAnsi="宋体" w:eastAsia="宋体" w:cs="宋体"/>
          <w:sz w:val="24"/>
          <w:szCs w:val="24"/>
        </w:rPr>
        <w:t xml:space="preserve">企业名称（盖章）：________ </w:t>
      </w:r>
    </w:p>
    <w:p w14:paraId="447ABE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ascii="宋体" w:hAnsi="宋体" w:eastAsia="宋体" w:cs="宋体"/>
          <w:sz w:val="24"/>
          <w:szCs w:val="24"/>
        </w:rPr>
      </w:pPr>
      <w:r>
        <w:rPr>
          <w:rFonts w:ascii="宋体" w:hAnsi="宋体" w:eastAsia="宋体" w:cs="宋体"/>
          <w:sz w:val="24"/>
          <w:szCs w:val="24"/>
        </w:rPr>
        <w:t xml:space="preserve">日 期：________ </w:t>
      </w:r>
    </w:p>
    <w:p w14:paraId="1F999B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pPr>
    </w:p>
    <w:p w14:paraId="4D62675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483A7C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残疾人福利性单位声明函格式 </w:t>
      </w:r>
    </w:p>
    <w:p w14:paraId="49C300F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651E6B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z w:val="24"/>
          <w:szCs w:val="24"/>
          <w:lang w:val="en-US" w:eastAsia="zh-CN"/>
        </w:rPr>
        <w:t xml:space="preserve"> </w:t>
      </w:r>
      <w:r>
        <w:rPr>
          <w:rFonts w:ascii="宋体" w:hAnsi="宋体" w:eastAsia="宋体" w:cs="宋体"/>
          <w:sz w:val="24"/>
          <w:szCs w:val="24"/>
        </w:rPr>
        <w:t>号）的规定，本单位</w:t>
      </w:r>
      <w:r>
        <w:rPr>
          <w:rFonts w:ascii="宋体" w:hAnsi="宋体" w:eastAsia="宋体" w:cs="宋体"/>
          <w:b/>
          <w:bCs/>
          <w:sz w:val="24"/>
          <w:szCs w:val="24"/>
        </w:rPr>
        <w:t>（请进行选择）</w:t>
      </w:r>
      <w:r>
        <w:rPr>
          <w:rFonts w:ascii="宋体" w:hAnsi="宋体" w:eastAsia="宋体" w:cs="宋体"/>
          <w:sz w:val="24"/>
          <w:szCs w:val="24"/>
        </w:rPr>
        <w:t xml:space="preserve">： </w:t>
      </w:r>
    </w:p>
    <w:p w14:paraId="3D3CA4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326F7C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2DAF55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本单位对上述声明的真实性负责。如有虚假，将依法承担相应责任。</w:t>
      </w:r>
      <w:r>
        <w:rPr>
          <w:rFonts w:ascii="宋体" w:hAnsi="宋体" w:eastAsia="宋体" w:cs="宋体"/>
          <w:sz w:val="24"/>
          <w:szCs w:val="24"/>
        </w:rPr>
        <w:t xml:space="preserve"> </w:t>
      </w:r>
    </w:p>
    <w:p w14:paraId="6283603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37FB0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sz w:val="24"/>
          <w:szCs w:val="24"/>
        </w:rPr>
        <w:t>单位名称（盖章）：</w:t>
      </w:r>
    </w:p>
    <w:p w14:paraId="3E4BA3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7BAFDE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w:t>
      </w:r>
      <w:r>
        <w:rPr>
          <w:rFonts w:ascii="宋体" w:hAnsi="宋体" w:eastAsia="宋体" w:cs="宋体"/>
          <w:sz w:val="24"/>
          <w:szCs w:val="24"/>
        </w:rPr>
        <w:t>招标文件要求</w:t>
      </w:r>
      <w:r>
        <w:rPr>
          <w:rFonts w:hint="eastAsia" w:ascii="宋体" w:hAnsi="宋体" w:eastAsia="宋体" w:cs="宋体"/>
          <w:sz w:val="24"/>
          <w:szCs w:val="24"/>
          <w:lang w:val="en-US" w:eastAsia="zh-CN"/>
        </w:rPr>
        <w:t>提供</w:t>
      </w:r>
      <w:r>
        <w:rPr>
          <w:rFonts w:ascii="宋体" w:hAnsi="宋体" w:eastAsia="宋体" w:cs="宋体"/>
          <w:sz w:val="24"/>
          <w:szCs w:val="24"/>
        </w:rPr>
        <w:t>或投标人认为应附的其他材料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linga">
    <w:panose1 w:val="020B0502040204020203"/>
    <w:charset w:val="00"/>
    <w:family w:val="auto"/>
    <w:pitch w:val="default"/>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9C2B">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84B7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F84B7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D51">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C25A7">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0C25A7">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2772">
    <w:pPr>
      <w:spacing w:line="174" w:lineRule="auto"/>
      <w:ind w:left="442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3EB1F">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2B3EB1F">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4C4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0B416">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40B416">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68F5F">
    <w:pPr>
      <w:spacing w:line="174" w:lineRule="auto"/>
      <w:ind w:left="448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8F32A">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88F32A">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6592">
    <w:pPr>
      <w:spacing w:line="174" w:lineRule="auto"/>
      <w:ind w:left="724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9C184">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F9C184">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4A3F">
    <w:pPr>
      <w:spacing w:line="173" w:lineRule="auto"/>
      <w:ind w:left="7694"/>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FDD1">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2FDD1">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0F82">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6C991">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B6C991">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F79A">
    <w:pPr>
      <w:rPr>
        <w:sz w:val="18"/>
        <w:szCs w:val="18"/>
      </w:rPr>
    </w:pPr>
    <w:r>
      <w:rPr>
        <w:rFonts w:hint="eastAsia"/>
        <w:sz w:val="18"/>
        <w:szCs w:val="18"/>
      </w:rPr>
      <w:t xml:space="preserve"> </w:t>
    </w:r>
  </w:p>
  <w:p w14:paraId="011BD5D6">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2E3173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quaUDYAAAACgEAAA8AAAAAAAAAAQAgAAAAIgAAAGRycy9kb3ducmV2LnhtbFBLAQIU&#10;ABQAAAAIAIdO4kCSbFP2ugEAAHIDAAAOAAAAAAAAAAEAIAAAACcBAABkcnMvZTJvRG9jLnhtbFBL&#10;BQYAAAAABgAGAFkBAABTBQAAAAA=&#10;">
              <v:fill on="f" focussize="0,0"/>
              <v:stroke on="f"/>
              <v:imagedata o:title=""/>
              <o:lock v:ext="edit" aspectratio="f"/>
              <v:textbox inset="0mm,0mm,0mm,0mm">
                <w:txbxContent>
                  <w:p w14:paraId="62E3173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044B"/>
    <w:multiLevelType w:val="multilevel"/>
    <w:tmpl w:val="891F0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C7BF392"/>
    <w:multiLevelType w:val="singleLevel"/>
    <w:tmpl w:val="8C7BF392"/>
    <w:lvl w:ilvl="0" w:tentative="0">
      <w:start w:val="1"/>
      <w:numFmt w:val="decimal"/>
      <w:lvlText w:val="%1."/>
      <w:lvlJc w:val="left"/>
      <w:pPr>
        <w:tabs>
          <w:tab w:val="left" w:pos="312"/>
        </w:tabs>
      </w:pPr>
    </w:lvl>
  </w:abstractNum>
  <w:abstractNum w:abstractNumId="2">
    <w:nsid w:val="8D7276B3"/>
    <w:multiLevelType w:val="singleLevel"/>
    <w:tmpl w:val="8D7276B3"/>
    <w:lvl w:ilvl="0" w:tentative="0">
      <w:start w:val="1"/>
      <w:numFmt w:val="decimal"/>
      <w:suff w:val="nothing"/>
      <w:lvlText w:val="（%1）"/>
      <w:lvlJc w:val="left"/>
    </w:lvl>
  </w:abstractNum>
  <w:abstractNum w:abstractNumId="3">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A701A080"/>
    <w:multiLevelType w:val="singleLevel"/>
    <w:tmpl w:val="A701A080"/>
    <w:lvl w:ilvl="0" w:tentative="0">
      <w:start w:val="1"/>
      <w:numFmt w:val="decimal"/>
      <w:suff w:val="nothing"/>
      <w:lvlText w:val="%1、"/>
      <w:lvlJc w:val="left"/>
    </w:lvl>
  </w:abstractNum>
  <w:abstractNum w:abstractNumId="5">
    <w:nsid w:val="B1016518"/>
    <w:multiLevelType w:val="multilevel"/>
    <w:tmpl w:val="B1016518"/>
    <w:lvl w:ilvl="0" w:tentative="0">
      <w:start w:val="1"/>
      <w:numFmt w:val="chineseCounting"/>
      <w:suff w:val="nothing"/>
      <w:lvlText w:val="%1、"/>
      <w:lvlJc w:val="left"/>
      <w:pPr>
        <w:ind w:left="0" w:firstLine="0"/>
      </w:pPr>
      <w:rPr>
        <w:rFonts w:hint="eastAsia" w:ascii="宋体" w:eastAsia="宋体"/>
        <w:b/>
        <w:i w:val="0"/>
      </w:rPr>
    </w:lvl>
    <w:lvl w:ilvl="1" w:tentative="0">
      <w:start w:val="1"/>
      <w:numFmt w:val="chineseCounting"/>
      <w:pStyle w:val="3"/>
      <w:suff w:val="nothing"/>
      <w:lvlText w:val="（%2）"/>
      <w:lvlJc w:val="left"/>
      <w:pPr>
        <w:tabs>
          <w:tab w:val="left" w:pos="0"/>
        </w:tabs>
        <w:ind w:left="0" w:firstLine="0"/>
      </w:pPr>
      <w:rPr>
        <w:rFonts w:hint="eastAsia" w:ascii="宋体" w:eastAsia="宋体"/>
        <w:b/>
        <w:i w:val="0"/>
        <w:szCs w:val="28"/>
      </w:rPr>
    </w:lvl>
    <w:lvl w:ilvl="2" w:tentative="0">
      <w:start w:val="1"/>
      <w:numFmt w:val="decimal"/>
      <w:pStyle w:val="4"/>
      <w:isLgl/>
      <w:suff w:val="nothing"/>
      <w:lvlText w:val="%3 "/>
      <w:lvlJc w:val="left"/>
      <w:pPr>
        <w:tabs>
          <w:tab w:val="left" w:pos="0"/>
        </w:tabs>
        <w:ind w:left="142" w:firstLine="0"/>
      </w:pPr>
      <w:rPr>
        <w:rFonts w:hint="eastAsia" w:ascii="宋体" w:eastAsia="宋体"/>
        <w:b/>
        <w:i w:val="0"/>
      </w:rPr>
    </w:lvl>
    <w:lvl w:ilvl="3" w:tentative="0">
      <w:start w:val="1"/>
      <w:numFmt w:val="decimal"/>
      <w:isLgl/>
      <w:suff w:val="nothing"/>
      <w:lvlText w:val="%3.%4"/>
      <w:lvlJc w:val="left"/>
      <w:pPr>
        <w:tabs>
          <w:tab w:val="left" w:pos="0"/>
        </w:tabs>
        <w:ind w:left="426" w:firstLine="0"/>
      </w:pPr>
      <w:rPr>
        <w:rFonts w:hint="eastAsia" w:ascii="宋体" w:hAnsi="宋体" w:eastAsia="宋体" w:cs="宋体"/>
        <w:b/>
        <w:i w:val="0"/>
      </w:rPr>
    </w:lvl>
    <w:lvl w:ilvl="4" w:tentative="0">
      <w:start w:val="1"/>
      <w:numFmt w:val="decimal"/>
      <w:isLgl/>
      <w:suff w:val="nothing"/>
      <w:lvlText w:val="%3.%4.%5 "/>
      <w:lvlJc w:val="left"/>
      <w:pPr>
        <w:tabs>
          <w:tab w:val="left" w:pos="0"/>
        </w:tabs>
        <w:ind w:left="0" w:firstLine="0"/>
      </w:pPr>
      <w:rPr>
        <w:rFonts w:hint="eastAsia" w:ascii="宋体" w:eastAsia="宋体"/>
        <w:b/>
        <w:i w:val="0"/>
      </w:rPr>
    </w:lvl>
    <w:lvl w:ilvl="5" w:tentative="0">
      <w:start w:val="1"/>
      <w:numFmt w:val="decimal"/>
      <w:isLgl/>
      <w:suff w:val="nothing"/>
      <w:lvlText w:val="%3.%4.%5.%6 "/>
      <w:lvlJc w:val="left"/>
      <w:pPr>
        <w:ind w:left="568" w:firstLine="0"/>
      </w:pPr>
      <w:rPr>
        <w:rFonts w:hint="eastAsia" w:ascii="宋体" w:eastAsia="宋体"/>
        <w:b/>
        <w:i w:val="0"/>
        <w:color w:val="auto"/>
      </w:rPr>
    </w:lvl>
    <w:lvl w:ilvl="6" w:tentative="0">
      <w:start w:val="1"/>
      <w:numFmt w:val="decimal"/>
      <w:isLgl/>
      <w:suff w:val="nothing"/>
      <w:lvlText w:val="%3.%4.%5.%6.%7 "/>
      <w:lvlJc w:val="left"/>
      <w:pPr>
        <w:ind w:left="710" w:firstLine="0"/>
      </w:pPr>
      <w:rPr>
        <w:rFonts w:hint="eastAsia" w:ascii="宋体" w:eastAsia="宋体"/>
        <w:b/>
        <w:i w:val="0"/>
        <w:color w:val="auto"/>
      </w:rPr>
    </w:lvl>
    <w:lvl w:ilvl="7" w:tentative="0">
      <w:start w:val="1"/>
      <w:numFmt w:val="decimal"/>
      <w:isLgl/>
      <w:suff w:val="nothing"/>
      <w:lvlText w:val="%3.%4.%5.%6.%7.%8 "/>
      <w:lvlJc w:val="left"/>
      <w:pPr>
        <w:ind w:left="0" w:firstLine="0"/>
      </w:pPr>
      <w:rPr>
        <w:rFonts w:hint="eastAsia" w:ascii="宋体" w:eastAsia="宋体"/>
        <w:b/>
        <w:i w:val="0"/>
        <w:color w:val="auto"/>
      </w:rPr>
    </w:lvl>
    <w:lvl w:ilvl="8" w:tentative="0">
      <w:start w:val="1"/>
      <w:numFmt w:val="decimal"/>
      <w:isLgl/>
      <w:suff w:val="nothing"/>
      <w:lvlText w:val="%3.%4.%5.%6.%7.%8.%9 "/>
      <w:lvlJc w:val="left"/>
      <w:pPr>
        <w:ind w:left="0" w:firstLine="0"/>
      </w:pPr>
      <w:rPr>
        <w:rFonts w:hint="eastAsia" w:ascii="宋体" w:eastAsia="宋体"/>
        <w:b/>
        <w:i w:val="0"/>
      </w:rPr>
    </w:lvl>
  </w:abstractNum>
  <w:abstractNum w:abstractNumId="6">
    <w:nsid w:val="B5F014B0"/>
    <w:multiLevelType w:val="singleLevel"/>
    <w:tmpl w:val="B5F014B0"/>
    <w:lvl w:ilvl="0" w:tentative="0">
      <w:start w:val="1"/>
      <w:numFmt w:val="decimal"/>
      <w:lvlText w:val="%1."/>
      <w:lvlJc w:val="left"/>
      <w:pPr>
        <w:tabs>
          <w:tab w:val="left" w:pos="312"/>
        </w:tabs>
      </w:pPr>
    </w:lvl>
  </w:abstractNum>
  <w:abstractNum w:abstractNumId="7">
    <w:nsid w:val="BF00B5FD"/>
    <w:multiLevelType w:val="singleLevel"/>
    <w:tmpl w:val="BF00B5FD"/>
    <w:lvl w:ilvl="0" w:tentative="0">
      <w:start w:val="1"/>
      <w:numFmt w:val="decimal"/>
      <w:suff w:val="nothing"/>
      <w:lvlText w:val="%1）"/>
      <w:lvlJc w:val="left"/>
    </w:lvl>
  </w:abstractNum>
  <w:abstractNum w:abstractNumId="8">
    <w:nsid w:val="F706F876"/>
    <w:multiLevelType w:val="singleLevel"/>
    <w:tmpl w:val="F706F876"/>
    <w:lvl w:ilvl="0" w:tentative="0">
      <w:start w:val="1"/>
      <w:numFmt w:val="chineseCounting"/>
      <w:suff w:val="nothing"/>
      <w:lvlText w:val="（%1）"/>
      <w:lvlJc w:val="left"/>
      <w:rPr>
        <w:rFonts w:hint="eastAsia"/>
      </w:rPr>
    </w:lvl>
  </w:abstractNum>
  <w:abstractNum w:abstractNumId="9">
    <w:nsid w:val="F892840F"/>
    <w:multiLevelType w:val="singleLevel"/>
    <w:tmpl w:val="F892840F"/>
    <w:lvl w:ilvl="0" w:tentative="0">
      <w:start w:val="2"/>
      <w:numFmt w:val="chineseCounting"/>
      <w:suff w:val="nothing"/>
      <w:lvlText w:val="%1、"/>
      <w:lvlJc w:val="left"/>
      <w:rPr>
        <w:rFonts w:hint="eastAsia"/>
      </w:rPr>
    </w:lvl>
  </w:abstractNum>
  <w:abstractNum w:abstractNumId="10">
    <w:nsid w:val="FFDDBF98"/>
    <w:multiLevelType w:val="singleLevel"/>
    <w:tmpl w:val="FFDDBF98"/>
    <w:lvl w:ilvl="0" w:tentative="0">
      <w:start w:val="1"/>
      <w:numFmt w:val="decimal"/>
      <w:suff w:val="nothing"/>
      <w:lvlText w:val="（%1）"/>
      <w:lvlJc w:val="left"/>
    </w:lvl>
  </w:abstractNum>
  <w:abstractNum w:abstractNumId="11">
    <w:nsid w:val="02087FC2"/>
    <w:multiLevelType w:val="singleLevel"/>
    <w:tmpl w:val="02087FC2"/>
    <w:lvl w:ilvl="0" w:tentative="0">
      <w:start w:val="1"/>
      <w:numFmt w:val="decimal"/>
      <w:lvlText w:val="%1."/>
      <w:lvlJc w:val="left"/>
      <w:pPr>
        <w:tabs>
          <w:tab w:val="left" w:pos="312"/>
        </w:tabs>
      </w:pPr>
    </w:lvl>
  </w:abstractNum>
  <w:abstractNum w:abstractNumId="12">
    <w:nsid w:val="22AFFF79"/>
    <w:multiLevelType w:val="singleLevel"/>
    <w:tmpl w:val="22AFFF79"/>
    <w:lvl w:ilvl="0" w:tentative="0">
      <w:start w:val="5"/>
      <w:numFmt w:val="chineseCounting"/>
      <w:suff w:val="space"/>
      <w:lvlText w:val="第%1章"/>
      <w:lvlJc w:val="left"/>
      <w:rPr>
        <w:rFonts w:hint="eastAsia"/>
      </w:rPr>
    </w:lvl>
  </w:abstractNum>
  <w:abstractNum w:abstractNumId="13">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4926B3A7"/>
    <w:multiLevelType w:val="singleLevel"/>
    <w:tmpl w:val="4926B3A7"/>
    <w:lvl w:ilvl="0" w:tentative="0">
      <w:start w:val="1"/>
      <w:numFmt w:val="decimal"/>
      <w:pStyle w:val="13"/>
      <w:lvlText w:val="%1."/>
      <w:lvlJc w:val="left"/>
      <w:pPr>
        <w:tabs>
          <w:tab w:val="left" w:pos="2040"/>
        </w:tabs>
        <w:ind w:left="2040" w:hanging="360"/>
      </w:pPr>
    </w:lvl>
  </w:abstractNum>
  <w:abstractNum w:abstractNumId="15">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5E61399F"/>
    <w:multiLevelType w:val="singleLevel"/>
    <w:tmpl w:val="5E61399F"/>
    <w:lvl w:ilvl="0" w:tentative="0">
      <w:start w:val="1"/>
      <w:numFmt w:val="decimal"/>
      <w:suff w:val="space"/>
      <w:lvlText w:val="%1."/>
      <w:lvlJc w:val="left"/>
    </w:lvl>
  </w:abstractNum>
  <w:abstractNum w:abstractNumId="17">
    <w:nsid w:val="5EBEBA43"/>
    <w:multiLevelType w:val="singleLevel"/>
    <w:tmpl w:val="5EBEBA43"/>
    <w:lvl w:ilvl="0" w:tentative="0">
      <w:start w:val="1"/>
      <w:numFmt w:val="decimal"/>
      <w:lvlText w:val="%1."/>
      <w:lvlJc w:val="left"/>
      <w:pPr>
        <w:tabs>
          <w:tab w:val="left" w:pos="312"/>
        </w:tabs>
      </w:pPr>
    </w:lvl>
  </w:abstractNum>
  <w:abstractNum w:abstractNumId="18">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431"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9">
    <w:nsid w:val="7CD5AE42"/>
    <w:multiLevelType w:val="singleLevel"/>
    <w:tmpl w:val="7CD5AE42"/>
    <w:lvl w:ilvl="0" w:tentative="0">
      <w:start w:val="1"/>
      <w:numFmt w:val="decimal"/>
      <w:suff w:val="nothing"/>
      <w:lvlText w:val="%1）"/>
      <w:lvlJc w:val="left"/>
    </w:lvl>
  </w:abstractNum>
  <w:num w:numId="1">
    <w:abstractNumId w:val="5"/>
  </w:num>
  <w:num w:numId="2">
    <w:abstractNumId w:val="18"/>
  </w:num>
  <w:num w:numId="3">
    <w:abstractNumId w:val="14"/>
  </w:num>
  <w:num w:numId="4">
    <w:abstractNumId w:val="15"/>
  </w:num>
  <w:num w:numId="5">
    <w:abstractNumId w:val="3"/>
  </w:num>
  <w:num w:numId="6">
    <w:abstractNumId w:val="13"/>
  </w:num>
  <w:num w:numId="7">
    <w:abstractNumId w:val="9"/>
  </w:num>
  <w:num w:numId="8">
    <w:abstractNumId w:val="0"/>
  </w:num>
  <w:num w:numId="9">
    <w:abstractNumId w:val="12"/>
  </w:num>
  <w:num w:numId="10">
    <w:abstractNumId w:val="4"/>
  </w:num>
  <w:num w:numId="11">
    <w:abstractNumId w:val="8"/>
  </w:num>
  <w:num w:numId="12">
    <w:abstractNumId w:val="10"/>
  </w:num>
  <w:num w:numId="13">
    <w:abstractNumId w:val="7"/>
  </w:num>
  <w:num w:numId="14">
    <w:abstractNumId w:val="11"/>
  </w:num>
  <w:num w:numId="15">
    <w:abstractNumId w:val="6"/>
  </w:num>
  <w:num w:numId="16">
    <w:abstractNumId w:val="16"/>
  </w:num>
  <w:num w:numId="17">
    <w:abstractNumId w:val="2"/>
  </w:num>
  <w:num w:numId="18">
    <w:abstractNumId w:val="17"/>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03F2A8F"/>
    <w:rsid w:val="012C2953"/>
    <w:rsid w:val="0136732D"/>
    <w:rsid w:val="01CE417C"/>
    <w:rsid w:val="024A0A79"/>
    <w:rsid w:val="029A38EC"/>
    <w:rsid w:val="044E6A7E"/>
    <w:rsid w:val="05A468B5"/>
    <w:rsid w:val="076B1CFB"/>
    <w:rsid w:val="07AF2DAD"/>
    <w:rsid w:val="07C60C4D"/>
    <w:rsid w:val="0A1A7B72"/>
    <w:rsid w:val="0A3F16EC"/>
    <w:rsid w:val="0B6328A2"/>
    <w:rsid w:val="0C6D2071"/>
    <w:rsid w:val="100131FC"/>
    <w:rsid w:val="11F626F4"/>
    <w:rsid w:val="191E6BCD"/>
    <w:rsid w:val="19406B43"/>
    <w:rsid w:val="195D4633"/>
    <w:rsid w:val="197D538B"/>
    <w:rsid w:val="1B1175F6"/>
    <w:rsid w:val="1B262919"/>
    <w:rsid w:val="1D1A3B4F"/>
    <w:rsid w:val="1D380D35"/>
    <w:rsid w:val="1E9B0578"/>
    <w:rsid w:val="1EC139D9"/>
    <w:rsid w:val="20462102"/>
    <w:rsid w:val="21276EB3"/>
    <w:rsid w:val="21BF0821"/>
    <w:rsid w:val="22A17843"/>
    <w:rsid w:val="22E5075C"/>
    <w:rsid w:val="22EA5BD8"/>
    <w:rsid w:val="249B7324"/>
    <w:rsid w:val="24ED56A6"/>
    <w:rsid w:val="26336508"/>
    <w:rsid w:val="26EA4592"/>
    <w:rsid w:val="27C202C1"/>
    <w:rsid w:val="292E0164"/>
    <w:rsid w:val="29FF56F6"/>
    <w:rsid w:val="2A4E6BE6"/>
    <w:rsid w:val="2B980A61"/>
    <w:rsid w:val="2DF6381D"/>
    <w:rsid w:val="2F063F34"/>
    <w:rsid w:val="2F3240A4"/>
    <w:rsid w:val="2F61116A"/>
    <w:rsid w:val="3011493E"/>
    <w:rsid w:val="31EA18EB"/>
    <w:rsid w:val="32171FB4"/>
    <w:rsid w:val="33E74F12"/>
    <w:rsid w:val="342338EC"/>
    <w:rsid w:val="34E940DB"/>
    <w:rsid w:val="353C420B"/>
    <w:rsid w:val="35AA4DF6"/>
    <w:rsid w:val="35D8799B"/>
    <w:rsid w:val="364C66D0"/>
    <w:rsid w:val="37D444C4"/>
    <w:rsid w:val="38832151"/>
    <w:rsid w:val="38AA53A5"/>
    <w:rsid w:val="397D0DE2"/>
    <w:rsid w:val="3A9C74FA"/>
    <w:rsid w:val="3AE34022"/>
    <w:rsid w:val="3CFC2979"/>
    <w:rsid w:val="3D1912D6"/>
    <w:rsid w:val="3DF8713D"/>
    <w:rsid w:val="3EAC4009"/>
    <w:rsid w:val="3FD634AE"/>
    <w:rsid w:val="406F64E1"/>
    <w:rsid w:val="41695DA2"/>
    <w:rsid w:val="43192030"/>
    <w:rsid w:val="43CE2E1A"/>
    <w:rsid w:val="44000AFA"/>
    <w:rsid w:val="440E7416"/>
    <w:rsid w:val="45035372"/>
    <w:rsid w:val="45A12654"/>
    <w:rsid w:val="469F284C"/>
    <w:rsid w:val="48FA1003"/>
    <w:rsid w:val="49EB70C9"/>
    <w:rsid w:val="4B49547C"/>
    <w:rsid w:val="4C7E6893"/>
    <w:rsid w:val="4CB608EF"/>
    <w:rsid w:val="4CBD1A31"/>
    <w:rsid w:val="4CEE18A0"/>
    <w:rsid w:val="4E0E24D4"/>
    <w:rsid w:val="4EF62FB1"/>
    <w:rsid w:val="4F674F0D"/>
    <w:rsid w:val="514B17C5"/>
    <w:rsid w:val="5475419F"/>
    <w:rsid w:val="547C5F7A"/>
    <w:rsid w:val="549363D0"/>
    <w:rsid w:val="57896C41"/>
    <w:rsid w:val="57CE55DA"/>
    <w:rsid w:val="57DE0CFA"/>
    <w:rsid w:val="57EE39EA"/>
    <w:rsid w:val="584E29EB"/>
    <w:rsid w:val="5B0E725C"/>
    <w:rsid w:val="5B975D90"/>
    <w:rsid w:val="5BA37B45"/>
    <w:rsid w:val="5D86030C"/>
    <w:rsid w:val="5D8B79FA"/>
    <w:rsid w:val="5DB449D7"/>
    <w:rsid w:val="5F131BD1"/>
    <w:rsid w:val="60395667"/>
    <w:rsid w:val="61AE3F9D"/>
    <w:rsid w:val="620B1BAE"/>
    <w:rsid w:val="626A5FAC"/>
    <w:rsid w:val="62D40749"/>
    <w:rsid w:val="63A252D2"/>
    <w:rsid w:val="658C689B"/>
    <w:rsid w:val="66AF3F8D"/>
    <w:rsid w:val="683547F3"/>
    <w:rsid w:val="6AD93CCF"/>
    <w:rsid w:val="6B1E5B86"/>
    <w:rsid w:val="6C735A5D"/>
    <w:rsid w:val="6C81017A"/>
    <w:rsid w:val="6D67773A"/>
    <w:rsid w:val="6DB4632D"/>
    <w:rsid w:val="6DE07122"/>
    <w:rsid w:val="6F3060D4"/>
    <w:rsid w:val="7055204A"/>
    <w:rsid w:val="70D311C0"/>
    <w:rsid w:val="71A71E06"/>
    <w:rsid w:val="71AA11A9"/>
    <w:rsid w:val="71F60885"/>
    <w:rsid w:val="7235639B"/>
    <w:rsid w:val="72C47013"/>
    <w:rsid w:val="735F0871"/>
    <w:rsid w:val="74326D58"/>
    <w:rsid w:val="74AE1D28"/>
    <w:rsid w:val="760E741A"/>
    <w:rsid w:val="7634625D"/>
    <w:rsid w:val="77CF4749"/>
    <w:rsid w:val="79173022"/>
    <w:rsid w:val="7B7D7929"/>
    <w:rsid w:val="7D23702C"/>
    <w:rsid w:val="7DC50AE8"/>
    <w:rsid w:val="7E39106B"/>
    <w:rsid w:val="7E5A082B"/>
    <w:rsid w:val="7EF4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3">
    <w:name w:val="heading 2"/>
    <w:basedOn w:val="1"/>
    <w:next w:val="1"/>
    <w:unhideWhenUsed/>
    <w:qFormat/>
    <w:uiPriority w:val="0"/>
    <w:pPr>
      <w:keepNext/>
      <w:keepLines/>
      <w:numPr>
        <w:ilvl w:val="1"/>
        <w:numId w:val="1"/>
      </w:numPr>
      <w:adjustRightInd w:val="0"/>
      <w:snapToGrid w:val="0"/>
      <w:spacing w:before="100" w:after="100"/>
      <w:ind w:firstLineChars="0"/>
      <w:outlineLvl w:val="1"/>
    </w:pPr>
    <w:rPr>
      <w:rFonts w:eastAsia="宋体" w:asciiTheme="majorHAnsi" w:hAnsiTheme="majorHAnsi" w:cstheme="majorBidi"/>
      <w:b/>
      <w:bCs/>
      <w:kern w:val="3"/>
      <w:szCs w:val="32"/>
    </w:rPr>
  </w:style>
  <w:style w:type="paragraph" w:styleId="4">
    <w:name w:val="heading 3"/>
    <w:basedOn w:val="1"/>
    <w:next w:val="1"/>
    <w:unhideWhenUsed/>
    <w:qFormat/>
    <w:uiPriority w:val="0"/>
    <w:pPr>
      <w:keepNext/>
      <w:keepLines/>
      <w:numPr>
        <w:ilvl w:val="2"/>
        <w:numId w:val="1"/>
      </w:numPr>
      <w:spacing w:line="413" w:lineRule="auto"/>
      <w:ind w:left="0"/>
      <w:outlineLvl w:val="2"/>
    </w:pPr>
    <w:rPr>
      <w:b/>
    </w:rPr>
  </w:style>
  <w:style w:type="paragraph" w:styleId="5">
    <w:name w:val="heading 4"/>
    <w:basedOn w:val="1"/>
    <w:next w:val="1"/>
    <w:qFormat/>
    <w:uiPriority w:val="0"/>
    <w:pPr>
      <w:keepNext/>
      <w:keepLines/>
      <w:numPr>
        <w:ilvl w:val="3"/>
        <w:numId w:val="2"/>
      </w:numPr>
      <w:spacing w:before="280" w:after="290" w:line="376" w:lineRule="auto"/>
      <w:outlineLvl w:val="3"/>
    </w:pPr>
    <w:rPr>
      <w:rFonts w:ascii="Calibri Light" w:hAnsi="Calibri Light"/>
      <w:b/>
      <w:bCs/>
      <w:sz w:val="28"/>
      <w:szCs w:val="28"/>
    </w:rPr>
  </w:style>
  <w:style w:type="character" w:default="1" w:styleId="19">
    <w:name w:val="Default Paragraph Font"/>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300" w:lineRule="auto"/>
      <w:ind w:firstLine="200" w:firstLineChars="200"/>
    </w:pPr>
  </w:style>
  <w:style w:type="paragraph" w:styleId="7">
    <w:name w:val="toa heading"/>
    <w:basedOn w:val="1"/>
    <w:next w:val="1"/>
    <w:autoRedefine/>
    <w:qFormat/>
    <w:uiPriority w:val="99"/>
    <w:pPr>
      <w:spacing w:before="120"/>
    </w:pPr>
    <w:rPr>
      <w:rFonts w:ascii="Arial" w:hAnsi="Arial" w:eastAsia="仿宋"/>
      <w:sz w:val="24"/>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70"/>
    </w:pPr>
    <w:rPr>
      <w:rFonts w:ascii="宋体" w:hAnsi="宋体"/>
      <w:sz w:val="28"/>
    </w:rPr>
  </w:style>
  <w:style w:type="paragraph" w:styleId="10">
    <w:name w:val="endnote text"/>
    <w:basedOn w:val="1"/>
    <w:autoRedefine/>
    <w:qFormat/>
    <w:uiPriority w:val="99"/>
    <w:pPr>
      <w:snapToGrid w:val="0"/>
      <w:jc w:val="left"/>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Number 5"/>
    <w:basedOn w:val="1"/>
    <w:qFormat/>
    <w:uiPriority w:val="0"/>
    <w:pPr>
      <w:numPr>
        <w:ilvl w:val="0"/>
        <w:numId w:val="3"/>
      </w:numPr>
    </w:pPr>
  </w:style>
  <w:style w:type="paragraph" w:styleId="14">
    <w:name w:val="footnote text"/>
    <w:basedOn w:val="1"/>
    <w:autoRedefine/>
    <w:qFormat/>
    <w:uiPriority w:val="0"/>
    <w:pPr>
      <w:snapToGrid w:val="0"/>
      <w:jc w:val="left"/>
    </w:pPr>
    <w:rPr>
      <w:sz w:val="18"/>
    </w:rPr>
  </w:style>
  <w:style w:type="paragraph" w:styleId="15">
    <w:name w:val="Normal (Web)"/>
    <w:basedOn w:val="1"/>
    <w:qFormat/>
    <w:uiPriority w:val="0"/>
    <w:pPr>
      <w:spacing w:before="100" w:beforeAutospacing="1" w:after="100" w:afterAutospacing="1"/>
    </w:pPr>
    <w:rPr>
      <w:lang w:eastAsia="zh-CN" w:bidi="ar-SA"/>
    </w:rPr>
  </w:style>
  <w:style w:type="paragraph" w:styleId="16">
    <w:name w:val="Body Text First Indent"/>
    <w:basedOn w:val="8"/>
    <w:semiHidden/>
    <w:unhideWhenUsed/>
    <w:qFormat/>
    <w:uiPriority w:val="99"/>
    <w:pPr>
      <w:ind w:firstLine="420" w:firstLineChars="100"/>
    </w:pPr>
  </w:style>
  <w:style w:type="paragraph" w:styleId="17">
    <w:name w:val="Body Text First Indent 2"/>
    <w:basedOn w:val="9"/>
    <w:autoRedefine/>
    <w:unhideWhenUsed/>
    <w:qFormat/>
    <w:uiPriority w:val="0"/>
    <w:pPr>
      <w:ind w:firstLine="420" w:firstLineChars="200"/>
    </w:pPr>
  </w:style>
  <w:style w:type="character" w:customStyle="1" w:styleId="20">
    <w:name w:val="font21"/>
    <w:basedOn w:val="19"/>
    <w:autoRedefine/>
    <w:qFormat/>
    <w:uiPriority w:val="0"/>
    <w:rPr>
      <w:rFonts w:hint="eastAsia" w:ascii="宋体" w:hAnsi="宋体" w:eastAsia="宋体" w:cs="宋体"/>
      <w:color w:val="000000"/>
      <w:sz w:val="22"/>
      <w:szCs w:val="22"/>
      <w:u w:val="single"/>
    </w:rPr>
  </w:style>
  <w:style w:type="character" w:customStyle="1" w:styleId="21">
    <w:name w:val="font01"/>
    <w:basedOn w:val="19"/>
    <w:autoRedefine/>
    <w:qFormat/>
    <w:uiPriority w:val="0"/>
    <w:rPr>
      <w:rFonts w:hint="eastAsia" w:ascii="宋体" w:hAnsi="宋体" w:eastAsia="宋体" w:cs="宋体"/>
      <w:color w:val="000000"/>
      <w:sz w:val="22"/>
      <w:szCs w:val="22"/>
      <w:u w:val="none"/>
    </w:rPr>
  </w:style>
  <w:style w:type="character" w:customStyle="1" w:styleId="22">
    <w:name w:val="font11"/>
    <w:basedOn w:val="19"/>
    <w:autoRedefine/>
    <w:qFormat/>
    <w:uiPriority w:val="0"/>
    <w:rPr>
      <w:rFonts w:hint="eastAsia" w:ascii="宋体" w:hAnsi="宋体" w:eastAsia="宋体" w:cs="宋体"/>
      <w:b/>
      <w:bCs/>
      <w:color w:val="000000"/>
      <w:sz w:val="22"/>
      <w:szCs w:val="22"/>
      <w:u w:val="none"/>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BodyText1I2"/>
    <w:basedOn w:val="25"/>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25">
    <w:name w:val="BodyTextIndent"/>
    <w:basedOn w:val="1"/>
    <w:next w:val="26"/>
    <w:autoRedefine/>
    <w:qFormat/>
    <w:uiPriority w:val="0"/>
    <w:pPr>
      <w:spacing w:line="360" w:lineRule="auto"/>
      <w:ind w:firstLine="480"/>
      <w:jc w:val="left"/>
      <w:textAlignment w:val="baseline"/>
    </w:pPr>
    <w:rPr>
      <w:rFonts w:ascii="宋体" w:hAnsi="宋体"/>
      <w:kern w:val="0"/>
      <w:sz w:val="24"/>
    </w:rPr>
  </w:style>
  <w:style w:type="paragraph" w:customStyle="1" w:styleId="26">
    <w:name w:val="EnvelopeReturn"/>
    <w:basedOn w:val="1"/>
    <w:autoRedefine/>
    <w:qFormat/>
    <w:uiPriority w:val="0"/>
    <w:pPr>
      <w:snapToGrid w:val="0"/>
      <w:textAlignment w:val="baseline"/>
    </w:pPr>
    <w:rPr>
      <w:rFonts w:ascii="Arial" w:hAnsi="Arial"/>
    </w:rPr>
  </w:style>
  <w:style w:type="paragraph" w:customStyle="1" w:styleId="27">
    <w:name w:val="正文缩进1"/>
    <w:basedOn w:val="1"/>
    <w:autoRedefine/>
    <w:qFormat/>
    <w:uiPriority w:val="0"/>
    <w:pPr>
      <w:ind w:firstLine="420" w:firstLineChars="200"/>
    </w:pPr>
  </w:style>
  <w:style w:type="paragraph" w:customStyle="1" w:styleId="28">
    <w:name w:val="索引 11"/>
    <w:basedOn w:val="1"/>
    <w:next w:val="1"/>
    <w:qFormat/>
    <w:uiPriority w:val="0"/>
    <w:pPr>
      <w:spacing w:line="360" w:lineRule="auto"/>
    </w:pPr>
    <w:rPr>
      <w:rFonts w:ascii="仿宋_GB2312" w:eastAsia="仿宋_GB2312"/>
      <w:sz w:val="24"/>
      <w:szCs w:val="20"/>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31">
    <w:name w:val="CharAttribute3"/>
    <w:qFormat/>
    <w:uiPriority w:val="0"/>
    <w:rPr>
      <w:rFonts w:ascii="宋体" w:hAnsi="宋体" w:eastAsia="宋体"/>
      <w:sz w:val="18"/>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34">
    <w:name w:val="null3"/>
    <w:hidden/>
    <w:qFormat/>
    <w:uiPriority w:val="0"/>
    <w:rPr>
      <w:rFonts w:hint="eastAsia" w:asciiTheme="minorHAnsi" w:hAnsiTheme="minorHAnsi" w:eastAsiaTheme="minorEastAsia" w:cstheme="minorBidi"/>
      <w:lang w:val="en-US" w:eastAsia="zh-Hans" w:bidi="ar-SA"/>
    </w:rPr>
  </w:style>
  <w:style w:type="paragraph" w:styleId="35">
    <w:name w:val="List Paragraph"/>
    <w:basedOn w:val="1"/>
    <w:qFormat/>
    <w:uiPriority w:val="34"/>
    <w:pPr>
      <w:ind w:firstLine="420"/>
    </w:pPr>
    <w:rPr>
      <w:rFonts w:ascii="等线" w:hAnsi="等线" w:eastAsia="等线" w:cs="宋体"/>
    </w:rPr>
  </w:style>
  <w:style w:type="paragraph" w:customStyle="1" w:styleId="3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37">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38">
    <w:name w:val="font41"/>
    <w:basedOn w:val="19"/>
    <w:qFormat/>
    <w:uiPriority w:val="0"/>
    <w:rPr>
      <w:rFonts w:hint="eastAsia" w:ascii="宋体" w:hAnsi="宋体" w:eastAsia="宋体" w:cs="宋体"/>
      <w:color w:val="000000"/>
      <w:sz w:val="24"/>
      <w:szCs w:val="24"/>
      <w:u w:val="none"/>
    </w:rPr>
  </w:style>
  <w:style w:type="paragraph" w:customStyle="1" w:styleId="39">
    <w:name w:val="Table Text"/>
    <w:basedOn w:val="1"/>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12853</Words>
  <Characters>13852</Characters>
  <Lines>0</Lines>
  <Paragraphs>0</Paragraphs>
  <TotalTime>1</TotalTime>
  <ScaleCrop>false</ScaleCrop>
  <LinksUpToDate>false</LinksUpToDate>
  <CharactersWithSpaces>14505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无感</cp:lastModifiedBy>
  <dcterms:modified xsi:type="dcterms:W3CDTF">2025-07-18T10:40:43Z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CBD2FE8157784427885B6667D5D9E3B4_13</vt:lpwstr>
  </property>
  <property fmtid="{D5CDD505-2E9C-101B-9397-08002B2CF9AE}" pid="4" name="KSOTemplateDocerSaveRecord">
    <vt:lpwstr>eyJoZGlkIjoiZjU2MGFmODBiNDQ0YjJjYmQ4MTRkNDViMmEyMGQ0YWQiLCJ1c2VySWQiOiI0OTA5MzExNzUifQ==</vt:lpwstr>
  </property>
</Properties>
</file>