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52B">
      <w:pPr>
        <w:rPr>
          <w:rFonts w:hint="eastAsia" w:ascii="黑体" w:hAnsi="黑体" w:eastAsia="黑体"/>
          <w:i w:val="0"/>
          <w:iCs w:val="0"/>
          <w:color w:val="auto"/>
          <w:sz w:val="32"/>
          <w:szCs w:val="32"/>
          <w:highlight w:val="none"/>
          <w:lang w:eastAsia="zh-CN"/>
        </w:rPr>
      </w:pPr>
    </w:p>
    <w:p w14:paraId="06C72DAE">
      <w:pPr>
        <w:jc w:val="center"/>
        <w:rPr>
          <w:rFonts w:hint="eastAsia" w:ascii="黑体" w:hAnsi="黑体" w:eastAsia="黑体"/>
          <w:i w:val="0"/>
          <w:iCs w:val="0"/>
          <w:color w:val="auto"/>
          <w:spacing w:val="5760"/>
          <w:w w:val="100"/>
          <w:kern w:val="0"/>
          <w:sz w:val="36"/>
          <w:szCs w:val="36"/>
          <w:highlight w:val="none"/>
          <w:fitText w:val="6120" w:id="-1002138880"/>
          <w:lang w:val="en-US" w:eastAsia="zh-CN"/>
        </w:rPr>
      </w:pPr>
    </w:p>
    <w:p w14:paraId="7E773705">
      <w:pPr>
        <w:jc w:val="center"/>
        <w:rPr>
          <w:rFonts w:hint="eastAsia" w:ascii="宋体" w:hAnsi="宋体" w:eastAsia="宋体" w:cs="宋体"/>
          <w:b/>
          <w:bCs/>
          <w:i w:val="0"/>
          <w:iCs w:val="0"/>
          <w:color w:val="auto"/>
          <w:kern w:val="0"/>
          <w:sz w:val="56"/>
          <w:szCs w:val="56"/>
          <w:highlight w:val="none"/>
          <w:lang w:val="en-US" w:eastAsia="zh-CN"/>
        </w:rPr>
      </w:pPr>
      <w:r>
        <w:rPr>
          <w:rFonts w:hint="eastAsia" w:cs="宋体"/>
          <w:b/>
          <w:bCs/>
          <w:i w:val="0"/>
          <w:iCs w:val="0"/>
          <w:color w:val="auto"/>
          <w:kern w:val="0"/>
          <w:sz w:val="56"/>
          <w:szCs w:val="56"/>
          <w:highlight w:val="none"/>
          <w:lang w:val="en-US" w:eastAsia="zh-CN"/>
        </w:rPr>
        <w:t>2025年度自治区人社厅DSG数据交换平台维护项目（二次）</w:t>
      </w:r>
    </w:p>
    <w:p w14:paraId="42916161">
      <w:pPr>
        <w:jc w:val="center"/>
        <w:rPr>
          <w:rFonts w:hint="eastAsia" w:ascii="宋体" w:hAnsi="宋体" w:eastAsia="宋体" w:cs="宋体"/>
          <w:b/>
          <w:bCs/>
          <w:i w:val="0"/>
          <w:iCs w:val="0"/>
          <w:color w:val="auto"/>
          <w:kern w:val="0"/>
          <w:sz w:val="60"/>
          <w:szCs w:val="60"/>
          <w:highlight w:val="none"/>
          <w:lang w:val="en-US" w:eastAsia="zh-CN"/>
        </w:rPr>
      </w:pPr>
    </w:p>
    <w:p w14:paraId="08B3A613">
      <w:pPr>
        <w:jc w:val="center"/>
        <w:rPr>
          <w:rFonts w:hint="eastAsia" w:ascii="宋体" w:hAnsi="宋体" w:eastAsia="宋体" w:cs="宋体"/>
          <w:b/>
          <w:bCs/>
          <w:i w:val="0"/>
          <w:iCs w:val="0"/>
          <w:color w:val="auto"/>
          <w:kern w:val="0"/>
          <w:sz w:val="56"/>
          <w:szCs w:val="56"/>
          <w:highlight w:val="none"/>
          <w:lang w:val="en-US" w:eastAsia="zh-CN"/>
        </w:rPr>
      </w:pPr>
      <w:r>
        <w:rPr>
          <w:rFonts w:hint="eastAsia" w:ascii="宋体" w:hAnsi="宋体" w:eastAsia="宋体" w:cs="宋体"/>
          <w:b/>
          <w:bCs/>
          <w:i w:val="0"/>
          <w:iCs w:val="0"/>
          <w:color w:val="auto"/>
          <w:kern w:val="0"/>
          <w:sz w:val="56"/>
          <w:szCs w:val="56"/>
          <w:highlight w:val="none"/>
          <w:lang w:val="en-US" w:eastAsia="zh-CN"/>
        </w:rPr>
        <w:t>竞争性磋商文件</w:t>
      </w:r>
    </w:p>
    <w:p w14:paraId="6C8C8A47">
      <w:pPr>
        <w:jc w:val="center"/>
        <w:rPr>
          <w:rFonts w:ascii="黑体" w:hAnsi="黑体" w:eastAsia="黑体"/>
          <w:i w:val="0"/>
          <w:iCs w:val="0"/>
          <w:color w:val="auto"/>
          <w:sz w:val="72"/>
          <w:szCs w:val="72"/>
          <w:highlight w:val="none"/>
        </w:rPr>
      </w:pPr>
    </w:p>
    <w:p w14:paraId="4382D801">
      <w:pPr>
        <w:jc w:val="center"/>
        <w:rPr>
          <w:rFonts w:ascii="黑体" w:hAnsi="黑体" w:eastAsia="黑体"/>
          <w:i w:val="0"/>
          <w:iCs w:val="0"/>
          <w:color w:val="auto"/>
          <w:sz w:val="72"/>
          <w:szCs w:val="72"/>
          <w:highlight w:val="none"/>
        </w:rPr>
      </w:pPr>
    </w:p>
    <w:p w14:paraId="3504B4EB">
      <w:pPr>
        <w:jc w:val="center"/>
        <w:rPr>
          <w:rFonts w:ascii="黑体" w:hAnsi="黑体" w:eastAsia="黑体"/>
          <w:i w:val="0"/>
          <w:iCs w:val="0"/>
          <w:color w:val="auto"/>
          <w:sz w:val="72"/>
          <w:szCs w:val="72"/>
          <w:highlight w:val="none"/>
        </w:rPr>
      </w:pPr>
    </w:p>
    <w:p w14:paraId="15547120">
      <w:pPr>
        <w:jc w:val="center"/>
        <w:rPr>
          <w:rFonts w:ascii="黑体" w:hAnsi="黑体" w:eastAsia="黑体"/>
          <w:i w:val="0"/>
          <w:iCs w:val="0"/>
          <w:color w:val="auto"/>
          <w:sz w:val="72"/>
          <w:szCs w:val="72"/>
          <w:highlight w:val="none"/>
        </w:rPr>
      </w:pPr>
    </w:p>
    <w:p w14:paraId="4C30F622">
      <w:pPr>
        <w:pStyle w:val="18"/>
        <w:rPr>
          <w:rFonts w:ascii="黑体" w:hAnsi="黑体" w:eastAsia="黑体"/>
          <w:i w:val="0"/>
          <w:iCs w:val="0"/>
          <w:color w:val="auto"/>
          <w:sz w:val="72"/>
          <w:szCs w:val="72"/>
          <w:highlight w:val="none"/>
        </w:rPr>
      </w:pPr>
    </w:p>
    <w:p w14:paraId="5B5CFFCE">
      <w:pPr>
        <w:ind w:left="420" w:leftChars="175"/>
        <w:rPr>
          <w:rFonts w:hint="default" w:cs="宋体"/>
          <w:i w:val="0"/>
          <w:iCs w:val="0"/>
          <w:color w:val="auto"/>
          <w:sz w:val="36"/>
          <w:szCs w:val="36"/>
          <w:highlight w:val="none"/>
          <w:lang w:val="en-US" w:eastAsia="zh-CN"/>
        </w:rPr>
      </w:pPr>
      <w:r>
        <w:rPr>
          <w:rFonts w:hint="eastAsia" w:ascii="宋体" w:hAnsi="宋体" w:eastAsia="宋体" w:cs="宋体"/>
          <w:i w:val="0"/>
          <w:iCs w:val="0"/>
          <w:color w:val="auto"/>
          <w:sz w:val="36"/>
          <w:szCs w:val="36"/>
          <w:highlight w:val="none"/>
        </w:rPr>
        <w:t>项目编号：</w:t>
      </w:r>
      <w:r>
        <w:rPr>
          <w:rFonts w:hint="eastAsia" w:cs="宋体"/>
          <w:i w:val="0"/>
          <w:iCs w:val="0"/>
          <w:color w:val="auto"/>
          <w:sz w:val="36"/>
          <w:szCs w:val="36"/>
          <w:highlight w:val="none"/>
          <w:lang w:val="en-US" w:eastAsia="zh-CN"/>
        </w:rPr>
        <w:t>XSY-2025-Z-097-2</w:t>
      </w:r>
    </w:p>
    <w:p w14:paraId="099C4CDE">
      <w:pPr>
        <w:ind w:left="2220" w:leftChars="175" w:hanging="1800" w:hangingChars="500"/>
        <w:rPr>
          <w:rFonts w:hint="default" w:ascii="宋体" w:hAnsi="宋体" w:eastAsia="宋体" w:cs="宋体"/>
          <w:i w:val="0"/>
          <w:iCs w:val="0"/>
          <w:color w:val="auto"/>
          <w:sz w:val="36"/>
          <w:szCs w:val="36"/>
          <w:highlight w:val="none"/>
          <w:lang w:val="en-US" w:eastAsia="zh-CN"/>
        </w:rPr>
      </w:pPr>
      <w:r>
        <w:rPr>
          <w:rFonts w:hint="eastAsia" w:ascii="宋体" w:hAnsi="宋体" w:eastAsia="宋体" w:cs="宋体"/>
          <w:i w:val="0"/>
          <w:iCs w:val="0"/>
          <w:color w:val="auto"/>
          <w:sz w:val="36"/>
          <w:szCs w:val="36"/>
          <w:highlight w:val="none"/>
        </w:rPr>
        <w:t>项目名称：</w:t>
      </w:r>
      <w:r>
        <w:rPr>
          <w:rFonts w:hint="eastAsia" w:cs="宋体"/>
          <w:i w:val="0"/>
          <w:iCs w:val="0"/>
          <w:color w:val="auto"/>
          <w:sz w:val="36"/>
          <w:szCs w:val="36"/>
          <w:highlight w:val="none"/>
          <w:lang w:val="en-US" w:eastAsia="zh-CN"/>
        </w:rPr>
        <w:t>2025年度自治区人社厅DSG数据交换平台维护项目（二次）</w:t>
      </w:r>
    </w:p>
    <w:p w14:paraId="316ED0D4">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采购人：</w:t>
      </w:r>
      <w:r>
        <w:rPr>
          <w:rFonts w:hint="eastAsia" w:cs="宋体"/>
          <w:i w:val="0"/>
          <w:iCs w:val="0"/>
          <w:color w:val="auto"/>
          <w:sz w:val="36"/>
          <w:szCs w:val="36"/>
          <w:highlight w:val="none"/>
          <w:lang w:val="en-US" w:eastAsia="zh-CN"/>
        </w:rPr>
        <w:t>新疆维吾尔自治区人力资源和社会保障厅</w:t>
      </w:r>
    </w:p>
    <w:p w14:paraId="55B2AE18">
      <w:pPr>
        <w:ind w:left="420" w:leftChars="175"/>
        <w:rPr>
          <w:rFonts w:hint="default" w:ascii="宋体" w:hAnsi="宋体" w:eastAsia="宋体" w:cs="宋体"/>
          <w:i w:val="0"/>
          <w:iCs w:val="0"/>
          <w:color w:val="auto"/>
          <w:sz w:val="36"/>
          <w:szCs w:val="36"/>
          <w:highlight w:val="none"/>
          <w:lang w:val="en-US" w:eastAsia="zh-CN"/>
        </w:rPr>
      </w:pPr>
      <w:r>
        <w:rPr>
          <w:rFonts w:hint="eastAsia" w:ascii="宋体" w:hAnsi="宋体" w:eastAsia="宋体" w:cs="宋体"/>
          <w:i w:val="0"/>
          <w:iCs w:val="0"/>
          <w:color w:val="auto"/>
          <w:sz w:val="36"/>
          <w:szCs w:val="36"/>
          <w:highlight w:val="none"/>
        </w:rPr>
        <w:t>采购代理机构：</w:t>
      </w:r>
      <w:r>
        <w:rPr>
          <w:rFonts w:hint="eastAsia" w:cs="宋体"/>
          <w:i w:val="0"/>
          <w:iCs w:val="0"/>
          <w:color w:val="auto"/>
          <w:sz w:val="36"/>
          <w:szCs w:val="36"/>
          <w:highlight w:val="none"/>
          <w:u w:val="none"/>
          <w:lang w:val="en-US" w:eastAsia="zh-CN"/>
        </w:rPr>
        <w:t>新疆星圣源工程项目管理有限公司</w:t>
      </w:r>
    </w:p>
    <w:p w14:paraId="3D3C1170">
      <w:pPr>
        <w:jc w:val="center"/>
        <w:rPr>
          <w:rFonts w:hint="eastAsia" w:ascii="宋体" w:hAnsi="宋体" w:eastAsia="宋体" w:cs="宋体"/>
          <w:b/>
          <w:bCs/>
          <w:i w:val="0"/>
          <w:iCs w:val="0"/>
          <w:color w:val="auto"/>
          <w:sz w:val="36"/>
          <w:szCs w:val="36"/>
          <w:highlight w:val="none"/>
        </w:rPr>
        <w:sectPr>
          <w:headerReference r:id="rId5" w:type="default"/>
          <w:pgSz w:w="11906" w:h="16838"/>
          <w:pgMar w:top="1440" w:right="1800" w:bottom="1440" w:left="1800" w:header="851" w:footer="992" w:gutter="0"/>
          <w:cols w:space="425" w:num="1"/>
          <w:docGrid w:type="lines" w:linePitch="312" w:charSpace="0"/>
        </w:sectPr>
      </w:pPr>
    </w:p>
    <w:p w14:paraId="63BF5185">
      <w:pPr>
        <w:jc w:val="center"/>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目 录</w:t>
      </w:r>
    </w:p>
    <w:p w14:paraId="52958999">
      <w:pPr>
        <w:jc w:val="center"/>
        <w:rPr>
          <w:rFonts w:hint="eastAsia" w:ascii="宋体" w:hAnsi="宋体" w:eastAsia="宋体" w:cs="宋体"/>
          <w:b/>
          <w:bCs/>
          <w:i w:val="0"/>
          <w:iCs w:val="0"/>
          <w:color w:val="auto"/>
          <w:sz w:val="36"/>
          <w:szCs w:val="36"/>
          <w:highlight w:val="none"/>
        </w:rPr>
      </w:pPr>
    </w:p>
    <w:p w14:paraId="65862D1E">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i w:val="0"/>
          <w:iCs w:val="0"/>
          <w:color w:val="auto"/>
          <w:highlight w:val="none"/>
        </w:rPr>
        <w:fldChar w:fldCharType="begin"/>
      </w:r>
      <w:r>
        <w:rPr>
          <w:i w:val="0"/>
          <w:iCs w:val="0"/>
          <w:color w:val="auto"/>
          <w:highlight w:val="none"/>
        </w:rPr>
        <w:instrText xml:space="preserve"> TOC \o "1-3" \h \z \u </w:instrText>
      </w:r>
      <w:r>
        <w:rPr>
          <w:i w:val="0"/>
          <w:iCs w:val="0"/>
          <w:color w:val="auto"/>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_Toc23719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_Toc23719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2A06368">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_Toc11873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_Toc11873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7075BA6">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_Toc25233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第三章 项目采购需求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_Toc25233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F84BDC4">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_Toc12488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第四章 评审方法及标准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_Toc12488 \h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 </w:t>
      </w:r>
      <w:r>
        <w:rPr>
          <w:rFonts w:hint="eastAsia" w:ascii="宋体" w:eastAsia="宋体" w:cs="宋体"/>
          <w:sz w:val="24"/>
          <w:szCs w:val="24"/>
          <w:lang w:val="en-US" w:eastAsia="zh-CN"/>
        </w:rPr>
        <w:t>45</w:t>
      </w:r>
      <w:r>
        <w:rPr>
          <w:rFonts w:hint="eastAsia" w:ascii="宋体" w:hAnsi="宋体" w:eastAsia="宋体" w:cs="宋体"/>
          <w:sz w:val="24"/>
          <w:szCs w:val="24"/>
        </w:rPr>
        <w:t xml:space="preserve">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D10A42A">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_Toc31032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 xml:space="preserve">第五章 </w:t>
      </w:r>
      <w:r>
        <w:rPr>
          <w:rFonts w:hint="eastAsia" w:ascii="宋体" w:hAnsi="宋体" w:eastAsia="宋体" w:cs="宋体"/>
          <w:bCs/>
          <w:i w:val="0"/>
          <w:iCs w:val="0"/>
          <w:kern w:val="44"/>
          <w:sz w:val="24"/>
          <w:szCs w:val="24"/>
          <w:highlight w:val="none"/>
          <w:lang w:val="zh-CN" w:eastAsia="zh-CN" w:bidi="ar-SA"/>
        </w:rPr>
        <w:t>合同草案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_Toc31032 \h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 </w:t>
      </w:r>
      <w:r>
        <w:rPr>
          <w:rFonts w:hint="eastAsia" w:ascii="宋体" w:eastAsia="宋体" w:cs="宋体"/>
          <w:sz w:val="24"/>
          <w:szCs w:val="24"/>
          <w:lang w:val="en-US" w:eastAsia="zh-CN"/>
        </w:rPr>
        <w:t xml:space="preserve">57 </w:t>
      </w:r>
      <w:r>
        <w:rPr>
          <w:rFonts w:hint="eastAsia" w:ascii="宋体" w:hAnsi="宋体" w:eastAsia="宋体" w:cs="宋体"/>
          <w:sz w:val="24"/>
          <w:szCs w:val="24"/>
        </w:rPr>
        <w:t>-</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1F218004">
      <w:pPr>
        <w:pStyle w:val="2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_Toc3038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 xml:space="preserve">第六章 </w:t>
      </w:r>
      <w:r>
        <w:rPr>
          <w:rFonts w:hint="eastAsia" w:ascii="宋体" w:hAnsi="宋体" w:eastAsia="宋体" w:cs="宋体"/>
          <w:i w:val="0"/>
          <w:iCs w:val="0"/>
          <w:sz w:val="24"/>
          <w:szCs w:val="24"/>
          <w:highlight w:val="none"/>
        </w:rPr>
        <w:t>响应文件的格式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_Toc3038 \h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 </w:t>
      </w:r>
      <w:r>
        <w:rPr>
          <w:rFonts w:hint="eastAsia" w:ascii="宋体" w:eastAsia="宋体" w:cs="宋体"/>
          <w:sz w:val="24"/>
          <w:szCs w:val="24"/>
          <w:lang w:val="en-US" w:eastAsia="zh-CN"/>
        </w:rPr>
        <w:t>66</w:t>
      </w:r>
      <w:r>
        <w:rPr>
          <w:rFonts w:hint="eastAsia" w:ascii="宋体" w:hAnsi="宋体" w:eastAsia="宋体" w:cs="宋体"/>
          <w:sz w:val="24"/>
          <w:szCs w:val="24"/>
        </w:rPr>
        <w:t xml:space="preserve">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D90D7D4">
      <w:pPr>
        <w:rPr>
          <w:rFonts w:ascii="黑体" w:hAnsi="黑体" w:eastAsia="黑体"/>
          <w:i w:val="0"/>
          <w:iCs w:val="0"/>
          <w:color w:val="auto"/>
          <w:sz w:val="32"/>
          <w:szCs w:val="32"/>
          <w:highlight w:val="none"/>
        </w:rPr>
      </w:pPr>
      <w:r>
        <w:rPr>
          <w:i w:val="0"/>
          <w:iCs w:val="0"/>
          <w:color w:val="auto"/>
          <w:highlight w:val="none"/>
        </w:rPr>
        <w:fldChar w:fldCharType="end"/>
      </w:r>
    </w:p>
    <w:p w14:paraId="34F07531">
      <w:pPr>
        <w:jc w:val="center"/>
        <w:rPr>
          <w:rFonts w:ascii="黑体" w:hAnsi="黑体" w:eastAsia="黑体"/>
          <w:i w:val="0"/>
          <w:iCs w:val="0"/>
          <w:color w:val="auto"/>
          <w:sz w:val="32"/>
          <w:szCs w:val="32"/>
          <w:highlight w:val="none"/>
        </w:rPr>
        <w:sectPr>
          <w:pgSz w:w="11906" w:h="16838"/>
          <w:pgMar w:top="1440" w:right="1800" w:bottom="1440" w:left="1800" w:header="851" w:footer="992" w:gutter="0"/>
          <w:cols w:space="425" w:num="1"/>
          <w:docGrid w:type="lines" w:linePitch="312" w:charSpace="0"/>
        </w:sectPr>
      </w:pPr>
    </w:p>
    <w:p w14:paraId="0DDCC6E5">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0" w:name="_Toc23719"/>
      <w:r>
        <w:rPr>
          <w:rFonts w:hint="eastAsia" w:ascii="宋体" w:hAnsi="宋体" w:eastAsia="宋体" w:cs="宋体"/>
          <w:b/>
          <w:bCs/>
          <w:i w:val="0"/>
          <w:iCs w:val="0"/>
          <w:color w:val="auto"/>
          <w:kern w:val="44"/>
          <w:sz w:val="36"/>
          <w:szCs w:val="36"/>
          <w:highlight w:val="none"/>
          <w:lang w:val="en-US" w:eastAsia="zh-CN" w:bidi="ar-SA"/>
        </w:rPr>
        <w:t>第一章 竞争性磋商公告</w:t>
      </w:r>
      <w:bookmarkEnd w:id="0"/>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D0F96B">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i w:val="0"/>
                <w:iCs w:val="0"/>
                <w:color w:val="auto"/>
                <w:sz w:val="24"/>
                <w:szCs w:val="24"/>
                <w:highlight w:val="none"/>
                <w:lang w:val="en-US" w:eastAsia="zh-CN"/>
              </w:rPr>
            </w:pPr>
            <w:bookmarkStart w:id="1" w:name="_Toc21420"/>
            <w:bookmarkStart w:id="2" w:name="_Toc109900248"/>
            <w:bookmarkStart w:id="3" w:name="_Toc28359012"/>
            <w:bookmarkStart w:id="4" w:name="_Toc163492812"/>
            <w:bookmarkStart w:id="5" w:name="_Toc44583628"/>
            <w:bookmarkStart w:id="6" w:name="_Toc35393798"/>
            <w:bookmarkStart w:id="7" w:name="_Toc155185860"/>
            <w:bookmarkStart w:id="8" w:name="_Toc109899829"/>
            <w:bookmarkStart w:id="9" w:name="_Toc35393629"/>
            <w:bookmarkStart w:id="10" w:name="_Toc140132745"/>
            <w:bookmarkStart w:id="11" w:name="_Toc28359089"/>
            <w:bookmarkStart w:id="12" w:name="_Toc109899410"/>
            <w:r>
              <w:rPr>
                <w:rFonts w:hint="eastAsia"/>
                <w:i w:val="0"/>
                <w:iCs w:val="0"/>
                <w:color w:val="auto"/>
                <w:sz w:val="24"/>
                <w:szCs w:val="24"/>
                <w:highlight w:val="none"/>
                <w:lang w:val="en-US" w:eastAsia="zh-CN"/>
              </w:rPr>
              <w:t>项目概况：</w:t>
            </w:r>
            <w:bookmarkEnd w:id="1"/>
          </w:p>
          <w:p w14:paraId="6CBC7B9E">
            <w:pPr>
              <w:ind w:firstLine="480" w:firstLineChars="200"/>
              <w:rPr>
                <w:rFonts w:hint="default"/>
                <w:i w:val="0"/>
                <w:iCs w:val="0"/>
                <w:color w:val="auto"/>
                <w:highlight w:val="none"/>
                <w:lang w:val="en-US" w:eastAsia="zh-CN"/>
              </w:rPr>
            </w:pPr>
            <w:r>
              <w:rPr>
                <w:rFonts w:hint="eastAsia" w:ascii="宋体" w:hAnsi="宋体" w:eastAsia="宋体" w:cstheme="minorBidi"/>
                <w:i w:val="0"/>
                <w:iCs w:val="0"/>
                <w:color w:val="auto"/>
                <w:kern w:val="2"/>
                <w:sz w:val="24"/>
                <w:szCs w:val="24"/>
                <w:highlight w:val="none"/>
                <w:u w:val="single"/>
                <w:shd w:val="clear" w:color="auto" w:fill="FFFFFF" w:themeFill="background1"/>
                <w:lang w:val="hr-HR" w:eastAsia="zh-CN" w:bidi="ar-SA"/>
              </w:rPr>
              <w:t xml:space="preserve"> (</w:t>
            </w:r>
            <w:r>
              <w:rPr>
                <w:rFonts w:hint="eastAsia" w:cstheme="minorBidi"/>
                <w:i w:val="0"/>
                <w:iCs w:val="0"/>
                <w:color w:val="auto"/>
                <w:kern w:val="2"/>
                <w:sz w:val="24"/>
                <w:szCs w:val="24"/>
                <w:highlight w:val="none"/>
                <w:u w:val="single"/>
                <w:shd w:val="clear" w:color="auto" w:fill="FFFFFF" w:themeFill="background1"/>
                <w:lang w:val="hr-HR" w:eastAsia="zh-CN" w:bidi="ar-SA"/>
              </w:rPr>
              <w:t>2025年度自治区人社厅DSG数据交换平台维护项目（二次）</w:t>
            </w:r>
            <w:r>
              <w:rPr>
                <w:rFonts w:hint="eastAsia" w:ascii="宋体" w:hAnsi="宋体" w:eastAsia="宋体" w:cstheme="minorBidi"/>
                <w:i w:val="0"/>
                <w:iCs w:val="0"/>
                <w:color w:val="auto"/>
                <w:kern w:val="2"/>
                <w:sz w:val="24"/>
                <w:szCs w:val="24"/>
                <w:highlight w:val="none"/>
                <w:u w:val="single"/>
                <w:shd w:val="clear" w:color="auto" w:fill="FFFFFF" w:themeFill="background1"/>
                <w:lang w:val="hr-HR" w:eastAsia="zh-CN" w:bidi="ar-SA"/>
              </w:rPr>
              <w:t xml:space="preserve">) </w:t>
            </w:r>
            <w:r>
              <w:rPr>
                <w:rFonts w:hint="default" w:ascii="宋体" w:hAnsi="宋体" w:eastAsia="宋体" w:cstheme="minorBidi"/>
                <w:i w:val="0"/>
                <w:iCs w:val="0"/>
                <w:color w:val="auto"/>
                <w:kern w:val="2"/>
                <w:sz w:val="24"/>
                <w:szCs w:val="22"/>
                <w:highlight w:val="none"/>
                <w:u w:val="none"/>
                <w:lang w:val="en-US" w:eastAsia="zh-CN" w:bidi="ar-SA"/>
              </w:rPr>
              <w:t>采购项目的潜在供应商应在</w:t>
            </w:r>
            <w:r>
              <w:rPr>
                <w:rFonts w:hint="default" w:ascii="宋体" w:hAnsi="宋体" w:eastAsia="宋体" w:cstheme="minorBidi"/>
                <w:i w:val="0"/>
                <w:iCs w:val="0"/>
                <w:color w:val="auto"/>
                <w:kern w:val="2"/>
                <w:sz w:val="24"/>
                <w:szCs w:val="22"/>
                <w:highlight w:val="none"/>
                <w:u w:val="single"/>
                <w:lang w:val="en-US" w:eastAsia="zh-CN" w:bidi="ar-SA"/>
              </w:rPr>
              <w:t>（</w:t>
            </w:r>
            <w:r>
              <w:rPr>
                <w:rFonts w:hint="eastAsia" w:ascii="宋体" w:hAnsi="宋体" w:eastAsia="宋体" w:cs="宋体"/>
                <w:sz w:val="24"/>
                <w:szCs w:val="24"/>
                <w:u w:val="single"/>
              </w:rPr>
              <w:t>政采云平台http://www.zcygov.cn/</w:t>
            </w:r>
            <w:r>
              <w:rPr>
                <w:rFonts w:hint="default" w:ascii="宋体" w:hAnsi="宋体" w:eastAsia="宋体" w:cstheme="minorBidi"/>
                <w:i w:val="0"/>
                <w:iCs w:val="0"/>
                <w:color w:val="auto"/>
                <w:kern w:val="2"/>
                <w:sz w:val="24"/>
                <w:szCs w:val="22"/>
                <w:highlight w:val="none"/>
                <w:u w:val="single"/>
                <w:lang w:val="en-US" w:eastAsia="zh-CN" w:bidi="ar-SA"/>
              </w:rPr>
              <w:t>）</w:t>
            </w:r>
            <w:r>
              <w:rPr>
                <w:rFonts w:hint="default" w:ascii="宋体" w:hAnsi="宋体" w:eastAsia="宋体" w:cstheme="minorBidi"/>
                <w:i w:val="0"/>
                <w:iCs w:val="0"/>
                <w:color w:val="auto"/>
                <w:kern w:val="2"/>
                <w:sz w:val="24"/>
                <w:szCs w:val="22"/>
                <w:highlight w:val="none"/>
                <w:u w:val="none"/>
                <w:lang w:val="en-US" w:eastAsia="zh-CN" w:bidi="ar-SA"/>
              </w:rPr>
              <w:t>获取采购文件，并于</w:t>
            </w:r>
            <w:r>
              <w:rPr>
                <w:rFonts w:hint="eastAsia" w:cstheme="minorBidi"/>
                <w:i w:val="0"/>
                <w:iCs w:val="0"/>
                <w:color w:val="auto"/>
                <w:kern w:val="2"/>
                <w:sz w:val="24"/>
                <w:szCs w:val="22"/>
                <w:highlight w:val="cyan"/>
                <w:u w:val="single"/>
                <w:lang w:val="en-US" w:eastAsia="zh-CN" w:bidi="ar-SA"/>
              </w:rPr>
              <w:t>2025</w:t>
            </w:r>
            <w:r>
              <w:rPr>
                <w:rFonts w:hint="default" w:ascii="宋体" w:hAnsi="宋体" w:eastAsia="宋体" w:cstheme="minorBidi"/>
                <w:i w:val="0"/>
                <w:iCs w:val="0"/>
                <w:color w:val="auto"/>
                <w:kern w:val="2"/>
                <w:sz w:val="24"/>
                <w:szCs w:val="22"/>
                <w:highlight w:val="cyan"/>
                <w:u w:val="single"/>
                <w:lang w:val="en-US" w:eastAsia="zh-CN" w:bidi="ar-SA"/>
              </w:rPr>
              <w:t>年</w:t>
            </w:r>
            <w:r>
              <w:rPr>
                <w:rFonts w:hint="eastAsia" w:cstheme="minorBidi"/>
                <w:i w:val="0"/>
                <w:iCs w:val="0"/>
                <w:color w:val="auto"/>
                <w:kern w:val="2"/>
                <w:sz w:val="24"/>
                <w:szCs w:val="22"/>
                <w:highlight w:val="cyan"/>
                <w:u w:val="single"/>
                <w:lang w:val="en-US" w:eastAsia="zh-CN" w:bidi="ar-SA"/>
              </w:rPr>
              <w:t>07</w:t>
            </w:r>
            <w:r>
              <w:rPr>
                <w:rFonts w:hint="default" w:ascii="宋体" w:hAnsi="宋体" w:eastAsia="宋体" w:cstheme="minorBidi"/>
                <w:i w:val="0"/>
                <w:iCs w:val="0"/>
                <w:color w:val="auto"/>
                <w:kern w:val="2"/>
                <w:sz w:val="24"/>
                <w:szCs w:val="22"/>
                <w:highlight w:val="cyan"/>
                <w:u w:val="single"/>
                <w:lang w:val="en-US" w:eastAsia="zh-CN" w:bidi="ar-SA"/>
              </w:rPr>
              <w:t>月</w:t>
            </w:r>
            <w:r>
              <w:rPr>
                <w:rFonts w:hint="eastAsia" w:cstheme="minorBidi"/>
                <w:i w:val="0"/>
                <w:iCs w:val="0"/>
                <w:color w:val="auto"/>
                <w:kern w:val="2"/>
                <w:sz w:val="24"/>
                <w:szCs w:val="22"/>
                <w:highlight w:val="cyan"/>
                <w:u w:val="single"/>
                <w:lang w:val="en-US" w:eastAsia="zh-CN" w:bidi="ar-SA"/>
              </w:rPr>
              <w:t>07</w:t>
            </w:r>
            <w:r>
              <w:rPr>
                <w:rFonts w:hint="default" w:ascii="宋体" w:hAnsi="宋体" w:eastAsia="宋体" w:cstheme="minorBidi"/>
                <w:i w:val="0"/>
                <w:iCs w:val="0"/>
                <w:color w:val="auto"/>
                <w:kern w:val="2"/>
                <w:sz w:val="24"/>
                <w:szCs w:val="22"/>
                <w:highlight w:val="cyan"/>
                <w:u w:val="single"/>
                <w:lang w:val="en-US" w:eastAsia="zh-CN" w:bidi="ar-SA"/>
              </w:rPr>
              <w:t>日</w:t>
            </w:r>
            <w:r>
              <w:rPr>
                <w:rFonts w:hint="eastAsia" w:cstheme="minorBidi"/>
                <w:i w:val="0"/>
                <w:iCs w:val="0"/>
                <w:color w:val="auto"/>
                <w:kern w:val="2"/>
                <w:sz w:val="24"/>
                <w:szCs w:val="22"/>
                <w:highlight w:val="cyan"/>
                <w:u w:val="single"/>
                <w:lang w:val="en-US" w:eastAsia="zh-CN" w:bidi="ar-SA"/>
              </w:rPr>
              <w:t>16时00</w:t>
            </w:r>
            <w:r>
              <w:rPr>
                <w:rFonts w:hint="default" w:ascii="宋体" w:hAnsi="宋体" w:eastAsia="宋体" w:cstheme="minorBidi"/>
                <w:i w:val="0"/>
                <w:iCs w:val="0"/>
                <w:color w:val="auto"/>
                <w:kern w:val="2"/>
                <w:sz w:val="24"/>
                <w:szCs w:val="22"/>
                <w:highlight w:val="cyan"/>
                <w:u w:val="single"/>
                <w:lang w:val="en-US" w:eastAsia="zh-CN" w:bidi="ar-SA"/>
              </w:rPr>
              <w:t>分</w:t>
            </w:r>
            <w:r>
              <w:rPr>
                <w:rFonts w:hint="default" w:ascii="宋体" w:hAnsi="宋体" w:eastAsia="宋体" w:cstheme="minorBidi"/>
                <w:i w:val="0"/>
                <w:iCs w:val="0"/>
                <w:color w:val="auto"/>
                <w:kern w:val="2"/>
                <w:sz w:val="24"/>
                <w:szCs w:val="22"/>
                <w:highlight w:val="none"/>
                <w:u w:val="none"/>
                <w:lang w:val="en-US" w:eastAsia="zh-CN" w:bidi="ar-SA"/>
              </w:rPr>
              <w:t>（北京时间）前提交响应文件。</w:t>
            </w:r>
          </w:p>
        </w:tc>
      </w:tr>
    </w:tbl>
    <w:p w14:paraId="4072DEF0">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rPr>
      </w:pPr>
      <w:bookmarkStart w:id="13" w:name="_Toc21003"/>
      <w:r>
        <w:rPr>
          <w:rFonts w:hint="eastAsia" w:ascii="宋体" w:hAnsi="宋体" w:eastAsia="宋体" w:cs="宋体"/>
          <w:b/>
          <w:bCs/>
          <w:i w:val="0"/>
          <w:iCs w:val="0"/>
          <w:color w:val="auto"/>
          <w:kern w:val="2"/>
          <w:sz w:val="24"/>
          <w:szCs w:val="24"/>
          <w:highlight w:val="none"/>
          <w:lang w:val="hr-HR" w:eastAsia="zh-CN" w:bidi="ar-SA"/>
        </w:rPr>
        <w:t>一、</w:t>
      </w:r>
      <w:r>
        <w:rPr>
          <w:rFonts w:hint="eastAsia" w:ascii="宋体" w:hAnsi="宋体" w:eastAsia="宋体" w:cs="宋体"/>
          <w:i w:val="0"/>
          <w:iCs w:val="0"/>
          <w:color w:val="auto"/>
          <w:sz w:val="24"/>
          <w:szCs w:val="24"/>
          <w:highlight w:val="none"/>
          <w:lang w:val="hr-HR"/>
        </w:rPr>
        <w:t>项目基本情况</w:t>
      </w:r>
      <w:bookmarkEnd w:id="2"/>
      <w:bookmarkEnd w:id="3"/>
      <w:bookmarkEnd w:id="4"/>
      <w:bookmarkEnd w:id="5"/>
      <w:bookmarkEnd w:id="6"/>
      <w:bookmarkEnd w:id="7"/>
      <w:bookmarkEnd w:id="8"/>
      <w:bookmarkEnd w:id="9"/>
      <w:bookmarkEnd w:id="10"/>
      <w:bookmarkEnd w:id="11"/>
      <w:bookmarkEnd w:id="12"/>
      <w:bookmarkEnd w:id="13"/>
    </w:p>
    <w:p w14:paraId="5E3A1EB6">
      <w:pPr>
        <w:pStyle w:val="35"/>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hr-HR"/>
        </w:rPr>
        <w:t>1.项目编号：</w:t>
      </w:r>
      <w:r>
        <w:rPr>
          <w:rFonts w:hint="eastAsia" w:cs="宋体"/>
          <w:i w:val="0"/>
          <w:iCs w:val="0"/>
          <w:color w:val="auto"/>
          <w:sz w:val="24"/>
          <w:szCs w:val="24"/>
          <w:highlight w:val="none"/>
          <w:lang w:val="en-US" w:eastAsia="zh-CN"/>
        </w:rPr>
        <w:t>XSY-2025-Z-097-2</w:t>
      </w:r>
    </w:p>
    <w:p w14:paraId="1C4E1862">
      <w:pPr>
        <w:pStyle w:val="35"/>
        <w:ind w:left="1920" w:leftChars="200" w:hanging="1440" w:hangingChars="600"/>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hr-HR"/>
        </w:rPr>
        <w:t>.项目名称：</w:t>
      </w:r>
      <w:r>
        <w:rPr>
          <w:rFonts w:hint="eastAsia" w:cs="宋体"/>
          <w:i w:val="0"/>
          <w:iCs w:val="0"/>
          <w:color w:val="auto"/>
          <w:sz w:val="24"/>
          <w:szCs w:val="24"/>
          <w:highlight w:val="none"/>
          <w:lang w:val="hr-HR" w:eastAsia="zh-CN"/>
        </w:rPr>
        <w:t>2025年度自治区人社厅DSG数据交换平台维护项目（二次）</w:t>
      </w:r>
    </w:p>
    <w:p w14:paraId="6CEB84EC">
      <w:pPr>
        <w:pStyle w:val="3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.采购方式：</w:t>
      </w:r>
      <w:r>
        <w:rPr>
          <w:rFonts w:hint="eastAsia" w:ascii="宋体" w:hAnsi="宋体" w:eastAsia="宋体" w:cs="宋体"/>
          <w:i w:val="0"/>
          <w:iCs w:val="0"/>
          <w:color w:val="auto"/>
          <w:sz w:val="24"/>
          <w:szCs w:val="24"/>
          <w:highlight w:val="none"/>
          <w:lang w:val="en-US" w:eastAsia="zh-CN"/>
        </w:rPr>
        <w:t>竞争性磋商</w:t>
      </w:r>
    </w:p>
    <w:p w14:paraId="1578BD4E">
      <w:pPr>
        <w:pStyle w:val="35"/>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hr-HR"/>
        </w:rPr>
        <w:t>.预算金额：</w:t>
      </w:r>
      <w:r>
        <w:rPr>
          <w:rFonts w:hint="eastAsia" w:cs="宋体"/>
          <w:i w:val="0"/>
          <w:iCs w:val="0"/>
          <w:color w:val="auto"/>
          <w:sz w:val="24"/>
          <w:szCs w:val="24"/>
          <w:highlight w:val="none"/>
          <w:u w:val="single"/>
          <w:lang w:val="en-US" w:eastAsia="zh-CN"/>
        </w:rPr>
        <w:t>71.8万元</w:t>
      </w:r>
    </w:p>
    <w:p w14:paraId="539C601C">
      <w:pPr>
        <w:pStyle w:val="35"/>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color w:val="auto"/>
          <w:sz w:val="24"/>
          <w:szCs w:val="24"/>
          <w:highlight w:val="none"/>
          <w:lang w:val="hr-HR"/>
        </w:rPr>
        <w:t>：</w:t>
      </w:r>
      <w:r>
        <w:rPr>
          <w:rFonts w:hint="eastAsia" w:cs="宋体"/>
          <w:i w:val="0"/>
          <w:iCs w:val="0"/>
          <w:color w:val="auto"/>
          <w:sz w:val="24"/>
          <w:szCs w:val="24"/>
          <w:highlight w:val="none"/>
          <w:u w:val="single"/>
          <w:lang w:val="en-US" w:eastAsia="zh-CN"/>
        </w:rPr>
        <w:t>71.8万元</w:t>
      </w:r>
    </w:p>
    <w:p w14:paraId="601A9C8F">
      <w:pPr>
        <w:ind w:left="1920" w:leftChars="200" w:hanging="1440" w:hangingChars="6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hr-HR"/>
        </w:rPr>
        <w:t>.采购需求：</w:t>
      </w:r>
      <w:r>
        <w:rPr>
          <w:rFonts w:hint="eastAsia" w:ascii="宋体" w:hAnsi="宋体" w:eastAsia="宋体" w:cs="宋体"/>
          <w:i w:val="0"/>
          <w:iCs w:val="0"/>
          <w:color w:val="auto"/>
          <w:sz w:val="24"/>
          <w:szCs w:val="24"/>
          <w:highlight w:val="none"/>
          <w:u w:val="single"/>
          <w:lang w:val="hr-HR" w:eastAsia="zh-CN"/>
        </w:rPr>
        <w:t>2025年度自治区人社厅DSG数据交换平台维护</w:t>
      </w:r>
      <w:r>
        <w:rPr>
          <w:rFonts w:hint="eastAsia" w:cs="宋体"/>
          <w:i w:val="0"/>
          <w:iCs w:val="0"/>
          <w:color w:val="auto"/>
          <w:kern w:val="2"/>
          <w:sz w:val="24"/>
          <w:szCs w:val="24"/>
          <w:highlight w:val="none"/>
          <w:u w:val="single"/>
          <w:lang w:val="en-US" w:eastAsia="zh-CN" w:bidi="ar-SA"/>
        </w:rPr>
        <w:t>，详见第三章 项目采购需求。</w:t>
      </w:r>
    </w:p>
    <w:p w14:paraId="7B9535B0">
      <w:pPr>
        <w:pStyle w:val="35"/>
        <w:keepNext w:val="0"/>
        <w:keepLines w:val="0"/>
        <w:pageBreakBefore w:val="0"/>
        <w:widowControl w:val="0"/>
        <w:kinsoku/>
        <w:wordWrap w:val="0"/>
        <w:overflowPunct/>
        <w:topLinePunct w:val="0"/>
        <w:autoSpaceDE/>
        <w:autoSpaceDN/>
        <w:bidi w:val="0"/>
        <w:adjustRightInd/>
        <w:snapToGrid/>
        <w:ind w:firstLine="482"/>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.合同</w:t>
      </w:r>
      <w:r>
        <w:rPr>
          <w:rFonts w:hint="eastAsia" w:ascii="宋体" w:hAnsi="宋体" w:eastAsia="宋体" w:cs="宋体"/>
          <w:i w:val="0"/>
          <w:iCs w:val="0"/>
          <w:color w:val="auto"/>
          <w:sz w:val="24"/>
          <w:szCs w:val="24"/>
          <w:highlight w:val="none"/>
          <w:lang w:val="en-US" w:eastAsia="zh-CN"/>
        </w:rPr>
        <w:t>服务</w:t>
      </w:r>
      <w:r>
        <w:rPr>
          <w:rFonts w:hint="eastAsia" w:ascii="宋体" w:hAnsi="宋体" w:eastAsia="宋体" w:cs="宋体"/>
          <w:i w:val="0"/>
          <w:iCs w:val="0"/>
          <w:color w:val="auto"/>
          <w:sz w:val="24"/>
          <w:szCs w:val="24"/>
          <w:highlight w:val="none"/>
        </w:rPr>
        <w:t>履行期限：</w:t>
      </w:r>
      <w:r>
        <w:rPr>
          <w:rFonts w:hint="eastAsia" w:cs="宋体"/>
          <w:i w:val="0"/>
          <w:iCs w:val="0"/>
          <w:color w:val="auto"/>
          <w:sz w:val="24"/>
          <w:szCs w:val="24"/>
          <w:highlight w:val="none"/>
          <w:u w:val="single"/>
          <w:lang w:val="en-US" w:eastAsia="zh-CN"/>
        </w:rPr>
        <w:t>自</w:t>
      </w:r>
      <w:r>
        <w:rPr>
          <w:rFonts w:hint="eastAsia" w:ascii="宋体" w:hAnsi="宋体" w:eastAsia="宋体" w:cs="宋体"/>
          <w:i w:val="0"/>
          <w:iCs w:val="0"/>
          <w:color w:val="auto"/>
          <w:sz w:val="24"/>
          <w:szCs w:val="24"/>
          <w:highlight w:val="none"/>
          <w:u w:val="single"/>
          <w:lang w:val="en-US" w:eastAsia="zh-CN"/>
        </w:rPr>
        <w:t>合同签订之日起一年</w:t>
      </w:r>
      <w:r>
        <w:rPr>
          <w:rFonts w:hint="eastAsia" w:cs="宋体"/>
          <w:szCs w:val="24"/>
          <w:highlight w:val="none"/>
          <w:u w:val="single"/>
        </w:rPr>
        <w:t>。</w:t>
      </w:r>
    </w:p>
    <w:p w14:paraId="0972A600">
      <w:pPr>
        <w:pStyle w:val="35"/>
        <w:rPr>
          <w:rFonts w:hint="eastAsia" w:ascii="宋体" w:hAnsi="宋体" w:eastAsia="宋体" w:cs="宋体"/>
          <w:i w:val="0"/>
          <w:iCs w:val="0"/>
          <w:color w:val="auto"/>
          <w:sz w:val="24"/>
          <w:szCs w:val="24"/>
          <w:highlight w:val="none"/>
          <w:lang w:val="en-US" w:eastAsia="zh-CN"/>
        </w:rPr>
      </w:pPr>
      <w:bookmarkStart w:id="14" w:name="_Toc44583629"/>
      <w:bookmarkStart w:id="15" w:name="_Toc28359013"/>
      <w:bookmarkStart w:id="16" w:name="_Toc35393799"/>
      <w:bookmarkStart w:id="17" w:name="_Toc28359090"/>
      <w:bookmarkStart w:id="18" w:name="_Toc35393630"/>
      <w:r>
        <w:rPr>
          <w:rFonts w:hint="eastAsia" w:ascii="宋体" w:hAnsi="宋体" w:eastAsia="宋体" w:cs="宋体"/>
          <w:i w:val="0"/>
          <w:iCs w:val="0"/>
          <w:color w:val="auto"/>
          <w:sz w:val="24"/>
          <w:szCs w:val="24"/>
          <w:highlight w:val="none"/>
          <w:lang w:val="en-US" w:eastAsia="zh-CN"/>
        </w:rPr>
        <w:t>8.</w:t>
      </w:r>
      <w:bookmarkStart w:id="19" w:name="_Hlk162011358"/>
      <w:r>
        <w:rPr>
          <w:rFonts w:hint="eastAsia" w:ascii="宋体" w:hAnsi="宋体" w:eastAsia="宋体" w:cs="宋体"/>
          <w:i w:val="0"/>
          <w:iCs w:val="0"/>
          <w:color w:val="auto"/>
          <w:sz w:val="24"/>
          <w:szCs w:val="24"/>
          <w:highlight w:val="none"/>
          <w:lang w:val="en-US" w:eastAsia="zh-CN"/>
        </w:rPr>
        <w:t>本项目是否接受联合体：□是</w:t>
      </w:r>
      <w:bookmarkEnd w:id="19"/>
      <w:r>
        <w:rPr>
          <w:rFonts w:hint="eastAsia" w:ascii="宋体" w:hAnsi="宋体" w:eastAsia="宋体" w:cs="宋体"/>
          <w:i w:val="0"/>
          <w:iCs w:val="0"/>
          <w:color w:val="auto"/>
          <w:sz w:val="24"/>
          <w:szCs w:val="24"/>
          <w:highlight w:val="none"/>
          <w:lang w:val="en-US" w:eastAsia="zh-CN"/>
        </w:rPr>
        <w:t xml:space="preserve">   </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否</w:t>
      </w:r>
    </w:p>
    <w:p w14:paraId="2D55BBD7">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20" w:name="_Toc109899411"/>
      <w:bookmarkStart w:id="21" w:name="_Toc11033"/>
      <w:bookmarkStart w:id="22" w:name="_Toc155185861"/>
      <w:bookmarkStart w:id="23" w:name="_Toc109899830"/>
      <w:bookmarkStart w:id="24" w:name="_Toc109900249"/>
      <w:bookmarkStart w:id="25" w:name="_Toc163492813"/>
      <w:bookmarkStart w:id="26" w:name="_Toc140132746"/>
      <w:r>
        <w:rPr>
          <w:rFonts w:hint="eastAsia" w:ascii="宋体" w:hAnsi="宋体" w:eastAsia="宋体" w:cs="宋体"/>
          <w:b/>
          <w:bCs/>
          <w:i w:val="0"/>
          <w:iCs w:val="0"/>
          <w:color w:val="auto"/>
          <w:kern w:val="2"/>
          <w:sz w:val="24"/>
          <w:szCs w:val="24"/>
          <w:highlight w:val="none"/>
          <w:lang w:val="en-US" w:eastAsia="zh-CN" w:bidi="ar-SA"/>
        </w:rPr>
        <w:t>二、申请人的</w:t>
      </w:r>
      <w:r>
        <w:rPr>
          <w:rFonts w:hint="eastAsia" w:ascii="宋体" w:hAnsi="宋体" w:eastAsia="宋体" w:cs="宋体"/>
          <w:b/>
          <w:bCs/>
          <w:i w:val="0"/>
          <w:iCs w:val="0"/>
          <w:color w:val="auto"/>
          <w:kern w:val="2"/>
          <w:sz w:val="24"/>
          <w:szCs w:val="24"/>
          <w:highlight w:val="none"/>
          <w:lang w:val="hr-HR" w:eastAsia="zh-CN" w:bidi="ar-SA"/>
        </w:rPr>
        <w:t>资格要求</w:t>
      </w:r>
      <w:bookmarkEnd w:id="14"/>
      <w:bookmarkEnd w:id="15"/>
      <w:bookmarkEnd w:id="16"/>
      <w:bookmarkEnd w:id="17"/>
      <w:bookmarkEnd w:id="18"/>
      <w:bookmarkEnd w:id="20"/>
      <w:bookmarkEnd w:id="21"/>
      <w:bookmarkEnd w:id="22"/>
      <w:bookmarkEnd w:id="23"/>
      <w:bookmarkEnd w:id="24"/>
      <w:bookmarkEnd w:id="25"/>
      <w:bookmarkEnd w:id="26"/>
    </w:p>
    <w:p w14:paraId="06488171">
      <w:pPr>
        <w:ind w:firstLine="480" w:firstLineChars="200"/>
        <w:rPr>
          <w:rFonts w:hint="eastAsia" w:ascii="宋体" w:hAnsi="宋体" w:eastAsia="宋体" w:cs="宋体"/>
          <w:i w:val="0"/>
          <w:iCs w:val="0"/>
          <w:strike/>
          <w:dstrike w:val="0"/>
          <w:color w:val="auto"/>
          <w:sz w:val="24"/>
          <w:szCs w:val="24"/>
          <w:highlight w:val="none"/>
          <w:lang w:val="en-US" w:eastAsia="zh-CN"/>
        </w:rPr>
      </w:pPr>
      <w:bookmarkStart w:id="27" w:name="_Toc28359091"/>
      <w:bookmarkStart w:id="28" w:name="_Toc28359014"/>
      <w:bookmarkStart w:id="29" w:name="_Toc35393631"/>
      <w:bookmarkStart w:id="30" w:name="_Toc44583630"/>
      <w:bookmarkStart w:id="31" w:name="_Toc35393800"/>
      <w:r>
        <w:rPr>
          <w:rFonts w:hint="eastAsia" w:ascii="宋体" w:hAnsi="宋体" w:eastAsia="宋体" w:cs="宋体"/>
          <w:i w:val="0"/>
          <w:iCs w:val="0"/>
          <w:color w:val="auto"/>
          <w:sz w:val="24"/>
          <w:szCs w:val="24"/>
          <w:highlight w:val="none"/>
          <w:lang w:val="en-US" w:eastAsia="zh-CN"/>
        </w:rPr>
        <w:t>1. 满足《中华人民共和国政府采购法》第二十二条规定；</w:t>
      </w:r>
    </w:p>
    <w:p w14:paraId="576EFADE">
      <w:pPr>
        <w:ind w:firstLine="480" w:firstLineChars="200"/>
        <w:rPr>
          <w:rFonts w:hint="eastAsia" w:ascii="宋体" w:hAnsi="宋体" w:eastAsia="宋体" w:cs="宋体"/>
          <w:i w:val="0"/>
          <w:iCs w:val="0"/>
          <w:color w:val="auto"/>
          <w:sz w:val="24"/>
          <w:szCs w:val="24"/>
          <w:highlight w:val="none"/>
          <w:u w:val="none"/>
          <w:lang w:val="en-US" w:eastAsia="zh-CN"/>
        </w:rPr>
      </w:pPr>
      <w:bookmarkStart w:id="32" w:name="_Hlk89807755"/>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.落实政府采购政策需满足的资格要求：</w:t>
      </w:r>
      <w:r>
        <w:rPr>
          <w:rFonts w:hint="eastAsia" w:ascii="宋体" w:hAnsi="宋体" w:eastAsia="宋体" w:cs="宋体"/>
          <w:i w:val="0"/>
          <w:iCs w:val="0"/>
          <w:color w:val="auto"/>
          <w:sz w:val="24"/>
          <w:szCs w:val="24"/>
          <w:highlight w:val="none"/>
          <w:u w:val="single"/>
          <w:lang w:val="en-US" w:eastAsia="zh-CN"/>
        </w:rPr>
        <w:t xml:space="preserve"> 本项目专门面向</w:t>
      </w:r>
      <w:r>
        <w:rPr>
          <w:rFonts w:hint="eastAsia" w:cs="宋体"/>
          <w:i w:val="0"/>
          <w:iCs w:val="0"/>
          <w:color w:val="auto"/>
          <w:sz w:val="24"/>
          <w:szCs w:val="24"/>
          <w:highlight w:val="none"/>
          <w:u w:val="single"/>
          <w:lang w:val="en-US" w:eastAsia="zh-CN"/>
        </w:rPr>
        <w:t>中小</w:t>
      </w:r>
      <w:r>
        <w:rPr>
          <w:rFonts w:hint="eastAsia" w:ascii="宋体" w:hAnsi="宋体" w:eastAsia="宋体" w:cs="宋体"/>
          <w:i w:val="0"/>
          <w:iCs w:val="0"/>
          <w:color w:val="auto"/>
          <w:sz w:val="24"/>
          <w:szCs w:val="24"/>
          <w:highlight w:val="none"/>
          <w:u w:val="single"/>
          <w:lang w:val="en-US" w:eastAsia="zh-CN"/>
        </w:rPr>
        <w:t xml:space="preserve">企业采购。中小企业划分标准所属行业为：软件和信息技术服务业。 </w:t>
      </w:r>
      <w:r>
        <w:rPr>
          <w:rFonts w:hint="eastAsia" w:ascii="宋体" w:hAnsi="宋体" w:eastAsia="宋体" w:cs="宋体"/>
          <w:i w:val="0"/>
          <w:iCs w:val="0"/>
          <w:color w:val="auto"/>
          <w:sz w:val="24"/>
          <w:szCs w:val="24"/>
          <w:highlight w:val="none"/>
          <w:u w:val="none"/>
          <w:lang w:val="en-US" w:eastAsia="zh-CN"/>
        </w:rPr>
        <w:t xml:space="preserve">           </w:t>
      </w:r>
    </w:p>
    <w:p w14:paraId="10D5A8DD">
      <w:pPr>
        <w:ind w:firstLine="480" w:firstLineChars="200"/>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3.本项目的特定资格要求：</w:t>
      </w:r>
    </w:p>
    <w:p w14:paraId="040E7358">
      <w:pPr>
        <w:pStyle w:val="35"/>
        <w:ind w:firstLine="720" w:firstLineChars="300"/>
        <w:rPr>
          <w:rFonts w:hint="eastAsia" w:ascii="宋体" w:hAnsi="宋体" w:eastAsia="宋体" w:cs="宋体"/>
          <w:i w:val="0"/>
          <w:iCs w:val="0"/>
          <w:color w:val="auto"/>
          <w:sz w:val="24"/>
          <w:szCs w:val="24"/>
          <w:highlight w:val="none"/>
          <w:lang w:val="hr-HR" w:eastAsia="zh-CN"/>
        </w:rPr>
      </w:pPr>
      <w:r>
        <w:rPr>
          <w:rFonts w:hint="eastAsia" w:cs="宋体"/>
          <w:i w:val="0"/>
          <w:iCs w:val="0"/>
          <w:color w:val="auto"/>
          <w:sz w:val="24"/>
          <w:szCs w:val="24"/>
          <w:highlight w:val="none"/>
          <w:u w:val="none"/>
          <w:lang w:val="en-US" w:eastAsia="zh-CN"/>
        </w:rPr>
        <w:t xml:space="preserve">3.1 </w:t>
      </w:r>
      <w:bookmarkEnd w:id="32"/>
      <w:bookmarkStart w:id="33" w:name="_Toc109900250"/>
      <w:bookmarkStart w:id="34" w:name="_Toc109899412"/>
      <w:bookmarkStart w:id="35" w:name="_Toc163492814"/>
      <w:bookmarkStart w:id="36" w:name="_Toc155185862"/>
      <w:bookmarkStart w:id="37" w:name="_Toc109899831"/>
      <w:bookmarkStart w:id="38" w:name="_Toc140132747"/>
      <w:r>
        <w:rPr>
          <w:rFonts w:hint="eastAsia" w:ascii="宋体" w:hAnsi="宋体" w:eastAsia="宋体" w:cs="宋体"/>
          <w:i w:val="0"/>
          <w:iCs w:val="0"/>
          <w:color w:val="auto"/>
          <w:sz w:val="24"/>
          <w:szCs w:val="24"/>
          <w:highlight w:val="none"/>
          <w:lang w:val="hr-HR" w:eastAsia="zh-CN"/>
        </w:rPr>
        <w:t>法定代表人或</w:t>
      </w:r>
      <w:r>
        <w:rPr>
          <w:rFonts w:hint="eastAsia" w:ascii="宋体" w:hAnsi="宋体" w:eastAsia="宋体" w:cs="宋体"/>
          <w:i w:val="0"/>
          <w:iCs w:val="0"/>
          <w:color w:val="auto"/>
          <w:sz w:val="24"/>
          <w:szCs w:val="24"/>
          <w:highlight w:val="none"/>
          <w:lang w:val="en-US" w:eastAsia="zh-CN"/>
        </w:rPr>
        <w:t>单位</w:t>
      </w:r>
      <w:r>
        <w:rPr>
          <w:rFonts w:hint="eastAsia" w:ascii="宋体" w:hAnsi="宋体" w:eastAsia="宋体" w:cs="宋体"/>
          <w:i w:val="0"/>
          <w:iCs w:val="0"/>
          <w:color w:val="auto"/>
          <w:sz w:val="24"/>
          <w:szCs w:val="24"/>
          <w:highlight w:val="none"/>
          <w:lang w:val="hr-HR" w:eastAsia="zh-CN"/>
        </w:rPr>
        <w:t>负责人为同一人或者存在</w:t>
      </w:r>
      <w:r>
        <w:rPr>
          <w:rFonts w:hint="eastAsia" w:ascii="宋体" w:hAnsi="宋体" w:eastAsia="宋体" w:cs="宋体"/>
          <w:i w:val="0"/>
          <w:iCs w:val="0"/>
          <w:color w:val="auto"/>
          <w:sz w:val="24"/>
          <w:szCs w:val="24"/>
          <w:highlight w:val="none"/>
          <w:lang w:val="en-US" w:eastAsia="zh-CN"/>
        </w:rPr>
        <w:t>直接</w:t>
      </w:r>
      <w:r>
        <w:rPr>
          <w:rFonts w:hint="eastAsia" w:ascii="宋体" w:hAnsi="宋体" w:eastAsia="宋体" w:cs="宋体"/>
          <w:i w:val="0"/>
          <w:iCs w:val="0"/>
          <w:color w:val="auto"/>
          <w:sz w:val="24"/>
          <w:szCs w:val="24"/>
          <w:highlight w:val="none"/>
          <w:lang w:val="hr-HR" w:eastAsia="zh-CN"/>
        </w:rPr>
        <w:t>控股、管理关系的</w:t>
      </w:r>
      <w:r>
        <w:rPr>
          <w:rFonts w:hint="eastAsia" w:ascii="宋体" w:hAnsi="宋体" w:eastAsia="宋体" w:cs="宋体"/>
          <w:i w:val="0"/>
          <w:iCs w:val="0"/>
          <w:color w:val="auto"/>
          <w:sz w:val="24"/>
          <w:szCs w:val="24"/>
          <w:highlight w:val="none"/>
          <w:lang w:val="en-US" w:eastAsia="zh-CN"/>
        </w:rPr>
        <w:t>不同供应商</w:t>
      </w:r>
      <w:r>
        <w:rPr>
          <w:rFonts w:hint="eastAsia" w:ascii="宋体" w:hAnsi="宋体" w:eastAsia="宋体" w:cs="宋体"/>
          <w:i w:val="0"/>
          <w:iCs w:val="0"/>
          <w:color w:val="auto"/>
          <w:sz w:val="24"/>
          <w:szCs w:val="24"/>
          <w:highlight w:val="none"/>
          <w:lang w:val="hr-HR" w:eastAsia="zh-CN"/>
        </w:rPr>
        <w:t>，不得参加同一合同项下的政府采购活动。</w:t>
      </w:r>
    </w:p>
    <w:p w14:paraId="68099EEC">
      <w:pPr>
        <w:pStyle w:val="35"/>
        <w:ind w:firstLine="720" w:firstLineChars="300"/>
        <w:rPr>
          <w:rFonts w:hint="eastAsia" w:ascii="宋体" w:hAnsi="宋体" w:eastAsia="宋体" w:cs="宋体"/>
          <w:i w:val="0"/>
          <w:iCs w:val="0"/>
          <w:color w:val="auto"/>
          <w:sz w:val="24"/>
          <w:szCs w:val="24"/>
          <w:highlight w:val="none"/>
          <w:lang w:val="hr-HR" w:eastAsia="zh-CN"/>
        </w:rPr>
      </w:pPr>
      <w:r>
        <w:rPr>
          <w:rFonts w:hint="eastAsia" w:cs="宋体"/>
          <w:i w:val="0"/>
          <w:iCs w:val="0"/>
          <w:color w:val="auto"/>
          <w:sz w:val="24"/>
          <w:szCs w:val="24"/>
          <w:highlight w:val="none"/>
          <w:lang w:val="en-US" w:eastAsia="zh-CN"/>
        </w:rPr>
        <w:t xml:space="preserve">3.2 </w:t>
      </w:r>
      <w:r>
        <w:rPr>
          <w:rFonts w:hint="eastAsia" w:ascii="宋体" w:hAnsi="宋体" w:eastAsia="宋体" w:cs="宋体"/>
          <w:i w:val="0"/>
          <w:iCs w:val="0"/>
          <w:color w:val="auto"/>
          <w:sz w:val="24"/>
          <w:szCs w:val="24"/>
          <w:highlight w:val="none"/>
          <w:lang w:val="hr-HR" w:eastAsia="zh-CN"/>
        </w:rPr>
        <w:t>除单一来源采购项目外，为采购项目提供整体设计、规范编制或者项目管理、监理、检测等服务的供应商，不得再参加该采购项目的其他采购活动。</w:t>
      </w:r>
    </w:p>
    <w:p w14:paraId="652114A7">
      <w:pPr>
        <w:pStyle w:val="35"/>
        <w:ind w:firstLine="720" w:firstLineChars="300"/>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 xml:space="preserve">3.3 </w:t>
      </w:r>
      <w:r>
        <w:rPr>
          <w:rFonts w:hint="eastAsia" w:ascii="宋体" w:hAnsi="宋体" w:eastAsia="宋体" w:cs="宋体"/>
          <w:i w:val="0"/>
          <w:iCs w:val="0"/>
          <w:color w:val="auto"/>
          <w:sz w:val="24"/>
          <w:szCs w:val="24"/>
          <w:highlight w:val="none"/>
          <w:lang w:val="hr-HR"/>
        </w:rPr>
        <w:t>供应商的信用行为</w:t>
      </w:r>
      <w:r>
        <w:rPr>
          <w:rFonts w:hint="eastAsia" w:ascii="宋体" w:hAnsi="宋体" w:eastAsia="宋体" w:cs="宋体"/>
          <w:i w:val="0"/>
          <w:iCs w:val="0"/>
          <w:color w:val="auto"/>
          <w:sz w:val="24"/>
          <w:szCs w:val="24"/>
          <w:highlight w:val="none"/>
          <w:lang w:val="hr-HR" w:eastAsia="zh-CN"/>
        </w:rPr>
        <w:t>：</w:t>
      </w:r>
      <w:r>
        <w:rPr>
          <w:rFonts w:hint="eastAsia" w:ascii="宋体" w:hAnsi="宋体" w:eastAsia="宋体" w:cs="宋体"/>
          <w:i w:val="0"/>
          <w:iCs w:val="0"/>
          <w:color w:val="auto"/>
          <w:sz w:val="24"/>
          <w:szCs w:val="24"/>
          <w:highlight w:val="none"/>
          <w:lang w:val="hr-HR"/>
        </w:rPr>
        <w:t>在</w:t>
      </w:r>
      <w:r>
        <w:rPr>
          <w:rFonts w:hint="eastAsia" w:ascii="宋体" w:hAnsi="宋体" w:eastAsia="宋体" w:cs="宋体"/>
          <w:i w:val="0"/>
          <w:iCs w:val="0"/>
          <w:color w:val="auto"/>
          <w:sz w:val="24"/>
          <w:szCs w:val="24"/>
          <w:highlight w:val="none"/>
          <w:lang w:val="en-US" w:eastAsia="zh-CN"/>
        </w:rPr>
        <w:t>资格审查阶段经查询</w:t>
      </w:r>
      <w:r>
        <w:rPr>
          <w:rFonts w:hint="eastAsia" w:ascii="宋体" w:hAnsi="宋体" w:eastAsia="宋体" w:cs="宋体"/>
          <w:i w:val="0"/>
          <w:iCs w:val="0"/>
          <w:color w:val="auto"/>
          <w:sz w:val="24"/>
          <w:szCs w:val="24"/>
          <w:highlight w:val="none"/>
          <w:lang w:val="hr-HR" w:eastAsia="zh-CN"/>
        </w:rPr>
        <w:t>，</w:t>
      </w:r>
      <w:r>
        <w:rPr>
          <w:rFonts w:hint="eastAsia" w:ascii="宋体" w:hAnsi="宋体" w:eastAsia="宋体" w:cs="宋体"/>
          <w:i w:val="0"/>
          <w:iCs w:val="0"/>
          <w:color w:val="auto"/>
          <w:sz w:val="24"/>
          <w:szCs w:val="24"/>
          <w:highlight w:val="none"/>
          <w:lang w:val="en-US" w:eastAsia="zh-CN"/>
        </w:rPr>
        <w:t>未被列入“失信被执行人”、“重大税收违法失信主体”、“政府采购严重违法失信行为记录名单”</w:t>
      </w:r>
      <w:r>
        <w:rPr>
          <w:rFonts w:hint="eastAsia" w:ascii="宋体" w:hAnsi="宋体" w:eastAsia="宋体" w:cs="宋体"/>
          <w:i w:val="0"/>
          <w:iCs w:val="0"/>
          <w:color w:val="auto"/>
          <w:sz w:val="24"/>
          <w:szCs w:val="24"/>
          <w:highlight w:val="none"/>
          <w:lang w:val="hr-HR"/>
        </w:rPr>
        <w:t>其中之一</w:t>
      </w:r>
      <w:r>
        <w:rPr>
          <w:rFonts w:hint="eastAsia" w:ascii="宋体" w:hAnsi="宋体" w:eastAsia="宋体" w:cs="宋体"/>
          <w:i w:val="0"/>
          <w:iCs w:val="0"/>
          <w:color w:val="auto"/>
          <w:sz w:val="24"/>
          <w:szCs w:val="24"/>
          <w:highlight w:val="none"/>
          <w:lang w:val="hr-HR" w:eastAsia="zh-CN"/>
        </w:rPr>
        <w:t>。如有以上不良信用记录</w:t>
      </w:r>
      <w:r>
        <w:rPr>
          <w:rFonts w:hint="eastAsia" w:ascii="宋体" w:hAnsi="宋体" w:eastAsia="宋体" w:cs="宋体"/>
          <w:i w:val="0"/>
          <w:iCs w:val="0"/>
          <w:color w:val="auto"/>
          <w:sz w:val="24"/>
          <w:szCs w:val="24"/>
          <w:highlight w:val="none"/>
          <w:lang w:val="en-US" w:eastAsia="zh-CN"/>
        </w:rPr>
        <w:t>之一的，</w:t>
      </w:r>
      <w:r>
        <w:rPr>
          <w:rFonts w:hint="eastAsia" w:ascii="宋体" w:hAnsi="宋体" w:eastAsia="宋体" w:cs="宋体"/>
          <w:i w:val="0"/>
          <w:iCs w:val="0"/>
          <w:color w:val="auto"/>
          <w:sz w:val="24"/>
          <w:szCs w:val="24"/>
          <w:highlight w:val="none"/>
          <w:lang w:val="hr-HR" w:eastAsia="zh-CN"/>
        </w:rPr>
        <w:t>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i w:val="0"/>
          <w:iCs w:val="0"/>
          <w:color w:val="auto"/>
          <w:sz w:val="24"/>
          <w:szCs w:val="24"/>
          <w:highlight w:val="none"/>
          <w:lang w:val="hr-HR" w:eastAsia="zh-CN"/>
        </w:rPr>
        <w:t>。</w:t>
      </w:r>
    </w:p>
    <w:p w14:paraId="7687021F">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39" w:name="_Toc26657"/>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hr-HR" w:eastAsia="zh-CN" w:bidi="ar-SA"/>
        </w:rPr>
        <w:t>获取</w:t>
      </w:r>
      <w:r>
        <w:rPr>
          <w:rFonts w:hint="eastAsia" w:ascii="宋体" w:hAnsi="宋体" w:eastAsia="宋体" w:cs="宋体"/>
          <w:b/>
          <w:bCs/>
          <w:i w:val="0"/>
          <w:iCs w:val="0"/>
          <w:color w:val="auto"/>
          <w:kern w:val="2"/>
          <w:sz w:val="24"/>
          <w:szCs w:val="24"/>
          <w:highlight w:val="none"/>
          <w:lang w:val="en-US" w:eastAsia="zh-CN" w:bidi="ar-SA"/>
        </w:rPr>
        <w:t>采购</w:t>
      </w:r>
      <w:r>
        <w:rPr>
          <w:rFonts w:hint="eastAsia" w:ascii="宋体" w:hAnsi="宋体" w:eastAsia="宋体" w:cs="宋体"/>
          <w:b/>
          <w:bCs/>
          <w:i w:val="0"/>
          <w:iCs w:val="0"/>
          <w:color w:val="auto"/>
          <w:kern w:val="2"/>
          <w:sz w:val="24"/>
          <w:szCs w:val="24"/>
          <w:highlight w:val="none"/>
          <w:lang w:val="hr-HR" w:eastAsia="zh-CN" w:bidi="ar-SA"/>
        </w:rPr>
        <w:t>文件</w:t>
      </w:r>
      <w:bookmarkEnd w:id="27"/>
      <w:bookmarkEnd w:id="28"/>
      <w:bookmarkEnd w:id="29"/>
      <w:bookmarkEnd w:id="30"/>
      <w:bookmarkEnd w:id="31"/>
      <w:bookmarkEnd w:id="33"/>
      <w:bookmarkEnd w:id="34"/>
      <w:bookmarkEnd w:id="35"/>
      <w:bookmarkEnd w:id="36"/>
      <w:bookmarkEnd w:id="37"/>
      <w:bookmarkEnd w:id="38"/>
      <w:bookmarkEnd w:id="39"/>
      <w:r>
        <w:rPr>
          <w:rFonts w:hint="eastAsia" w:ascii="宋体" w:hAnsi="宋体" w:eastAsia="宋体" w:cs="宋体"/>
          <w:b/>
          <w:bCs/>
          <w:i w:val="0"/>
          <w:iCs w:val="0"/>
          <w:color w:val="auto"/>
          <w:kern w:val="2"/>
          <w:sz w:val="24"/>
          <w:szCs w:val="24"/>
          <w:highlight w:val="none"/>
          <w:lang w:val="hr-HR" w:eastAsia="zh-CN" w:bidi="ar-SA"/>
        </w:rPr>
        <w:t xml:space="preserve"> </w:t>
      </w:r>
    </w:p>
    <w:p w14:paraId="1A15DA7E">
      <w:pPr>
        <w:spacing w:line="360" w:lineRule="auto"/>
        <w:ind w:firstLine="540"/>
        <w:rPr>
          <w:rFonts w:hint="eastAsia" w:ascii="宋体" w:hAnsi="宋体" w:eastAsia="宋体" w:cs="宋体"/>
          <w:i w:val="0"/>
          <w:iCs w:val="0"/>
          <w:color w:val="auto"/>
          <w:sz w:val="24"/>
          <w:szCs w:val="24"/>
          <w:highlight w:val="none"/>
          <w:lang w:val="hr-HR" w:eastAsia="zh-CN"/>
        </w:rPr>
      </w:pPr>
      <w:bookmarkStart w:id="40" w:name="_Hlk130457234"/>
      <w:bookmarkStart w:id="41" w:name="_Toc28359015"/>
      <w:bookmarkStart w:id="42" w:name="_Hlk130457261"/>
      <w:bookmarkStart w:id="43" w:name="_Toc35393632"/>
      <w:bookmarkStart w:id="44" w:name="_Toc28359092"/>
      <w:bookmarkStart w:id="45" w:name="_Toc35393801"/>
      <w:bookmarkStart w:id="46" w:name="_Hlk130457327"/>
      <w:r>
        <w:rPr>
          <w:rFonts w:hint="eastAsia" w:ascii="宋体" w:hAnsi="宋体" w:eastAsia="宋体" w:cs="宋体"/>
          <w:i w:val="0"/>
          <w:iCs w:val="0"/>
          <w:color w:val="auto"/>
          <w:sz w:val="24"/>
          <w:szCs w:val="24"/>
          <w:highlight w:val="none"/>
          <w:lang w:val="hr-HR"/>
        </w:rPr>
        <w:t>1.时间：</w:t>
      </w:r>
      <w:r>
        <w:rPr>
          <w:rFonts w:hint="eastAsia" w:cs="宋体"/>
          <w:i w:val="0"/>
          <w:iCs w:val="0"/>
          <w:color w:val="auto"/>
          <w:sz w:val="24"/>
          <w:szCs w:val="24"/>
          <w:highlight w:val="cyan"/>
          <w:u w:val="single"/>
          <w:lang w:val="en-US" w:eastAsia="zh-CN"/>
        </w:rPr>
        <w:t>2025</w:t>
      </w:r>
      <w:r>
        <w:rPr>
          <w:rFonts w:hint="eastAsia" w:ascii="宋体" w:hAnsi="宋体" w:eastAsia="宋体" w:cs="宋体"/>
          <w:i w:val="0"/>
          <w:iCs w:val="0"/>
          <w:color w:val="auto"/>
          <w:sz w:val="24"/>
          <w:szCs w:val="24"/>
          <w:highlight w:val="cyan"/>
          <w:u w:val="single"/>
        </w:rPr>
        <w:t>年</w:t>
      </w:r>
      <w:r>
        <w:rPr>
          <w:rFonts w:hint="eastAsia" w:cs="宋体"/>
          <w:i w:val="0"/>
          <w:iCs w:val="0"/>
          <w:color w:val="auto"/>
          <w:sz w:val="24"/>
          <w:szCs w:val="24"/>
          <w:highlight w:val="cyan"/>
          <w:u w:val="single"/>
          <w:lang w:val="en-US" w:eastAsia="zh-CN"/>
        </w:rPr>
        <w:t>06</w:t>
      </w:r>
      <w:r>
        <w:rPr>
          <w:rFonts w:hint="eastAsia" w:ascii="宋体" w:hAnsi="宋体" w:eastAsia="宋体" w:cs="宋体"/>
          <w:i w:val="0"/>
          <w:iCs w:val="0"/>
          <w:color w:val="auto"/>
          <w:sz w:val="24"/>
          <w:szCs w:val="24"/>
          <w:highlight w:val="cyan"/>
          <w:u w:val="single"/>
        </w:rPr>
        <w:t>月</w:t>
      </w:r>
      <w:r>
        <w:rPr>
          <w:rFonts w:hint="eastAsia" w:cs="宋体"/>
          <w:i w:val="0"/>
          <w:iCs w:val="0"/>
          <w:color w:val="auto"/>
          <w:sz w:val="24"/>
          <w:szCs w:val="24"/>
          <w:highlight w:val="cyan"/>
          <w:u w:val="single"/>
          <w:lang w:val="en-US" w:eastAsia="zh-CN"/>
        </w:rPr>
        <w:t>26</w:t>
      </w:r>
      <w:r>
        <w:rPr>
          <w:rFonts w:hint="eastAsia" w:ascii="宋体" w:hAnsi="宋体" w:eastAsia="宋体" w:cs="宋体"/>
          <w:i w:val="0"/>
          <w:iCs w:val="0"/>
          <w:color w:val="auto"/>
          <w:sz w:val="24"/>
          <w:szCs w:val="24"/>
          <w:highlight w:val="cyan"/>
          <w:u w:val="single"/>
        </w:rPr>
        <w:t>日</w:t>
      </w:r>
      <w:r>
        <w:rPr>
          <w:rFonts w:hint="eastAsia" w:ascii="宋体" w:hAnsi="宋体" w:eastAsia="宋体" w:cs="宋体"/>
          <w:i w:val="0"/>
          <w:iCs w:val="0"/>
          <w:color w:val="auto"/>
          <w:sz w:val="24"/>
          <w:szCs w:val="24"/>
          <w:highlight w:val="cyan"/>
          <w:u w:val="none"/>
        </w:rPr>
        <w:t>至</w:t>
      </w:r>
      <w:r>
        <w:rPr>
          <w:rFonts w:hint="eastAsia" w:cs="宋体"/>
          <w:i w:val="0"/>
          <w:iCs w:val="0"/>
          <w:color w:val="auto"/>
          <w:sz w:val="24"/>
          <w:szCs w:val="24"/>
          <w:highlight w:val="cyan"/>
          <w:u w:val="single"/>
          <w:lang w:val="en-US" w:eastAsia="zh-CN"/>
        </w:rPr>
        <w:t>2025</w:t>
      </w:r>
      <w:r>
        <w:rPr>
          <w:rFonts w:hint="eastAsia" w:ascii="宋体" w:hAnsi="宋体" w:eastAsia="宋体" w:cs="宋体"/>
          <w:i w:val="0"/>
          <w:iCs w:val="0"/>
          <w:color w:val="auto"/>
          <w:sz w:val="24"/>
          <w:szCs w:val="24"/>
          <w:highlight w:val="cyan"/>
          <w:u w:val="single"/>
        </w:rPr>
        <w:t>年</w:t>
      </w:r>
      <w:r>
        <w:rPr>
          <w:rFonts w:hint="eastAsia" w:cs="宋体"/>
          <w:i w:val="0"/>
          <w:iCs w:val="0"/>
          <w:color w:val="auto"/>
          <w:sz w:val="24"/>
          <w:szCs w:val="24"/>
          <w:highlight w:val="cyan"/>
          <w:u w:val="single"/>
          <w:lang w:val="en-US" w:eastAsia="zh-CN"/>
        </w:rPr>
        <w:t>07</w:t>
      </w:r>
      <w:r>
        <w:rPr>
          <w:rFonts w:hint="eastAsia" w:ascii="宋体" w:hAnsi="宋体" w:eastAsia="宋体" w:cs="宋体"/>
          <w:i w:val="0"/>
          <w:iCs w:val="0"/>
          <w:color w:val="auto"/>
          <w:sz w:val="24"/>
          <w:szCs w:val="24"/>
          <w:highlight w:val="cyan"/>
          <w:u w:val="single"/>
        </w:rPr>
        <w:t>月</w:t>
      </w:r>
      <w:r>
        <w:rPr>
          <w:rFonts w:hint="eastAsia" w:cs="宋体"/>
          <w:i w:val="0"/>
          <w:iCs w:val="0"/>
          <w:color w:val="auto"/>
          <w:sz w:val="24"/>
          <w:szCs w:val="24"/>
          <w:highlight w:val="cyan"/>
          <w:u w:val="single"/>
          <w:lang w:val="en-US" w:eastAsia="zh-CN"/>
        </w:rPr>
        <w:t>03</w:t>
      </w:r>
      <w:r>
        <w:rPr>
          <w:rFonts w:hint="eastAsia" w:ascii="宋体" w:hAnsi="宋体" w:eastAsia="宋体" w:cs="宋体"/>
          <w:i w:val="0"/>
          <w:iCs w:val="0"/>
          <w:color w:val="auto"/>
          <w:sz w:val="24"/>
          <w:szCs w:val="24"/>
          <w:highlight w:val="cyan"/>
          <w:u w:val="single"/>
        </w:rPr>
        <w:t>日</w:t>
      </w:r>
      <w:r>
        <w:rPr>
          <w:rFonts w:hint="eastAsia" w:ascii="宋体" w:hAnsi="宋体" w:eastAsia="宋体" w:cs="宋体"/>
          <w:i w:val="0"/>
          <w:iCs w:val="0"/>
          <w:color w:val="auto"/>
          <w:sz w:val="24"/>
          <w:szCs w:val="24"/>
          <w:highlight w:val="none"/>
          <w:u w:val="none"/>
        </w:rPr>
        <w:t>，每天上午</w:t>
      </w:r>
      <w:r>
        <w:rPr>
          <w:rFonts w:hint="eastAsia" w:cs="宋体"/>
          <w:i w:val="0"/>
          <w:iCs w:val="0"/>
          <w:color w:val="auto"/>
          <w:sz w:val="24"/>
          <w:szCs w:val="24"/>
          <w:highlight w:val="none"/>
          <w:u w:val="single"/>
          <w:lang w:val="en-US" w:eastAsia="zh-CN"/>
        </w:rPr>
        <w:t>10:00</w:t>
      </w:r>
      <w:r>
        <w:rPr>
          <w:rFonts w:hint="eastAsia" w:ascii="宋体" w:hAnsi="宋体" w:eastAsia="宋体" w:cs="宋体"/>
          <w:i w:val="0"/>
          <w:iCs w:val="0"/>
          <w:color w:val="auto"/>
          <w:sz w:val="24"/>
          <w:szCs w:val="24"/>
          <w:highlight w:val="none"/>
          <w:u w:val="none"/>
        </w:rPr>
        <w:t>至</w:t>
      </w:r>
      <w:r>
        <w:rPr>
          <w:rFonts w:hint="eastAsia" w:cs="宋体"/>
          <w:i w:val="0"/>
          <w:iCs w:val="0"/>
          <w:color w:val="auto"/>
          <w:sz w:val="24"/>
          <w:szCs w:val="24"/>
          <w:highlight w:val="none"/>
          <w:u w:val="single"/>
          <w:lang w:val="en-US" w:eastAsia="zh-CN"/>
        </w:rPr>
        <w:t>14:00</w:t>
      </w:r>
      <w:r>
        <w:rPr>
          <w:rFonts w:hint="eastAsia" w:ascii="宋体" w:hAnsi="宋体" w:eastAsia="宋体" w:cs="宋体"/>
          <w:i w:val="0"/>
          <w:iCs w:val="0"/>
          <w:color w:val="auto"/>
          <w:sz w:val="24"/>
          <w:szCs w:val="24"/>
          <w:highlight w:val="none"/>
          <w:u w:val="none"/>
        </w:rPr>
        <w:t>，下午</w:t>
      </w:r>
      <w:r>
        <w:rPr>
          <w:rFonts w:hint="eastAsia" w:cs="宋体"/>
          <w:i w:val="0"/>
          <w:iCs w:val="0"/>
          <w:color w:val="auto"/>
          <w:sz w:val="24"/>
          <w:szCs w:val="24"/>
          <w:highlight w:val="none"/>
          <w:u w:val="single"/>
          <w:lang w:val="en-US" w:eastAsia="zh-CN"/>
        </w:rPr>
        <w:t>15:00</w:t>
      </w:r>
      <w:r>
        <w:rPr>
          <w:rFonts w:hint="eastAsia" w:ascii="宋体" w:hAnsi="宋体" w:eastAsia="宋体" w:cs="宋体"/>
          <w:i w:val="0"/>
          <w:iCs w:val="0"/>
          <w:color w:val="auto"/>
          <w:sz w:val="24"/>
          <w:szCs w:val="24"/>
          <w:highlight w:val="none"/>
          <w:u w:val="none"/>
        </w:rPr>
        <w:t>至</w:t>
      </w:r>
      <w:r>
        <w:rPr>
          <w:rFonts w:hint="eastAsia" w:cs="宋体"/>
          <w:i w:val="0"/>
          <w:iCs w:val="0"/>
          <w:color w:val="auto"/>
          <w:sz w:val="24"/>
          <w:szCs w:val="24"/>
          <w:highlight w:val="none"/>
          <w:u w:val="single"/>
          <w:lang w:val="en-US" w:eastAsia="zh-CN"/>
        </w:rPr>
        <w:t>19:00</w:t>
      </w:r>
      <w:r>
        <w:rPr>
          <w:rFonts w:hint="eastAsia" w:ascii="宋体" w:hAnsi="宋体" w:eastAsia="宋体" w:cs="宋体"/>
          <w:i w:val="0"/>
          <w:iCs w:val="0"/>
          <w:color w:val="auto"/>
          <w:sz w:val="24"/>
          <w:szCs w:val="24"/>
          <w:highlight w:val="none"/>
          <w:u w:val="none"/>
        </w:rPr>
        <w:t>（北京时间，法定节假日除外）</w:t>
      </w:r>
      <w:r>
        <w:rPr>
          <w:rFonts w:hint="eastAsia" w:ascii="宋体" w:hAnsi="宋体" w:eastAsia="宋体" w:cs="宋体"/>
          <w:i w:val="0"/>
          <w:iCs w:val="0"/>
          <w:color w:val="auto"/>
          <w:sz w:val="24"/>
          <w:szCs w:val="24"/>
          <w:highlight w:val="none"/>
          <w:lang w:eastAsia="zh-CN"/>
        </w:rPr>
        <w:t>。</w:t>
      </w:r>
    </w:p>
    <w:bookmarkEnd w:id="40"/>
    <w:p w14:paraId="05DEA1B7">
      <w:pPr>
        <w:pStyle w:val="35"/>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hr-HR"/>
        </w:rPr>
        <w:t>2.</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lang w:val="hr-HR"/>
        </w:rPr>
        <w:t>：</w:t>
      </w:r>
      <w:bookmarkStart w:id="47" w:name="_Hlk89807779"/>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rPr>
        <w:t>政府采购</w:t>
      </w:r>
      <w:r>
        <w:rPr>
          <w:rFonts w:hint="eastAsia" w:ascii="宋体" w:hAnsi="宋体" w:eastAsia="宋体" w:cs="宋体"/>
          <w:i w:val="0"/>
          <w:iCs w:val="0"/>
          <w:color w:val="auto"/>
          <w:sz w:val="24"/>
          <w:szCs w:val="24"/>
          <w:highlight w:val="none"/>
          <w:lang w:val="en-US"/>
        </w:rPr>
        <w:t>电子交易云</w:t>
      </w:r>
      <w:r>
        <w:rPr>
          <w:rFonts w:hint="eastAsia" w:ascii="宋体" w:hAnsi="宋体" w:eastAsia="宋体" w:cs="宋体"/>
          <w:i w:val="0"/>
          <w:iCs w:val="0"/>
          <w:color w:val="auto"/>
          <w:sz w:val="24"/>
          <w:szCs w:val="24"/>
          <w:highlight w:val="none"/>
        </w:rPr>
        <w:t>平台</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rPr>
        <w:t>网址</w:t>
      </w:r>
      <w:r>
        <w:rPr>
          <w:rFonts w:hint="eastAsia" w:ascii="宋体" w:hAnsi="宋体" w:eastAsia="宋体" w:cs="宋体"/>
          <w:i w:val="0"/>
          <w:iCs w:val="0"/>
          <w:color w:val="auto"/>
          <w:sz w:val="24"/>
          <w:szCs w:val="24"/>
          <w:highlight w:val="none"/>
          <w:lang w:val="hr-HR"/>
        </w:rPr>
        <w:t>：</w:t>
      </w:r>
      <w:r>
        <w:rPr>
          <w:rFonts w:hint="eastAsia" w:eastAsia="宋体" w:cs="仿宋_GB2312"/>
          <w:color w:val="auto"/>
          <w:sz w:val="24"/>
          <w:szCs w:val="24"/>
          <w:highlight w:val="none"/>
        </w:rPr>
        <w:t>http://www.ccgp-xinjiang.gov.cn/</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rPr>
        <w:t>。</w:t>
      </w:r>
      <w:bookmarkEnd w:id="47"/>
    </w:p>
    <w:p w14:paraId="42A40251">
      <w:pPr>
        <w:pStyle w:val="35"/>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hr-HR"/>
        </w:rPr>
        <w:t>3.</w:t>
      </w: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供应商登录政采云平台</w:t>
      </w:r>
      <w:r>
        <w:rPr>
          <w:rFonts w:hint="eastAsia" w:eastAsia="宋体" w:cs="仿宋_GB2312"/>
          <w:color w:val="auto"/>
          <w:sz w:val="24"/>
          <w:szCs w:val="24"/>
          <w:highlight w:val="none"/>
        </w:rPr>
        <w:t>http://www.ccgp-xinjiang.gov.cn/</w:t>
      </w:r>
      <w:r>
        <w:rPr>
          <w:rFonts w:hint="eastAsia" w:ascii="宋体" w:hAnsi="宋体" w:eastAsia="宋体" w:cs="宋体"/>
          <w:i w:val="0"/>
          <w:iCs w:val="0"/>
          <w:color w:val="auto"/>
          <w:sz w:val="24"/>
          <w:szCs w:val="24"/>
          <w:highlight w:val="none"/>
          <w:lang w:val="en-US"/>
        </w:rPr>
        <w:t>在线申请</w:t>
      </w:r>
      <w:r>
        <w:rPr>
          <w:rFonts w:hint="eastAsia" w:ascii="宋体" w:hAnsi="宋体" w:eastAsia="宋体" w:cs="宋体"/>
          <w:i w:val="0"/>
          <w:iCs w:val="0"/>
          <w:color w:val="auto"/>
          <w:sz w:val="24"/>
          <w:szCs w:val="24"/>
          <w:highlight w:val="none"/>
          <w:lang w:val="en-US" w:eastAsia="zh-CN"/>
        </w:rPr>
        <w:t>，免费</w:t>
      </w:r>
      <w:r>
        <w:rPr>
          <w:rFonts w:hint="eastAsia" w:ascii="宋体" w:hAnsi="宋体" w:eastAsia="宋体" w:cs="宋体"/>
          <w:i w:val="0"/>
          <w:iCs w:val="0"/>
          <w:color w:val="auto"/>
          <w:sz w:val="24"/>
          <w:szCs w:val="24"/>
          <w:highlight w:val="none"/>
          <w:lang w:val="en-US"/>
        </w:rPr>
        <w:t>获取</w:t>
      </w:r>
      <w:r>
        <w:rPr>
          <w:rFonts w:hint="eastAsia" w:ascii="宋体" w:hAnsi="宋体" w:eastAsia="宋体" w:cs="宋体"/>
          <w:i w:val="0"/>
          <w:iCs w:val="0"/>
          <w:color w:val="auto"/>
          <w:sz w:val="24"/>
          <w:szCs w:val="24"/>
          <w:highlight w:val="none"/>
          <w:lang w:val="en-US" w:eastAsia="zh-CN"/>
        </w:rPr>
        <w:t>电子</w:t>
      </w:r>
      <w:r>
        <w:rPr>
          <w:rFonts w:hint="eastAsia" w:ascii="宋体" w:hAnsi="宋体" w:eastAsia="宋体" w:cs="宋体"/>
          <w:i w:val="0"/>
          <w:iCs w:val="0"/>
          <w:color w:val="auto"/>
          <w:sz w:val="24"/>
          <w:szCs w:val="24"/>
          <w:highlight w:val="none"/>
          <w:lang w:val="en-US"/>
        </w:rPr>
        <w:t>采购文件</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进入</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项目采购</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应用</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在获取采购文件菜单中选择项目</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申请获取采购文件</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w:t>
      </w:r>
      <w:r>
        <w:rPr>
          <w:rFonts w:hint="eastAsia" w:ascii="宋体" w:hAnsi="宋体" w:eastAsia="宋体" w:cs="宋体"/>
          <w:i w:val="0"/>
          <w:iCs w:val="0"/>
          <w:color w:val="auto"/>
          <w:sz w:val="24"/>
          <w:szCs w:val="24"/>
          <w:highlight w:val="none"/>
          <w:lang w:val="hr-HR"/>
        </w:rPr>
        <w:t xml:space="preserve"> </w:t>
      </w:r>
    </w:p>
    <w:p w14:paraId="6565D40F">
      <w:pPr>
        <w:pStyle w:val="35"/>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rPr>
        <w:t>售价：</w:t>
      </w:r>
      <w:r>
        <w:rPr>
          <w:rFonts w:hint="eastAsia" w:ascii="宋体" w:hAnsi="宋体" w:eastAsia="宋体" w:cs="宋体"/>
          <w:i w:val="0"/>
          <w:iCs w:val="0"/>
          <w:color w:val="auto"/>
          <w:sz w:val="24"/>
          <w:szCs w:val="24"/>
          <w:highlight w:val="none"/>
          <w:lang w:val="en-US" w:eastAsia="zh-CN"/>
        </w:rPr>
        <w:t>0元。</w:t>
      </w:r>
    </w:p>
    <w:bookmarkEnd w:id="41"/>
    <w:bookmarkEnd w:id="42"/>
    <w:bookmarkEnd w:id="43"/>
    <w:bookmarkEnd w:id="44"/>
    <w:bookmarkEnd w:id="45"/>
    <w:bookmarkEnd w:id="46"/>
    <w:p w14:paraId="0681F60E">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48" w:name="_Toc163492815"/>
      <w:bookmarkStart w:id="49" w:name="_Toc109899832"/>
      <w:bookmarkStart w:id="50" w:name="_Toc140132748"/>
      <w:bookmarkStart w:id="51" w:name="_Toc109900251"/>
      <w:bookmarkStart w:id="52" w:name="_Toc155185863"/>
      <w:bookmarkStart w:id="53" w:name="_Toc109899413"/>
      <w:bookmarkStart w:id="54" w:name="_Toc19038"/>
      <w:r>
        <w:rPr>
          <w:rFonts w:hint="eastAsia" w:ascii="宋体" w:hAnsi="宋体" w:eastAsia="宋体" w:cs="宋体"/>
          <w:b/>
          <w:bCs/>
          <w:i w:val="0"/>
          <w:iCs w:val="0"/>
          <w:color w:val="auto"/>
          <w:kern w:val="2"/>
          <w:sz w:val="24"/>
          <w:szCs w:val="24"/>
          <w:highlight w:val="none"/>
          <w:lang w:val="en-US" w:eastAsia="zh-CN" w:bidi="ar-SA"/>
        </w:rPr>
        <w:t>四、</w:t>
      </w:r>
      <w:bookmarkEnd w:id="48"/>
      <w:bookmarkEnd w:id="49"/>
      <w:bookmarkEnd w:id="50"/>
      <w:bookmarkEnd w:id="51"/>
      <w:bookmarkEnd w:id="52"/>
      <w:bookmarkEnd w:id="53"/>
      <w:r>
        <w:rPr>
          <w:rFonts w:hint="eastAsia" w:ascii="宋体" w:hAnsi="宋体" w:eastAsia="宋体" w:cs="宋体"/>
          <w:b/>
          <w:bCs/>
          <w:i w:val="0"/>
          <w:iCs w:val="0"/>
          <w:color w:val="auto"/>
          <w:spacing w:val="-6"/>
          <w:kern w:val="2"/>
          <w:sz w:val="24"/>
          <w:szCs w:val="24"/>
          <w:highlight w:val="none"/>
          <w:lang w:val="hr-HR" w:eastAsia="zh-CN" w:bidi="ar-SA"/>
        </w:rPr>
        <w:t>响应文件提交</w:t>
      </w:r>
      <w:bookmarkEnd w:id="54"/>
    </w:p>
    <w:p w14:paraId="58C51A7B">
      <w:pPr>
        <w:pStyle w:val="35"/>
        <w:rPr>
          <w:rFonts w:hint="eastAsia" w:ascii="宋体" w:hAnsi="宋体" w:eastAsia="宋体" w:cs="宋体"/>
          <w:i w:val="0"/>
          <w:iCs w:val="0"/>
          <w:color w:val="auto"/>
          <w:sz w:val="24"/>
          <w:szCs w:val="24"/>
          <w:highlight w:val="none"/>
        </w:rPr>
      </w:pPr>
      <w:bookmarkStart w:id="55" w:name="_Hlk130457395"/>
      <w:bookmarkStart w:id="56" w:name="_Toc44583633"/>
      <w:bookmarkStart w:id="57" w:name="_Toc35393634"/>
      <w:bookmarkStart w:id="58" w:name="_Toc35393803"/>
      <w:bookmarkStart w:id="59" w:name="_Toc28359094"/>
      <w:bookmarkStart w:id="60" w:name="_Toc28359017"/>
      <w:r>
        <w:rPr>
          <w:rFonts w:hint="eastAsia" w:ascii="宋体" w:hAnsi="宋体" w:eastAsia="宋体" w:cs="宋体"/>
          <w:i w:val="0"/>
          <w:iCs w:val="0"/>
          <w:color w:val="auto"/>
          <w:sz w:val="24"/>
          <w:szCs w:val="24"/>
          <w:highlight w:val="none"/>
        </w:rPr>
        <w:t>1.截止时间</w:t>
      </w:r>
      <w:r>
        <w:rPr>
          <w:rFonts w:hint="eastAsia" w:ascii="宋体" w:hAnsi="宋体" w:eastAsia="宋体" w:cs="宋体"/>
          <w:i w:val="0"/>
          <w:iCs w:val="0"/>
          <w:color w:val="auto"/>
          <w:sz w:val="24"/>
          <w:szCs w:val="24"/>
          <w:highlight w:val="none"/>
          <w:lang w:eastAsia="zh-CN"/>
        </w:rPr>
        <w:t>：</w:t>
      </w:r>
      <w:r>
        <w:rPr>
          <w:rFonts w:hint="eastAsia" w:cs="宋体"/>
          <w:i w:val="0"/>
          <w:iCs w:val="0"/>
          <w:color w:val="auto"/>
          <w:sz w:val="24"/>
          <w:szCs w:val="24"/>
          <w:highlight w:val="cyan"/>
          <w:u w:val="single"/>
          <w:lang w:val="en-US" w:eastAsia="zh-CN"/>
        </w:rPr>
        <w:t>2025</w:t>
      </w:r>
      <w:r>
        <w:rPr>
          <w:rFonts w:hint="eastAsia" w:ascii="宋体" w:hAnsi="宋体" w:eastAsia="宋体" w:cs="宋体"/>
          <w:i w:val="0"/>
          <w:iCs w:val="0"/>
          <w:color w:val="auto"/>
          <w:sz w:val="24"/>
          <w:szCs w:val="24"/>
          <w:highlight w:val="cyan"/>
          <w:u w:val="single"/>
        </w:rPr>
        <w:t>年</w:t>
      </w:r>
      <w:r>
        <w:rPr>
          <w:rFonts w:hint="eastAsia" w:cs="宋体"/>
          <w:i w:val="0"/>
          <w:iCs w:val="0"/>
          <w:color w:val="auto"/>
          <w:sz w:val="24"/>
          <w:szCs w:val="24"/>
          <w:highlight w:val="cyan"/>
          <w:u w:val="single"/>
          <w:lang w:val="en-US" w:eastAsia="zh-CN"/>
        </w:rPr>
        <w:t>07</w:t>
      </w:r>
      <w:r>
        <w:rPr>
          <w:rFonts w:hint="eastAsia" w:ascii="宋体" w:hAnsi="宋体" w:eastAsia="宋体" w:cs="宋体"/>
          <w:i w:val="0"/>
          <w:iCs w:val="0"/>
          <w:color w:val="auto"/>
          <w:sz w:val="24"/>
          <w:szCs w:val="24"/>
          <w:highlight w:val="cyan"/>
          <w:u w:val="single"/>
        </w:rPr>
        <w:t>月</w:t>
      </w:r>
      <w:r>
        <w:rPr>
          <w:rFonts w:hint="eastAsia" w:cs="宋体"/>
          <w:i w:val="0"/>
          <w:iCs w:val="0"/>
          <w:color w:val="auto"/>
          <w:sz w:val="24"/>
          <w:szCs w:val="24"/>
          <w:highlight w:val="cyan"/>
          <w:u w:val="single"/>
          <w:lang w:val="en-US" w:eastAsia="zh-CN"/>
        </w:rPr>
        <w:t>07</w:t>
      </w:r>
      <w:r>
        <w:rPr>
          <w:rFonts w:hint="eastAsia" w:ascii="宋体" w:hAnsi="宋体" w:eastAsia="宋体" w:cs="宋体"/>
          <w:i w:val="0"/>
          <w:iCs w:val="0"/>
          <w:color w:val="auto"/>
          <w:sz w:val="24"/>
          <w:szCs w:val="24"/>
          <w:highlight w:val="cyan"/>
          <w:u w:val="single"/>
        </w:rPr>
        <w:t>日</w:t>
      </w:r>
      <w:r>
        <w:rPr>
          <w:rFonts w:hint="eastAsia" w:cs="宋体"/>
          <w:i w:val="0"/>
          <w:iCs w:val="0"/>
          <w:color w:val="auto"/>
          <w:sz w:val="24"/>
          <w:szCs w:val="24"/>
          <w:highlight w:val="cyan"/>
          <w:u w:val="single"/>
          <w:lang w:val="en-US" w:eastAsia="zh-CN"/>
        </w:rPr>
        <w:t>16</w:t>
      </w:r>
      <w:r>
        <w:rPr>
          <w:rFonts w:hint="eastAsia" w:ascii="宋体" w:hAnsi="宋体" w:eastAsia="宋体" w:cs="宋体"/>
          <w:i w:val="0"/>
          <w:iCs w:val="0"/>
          <w:color w:val="auto"/>
          <w:sz w:val="24"/>
          <w:szCs w:val="24"/>
          <w:highlight w:val="cyan"/>
          <w:u w:val="single"/>
        </w:rPr>
        <w:t>时</w:t>
      </w:r>
      <w:r>
        <w:rPr>
          <w:rFonts w:hint="eastAsia" w:cs="宋体"/>
          <w:i w:val="0"/>
          <w:iCs w:val="0"/>
          <w:color w:val="auto"/>
          <w:sz w:val="24"/>
          <w:szCs w:val="24"/>
          <w:highlight w:val="cyan"/>
          <w:u w:val="single"/>
          <w:lang w:val="en-US" w:eastAsia="zh-CN"/>
        </w:rPr>
        <w:t>00</w:t>
      </w:r>
      <w:r>
        <w:rPr>
          <w:rFonts w:hint="eastAsia" w:ascii="宋体" w:hAnsi="宋体" w:eastAsia="宋体" w:cs="宋体"/>
          <w:i w:val="0"/>
          <w:iCs w:val="0"/>
          <w:color w:val="auto"/>
          <w:sz w:val="24"/>
          <w:szCs w:val="24"/>
          <w:highlight w:val="cyan"/>
          <w:u w:val="single"/>
        </w:rPr>
        <w:t>分</w:t>
      </w:r>
      <w:r>
        <w:rPr>
          <w:rFonts w:hint="eastAsia" w:ascii="宋体" w:hAnsi="宋体" w:eastAsia="宋体" w:cs="宋体"/>
          <w:i w:val="0"/>
          <w:iCs w:val="0"/>
          <w:color w:val="auto"/>
          <w:sz w:val="24"/>
          <w:szCs w:val="24"/>
          <w:highlight w:val="none"/>
        </w:rPr>
        <w:t>（北京时间）。</w:t>
      </w:r>
    </w:p>
    <w:p w14:paraId="63FC81BC">
      <w:pPr>
        <w:pStyle w:val="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地点</w:t>
      </w:r>
      <w:r>
        <w:rPr>
          <w:rFonts w:hint="eastAsia" w:ascii="宋体" w:hAnsi="宋体" w:eastAsia="宋体" w:cs="宋体"/>
          <w:i w:val="0"/>
          <w:iCs w:val="0"/>
          <w:color w:val="auto"/>
          <w:sz w:val="24"/>
          <w:szCs w:val="24"/>
          <w:highlight w:val="none"/>
        </w:rPr>
        <w:t>：通过</w:t>
      </w:r>
      <w:r>
        <w:rPr>
          <w:rFonts w:hint="eastAsia" w:ascii="宋体" w:hAnsi="宋体" w:eastAsia="宋体" w:cs="宋体"/>
          <w:i w:val="0"/>
          <w:iCs w:val="0"/>
          <w:color w:val="auto"/>
          <w:sz w:val="24"/>
          <w:szCs w:val="24"/>
          <w:highlight w:val="none"/>
          <w:lang w:val="en-US"/>
        </w:rPr>
        <w:t>政采云平台投标</w:t>
      </w:r>
      <w:r>
        <w:rPr>
          <w:rFonts w:hint="eastAsia" w:ascii="宋体" w:hAnsi="宋体" w:eastAsia="宋体" w:cs="宋体"/>
          <w:i w:val="0"/>
          <w:iCs w:val="0"/>
          <w:color w:val="auto"/>
          <w:sz w:val="24"/>
          <w:szCs w:val="24"/>
          <w:highlight w:val="none"/>
        </w:rPr>
        <w:t>供应商客户端选择项目分包文件递交页面进行递交（上传）。</w:t>
      </w:r>
      <w:bookmarkStart w:id="755" w:name="_GoBack"/>
      <w:bookmarkEnd w:id="755"/>
    </w:p>
    <w:bookmarkEnd w:id="55"/>
    <w:p w14:paraId="6BAC9797">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61" w:name="_Toc16856"/>
      <w:bookmarkStart w:id="62" w:name="_Toc155185864"/>
      <w:bookmarkStart w:id="63" w:name="_Toc109899833"/>
      <w:bookmarkStart w:id="64" w:name="_Toc109900252"/>
      <w:bookmarkStart w:id="65" w:name="_Toc109899414"/>
      <w:bookmarkStart w:id="66" w:name="_Toc140132749"/>
      <w:bookmarkStart w:id="67" w:name="_Toc163492816"/>
      <w:r>
        <w:rPr>
          <w:rFonts w:hint="eastAsia" w:ascii="宋体" w:hAnsi="宋体" w:eastAsia="宋体" w:cs="宋体"/>
          <w:b/>
          <w:bCs/>
          <w:i w:val="0"/>
          <w:iCs w:val="0"/>
          <w:color w:val="auto"/>
          <w:kern w:val="2"/>
          <w:sz w:val="24"/>
          <w:szCs w:val="24"/>
          <w:highlight w:val="none"/>
          <w:lang w:val="en-US" w:eastAsia="zh-CN" w:bidi="ar-SA"/>
        </w:rPr>
        <w:t>五、开启</w:t>
      </w:r>
      <w:bookmarkEnd w:id="61"/>
    </w:p>
    <w:p w14:paraId="508C6E16">
      <w:pPr>
        <w:pStyle w:val="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1.时间：</w:t>
      </w:r>
      <w:r>
        <w:rPr>
          <w:rFonts w:hint="eastAsia" w:cs="宋体"/>
          <w:i w:val="0"/>
          <w:iCs w:val="0"/>
          <w:color w:val="auto"/>
          <w:sz w:val="24"/>
          <w:szCs w:val="24"/>
          <w:highlight w:val="cyan"/>
          <w:u w:val="single"/>
          <w:lang w:val="en-US" w:eastAsia="zh-CN"/>
        </w:rPr>
        <w:t>2025</w:t>
      </w:r>
      <w:r>
        <w:rPr>
          <w:rFonts w:hint="eastAsia" w:ascii="宋体" w:hAnsi="宋体" w:eastAsia="宋体" w:cs="宋体"/>
          <w:i w:val="0"/>
          <w:iCs w:val="0"/>
          <w:color w:val="auto"/>
          <w:sz w:val="24"/>
          <w:szCs w:val="24"/>
          <w:highlight w:val="cyan"/>
          <w:u w:val="single"/>
        </w:rPr>
        <w:t>年</w:t>
      </w:r>
      <w:r>
        <w:rPr>
          <w:rFonts w:hint="eastAsia" w:cs="宋体"/>
          <w:i w:val="0"/>
          <w:iCs w:val="0"/>
          <w:color w:val="auto"/>
          <w:sz w:val="24"/>
          <w:szCs w:val="24"/>
          <w:highlight w:val="cyan"/>
          <w:u w:val="single"/>
          <w:lang w:val="en-US" w:eastAsia="zh-CN"/>
        </w:rPr>
        <w:t>07</w:t>
      </w:r>
      <w:r>
        <w:rPr>
          <w:rFonts w:hint="eastAsia" w:ascii="宋体" w:hAnsi="宋体" w:eastAsia="宋体" w:cs="宋体"/>
          <w:i w:val="0"/>
          <w:iCs w:val="0"/>
          <w:color w:val="auto"/>
          <w:sz w:val="24"/>
          <w:szCs w:val="24"/>
          <w:highlight w:val="cyan"/>
          <w:u w:val="single"/>
        </w:rPr>
        <w:t>月</w:t>
      </w:r>
      <w:r>
        <w:rPr>
          <w:rFonts w:hint="eastAsia" w:cs="宋体"/>
          <w:i w:val="0"/>
          <w:iCs w:val="0"/>
          <w:color w:val="auto"/>
          <w:sz w:val="24"/>
          <w:szCs w:val="24"/>
          <w:highlight w:val="cyan"/>
          <w:u w:val="single"/>
          <w:lang w:val="en-US" w:eastAsia="zh-CN"/>
        </w:rPr>
        <w:t>07</w:t>
      </w:r>
      <w:r>
        <w:rPr>
          <w:rFonts w:hint="eastAsia" w:ascii="宋体" w:hAnsi="宋体" w:eastAsia="宋体" w:cs="宋体"/>
          <w:i w:val="0"/>
          <w:iCs w:val="0"/>
          <w:color w:val="auto"/>
          <w:sz w:val="24"/>
          <w:szCs w:val="24"/>
          <w:highlight w:val="cyan"/>
          <w:u w:val="single"/>
        </w:rPr>
        <w:t>日</w:t>
      </w:r>
      <w:r>
        <w:rPr>
          <w:rFonts w:hint="eastAsia" w:cs="宋体"/>
          <w:i w:val="0"/>
          <w:iCs w:val="0"/>
          <w:color w:val="auto"/>
          <w:sz w:val="24"/>
          <w:szCs w:val="24"/>
          <w:highlight w:val="cyan"/>
          <w:u w:val="single"/>
          <w:lang w:val="en-US" w:eastAsia="zh-CN"/>
        </w:rPr>
        <w:t>16</w:t>
      </w:r>
      <w:r>
        <w:rPr>
          <w:rFonts w:hint="eastAsia" w:ascii="宋体" w:hAnsi="宋体" w:eastAsia="宋体" w:cs="宋体"/>
          <w:i w:val="0"/>
          <w:iCs w:val="0"/>
          <w:color w:val="auto"/>
          <w:sz w:val="24"/>
          <w:szCs w:val="24"/>
          <w:highlight w:val="cyan"/>
          <w:u w:val="single"/>
        </w:rPr>
        <w:t>时</w:t>
      </w:r>
      <w:r>
        <w:rPr>
          <w:rFonts w:hint="eastAsia" w:cs="宋体"/>
          <w:i w:val="0"/>
          <w:iCs w:val="0"/>
          <w:color w:val="auto"/>
          <w:sz w:val="24"/>
          <w:szCs w:val="24"/>
          <w:highlight w:val="cyan"/>
          <w:u w:val="single"/>
          <w:lang w:val="en-US" w:eastAsia="zh-CN"/>
        </w:rPr>
        <w:t>00</w:t>
      </w:r>
      <w:r>
        <w:rPr>
          <w:rFonts w:hint="eastAsia" w:ascii="宋体" w:hAnsi="宋体" w:eastAsia="宋体" w:cs="宋体"/>
          <w:i w:val="0"/>
          <w:iCs w:val="0"/>
          <w:color w:val="auto"/>
          <w:sz w:val="24"/>
          <w:szCs w:val="24"/>
          <w:highlight w:val="cyan"/>
          <w:u w:val="single"/>
        </w:rPr>
        <w:t>分</w:t>
      </w:r>
      <w:r>
        <w:rPr>
          <w:rFonts w:hint="eastAsia" w:ascii="宋体" w:hAnsi="宋体" w:eastAsia="宋体" w:cs="宋体"/>
          <w:i w:val="0"/>
          <w:iCs w:val="0"/>
          <w:color w:val="auto"/>
          <w:sz w:val="24"/>
          <w:szCs w:val="24"/>
          <w:highlight w:val="none"/>
        </w:rPr>
        <w:t>（北京时间）。</w:t>
      </w:r>
    </w:p>
    <w:p w14:paraId="71EF07E7">
      <w:pPr>
        <w:pStyle w:val="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地点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供应商登录政采云平台</w:t>
      </w:r>
      <w:r>
        <w:rPr>
          <w:rFonts w:hint="eastAsia" w:eastAsia="宋体" w:cs="仿宋_GB2312"/>
          <w:color w:val="auto"/>
          <w:sz w:val="24"/>
          <w:szCs w:val="24"/>
          <w:highlight w:val="none"/>
        </w:rPr>
        <w:t>http://www.ccgp-xinjiang.gov.cn/</w:t>
      </w:r>
      <w:r>
        <w:rPr>
          <w:rFonts w:hint="eastAsia" w:ascii="宋体" w:hAnsi="宋体" w:eastAsia="宋体" w:cs="宋体"/>
          <w:i w:val="0"/>
          <w:iCs w:val="0"/>
          <w:color w:val="auto"/>
          <w:sz w:val="24"/>
          <w:szCs w:val="24"/>
          <w:highlight w:val="none"/>
          <w:lang w:val="en-US"/>
        </w:rPr>
        <w:t>，进入“项目采购-开评标管理-右边选择对应项目点击“进入项目”进入开标大厅</w:t>
      </w:r>
      <w:r>
        <w:rPr>
          <w:rFonts w:hint="eastAsia" w:ascii="宋体" w:hAnsi="宋体" w:eastAsia="宋体" w:cs="宋体"/>
          <w:i w:val="0"/>
          <w:iCs w:val="0"/>
          <w:color w:val="auto"/>
          <w:sz w:val="24"/>
          <w:szCs w:val="24"/>
          <w:highlight w:val="none"/>
        </w:rPr>
        <w:t>。</w:t>
      </w:r>
    </w:p>
    <w:p w14:paraId="72A987BA">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68" w:name="_Toc582"/>
      <w:r>
        <w:rPr>
          <w:rFonts w:hint="eastAsia" w:ascii="宋体" w:hAnsi="宋体" w:eastAsia="宋体" w:cs="宋体"/>
          <w:b/>
          <w:bCs/>
          <w:i w:val="0"/>
          <w:iCs w:val="0"/>
          <w:color w:val="auto"/>
          <w:kern w:val="2"/>
          <w:sz w:val="24"/>
          <w:szCs w:val="24"/>
          <w:highlight w:val="none"/>
          <w:lang w:val="en-US" w:eastAsia="zh-CN" w:bidi="ar-SA"/>
        </w:rPr>
        <w:t>六、</w:t>
      </w:r>
      <w:r>
        <w:rPr>
          <w:rFonts w:hint="eastAsia" w:ascii="宋体" w:hAnsi="宋体" w:eastAsia="宋体" w:cs="宋体"/>
          <w:b/>
          <w:bCs/>
          <w:i w:val="0"/>
          <w:iCs w:val="0"/>
          <w:color w:val="auto"/>
          <w:kern w:val="2"/>
          <w:sz w:val="24"/>
          <w:szCs w:val="24"/>
          <w:highlight w:val="none"/>
          <w:lang w:val="hr-HR" w:eastAsia="zh-CN" w:bidi="ar-SA"/>
        </w:rPr>
        <w:t>公告期限</w:t>
      </w:r>
      <w:bookmarkEnd w:id="56"/>
      <w:bookmarkEnd w:id="57"/>
      <w:bookmarkEnd w:id="58"/>
      <w:bookmarkEnd w:id="59"/>
      <w:bookmarkEnd w:id="60"/>
      <w:bookmarkEnd w:id="62"/>
      <w:bookmarkEnd w:id="63"/>
      <w:bookmarkEnd w:id="64"/>
      <w:bookmarkEnd w:id="65"/>
      <w:bookmarkEnd w:id="66"/>
      <w:bookmarkEnd w:id="67"/>
      <w:bookmarkEnd w:id="68"/>
    </w:p>
    <w:p w14:paraId="187C1FE3">
      <w:pPr>
        <w:pageBreakBefore w:val="0"/>
        <w:kinsoku/>
        <w:wordWrap/>
        <w:overflowPunct/>
        <w:topLinePunct w:val="0"/>
        <w:bidi w:val="0"/>
        <w:snapToGrid w:val="0"/>
        <w:spacing w:line="348" w:lineRule="auto"/>
        <w:ind w:left="0" w:leftChars="0" w:firstLine="480" w:firstLineChars="200"/>
        <w:jc w:val="both"/>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自本公告发布之日起3个工作日。</w:t>
      </w:r>
      <w:bookmarkStart w:id="69" w:name="_Toc35393804"/>
      <w:bookmarkStart w:id="70" w:name="_Toc109899834"/>
      <w:bookmarkStart w:id="71" w:name="_Toc35393635"/>
      <w:bookmarkStart w:id="72" w:name="_Toc163492817"/>
      <w:bookmarkStart w:id="73" w:name="_Toc155185865"/>
      <w:bookmarkStart w:id="74" w:name="_Toc109899415"/>
      <w:bookmarkStart w:id="75" w:name="_Toc140132750"/>
      <w:bookmarkStart w:id="76" w:name="_Toc109900253"/>
      <w:bookmarkStart w:id="77" w:name="_Toc44583634"/>
    </w:p>
    <w:p w14:paraId="20DD1AA0">
      <w:pPr>
        <w:pStyle w:val="4"/>
        <w:bidi w:val="0"/>
        <w:spacing w:before="0" w:after="0" w:line="240" w:lineRule="auto"/>
        <w:rPr>
          <w:rFonts w:hint="eastAsia" w:ascii="宋体" w:hAnsi="宋体" w:eastAsia="宋体" w:cs="宋体"/>
          <w:b w:val="0"/>
          <w:bCs w:val="0"/>
          <w:i w:val="0"/>
          <w:iCs w:val="0"/>
          <w:color w:val="auto"/>
          <w:kern w:val="2"/>
          <w:sz w:val="24"/>
          <w:szCs w:val="24"/>
          <w:highlight w:val="none"/>
          <w:lang w:val="hr-HR" w:eastAsia="zh-CN" w:bidi="ar-SA"/>
        </w:rPr>
      </w:pPr>
      <w:bookmarkStart w:id="78" w:name="_Toc2075"/>
      <w:r>
        <w:rPr>
          <w:rFonts w:hint="eastAsia" w:ascii="宋体" w:hAnsi="宋体" w:eastAsia="宋体" w:cs="宋体"/>
          <w:b/>
          <w:bCs/>
          <w:i w:val="0"/>
          <w:iCs w:val="0"/>
          <w:color w:val="auto"/>
          <w:kern w:val="2"/>
          <w:sz w:val="24"/>
          <w:szCs w:val="24"/>
          <w:highlight w:val="none"/>
          <w:lang w:val="hr-HR" w:eastAsia="zh-CN" w:bidi="ar-SA"/>
        </w:rPr>
        <w:t>七、其他补充事宜</w:t>
      </w:r>
      <w:bookmarkEnd w:id="69"/>
      <w:bookmarkEnd w:id="70"/>
      <w:bookmarkEnd w:id="71"/>
      <w:bookmarkEnd w:id="72"/>
      <w:bookmarkEnd w:id="73"/>
      <w:bookmarkEnd w:id="74"/>
      <w:bookmarkEnd w:id="75"/>
      <w:bookmarkEnd w:id="76"/>
      <w:bookmarkEnd w:id="77"/>
      <w:bookmarkEnd w:id="78"/>
    </w:p>
    <w:p w14:paraId="41081063">
      <w:pPr>
        <w:pStyle w:val="35"/>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1、本项目实行网上投标，采用电子投标文件。</w:t>
      </w:r>
    </w:p>
    <w:p w14:paraId="071FF66F">
      <w:pPr>
        <w:pStyle w:val="35"/>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079B069">
      <w:pPr>
        <w:pStyle w:val="35"/>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303252EC">
      <w:pPr>
        <w:pStyle w:val="35"/>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4、其他事项： </w:t>
      </w:r>
    </w:p>
    <w:p w14:paraId="6327D4DC">
      <w:pPr>
        <w:pStyle w:val="35"/>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本项目实行电子招投标，供应商须登录政采云平台申请获取采购文件，并需要使用CA锁，登录政采云电子投标客户端制作投标文件，若供应商参与投标,自行承担与投标有关的一切费用。</w:t>
      </w:r>
    </w:p>
    <w:p w14:paraId="459B2322">
      <w:pPr>
        <w:pStyle w:val="35"/>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cs="宋体"/>
          <w:color w:val="auto"/>
          <w:sz w:val="24"/>
          <w:highlight w:val="none"/>
          <w:lang w:val="en-US" w:eastAsia="zh-CN"/>
        </w:rPr>
        <w:t>。</w:t>
      </w:r>
    </w:p>
    <w:p w14:paraId="10E8E99C">
      <w:pPr>
        <w:pStyle w:val="35"/>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供应商可前往新疆政府采购网（http://www.ccgp-xinjiang.gov.cn/）下载专区，下载政采云电子投标客户端，安装完成后，可通过账号密码或CA登录客户端进行投标文件制作。</w:t>
      </w:r>
    </w:p>
    <w:p w14:paraId="0A7D3DED">
      <w:pPr>
        <w:pStyle w:val="35"/>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供应商在开标时须携带制作加密电子投标文件所使用的CA锁，电脑须提前配置好浏览器，以便开标时在线解密。</w:t>
      </w:r>
    </w:p>
    <w:p w14:paraId="2CAAC2D9">
      <w:pPr>
        <w:pStyle w:val="35"/>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cs="宋体"/>
          <w:color w:val="auto"/>
          <w:sz w:val="24"/>
          <w:highlight w:val="none"/>
          <w:lang w:val="en-US" w:eastAsia="zh-CN"/>
        </w:rPr>
      </w:pPr>
      <w:r>
        <w:rPr>
          <w:rFonts w:hint="eastAsia" w:cs="宋体"/>
          <w:color w:val="auto"/>
          <w:sz w:val="24"/>
          <w:highlight w:val="none"/>
          <w:lang w:val="en-US" w:eastAsia="zh-CN"/>
        </w:rPr>
        <w:t>（5）投标供应商应当在投标截止时间前，将生成的“电子加密投标文件”上传递交至“政府采购云平台”，投标截止时间以后上传递交的投标文件将被“政府采购云平台”拒收。</w:t>
      </w:r>
    </w:p>
    <w:p w14:paraId="692B7884">
      <w:pPr>
        <w:pStyle w:val="4"/>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eastAsia="zh-CN"/>
        </w:rPr>
      </w:pPr>
      <w:bookmarkStart w:id="79" w:name="_Toc11825"/>
      <w:r>
        <w:rPr>
          <w:rFonts w:hint="eastAsia" w:ascii="宋体" w:hAnsi="宋体" w:eastAsia="宋体" w:cs="宋体"/>
          <w:b/>
          <w:bCs/>
          <w:i w:val="0"/>
          <w:iCs w:val="0"/>
          <w:color w:val="auto"/>
          <w:kern w:val="2"/>
          <w:sz w:val="24"/>
          <w:szCs w:val="24"/>
          <w:highlight w:val="none"/>
          <w:lang w:val="en-US" w:eastAsia="zh-CN" w:bidi="ar-SA"/>
        </w:rPr>
        <w:t>八、</w:t>
      </w:r>
      <w:r>
        <w:rPr>
          <w:rFonts w:hint="eastAsia" w:ascii="宋体" w:hAnsi="宋体" w:eastAsia="宋体" w:cs="宋体"/>
          <w:b/>
          <w:bCs/>
          <w:i w:val="0"/>
          <w:iCs w:val="0"/>
          <w:color w:val="auto"/>
          <w:kern w:val="2"/>
          <w:sz w:val="24"/>
          <w:szCs w:val="24"/>
          <w:highlight w:val="none"/>
          <w:lang w:val="hr-HR" w:eastAsia="zh-CN" w:bidi="ar-SA"/>
        </w:rPr>
        <w:t>凡对本次采购提出询问，请按以下方式联系</w:t>
      </w:r>
      <w:bookmarkEnd w:id="79"/>
    </w:p>
    <w:p w14:paraId="74D4D291">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bookmarkStart w:id="80" w:name="_Toc35393806"/>
      <w:bookmarkStart w:id="81" w:name="_Toc28359096"/>
      <w:bookmarkStart w:id="82" w:name="_Toc35393637"/>
      <w:bookmarkStart w:id="83" w:name="_Toc28359019"/>
      <w:r>
        <w:rPr>
          <w:rFonts w:hint="eastAsia" w:ascii="宋体" w:hAnsi="宋体" w:eastAsia="宋体" w:cs="宋体"/>
          <w:i w:val="0"/>
          <w:iCs w:val="0"/>
          <w:color w:val="auto"/>
          <w:sz w:val="24"/>
          <w:szCs w:val="24"/>
          <w:highlight w:val="none"/>
        </w:rPr>
        <w:t>1.采购人信息</w:t>
      </w:r>
      <w:bookmarkEnd w:id="80"/>
      <w:bookmarkEnd w:id="81"/>
      <w:bookmarkEnd w:id="82"/>
      <w:bookmarkEnd w:id="83"/>
    </w:p>
    <w:p w14:paraId="699333D4">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名称：</w:t>
      </w:r>
      <w:r>
        <w:rPr>
          <w:rFonts w:hint="eastAsia" w:cs="宋体"/>
          <w:i w:val="0"/>
          <w:iCs w:val="0"/>
          <w:color w:val="auto"/>
          <w:sz w:val="24"/>
          <w:szCs w:val="24"/>
          <w:highlight w:val="none"/>
          <w:u w:val="single"/>
          <w:lang w:val="en-US" w:eastAsia="zh-CN"/>
        </w:rPr>
        <w:t>新疆维吾尔自治区人力资源和社会保障厅</w:t>
      </w:r>
    </w:p>
    <w:p w14:paraId="04F1E9D3">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u w:val="single"/>
        </w:rPr>
        <w:t xml:space="preserve"> 乌鲁木齐市北京南路445号 </w:t>
      </w:r>
    </w:p>
    <w:p w14:paraId="58886B34">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联系方式：</w:t>
      </w:r>
      <w:bookmarkStart w:id="84" w:name="_Hlk46775675"/>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eastAsia="zh-CN"/>
        </w:rPr>
        <w:t>0991-3689670</w:t>
      </w:r>
      <w:r>
        <w:rPr>
          <w:rFonts w:hint="eastAsia" w:ascii="宋体" w:hAnsi="宋体" w:eastAsia="宋体" w:cs="宋体"/>
          <w:i w:val="0"/>
          <w:iCs w:val="0"/>
          <w:color w:val="auto"/>
          <w:sz w:val="24"/>
          <w:szCs w:val="24"/>
          <w:highlight w:val="none"/>
          <w:u w:val="single"/>
        </w:rPr>
        <w:t xml:space="preserve"> </w:t>
      </w:r>
    </w:p>
    <w:bookmarkEnd w:id="84"/>
    <w:p w14:paraId="7B446FC3">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bookmarkStart w:id="85" w:name="_Toc28359020"/>
      <w:bookmarkStart w:id="86" w:name="_Toc35393638"/>
      <w:bookmarkStart w:id="87" w:name="_Toc35393807"/>
      <w:bookmarkStart w:id="88" w:name="_Toc28359097"/>
      <w:r>
        <w:rPr>
          <w:rFonts w:hint="eastAsia" w:ascii="宋体" w:hAnsi="宋体" w:eastAsia="宋体" w:cs="宋体"/>
          <w:i w:val="0"/>
          <w:iCs w:val="0"/>
          <w:color w:val="auto"/>
          <w:sz w:val="24"/>
          <w:szCs w:val="24"/>
          <w:highlight w:val="none"/>
        </w:rPr>
        <w:t>2.采购代理机构信息</w:t>
      </w:r>
      <w:bookmarkEnd w:id="85"/>
      <w:bookmarkEnd w:id="86"/>
      <w:bookmarkEnd w:id="87"/>
      <w:bookmarkEnd w:id="88"/>
    </w:p>
    <w:p w14:paraId="2CE0AA7D">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新疆星圣源工程项目管理有限公司</w:t>
      </w:r>
      <w:r>
        <w:rPr>
          <w:rFonts w:hint="eastAsia" w:ascii="宋体" w:hAnsi="宋体" w:eastAsia="宋体" w:cs="宋体"/>
          <w:i w:val="0"/>
          <w:iCs w:val="0"/>
          <w:color w:val="auto"/>
          <w:sz w:val="24"/>
          <w:szCs w:val="24"/>
          <w:highlight w:val="none"/>
          <w:u w:val="single"/>
        </w:rPr>
        <w:t xml:space="preserve"> </w:t>
      </w:r>
    </w:p>
    <w:p w14:paraId="20EB1CBA">
      <w:pPr>
        <w:pStyle w:val="35"/>
        <w:keepNext w:val="0"/>
        <w:keepLines w:val="0"/>
        <w:pageBreakBefore w:val="0"/>
        <w:widowControl w:val="0"/>
        <w:kinsoku/>
        <w:wordWrap w:val="0"/>
        <w:overflowPunct/>
        <w:topLinePunct w:val="0"/>
        <w:autoSpaceDE/>
        <w:autoSpaceDN/>
        <w:bidi w:val="0"/>
        <w:adjustRightInd/>
        <w:snapToGrid/>
        <w:spacing w:line="400" w:lineRule="exact"/>
        <w:ind w:left="1200" w:leftChars="200" w:hanging="720" w:hangingChars="3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新疆乌鲁木齐市沙依巴克区奇台路658号德汇万达E2写字楼1703-02室</w:t>
      </w:r>
      <w:r>
        <w:rPr>
          <w:rFonts w:hint="eastAsia" w:ascii="宋体" w:hAnsi="宋体" w:eastAsia="宋体" w:cs="宋体"/>
          <w:i w:val="0"/>
          <w:iCs w:val="0"/>
          <w:color w:val="auto"/>
          <w:sz w:val="24"/>
          <w:szCs w:val="24"/>
          <w:highlight w:val="none"/>
          <w:u w:val="single"/>
        </w:rPr>
        <w:t xml:space="preserve"> </w:t>
      </w:r>
    </w:p>
    <w:p w14:paraId="2EA1B0E7">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0991-5803779</w:t>
      </w:r>
      <w:r>
        <w:rPr>
          <w:rFonts w:hint="eastAsia" w:ascii="宋体" w:hAnsi="宋体" w:eastAsia="宋体" w:cs="宋体"/>
          <w:i w:val="0"/>
          <w:iCs w:val="0"/>
          <w:color w:val="auto"/>
          <w:sz w:val="24"/>
          <w:szCs w:val="24"/>
          <w:highlight w:val="none"/>
          <w:u w:val="single"/>
        </w:rPr>
        <w:t xml:space="preserve"> </w:t>
      </w:r>
    </w:p>
    <w:p w14:paraId="24D30547">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lang w:val="en-US" w:eastAsia="zh-CN"/>
        </w:rPr>
      </w:pPr>
      <w:bookmarkStart w:id="89" w:name="_Toc35393808"/>
      <w:bookmarkStart w:id="90" w:name="_Toc28359098"/>
      <w:bookmarkStart w:id="91" w:name="_Toc35393639"/>
      <w:bookmarkStart w:id="92" w:name="_Toc28359021"/>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项目联系方式</w:t>
      </w:r>
    </w:p>
    <w:p w14:paraId="10ECB00F">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杨工</w:t>
      </w:r>
      <w:r>
        <w:rPr>
          <w:rFonts w:hint="eastAsia" w:ascii="宋体" w:hAnsi="宋体" w:eastAsia="宋体" w:cs="宋体"/>
          <w:i w:val="0"/>
          <w:iCs w:val="0"/>
          <w:color w:val="auto"/>
          <w:sz w:val="24"/>
          <w:szCs w:val="24"/>
          <w:highlight w:val="none"/>
          <w:u w:val="single"/>
          <w:lang w:val="en-US" w:eastAsia="zh-CN"/>
        </w:rPr>
        <w:t xml:space="preserve"> </w:t>
      </w:r>
    </w:p>
    <w:bookmarkEnd w:id="89"/>
    <w:bookmarkEnd w:id="90"/>
    <w:bookmarkEnd w:id="91"/>
    <w:bookmarkEnd w:id="92"/>
    <w:p w14:paraId="0104CA8D">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lang w:val="en-US" w:eastAsia="zh-CN"/>
        </w:rPr>
        <w:t>电话：</w:t>
      </w:r>
      <w:r>
        <w:rPr>
          <w:rFonts w:hint="eastAsia" w:ascii="宋体" w:hAnsi="宋体" w:eastAsia="宋体" w:cs="宋体"/>
          <w:i w:val="0"/>
          <w:iCs w:val="0"/>
          <w:color w:val="auto"/>
          <w:sz w:val="24"/>
          <w:szCs w:val="24"/>
          <w:highlight w:val="none"/>
          <w:u w:val="single"/>
          <w:lang w:val="en-US" w:eastAsia="zh-CN"/>
        </w:rPr>
        <w:t xml:space="preserve"> 0991-5803779 </w:t>
      </w:r>
    </w:p>
    <w:p w14:paraId="40763EE4">
      <w:pPr>
        <w:pStyle w:val="35"/>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宋体" w:hAnsi="宋体" w:eastAsia="宋体" w:cs="宋体"/>
          <w:i w:val="0"/>
          <w:iCs w:val="0"/>
          <w:color w:val="auto"/>
          <w:sz w:val="24"/>
          <w:szCs w:val="24"/>
          <w:highlight w:val="none"/>
          <w:u w:val="single"/>
          <w:lang w:val="en-US" w:eastAsia="zh-CN"/>
        </w:rPr>
      </w:pPr>
    </w:p>
    <w:p w14:paraId="5FD2E1AB">
      <w:pPr>
        <w:rPr>
          <w:i w:val="0"/>
          <w:iCs w:val="0"/>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E2C9AB2">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93" w:name="_Toc11873"/>
      <w:r>
        <w:rPr>
          <w:rFonts w:hint="eastAsia" w:ascii="宋体" w:hAnsi="宋体" w:eastAsia="宋体" w:cs="宋体"/>
          <w:b/>
          <w:bCs/>
          <w:i w:val="0"/>
          <w:iCs w:val="0"/>
          <w:color w:val="auto"/>
          <w:kern w:val="44"/>
          <w:sz w:val="36"/>
          <w:szCs w:val="36"/>
          <w:highlight w:val="none"/>
          <w:lang w:val="en-US" w:eastAsia="zh-CN" w:bidi="ar-SA"/>
        </w:rPr>
        <w:t>第二章 供应商须知</w:t>
      </w:r>
      <w:bookmarkEnd w:id="93"/>
    </w:p>
    <w:p w14:paraId="224924B5">
      <w:pPr>
        <w:pStyle w:val="4"/>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94" w:name="_Toc19176"/>
      <w:r>
        <w:rPr>
          <w:rFonts w:hint="eastAsia" w:eastAsia="宋体" w:asciiTheme="majorHAnsi" w:hAnsiTheme="majorHAnsi" w:cstheme="majorBidi"/>
          <w:b/>
          <w:bCs/>
          <w:i w:val="0"/>
          <w:iCs w:val="0"/>
          <w:color w:val="auto"/>
          <w:kern w:val="2"/>
          <w:sz w:val="28"/>
          <w:szCs w:val="28"/>
          <w:highlight w:val="none"/>
          <w:lang w:val="en-US" w:eastAsia="zh-CN" w:bidi="ar-SA"/>
        </w:rPr>
        <w:t>一、供应商须知前附表</w:t>
      </w:r>
      <w:bookmarkEnd w:id="94"/>
    </w:p>
    <w:p w14:paraId="016068EF">
      <w:pPr>
        <w:pStyle w:val="35"/>
        <w:ind w:firstLine="480"/>
        <w:rPr>
          <w:i w:val="0"/>
          <w:iCs w:val="0"/>
          <w:color w:val="auto"/>
          <w:highlight w:val="none"/>
        </w:rPr>
      </w:pPr>
      <w:r>
        <w:rPr>
          <w:rFonts w:hint="eastAsia"/>
          <w:i w:val="0"/>
          <w:iCs w:val="0"/>
          <w:color w:val="auto"/>
          <w:highlight w:val="none"/>
        </w:rPr>
        <w:t>磋商供应商应仔细阅读本磋商文件的第二章“供应商须知”，下面所列资料是对“供应商须知”的具体补充和说明。如有矛盾，应以本表为准。</w:t>
      </w:r>
      <w:r>
        <w:rPr>
          <w:rFonts w:hint="eastAsia"/>
          <w:i w:val="0"/>
          <w:iCs w:val="0"/>
          <w:color w:val="auto"/>
          <w:highlight w:val="none"/>
          <w:lang w:val="en-US" w:eastAsia="zh-CN"/>
        </w:rPr>
        <w:t>标记“</w:t>
      </w:r>
      <w:r>
        <w:rPr>
          <w:rFonts w:hint="eastAsia" w:ascii="宋体" w:hAnsi="宋体" w:eastAsia="宋体"/>
          <w:i w:val="0"/>
          <w:iCs w:val="0"/>
          <w:color w:val="auto"/>
          <w:highlight w:val="none"/>
          <w:lang w:val="en-US" w:eastAsia="zh-CN"/>
        </w:rPr>
        <w:t>☑”的选项意为适用于本项目，标记“□”的选项意为不适用于本项目。</w:t>
      </w:r>
    </w:p>
    <w:tbl>
      <w:tblPr>
        <w:tblStyle w:val="29"/>
        <w:tblW w:w="9391"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971"/>
        <w:gridCol w:w="6450"/>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46"/>
              <w:jc w:val="center"/>
              <w:rPr>
                <w:rFonts w:hint="eastAsia" w:ascii="宋体" w:hAnsi="宋体" w:eastAsia="宋体" w:cs="宋体"/>
                <w:b/>
                <w:bCs/>
                <w:i w:val="0"/>
                <w:iCs w:val="0"/>
                <w:color w:val="auto"/>
                <w:sz w:val="24"/>
                <w:szCs w:val="24"/>
                <w:highlight w:val="none"/>
              </w:rPr>
            </w:pPr>
            <w:bookmarkStart w:id="95" w:name="_Hlk161703381"/>
            <w:r>
              <w:rPr>
                <w:rFonts w:hint="eastAsia" w:ascii="宋体" w:hAnsi="宋体" w:eastAsia="宋体" w:cs="宋体"/>
                <w:b/>
                <w:bCs/>
                <w:i w:val="0"/>
                <w:iCs w:val="0"/>
                <w:color w:val="auto"/>
                <w:sz w:val="24"/>
                <w:szCs w:val="24"/>
                <w:highlight w:val="none"/>
              </w:rPr>
              <w:t>条款号</w:t>
            </w:r>
          </w:p>
        </w:tc>
        <w:tc>
          <w:tcPr>
            <w:tcW w:w="197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46"/>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条款名称</w:t>
            </w:r>
          </w:p>
        </w:tc>
        <w:tc>
          <w:tcPr>
            <w:tcW w:w="6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46"/>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内  容</w:t>
            </w:r>
          </w:p>
        </w:tc>
      </w:tr>
      <w:tr w14:paraId="00CDA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46" w:hRule="atLeast"/>
        </w:trPr>
        <w:tc>
          <w:tcPr>
            <w:tcW w:w="970" w:type="dxa"/>
            <w:tcBorders>
              <w:top w:val="single" w:color="auto" w:sz="2" w:space="0"/>
              <w:left w:val="single" w:color="auto" w:sz="2" w:space="0"/>
              <w:bottom w:val="single" w:color="auto" w:sz="2" w:space="0"/>
              <w:right w:val="single" w:color="auto" w:sz="2" w:space="0"/>
            </w:tcBorders>
            <w:vAlign w:val="center"/>
          </w:tcPr>
          <w:p w14:paraId="66D2FF53">
            <w:pPr>
              <w:pStyle w:val="46"/>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2.5</w:t>
            </w:r>
          </w:p>
        </w:tc>
        <w:tc>
          <w:tcPr>
            <w:tcW w:w="1971" w:type="dxa"/>
            <w:tcBorders>
              <w:top w:val="single" w:color="auto" w:sz="2" w:space="0"/>
              <w:left w:val="single" w:color="auto" w:sz="2" w:space="0"/>
              <w:bottom w:val="single" w:color="auto" w:sz="2" w:space="0"/>
              <w:right w:val="single" w:color="auto" w:sz="2" w:space="0"/>
            </w:tcBorders>
            <w:vAlign w:val="center"/>
          </w:tcPr>
          <w:p w14:paraId="7ACDA765">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服务内容</w:t>
            </w:r>
          </w:p>
        </w:tc>
        <w:tc>
          <w:tcPr>
            <w:tcW w:w="6450" w:type="dxa"/>
            <w:tcBorders>
              <w:top w:val="single" w:color="auto" w:sz="2" w:space="0"/>
              <w:left w:val="single" w:color="auto" w:sz="2" w:space="0"/>
              <w:bottom w:val="single" w:color="auto" w:sz="2" w:space="0"/>
              <w:right w:val="single" w:color="auto" w:sz="2" w:space="0"/>
            </w:tcBorders>
            <w:vAlign w:val="center"/>
          </w:tcPr>
          <w:p w14:paraId="090866C0">
            <w:pPr>
              <w:pStyle w:val="4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single"/>
                <w:lang w:val="en-US" w:eastAsia="zh-CN"/>
              </w:rPr>
              <w:t xml:space="preserve">  2025年度自治区人社厅DSG数据交换平台维护，详见“第三章 项目采购需求”。</w:t>
            </w:r>
          </w:p>
        </w:tc>
      </w:tr>
      <w:tr w14:paraId="7054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AEE4073">
            <w:pPr>
              <w:pStyle w:val="46"/>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9</w:t>
            </w:r>
            <w:r>
              <w:rPr>
                <w:rFonts w:hint="eastAsia" w:ascii="宋体" w:hAnsi="宋体" w:eastAsia="宋体" w:cs="宋体"/>
                <w:i w:val="0"/>
                <w:iCs w:val="0"/>
                <w:color w:val="auto"/>
                <w:sz w:val="24"/>
                <w:szCs w:val="24"/>
                <w:highlight w:val="none"/>
                <w:lang w:val="en-US" w:eastAsia="zh-CN"/>
              </w:rPr>
              <w:t>.1</w:t>
            </w:r>
          </w:p>
        </w:tc>
        <w:tc>
          <w:tcPr>
            <w:tcW w:w="1971" w:type="dxa"/>
            <w:tcBorders>
              <w:top w:val="single" w:color="auto" w:sz="2" w:space="0"/>
              <w:left w:val="single" w:color="auto" w:sz="2" w:space="0"/>
              <w:bottom w:val="single" w:color="auto" w:sz="2" w:space="0"/>
              <w:right w:val="single" w:color="auto" w:sz="2" w:space="0"/>
            </w:tcBorders>
            <w:vAlign w:val="center"/>
          </w:tcPr>
          <w:p w14:paraId="71CF8DC6">
            <w:pPr>
              <w:pStyle w:val="46"/>
              <w:rPr>
                <w:rFonts w:hint="eastAsia" w:ascii="宋体" w:hAnsi="宋体" w:eastAsia="宋体" w:cs="宋体"/>
                <w:i w:val="0"/>
                <w:iCs w:val="0"/>
                <w:color w:val="auto"/>
                <w:sz w:val="24"/>
                <w:szCs w:val="24"/>
                <w:highlight w:val="none"/>
              </w:rPr>
            </w:pPr>
            <w:bookmarkStart w:id="96" w:name="_Hlk143529175"/>
            <w:r>
              <w:rPr>
                <w:rFonts w:hint="eastAsia" w:ascii="宋体" w:hAnsi="宋体" w:eastAsia="宋体" w:cs="宋体"/>
                <w:i w:val="0"/>
                <w:iCs w:val="0"/>
                <w:color w:val="auto"/>
                <w:sz w:val="24"/>
                <w:szCs w:val="24"/>
                <w:highlight w:val="none"/>
              </w:rPr>
              <w:t>现场考察</w:t>
            </w:r>
            <w:bookmarkEnd w:id="96"/>
          </w:p>
        </w:tc>
        <w:tc>
          <w:tcPr>
            <w:tcW w:w="6450" w:type="dxa"/>
            <w:tcBorders>
              <w:top w:val="single" w:color="auto" w:sz="2" w:space="0"/>
              <w:left w:val="single" w:color="auto" w:sz="2" w:space="0"/>
              <w:bottom w:val="single" w:color="auto" w:sz="2" w:space="0"/>
              <w:right w:val="single" w:color="auto" w:sz="2" w:space="0"/>
            </w:tcBorders>
            <w:vAlign w:val="center"/>
          </w:tcPr>
          <w:p w14:paraId="5E2B3EE4">
            <w:pPr>
              <w:pStyle w:val="46"/>
              <w:rPr>
                <w:rFonts w:hint="eastAsia" w:ascii="宋体" w:hAnsi="宋体" w:eastAsia="宋体" w:cs="宋体"/>
                <w:i w:val="0"/>
                <w:iCs w:val="0"/>
                <w:color w:val="auto"/>
                <w:sz w:val="24"/>
                <w:szCs w:val="24"/>
                <w:highlight w:val="yellow"/>
                <w:lang w:eastAsia="zh-CN"/>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不组织，供应商自行前往</w:t>
            </w:r>
          </w:p>
          <w:p w14:paraId="2238EF6A">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组织</w:t>
            </w:r>
          </w:p>
          <w:p w14:paraId="047A7004">
            <w:pPr>
              <w:pStyle w:val="4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2025年**月**日至2025年**月**日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1520FC15">
            <w:pPr>
              <w:pStyle w:val="46"/>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联系方式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263D1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6DD5B89A">
            <w:pPr>
              <w:pStyle w:val="46"/>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9.5</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4D60B551">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答疑会</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251DA069">
            <w:pPr>
              <w:pStyle w:val="46"/>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w:t>
            </w:r>
          </w:p>
          <w:p w14:paraId="6CDDB2BC">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组织</w:t>
            </w:r>
          </w:p>
          <w:p w14:paraId="22E645A0">
            <w:pPr>
              <w:pStyle w:val="4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5421787D">
            <w:pPr>
              <w:pStyle w:val="46"/>
              <w:ind w:firstLine="240" w:firstLineChars="1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50FF5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BF1A30">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4A7BE250">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询问</w:t>
            </w:r>
          </w:p>
        </w:tc>
        <w:tc>
          <w:tcPr>
            <w:tcW w:w="6450" w:type="dxa"/>
            <w:tcBorders>
              <w:top w:val="single" w:color="auto" w:sz="2" w:space="0"/>
              <w:left w:val="single" w:color="auto" w:sz="2" w:space="0"/>
              <w:bottom w:val="single" w:color="auto" w:sz="2" w:space="0"/>
              <w:right w:val="single" w:color="auto" w:sz="2" w:space="0"/>
            </w:tcBorders>
            <w:vAlign w:val="center"/>
          </w:tcPr>
          <w:p w14:paraId="7419497D">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电话询问或书面形式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631C46F9">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cs="宋体"/>
                <w:i w:val="0"/>
                <w:iCs w:val="0"/>
                <w:color w:val="auto"/>
                <w:sz w:val="24"/>
                <w:szCs w:val="24"/>
                <w:highlight w:val="none"/>
                <w:lang w:val="en-US" w:eastAsia="zh-CN"/>
              </w:rPr>
              <w:t>联系电话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0991-5803779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4571B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97CBDA8">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56E4A3E9">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响应文件有效期</w:t>
            </w:r>
          </w:p>
        </w:tc>
        <w:tc>
          <w:tcPr>
            <w:tcW w:w="6450" w:type="dxa"/>
            <w:tcBorders>
              <w:top w:val="single" w:color="auto" w:sz="2" w:space="0"/>
              <w:left w:val="single" w:color="auto" w:sz="2" w:space="0"/>
              <w:bottom w:val="single" w:color="auto" w:sz="2" w:space="0"/>
              <w:right w:val="single" w:color="auto" w:sz="2" w:space="0"/>
            </w:tcBorders>
            <w:vAlign w:val="center"/>
          </w:tcPr>
          <w:p w14:paraId="7A8404D2">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响应文件递交截止日期后</w:t>
            </w:r>
            <w:r>
              <w:rPr>
                <w:rFonts w:hint="eastAsia" w:ascii="宋体" w:hAnsi="宋体" w:eastAsia="宋体" w:cs="宋体"/>
                <w:i w:val="0"/>
                <w:iCs w:val="0"/>
                <w:color w:val="auto"/>
                <w:sz w:val="24"/>
                <w:szCs w:val="24"/>
                <w:highlight w:val="none"/>
                <w:u w:val="single"/>
              </w:rPr>
              <w:t>90</w:t>
            </w:r>
            <w:r>
              <w:rPr>
                <w:rFonts w:hint="eastAsia" w:ascii="宋体" w:hAnsi="宋体" w:eastAsia="宋体" w:cs="宋体"/>
                <w:i w:val="0"/>
                <w:iCs w:val="0"/>
                <w:color w:val="auto"/>
                <w:sz w:val="24"/>
                <w:szCs w:val="24"/>
                <w:highlight w:val="none"/>
              </w:rPr>
              <w:t>日历日。</w:t>
            </w:r>
          </w:p>
        </w:tc>
      </w:tr>
      <w:tr w14:paraId="49C77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91" w:hRule="atLeast"/>
        </w:trPr>
        <w:tc>
          <w:tcPr>
            <w:tcW w:w="970" w:type="dxa"/>
            <w:tcBorders>
              <w:top w:val="single" w:color="auto" w:sz="2" w:space="0"/>
              <w:left w:val="single" w:color="auto" w:sz="2" w:space="0"/>
              <w:bottom w:val="single" w:color="auto" w:sz="2" w:space="0"/>
              <w:right w:val="single" w:color="auto" w:sz="2" w:space="0"/>
            </w:tcBorders>
            <w:vAlign w:val="center"/>
          </w:tcPr>
          <w:p w14:paraId="26C48057">
            <w:pPr>
              <w:pStyle w:val="46"/>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17.1</w:t>
            </w:r>
          </w:p>
        </w:tc>
        <w:tc>
          <w:tcPr>
            <w:tcW w:w="1971" w:type="dxa"/>
            <w:tcBorders>
              <w:top w:val="single" w:color="auto" w:sz="2" w:space="0"/>
              <w:left w:val="single" w:color="auto" w:sz="2" w:space="0"/>
              <w:bottom w:val="single" w:color="auto" w:sz="2" w:space="0"/>
              <w:right w:val="single" w:color="auto" w:sz="2" w:space="0"/>
            </w:tcBorders>
            <w:vAlign w:val="center"/>
          </w:tcPr>
          <w:p w14:paraId="60D2F551">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磋商保证金</w:t>
            </w:r>
          </w:p>
        </w:tc>
        <w:tc>
          <w:tcPr>
            <w:tcW w:w="6450" w:type="dxa"/>
            <w:tcBorders>
              <w:top w:val="single" w:color="auto" w:sz="2" w:space="0"/>
              <w:left w:val="single" w:color="auto" w:sz="2" w:space="0"/>
              <w:bottom w:val="single" w:color="auto" w:sz="2" w:space="0"/>
              <w:right w:val="single" w:color="auto" w:sz="2" w:space="0"/>
            </w:tcBorders>
            <w:vAlign w:val="center"/>
          </w:tcPr>
          <w:p w14:paraId="69857404">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79A6A2C6">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2A1155DF">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2</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人民币：14300元</w:t>
            </w:r>
            <w:r>
              <w:rPr>
                <w:rFonts w:hint="eastAsia" w:ascii="宋体" w:hAnsi="宋体" w:cs="宋体"/>
                <w:i w:val="0"/>
                <w:iCs w:val="0"/>
                <w:color w:val="auto"/>
                <w:sz w:val="24"/>
                <w:szCs w:val="24"/>
                <w:highlight w:val="none"/>
                <w:lang w:eastAsia="zh-CN"/>
              </w:rPr>
              <w:t>）</w:t>
            </w:r>
          </w:p>
          <w:p w14:paraId="03B51C49">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 xml:space="preserve">人民币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元</w:t>
            </w:r>
            <w:r>
              <w:rPr>
                <w:rFonts w:hint="eastAsia" w:ascii="宋体" w:hAnsi="宋体" w:eastAsia="宋体" w:cs="宋体"/>
                <w:i w:val="0"/>
                <w:iCs w:val="0"/>
                <w:color w:val="auto"/>
                <w:sz w:val="24"/>
                <w:szCs w:val="24"/>
                <w:highlight w:val="none"/>
                <w:lang w:eastAsia="zh-CN"/>
              </w:rPr>
              <w:t>。</w:t>
            </w:r>
          </w:p>
          <w:p w14:paraId="67F67DC6">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20AA85D4">
            <w:pPr>
              <w:pStyle w:val="56"/>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保证金收受人信息</w:t>
            </w:r>
            <w:r>
              <w:rPr>
                <w:rFonts w:hint="eastAsia" w:ascii="宋体" w:hAnsi="宋体" w:eastAsia="宋体" w:cs="宋体"/>
                <w:i w:val="0"/>
                <w:iCs w:val="0"/>
                <w:color w:val="auto"/>
                <w:sz w:val="24"/>
                <w:szCs w:val="24"/>
                <w:highlight w:val="none"/>
              </w:rPr>
              <w:t xml:space="preserve">： </w:t>
            </w:r>
          </w:p>
          <w:p w14:paraId="780799C6">
            <w:pPr>
              <w:pStyle w:val="5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账户名：新疆星圣源工程项目管理有限公司</w:t>
            </w:r>
          </w:p>
          <w:p w14:paraId="38FA95EC">
            <w:pPr>
              <w:pStyle w:val="5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开户行：乌鲁木齐银行黄河支行</w:t>
            </w:r>
          </w:p>
          <w:p w14:paraId="648321AA">
            <w:pPr>
              <w:pStyle w:val="5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行号：313881000490</w:t>
            </w:r>
          </w:p>
          <w:p w14:paraId="6AB94639">
            <w:pPr>
              <w:pStyle w:val="5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账号：0000020080110031013587</w:t>
            </w:r>
            <w:r>
              <w:rPr>
                <w:rFonts w:hint="eastAsia" w:ascii="宋体" w:hAnsi="宋体" w:eastAsia="宋体" w:cs="宋体"/>
                <w:i w:val="0"/>
                <w:iCs w:val="0"/>
                <w:color w:val="auto"/>
                <w:sz w:val="24"/>
                <w:szCs w:val="24"/>
                <w:highlight w:val="none"/>
              </w:rPr>
              <w:t xml:space="preserve">                                        </w:t>
            </w:r>
          </w:p>
          <w:p w14:paraId="370DE8E9">
            <w:pPr>
              <w:pStyle w:val="56"/>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26EAA293">
            <w:pPr>
              <w:pStyle w:val="56"/>
              <w:spacing w:line="340" w:lineRule="exact"/>
              <w:ind w:firstLine="240" w:firstLineChars="10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4"/>
                <w:szCs w:val="24"/>
                <w:highlight w:val="none"/>
              </w:rPr>
              <w:t>1.以上各类机构出具的以担保函、保证保险承担责任的方式均须满足无条件见索即付条件。</w:t>
            </w:r>
            <w:r>
              <w:rPr>
                <w:rFonts w:hint="eastAsia" w:ascii="宋体" w:hAnsi="宋体" w:eastAsia="宋体" w:cs="宋体"/>
                <w:b/>
                <w:bCs/>
                <w:i w:val="0"/>
                <w:iCs w:val="0"/>
                <w:color w:val="auto"/>
                <w:sz w:val="22"/>
                <w:szCs w:val="22"/>
                <w:highlight w:val="none"/>
                <w:lang w:val="en-US" w:eastAsia="zh-CN"/>
              </w:rPr>
              <w:t>若提供保函，请在开标截止时间前</w:t>
            </w:r>
            <w:r>
              <w:rPr>
                <w:rFonts w:hint="eastAsia" w:ascii="宋体" w:hAnsi="宋体" w:cs="宋体"/>
                <w:b/>
                <w:bCs/>
                <w:i w:val="0"/>
                <w:iCs w:val="0"/>
                <w:color w:val="auto"/>
                <w:sz w:val="22"/>
                <w:szCs w:val="22"/>
                <w:highlight w:val="none"/>
                <w:lang w:val="en-US" w:eastAsia="zh-CN"/>
              </w:rPr>
              <w:t>将保函扫描件</w:t>
            </w:r>
            <w:r>
              <w:rPr>
                <w:rFonts w:hint="eastAsia" w:ascii="宋体" w:hAnsi="宋体" w:eastAsia="宋体" w:cs="宋体"/>
                <w:b/>
                <w:bCs/>
                <w:i w:val="0"/>
                <w:iCs w:val="0"/>
                <w:color w:val="auto"/>
                <w:sz w:val="22"/>
                <w:szCs w:val="22"/>
                <w:highlight w:val="none"/>
                <w:lang w:val="en-US" w:eastAsia="zh-CN"/>
              </w:rPr>
              <w:t>发送至邮箱：1617593161@qq.com</w:t>
            </w:r>
          </w:p>
          <w:p w14:paraId="1159E717">
            <w:pPr>
              <w:pStyle w:val="56"/>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2.以担保函、保证保险形式缴纳磋商保证金的，受益人和收取单位须为采购人。</w:t>
            </w:r>
          </w:p>
          <w:p w14:paraId="7143F690">
            <w:pPr>
              <w:pStyle w:val="56"/>
              <w:spacing w:line="340" w:lineRule="exact"/>
              <w:ind w:firstLine="240" w:firstLineChars="100"/>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 xml:space="preserve">汇款单上必需备注项目编号、包号（若有）、联系方式。磋商保证金于截止日之前确认到账，若投标人未按照上述规定缴纳保证金,投标文件将被拒绝评审。 </w:t>
            </w:r>
          </w:p>
          <w:p w14:paraId="68F362D8">
            <w:pPr>
              <w:pStyle w:val="56"/>
              <w:spacing w:line="340" w:lineRule="exact"/>
              <w:ind w:firstLine="221" w:firstLineChars="100"/>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例：</w:t>
            </w:r>
            <w:r>
              <w:rPr>
                <w:rFonts w:hint="eastAsia" w:ascii="宋体" w:hAnsi="宋体" w:cs="宋体"/>
                <w:b/>
                <w:bCs/>
                <w:i w:val="0"/>
                <w:iCs w:val="0"/>
                <w:color w:val="auto"/>
                <w:sz w:val="22"/>
                <w:szCs w:val="22"/>
                <w:highlight w:val="none"/>
                <w:lang w:val="en-US" w:eastAsia="zh-CN"/>
              </w:rPr>
              <w:t>XSY-2025-Z-097-2</w:t>
            </w:r>
            <w:r>
              <w:rPr>
                <w:rFonts w:hint="eastAsia" w:ascii="宋体" w:hAnsi="宋体" w:eastAsia="宋体" w:cs="宋体"/>
                <w:b/>
                <w:bCs/>
                <w:i w:val="0"/>
                <w:iCs w:val="0"/>
                <w:color w:val="auto"/>
                <w:sz w:val="22"/>
                <w:szCs w:val="22"/>
                <w:highlight w:val="none"/>
                <w:lang w:val="en-US" w:eastAsia="zh-CN"/>
              </w:rPr>
              <w:t>项目保证金+联系方式</w:t>
            </w:r>
          </w:p>
          <w:p w14:paraId="70A0B66C">
            <w:pPr>
              <w:pStyle w:val="56"/>
              <w:spacing w:line="340" w:lineRule="exact"/>
              <w:ind w:firstLine="240" w:firstLineChars="1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财务办公室：新疆乌鲁木齐市沙依巴克区奇台路658号德汇万达E2写字楼1703-02室</w:t>
            </w:r>
          </w:p>
          <w:p w14:paraId="13A01842">
            <w:pPr>
              <w:pStyle w:val="56"/>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财务联系电话：0991-5803779</w:t>
            </w:r>
          </w:p>
        </w:tc>
      </w:tr>
      <w:tr w14:paraId="7111A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094" w:hRule="atLeast"/>
        </w:trPr>
        <w:tc>
          <w:tcPr>
            <w:tcW w:w="970" w:type="dxa"/>
            <w:tcBorders>
              <w:top w:val="single" w:color="auto" w:sz="2" w:space="0"/>
              <w:left w:val="single" w:color="auto" w:sz="2" w:space="0"/>
              <w:bottom w:val="single" w:color="auto" w:sz="2" w:space="0"/>
              <w:right w:val="single" w:color="auto" w:sz="2" w:space="0"/>
            </w:tcBorders>
            <w:vAlign w:val="center"/>
          </w:tcPr>
          <w:p w14:paraId="61BD2EB4">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22.1</w:t>
            </w:r>
          </w:p>
        </w:tc>
        <w:tc>
          <w:tcPr>
            <w:tcW w:w="1971" w:type="dxa"/>
            <w:tcBorders>
              <w:top w:val="single" w:color="auto" w:sz="2" w:space="0"/>
              <w:left w:val="single" w:color="auto" w:sz="2" w:space="0"/>
              <w:bottom w:val="single" w:color="auto" w:sz="2" w:space="0"/>
              <w:right w:val="single" w:color="auto" w:sz="2" w:space="0"/>
            </w:tcBorders>
            <w:vAlign w:val="center"/>
          </w:tcPr>
          <w:p w14:paraId="5DF09144">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实物样品</w:t>
            </w:r>
          </w:p>
        </w:tc>
        <w:tc>
          <w:tcPr>
            <w:tcW w:w="6450" w:type="dxa"/>
            <w:tcBorders>
              <w:top w:val="single" w:color="auto" w:sz="2" w:space="0"/>
              <w:left w:val="single" w:color="auto" w:sz="2" w:space="0"/>
              <w:bottom w:val="single" w:color="auto" w:sz="2" w:space="0"/>
              <w:right w:val="single" w:color="auto" w:sz="2" w:space="0"/>
            </w:tcBorders>
            <w:vAlign w:val="center"/>
          </w:tcPr>
          <w:p w14:paraId="71E15602">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磋商样品递交： </w:t>
            </w:r>
          </w:p>
          <w:p w14:paraId="4CAFCF88">
            <w:pPr>
              <w:pStyle w:val="46"/>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 xml:space="preserve">不需要 </w:t>
            </w:r>
          </w:p>
          <w:p w14:paraId="7F574AF9">
            <w:pPr>
              <w:pStyle w:val="4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□需要，具体要求如下： </w:t>
            </w:r>
          </w:p>
          <w:p w14:paraId="0F4017F6">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1.样品制作的标准和要求：</w:t>
            </w:r>
            <w:r>
              <w:rPr>
                <w:rFonts w:hint="eastAsia" w:cs="宋体"/>
                <w:i w:val="0"/>
                <w:iCs w:val="0"/>
                <w:color w:val="auto"/>
                <w:sz w:val="24"/>
                <w:szCs w:val="24"/>
                <w:highlight w:val="none"/>
                <w:u w:val="single"/>
                <w:lang w:val="en-US" w:eastAsia="zh-CN"/>
              </w:rPr>
              <w:t xml:space="preserve"> 无 </w:t>
            </w:r>
            <w:r>
              <w:rPr>
                <w:rFonts w:hint="eastAsia" w:ascii="宋体" w:hAnsi="宋体" w:eastAsia="宋体" w:cs="宋体"/>
                <w:i w:val="0"/>
                <w:iCs w:val="0"/>
                <w:color w:val="auto"/>
                <w:sz w:val="24"/>
                <w:szCs w:val="24"/>
                <w:highlight w:val="none"/>
                <w:lang w:val="en-US" w:eastAsia="zh-CN"/>
              </w:rPr>
              <w:t xml:space="preserve">； </w:t>
            </w:r>
          </w:p>
          <w:p w14:paraId="47AA8C8D">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2.是否需要随样品提交相关检测报告： </w:t>
            </w:r>
          </w:p>
          <w:p w14:paraId="78BACEC2">
            <w:pPr>
              <w:pStyle w:val="46"/>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 xml:space="preserve">不需要 </w:t>
            </w:r>
          </w:p>
          <w:p w14:paraId="49DF4476">
            <w:pPr>
              <w:pStyle w:val="4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□需要 </w:t>
            </w:r>
          </w:p>
          <w:p w14:paraId="3ABCB7B6">
            <w:pPr>
              <w:pStyle w:val="46"/>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3.样品递交要求：</w:t>
            </w:r>
          </w:p>
          <w:p w14:paraId="7A9B4B4C">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递交时间：</w:t>
            </w:r>
            <w:r>
              <w:rPr>
                <w:rFonts w:hint="eastAsia" w:cs="宋体"/>
                <w:i w:val="0"/>
                <w:iCs w:val="0"/>
                <w:color w:val="auto"/>
                <w:sz w:val="24"/>
                <w:szCs w:val="24"/>
                <w:highlight w:val="none"/>
                <w:u w:val="single"/>
                <w:lang w:val="en-US" w:eastAsia="zh-CN"/>
              </w:rPr>
              <w:t xml:space="preserve"> 无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w:t>
            </w:r>
          </w:p>
          <w:p w14:paraId="5D7E607E">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地点：</w:t>
            </w:r>
            <w:r>
              <w:rPr>
                <w:rFonts w:hint="eastAsia" w:cs="宋体"/>
                <w:i w:val="0"/>
                <w:iCs w:val="0"/>
                <w:color w:val="auto"/>
                <w:sz w:val="24"/>
                <w:szCs w:val="24"/>
                <w:highlight w:val="none"/>
                <w:u w:val="single"/>
                <w:lang w:val="en-US" w:eastAsia="zh-CN"/>
              </w:rPr>
              <w:t xml:space="preserve"> 无 </w:t>
            </w:r>
            <w:r>
              <w:rPr>
                <w:rFonts w:hint="eastAsia" w:ascii="宋体" w:hAnsi="宋体" w:eastAsia="宋体" w:cs="宋体"/>
                <w:i w:val="0"/>
                <w:iCs w:val="0"/>
                <w:color w:val="auto"/>
                <w:sz w:val="24"/>
                <w:szCs w:val="24"/>
                <w:highlight w:val="none"/>
              </w:rPr>
              <w:t>，逾期提供的样品将不予接受。</w:t>
            </w:r>
            <w:r>
              <w:rPr>
                <w:rFonts w:hint="eastAsia" w:ascii="宋体" w:hAnsi="宋体" w:eastAsia="宋体" w:cs="宋体"/>
                <w:i w:val="0"/>
                <w:iCs w:val="0"/>
                <w:color w:val="auto"/>
                <w:sz w:val="24"/>
                <w:szCs w:val="24"/>
                <w:highlight w:val="none"/>
                <w:lang w:val="en-US" w:eastAsia="zh-CN"/>
              </w:rPr>
              <w:t xml:space="preserve"> </w:t>
            </w:r>
          </w:p>
          <w:p w14:paraId="65899C83">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4.未中标人样品退还：</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p>
          <w:p w14:paraId="7CAFECEC">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5.中标人样品保管、封存及退还：</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p>
          <w:p w14:paraId="3483D19E">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6.其他要求（如有）：</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w:t>
            </w:r>
          </w:p>
        </w:tc>
      </w:tr>
      <w:tr w14:paraId="0492E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888" w:hRule="atLeast"/>
        </w:trPr>
        <w:tc>
          <w:tcPr>
            <w:tcW w:w="970" w:type="dxa"/>
            <w:tcBorders>
              <w:top w:val="single" w:color="auto" w:sz="2" w:space="0"/>
              <w:left w:val="single" w:color="auto" w:sz="2" w:space="0"/>
              <w:bottom w:val="single" w:color="auto" w:sz="2" w:space="0"/>
              <w:right w:val="single" w:color="auto" w:sz="2" w:space="0"/>
            </w:tcBorders>
            <w:vAlign w:val="center"/>
          </w:tcPr>
          <w:p w14:paraId="733F5245">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w:t>
            </w:r>
          </w:p>
        </w:tc>
        <w:tc>
          <w:tcPr>
            <w:tcW w:w="1971" w:type="dxa"/>
            <w:tcBorders>
              <w:top w:val="single" w:color="auto" w:sz="2" w:space="0"/>
              <w:left w:val="single" w:color="auto" w:sz="2" w:space="0"/>
              <w:bottom w:val="single" w:color="auto" w:sz="2" w:space="0"/>
              <w:right w:val="single" w:color="auto" w:sz="2" w:space="0"/>
            </w:tcBorders>
            <w:vAlign w:val="center"/>
          </w:tcPr>
          <w:p w14:paraId="4ABD3E07">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演示</w:t>
            </w:r>
          </w:p>
        </w:tc>
        <w:tc>
          <w:tcPr>
            <w:tcW w:w="6450" w:type="dxa"/>
            <w:tcBorders>
              <w:top w:val="single" w:color="auto" w:sz="2" w:space="0"/>
              <w:left w:val="single" w:color="auto" w:sz="2" w:space="0"/>
              <w:bottom w:val="single" w:color="auto" w:sz="2" w:space="0"/>
              <w:right w:val="single" w:color="auto" w:sz="2" w:space="0"/>
            </w:tcBorders>
            <w:vAlign w:val="center"/>
          </w:tcPr>
          <w:p w14:paraId="2794EEA6">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不进行</w:t>
            </w:r>
          </w:p>
          <w:p w14:paraId="1B031671">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进行，远程线上演示/现场演示</w:t>
            </w:r>
          </w:p>
          <w:p w14:paraId="0D779AAC">
            <w:pPr>
              <w:pStyle w:val="4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1.演示时间不得超过</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分钟。</w:t>
            </w:r>
          </w:p>
          <w:p w14:paraId="7D605738">
            <w:pPr>
              <w:pStyle w:val="4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2.进行远程线上演示的，供应商应提前自行准备好演示的软硬配置环境和网络环境，做好演示的各项准备工作。因供应商自身原因无法演示或者演示效果不理想的，导致的后果由供应商自行承担。</w:t>
            </w:r>
          </w:p>
          <w:p w14:paraId="18545CBA">
            <w:pPr>
              <w:pStyle w:val="4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3.进行现场演示的，演示人员不得超过</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人，演示现场提供</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4181F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132" w:hRule="atLeast"/>
        </w:trPr>
        <w:tc>
          <w:tcPr>
            <w:tcW w:w="970" w:type="dxa"/>
            <w:tcBorders>
              <w:top w:val="single" w:color="auto" w:sz="2" w:space="0"/>
              <w:left w:val="single" w:color="auto" w:sz="2" w:space="0"/>
              <w:bottom w:val="single" w:color="auto" w:sz="2" w:space="0"/>
              <w:right w:val="single" w:color="auto" w:sz="2" w:space="0"/>
            </w:tcBorders>
            <w:vAlign w:val="center"/>
          </w:tcPr>
          <w:p w14:paraId="75DCCD86">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25.2</w:t>
            </w:r>
          </w:p>
        </w:tc>
        <w:tc>
          <w:tcPr>
            <w:tcW w:w="1971" w:type="dxa"/>
            <w:tcBorders>
              <w:top w:val="single" w:color="auto" w:sz="2" w:space="0"/>
              <w:left w:val="single" w:color="auto" w:sz="2" w:space="0"/>
              <w:bottom w:val="single" w:color="auto" w:sz="2" w:space="0"/>
              <w:right w:val="single" w:color="auto" w:sz="2" w:space="0"/>
            </w:tcBorders>
            <w:vAlign w:val="center"/>
          </w:tcPr>
          <w:p w14:paraId="747E8F82">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解密响应文件的时限</w:t>
            </w:r>
          </w:p>
        </w:tc>
        <w:tc>
          <w:tcPr>
            <w:tcW w:w="6450" w:type="dxa"/>
            <w:tcBorders>
              <w:top w:val="single" w:color="auto" w:sz="2" w:space="0"/>
              <w:left w:val="single" w:color="auto" w:sz="2" w:space="0"/>
              <w:bottom w:val="single" w:color="auto" w:sz="2" w:space="0"/>
              <w:right w:val="single" w:color="auto" w:sz="2" w:space="0"/>
            </w:tcBorders>
            <w:vAlign w:val="center"/>
          </w:tcPr>
          <w:p w14:paraId="308957CA">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 xml:space="preserve">30 </w:t>
            </w:r>
            <w:r>
              <w:rPr>
                <w:rFonts w:hint="eastAsia" w:ascii="宋体" w:hAnsi="宋体" w:eastAsia="宋体" w:cs="宋体"/>
                <w:i w:val="0"/>
                <w:iCs w:val="0"/>
                <w:color w:val="auto"/>
                <w:sz w:val="24"/>
                <w:szCs w:val="24"/>
                <w:highlight w:val="none"/>
              </w:rPr>
              <w:t>分钟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 xml:space="preserve"> </w:t>
            </w:r>
          </w:p>
          <w:p w14:paraId="590AA3C2">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p>
        </w:tc>
      </w:tr>
      <w:tr w14:paraId="55F30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38" w:hRule="atLeast"/>
        </w:trPr>
        <w:tc>
          <w:tcPr>
            <w:tcW w:w="970" w:type="dxa"/>
            <w:tcBorders>
              <w:top w:val="single" w:color="auto" w:sz="2" w:space="0"/>
              <w:left w:val="single" w:color="auto" w:sz="2" w:space="0"/>
              <w:bottom w:val="single" w:color="auto" w:sz="2" w:space="0"/>
              <w:right w:val="single" w:color="auto" w:sz="2" w:space="0"/>
            </w:tcBorders>
            <w:vAlign w:val="center"/>
          </w:tcPr>
          <w:p w14:paraId="0A512A01">
            <w:pPr>
              <w:pStyle w:val="46"/>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29.2</w:t>
            </w:r>
          </w:p>
        </w:tc>
        <w:tc>
          <w:tcPr>
            <w:tcW w:w="1971" w:type="dxa"/>
            <w:tcBorders>
              <w:top w:val="single" w:color="auto" w:sz="2" w:space="0"/>
              <w:left w:val="single" w:color="auto" w:sz="2" w:space="0"/>
              <w:bottom w:val="single" w:color="auto" w:sz="2" w:space="0"/>
              <w:right w:val="single" w:color="auto" w:sz="2" w:space="0"/>
            </w:tcBorders>
            <w:vAlign w:val="center"/>
          </w:tcPr>
          <w:p w14:paraId="3B1D8DC9">
            <w:pPr>
              <w:pStyle w:val="46"/>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推荐成交候选供应商</w:t>
            </w:r>
          </w:p>
        </w:tc>
        <w:tc>
          <w:tcPr>
            <w:tcW w:w="6450" w:type="dxa"/>
            <w:tcBorders>
              <w:top w:val="single" w:color="auto" w:sz="2" w:space="0"/>
              <w:left w:val="single" w:color="auto" w:sz="2" w:space="0"/>
              <w:bottom w:val="single" w:color="auto" w:sz="2" w:space="0"/>
              <w:right w:val="single" w:color="auto" w:sz="2" w:space="0"/>
            </w:tcBorders>
            <w:vAlign w:val="center"/>
          </w:tcPr>
          <w:p w14:paraId="67201373">
            <w:pPr>
              <w:pStyle w:val="46"/>
              <w:rPr>
                <w:rFonts w:hint="eastAsia" w:ascii="宋体" w:hAnsi="宋体" w:eastAsia="宋体" w:cs="宋体"/>
                <w:i w:val="0"/>
                <w:iCs w:val="0"/>
                <w:color w:val="auto"/>
                <w:sz w:val="24"/>
                <w:szCs w:val="24"/>
                <w:highlight w:val="none"/>
                <w:u w:val="none"/>
                <w:lang w:val="en-US" w:eastAsia="zh-CN"/>
              </w:rPr>
            </w:pPr>
            <w:r>
              <w:rPr>
                <w:rFonts w:hint="eastAsia" w:cs="宋体"/>
                <w:i w:val="0"/>
                <w:iCs w:val="0"/>
                <w:color w:val="auto"/>
                <w:sz w:val="24"/>
                <w:szCs w:val="24"/>
                <w:highlight w:val="none"/>
                <w:lang w:val="en-US" w:eastAsia="zh-CN"/>
              </w:rPr>
              <w:t>推荐</w:t>
            </w:r>
            <w:r>
              <w:rPr>
                <w:rFonts w:hint="eastAsia" w:ascii="宋体" w:hAnsi="宋体" w:eastAsia="宋体" w:cs="宋体"/>
                <w:i w:val="0"/>
                <w:iCs w:val="0"/>
                <w:color w:val="auto"/>
                <w:sz w:val="24"/>
                <w:szCs w:val="24"/>
                <w:highlight w:val="none"/>
                <w:lang w:val="en-US" w:eastAsia="zh-CN"/>
              </w:rPr>
              <w:t>成交候选供应商数量</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none"/>
                <w:lang w:val="en-US" w:eastAsia="zh-CN"/>
              </w:rPr>
              <w:t>家</w:t>
            </w:r>
          </w:p>
        </w:tc>
      </w:tr>
      <w:tr w14:paraId="15B57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009" w:hRule="atLeast"/>
        </w:trPr>
        <w:tc>
          <w:tcPr>
            <w:tcW w:w="970" w:type="dxa"/>
            <w:tcBorders>
              <w:top w:val="single" w:color="auto" w:sz="2" w:space="0"/>
              <w:left w:val="single" w:color="auto" w:sz="2" w:space="0"/>
              <w:bottom w:val="single" w:color="auto" w:sz="2" w:space="0"/>
              <w:right w:val="single" w:color="auto" w:sz="2" w:space="0"/>
            </w:tcBorders>
            <w:vAlign w:val="center"/>
          </w:tcPr>
          <w:p w14:paraId="37AC9C03">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7F769072">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确定成交供应商</w:t>
            </w:r>
          </w:p>
        </w:tc>
        <w:tc>
          <w:tcPr>
            <w:tcW w:w="6450" w:type="dxa"/>
            <w:tcBorders>
              <w:top w:val="single" w:color="auto" w:sz="2" w:space="0"/>
              <w:left w:val="single" w:color="auto" w:sz="2" w:space="0"/>
              <w:bottom w:val="single" w:color="auto" w:sz="2" w:space="0"/>
              <w:right w:val="single" w:color="auto" w:sz="2" w:space="0"/>
            </w:tcBorders>
            <w:vAlign w:val="center"/>
          </w:tcPr>
          <w:p w14:paraId="59D1D95D">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采购人</w:t>
            </w:r>
            <w:r>
              <w:rPr>
                <w:rFonts w:hint="eastAsia" w:ascii="宋体" w:hAnsi="宋体" w:eastAsia="宋体" w:cs="宋体"/>
                <w:i w:val="0"/>
                <w:iCs w:val="0"/>
                <w:color w:val="auto"/>
                <w:sz w:val="24"/>
                <w:szCs w:val="24"/>
                <w:highlight w:val="none"/>
                <w:lang w:eastAsia="zh-CN"/>
              </w:rPr>
              <w:t>在</w:t>
            </w:r>
            <w:r>
              <w:rPr>
                <w:rFonts w:hint="eastAsia" w:ascii="宋体" w:hAnsi="宋体" w:eastAsia="宋体" w:cs="宋体"/>
                <w:i w:val="0"/>
                <w:iCs w:val="0"/>
                <w:color w:val="auto"/>
                <w:sz w:val="24"/>
                <w:szCs w:val="24"/>
                <w:highlight w:val="none"/>
              </w:rPr>
              <w:t>收到评审报告后5个工作日内，按评审报告中推荐的成交候选人排序确定成交供应商。</w:t>
            </w:r>
          </w:p>
          <w:p w14:paraId="481AA3BC">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采购人委托磋商小组直接确定成交供应商。</w:t>
            </w:r>
          </w:p>
        </w:tc>
      </w:tr>
      <w:tr w14:paraId="02426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321" w:hRule="atLeast"/>
        </w:trPr>
        <w:tc>
          <w:tcPr>
            <w:tcW w:w="970" w:type="dxa"/>
            <w:tcBorders>
              <w:top w:val="single" w:color="auto" w:sz="2" w:space="0"/>
              <w:left w:val="single" w:color="auto" w:sz="2" w:space="0"/>
              <w:bottom w:val="single" w:color="auto" w:sz="2" w:space="0"/>
              <w:right w:val="single" w:color="auto" w:sz="2" w:space="0"/>
            </w:tcBorders>
            <w:vAlign w:val="center"/>
          </w:tcPr>
          <w:p w14:paraId="027ED33D">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6AB44AED">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履约保证金</w:t>
            </w:r>
          </w:p>
        </w:tc>
        <w:tc>
          <w:tcPr>
            <w:tcW w:w="6450" w:type="dxa"/>
            <w:tcBorders>
              <w:top w:val="single" w:color="auto" w:sz="2" w:space="0"/>
              <w:left w:val="single" w:color="auto" w:sz="2" w:space="0"/>
              <w:bottom w:val="single" w:color="auto" w:sz="2" w:space="0"/>
              <w:right w:val="single" w:color="auto" w:sz="2" w:space="0"/>
            </w:tcBorders>
            <w:vAlign w:val="center"/>
          </w:tcPr>
          <w:p w14:paraId="08247B4B">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18E8C640">
            <w:pPr>
              <w:pStyle w:val="46"/>
              <w:ind w:firstLine="240" w:firstLineChars="100"/>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eastAsia="zh-CN"/>
              </w:rPr>
              <w:t>☑</w:t>
            </w:r>
            <w:r>
              <w:rPr>
                <w:rFonts w:hint="eastAsia" w:cs="宋体"/>
                <w:i w:val="0"/>
                <w:iCs w:val="0"/>
                <w:color w:val="auto"/>
                <w:sz w:val="24"/>
                <w:szCs w:val="24"/>
                <w:highlight w:val="none"/>
                <w:lang w:val="en-US" w:eastAsia="zh-CN"/>
              </w:rPr>
              <w:t>以实际签订合同为准。</w:t>
            </w:r>
          </w:p>
          <w:p w14:paraId="45051CB9">
            <w:pPr>
              <w:pStyle w:val="4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p>
          <w:p w14:paraId="77DCE896">
            <w:pPr>
              <w:pStyle w:val="4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 xml:space="preserve">人民币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元</w:t>
            </w:r>
          </w:p>
          <w:p w14:paraId="1076A323">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62C268E3">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收取单位：</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 xml:space="preserve">                            </w:t>
            </w:r>
          </w:p>
          <w:p w14:paraId="586EF0F6">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4.收取账号：</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 xml:space="preserve">              </w:t>
            </w:r>
          </w:p>
          <w:p w14:paraId="012A090E">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退还时间：</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 xml:space="preserve">             </w:t>
            </w:r>
          </w:p>
          <w:p w14:paraId="669D6D76">
            <w:pPr>
              <w:pStyle w:val="46"/>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2E2158BA">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158E6C8E">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以担保函、保证保险形式缴纳履约保证金的，受益人和收取单位须为采购人。</w:t>
            </w:r>
          </w:p>
        </w:tc>
      </w:tr>
      <w:tr w14:paraId="64B5E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736" w:hRule="atLeast"/>
        </w:trPr>
        <w:tc>
          <w:tcPr>
            <w:tcW w:w="970" w:type="dxa"/>
            <w:tcBorders>
              <w:top w:val="single" w:color="auto" w:sz="2" w:space="0"/>
              <w:left w:val="single" w:color="auto" w:sz="2" w:space="0"/>
              <w:bottom w:val="single" w:color="auto" w:sz="2" w:space="0"/>
              <w:right w:val="single" w:color="auto" w:sz="2" w:space="0"/>
            </w:tcBorders>
            <w:vAlign w:val="center"/>
          </w:tcPr>
          <w:p w14:paraId="0861755C">
            <w:pPr>
              <w:pStyle w:val="46"/>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34.5</w:t>
            </w:r>
          </w:p>
        </w:tc>
        <w:tc>
          <w:tcPr>
            <w:tcW w:w="1971" w:type="dxa"/>
            <w:tcBorders>
              <w:top w:val="single" w:color="auto" w:sz="2" w:space="0"/>
              <w:left w:val="single" w:color="auto" w:sz="2" w:space="0"/>
              <w:bottom w:val="single" w:color="auto" w:sz="2" w:space="0"/>
              <w:right w:val="single" w:color="auto" w:sz="2" w:space="0"/>
            </w:tcBorders>
            <w:vAlign w:val="center"/>
          </w:tcPr>
          <w:p w14:paraId="04D9510B">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合同分包</w:t>
            </w:r>
          </w:p>
        </w:tc>
        <w:tc>
          <w:tcPr>
            <w:tcW w:w="6450" w:type="dxa"/>
            <w:tcBorders>
              <w:top w:val="single" w:color="auto" w:sz="2" w:space="0"/>
              <w:left w:val="single" w:color="auto" w:sz="2" w:space="0"/>
              <w:bottom w:val="single" w:color="auto" w:sz="2" w:space="0"/>
              <w:right w:val="single" w:color="auto" w:sz="2" w:space="0"/>
            </w:tcBorders>
            <w:vAlign w:val="center"/>
          </w:tcPr>
          <w:p w14:paraId="4344EC45">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本项目的非主体、非关键性工作是否允许分包： </w:t>
            </w:r>
          </w:p>
          <w:p w14:paraId="3D901FC0">
            <w:pPr>
              <w:pStyle w:val="46"/>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w:t>
            </w:r>
            <w:r>
              <w:rPr>
                <w:rFonts w:hint="eastAsia" w:ascii="宋体" w:hAnsi="宋体" w:eastAsia="宋体" w:cs="宋体"/>
                <w:i w:val="0"/>
                <w:iCs w:val="0"/>
                <w:color w:val="auto"/>
                <w:kern w:val="2"/>
                <w:sz w:val="24"/>
                <w:szCs w:val="24"/>
                <w:highlight w:val="none"/>
                <w:lang w:val="en-US" w:eastAsia="zh-CN" w:bidi="ar-SA"/>
              </w:rPr>
              <w:t xml:space="preserve">不允许 </w:t>
            </w:r>
          </w:p>
          <w:p w14:paraId="56DFA0F7">
            <w:pPr>
              <w:pStyle w:val="46"/>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□允许，具体要求： </w:t>
            </w:r>
          </w:p>
          <w:p w14:paraId="6C445FF2">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1.可以分包履行的具体内容：</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lang w:val="en-US" w:eastAsia="zh-CN" w:bidi="ar-SA"/>
              </w:rPr>
              <w:t xml:space="preserve">； </w:t>
            </w:r>
          </w:p>
          <w:p w14:paraId="71BE067E">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2.允许分包的金额或者比例：</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lang w:val="en-US" w:eastAsia="zh-CN" w:bidi="ar-SA"/>
              </w:rPr>
              <w:t xml:space="preserve">； </w:t>
            </w:r>
          </w:p>
          <w:p w14:paraId="3628979B">
            <w:pPr>
              <w:pStyle w:val="46"/>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3.其他要求：</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lang w:val="en-US" w:eastAsia="zh-CN" w:bidi="ar-SA"/>
              </w:rPr>
              <w:t>。</w:t>
            </w:r>
          </w:p>
        </w:tc>
      </w:tr>
      <w:tr w14:paraId="749FB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F3EF9C4">
            <w:pPr>
              <w:pStyle w:val="46"/>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35.1</w:t>
            </w:r>
          </w:p>
        </w:tc>
        <w:tc>
          <w:tcPr>
            <w:tcW w:w="1971" w:type="dxa"/>
            <w:tcBorders>
              <w:top w:val="single" w:color="auto" w:sz="2" w:space="0"/>
              <w:left w:val="single" w:color="auto" w:sz="2" w:space="0"/>
              <w:bottom w:val="single" w:color="auto" w:sz="2" w:space="0"/>
              <w:right w:val="single" w:color="auto" w:sz="2" w:space="0"/>
            </w:tcBorders>
            <w:vAlign w:val="center"/>
          </w:tcPr>
          <w:p w14:paraId="66EBB004">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质疑</w:t>
            </w:r>
          </w:p>
        </w:tc>
        <w:tc>
          <w:tcPr>
            <w:tcW w:w="6450" w:type="dxa"/>
            <w:tcBorders>
              <w:top w:val="single" w:color="auto" w:sz="2" w:space="0"/>
              <w:left w:val="single" w:color="auto" w:sz="2" w:space="0"/>
              <w:bottom w:val="single" w:color="auto" w:sz="2" w:space="0"/>
              <w:right w:val="single" w:color="auto" w:sz="2" w:space="0"/>
            </w:tcBorders>
            <w:vAlign w:val="center"/>
          </w:tcPr>
          <w:p w14:paraId="19F26822">
            <w:pPr>
              <w:pStyle w:val="5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递交方式：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书面形式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33CC548F">
            <w:pPr>
              <w:pStyle w:val="5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接收部门：</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新疆星圣源工程项目管理有限公司</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4E9BBFA0">
            <w:pPr>
              <w:pStyle w:val="5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联系电话：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0991-5803779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6C71E447">
            <w:pPr>
              <w:pStyle w:val="54"/>
              <w:keepNext w:val="0"/>
              <w:keepLines w:val="0"/>
              <w:pageBreakBefore w:val="0"/>
              <w:widowControl w:val="0"/>
              <w:kinsoku/>
              <w:wordWrap/>
              <w:overflowPunct/>
              <w:topLinePunct w:val="0"/>
              <w:autoSpaceDE w:val="0"/>
              <w:autoSpaceDN w:val="0"/>
              <w:bidi w:val="0"/>
              <w:adjustRightInd w:val="0"/>
              <w:snapToGrid/>
              <w:spacing w:line="240" w:lineRule="auto"/>
              <w:ind w:left="1200" w:hanging="1200" w:hangingChars="500"/>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通讯地址：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新疆乌鲁木齐市沙依巴克区奇台路658号德汇万达E2写字楼1703-02室</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tc>
      </w:tr>
      <w:tr w14:paraId="3338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B4B8253">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620FF725">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采购代理服务费收取方式和标准</w:t>
            </w:r>
          </w:p>
        </w:tc>
        <w:tc>
          <w:tcPr>
            <w:tcW w:w="6450" w:type="dxa"/>
            <w:tcBorders>
              <w:top w:val="single" w:color="auto" w:sz="2" w:space="0"/>
              <w:left w:val="single" w:color="auto" w:sz="2" w:space="0"/>
              <w:bottom w:val="single" w:color="auto" w:sz="2" w:space="0"/>
              <w:right w:val="single" w:color="auto" w:sz="2" w:space="0"/>
            </w:tcBorders>
            <w:vAlign w:val="center"/>
          </w:tcPr>
          <w:p w14:paraId="50481589">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收</w:t>
            </w:r>
            <w:r>
              <w:rPr>
                <w:rFonts w:hint="eastAsia" w:ascii="宋体" w:hAnsi="宋体" w:eastAsia="宋体" w:cs="宋体"/>
                <w:i w:val="0"/>
                <w:iCs w:val="0"/>
                <w:color w:val="auto"/>
                <w:sz w:val="24"/>
                <w:szCs w:val="24"/>
                <w:highlight w:val="none"/>
              </w:rPr>
              <w:t>费</w:t>
            </w:r>
            <w:r>
              <w:rPr>
                <w:rFonts w:hint="eastAsia" w:ascii="宋体" w:hAnsi="宋体" w:eastAsia="宋体" w:cs="宋体"/>
                <w:i w:val="0"/>
                <w:iCs w:val="0"/>
                <w:color w:val="auto"/>
                <w:sz w:val="24"/>
                <w:szCs w:val="24"/>
                <w:highlight w:val="none"/>
                <w:lang w:val="en-US" w:eastAsia="zh-CN"/>
              </w:rPr>
              <w:t>对象</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 xml:space="preserve">采购人支付 </w:t>
            </w: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 xml:space="preserve">人支付 </w:t>
            </w:r>
          </w:p>
          <w:p w14:paraId="4710D0C3">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收费</w:t>
            </w:r>
            <w:r>
              <w:rPr>
                <w:rFonts w:hint="eastAsia" w:ascii="宋体" w:hAnsi="宋体" w:eastAsia="宋体" w:cs="宋体"/>
                <w:i w:val="0"/>
                <w:iCs w:val="0"/>
                <w:color w:val="auto"/>
                <w:sz w:val="24"/>
                <w:szCs w:val="24"/>
                <w:highlight w:val="none"/>
              </w:rPr>
              <w:t>标准：</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参照原国家发展计划委员会文件（计价格[2002]1980号文）和（发改办价格[2003]857号文件），所规定标准计算由中标人向招标代理机构支付。</w:t>
            </w:r>
            <w:r>
              <w:rPr>
                <w:rFonts w:hint="eastAsia" w:ascii="宋体" w:hAnsi="宋体" w:eastAsia="宋体" w:cs="宋体"/>
                <w:i w:val="0"/>
                <w:iCs w:val="0"/>
                <w:color w:val="auto"/>
                <w:sz w:val="24"/>
                <w:szCs w:val="24"/>
                <w:highlight w:val="none"/>
                <w:u w:val="single"/>
              </w:rPr>
              <w:t xml:space="preserve"> </w:t>
            </w:r>
          </w:p>
          <w:p w14:paraId="7984F9E6">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收取</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在领取成交通知书前由成交供应商向采购代理机构一次性付清</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p>
          <w:p w14:paraId="624D4904">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收取</w:t>
            </w: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公对公打款</w:t>
            </w:r>
            <w:r>
              <w:rPr>
                <w:rFonts w:hint="eastAsia" w:ascii="宋体" w:hAnsi="宋体" w:eastAsia="宋体" w:cs="宋体"/>
                <w:i w:val="0"/>
                <w:iCs w:val="0"/>
                <w:color w:val="auto"/>
                <w:sz w:val="24"/>
                <w:szCs w:val="24"/>
                <w:highlight w:val="none"/>
                <w:u w:val="single"/>
              </w:rPr>
              <w:t xml:space="preserve"> </w:t>
            </w:r>
          </w:p>
        </w:tc>
      </w:tr>
      <w:tr w14:paraId="399E0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A071A53">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41</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1785FF1B">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是否接受进口产品</w:t>
            </w:r>
          </w:p>
        </w:tc>
        <w:tc>
          <w:tcPr>
            <w:tcW w:w="6450" w:type="dxa"/>
            <w:tcBorders>
              <w:top w:val="single" w:color="auto" w:sz="2" w:space="0"/>
              <w:left w:val="single" w:color="auto" w:sz="2" w:space="0"/>
              <w:bottom w:val="single" w:color="auto" w:sz="2" w:space="0"/>
              <w:right w:val="single" w:color="auto" w:sz="2" w:space="0"/>
            </w:tcBorders>
            <w:vAlign w:val="center"/>
          </w:tcPr>
          <w:p w14:paraId="3B4D5E17">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不接受</w:t>
            </w:r>
          </w:p>
          <w:p w14:paraId="77F5BFD2">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lang w:val="zh-CN"/>
              </w:rPr>
              <w:t>接受</w:t>
            </w:r>
          </w:p>
        </w:tc>
      </w:tr>
      <w:tr w14:paraId="6F701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5EB639A">
            <w:pPr>
              <w:pStyle w:val="46"/>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p>
        </w:tc>
        <w:tc>
          <w:tcPr>
            <w:tcW w:w="1971" w:type="dxa"/>
            <w:tcBorders>
              <w:top w:val="single" w:color="auto" w:sz="2" w:space="0"/>
              <w:left w:val="single" w:color="auto" w:sz="2" w:space="0"/>
              <w:bottom w:val="single" w:color="auto" w:sz="2" w:space="0"/>
              <w:right w:val="single" w:color="auto" w:sz="2" w:space="0"/>
            </w:tcBorders>
            <w:vAlign w:val="center"/>
          </w:tcPr>
          <w:p w14:paraId="623E81DC">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支持中小企业政策</w:t>
            </w:r>
            <w:r>
              <w:rPr>
                <w:rStyle w:val="32"/>
                <w:rFonts w:hint="eastAsia" w:ascii="宋体" w:hAnsi="宋体" w:eastAsia="宋体" w:cs="宋体"/>
                <w:b w:val="0"/>
                <w:i w:val="0"/>
                <w:iCs w:val="0"/>
                <w:color w:val="auto"/>
                <w:sz w:val="24"/>
                <w:szCs w:val="24"/>
                <w:highlight w:val="none"/>
                <w:lang w:val="en-US" w:eastAsia="zh-CN"/>
              </w:rPr>
              <w:t>（非专门面向中小企业采购项目适用）</w:t>
            </w:r>
          </w:p>
        </w:tc>
        <w:tc>
          <w:tcPr>
            <w:tcW w:w="6450" w:type="dxa"/>
            <w:tcBorders>
              <w:top w:val="single" w:color="auto" w:sz="2" w:space="0"/>
              <w:left w:val="single" w:color="auto" w:sz="2" w:space="0"/>
              <w:bottom w:val="single" w:color="auto" w:sz="2" w:space="0"/>
              <w:right w:val="single" w:color="auto" w:sz="2" w:space="0"/>
            </w:tcBorders>
            <w:vAlign w:val="center"/>
          </w:tcPr>
          <w:p w14:paraId="494A9BAF">
            <w:pPr>
              <w:pStyle w:val="59"/>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1</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小型和微型企业价格扣除：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无</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i w:val="0"/>
                <w:iCs w:val="0"/>
                <w:color w:val="auto"/>
                <w:sz w:val="24"/>
                <w:szCs w:val="24"/>
                <w:highlight w:val="none"/>
              </w:rPr>
              <w:t>。</w:t>
            </w:r>
          </w:p>
          <w:p w14:paraId="1EC73829">
            <w:pPr>
              <w:pStyle w:val="59"/>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2</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监狱企业价格扣除：</w:t>
            </w:r>
            <w:r>
              <w:rPr>
                <w:rFonts w:hint="eastAsia" w:ascii="宋体" w:hAnsi="宋体" w:eastAsia="宋体" w:cs="宋体"/>
                <w:b w:val="0"/>
                <w:i w:val="0"/>
                <w:iCs w:val="0"/>
                <w:color w:val="auto"/>
                <w:sz w:val="24"/>
                <w:szCs w:val="24"/>
                <w:highlight w:val="none"/>
                <w:u w:val="none"/>
              </w:rPr>
              <w:t>同小型和微型企业</w:t>
            </w:r>
            <w:r>
              <w:rPr>
                <w:rFonts w:hint="eastAsia" w:ascii="宋体" w:hAnsi="宋体" w:eastAsia="宋体" w:cs="宋体"/>
                <w:b w:val="0"/>
                <w:i w:val="0"/>
                <w:iCs w:val="0"/>
                <w:color w:val="auto"/>
                <w:sz w:val="24"/>
                <w:szCs w:val="24"/>
                <w:highlight w:val="none"/>
              </w:rPr>
              <w:t>。</w:t>
            </w:r>
          </w:p>
          <w:p w14:paraId="498559E5">
            <w:pPr>
              <w:pStyle w:val="59"/>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3</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残疾人福利性单位价格扣除：</w:t>
            </w:r>
            <w:r>
              <w:rPr>
                <w:rFonts w:hint="eastAsia" w:ascii="宋体" w:hAnsi="宋体" w:eastAsia="宋体" w:cs="宋体"/>
                <w:b w:val="0"/>
                <w:i w:val="0"/>
                <w:iCs w:val="0"/>
                <w:color w:val="auto"/>
                <w:sz w:val="24"/>
                <w:szCs w:val="24"/>
                <w:highlight w:val="none"/>
                <w:u w:val="none"/>
              </w:rPr>
              <w:t>同小型和微型企业</w:t>
            </w:r>
            <w:r>
              <w:rPr>
                <w:rFonts w:hint="eastAsia" w:ascii="宋体" w:hAnsi="宋体" w:eastAsia="宋体" w:cs="宋体"/>
                <w:b w:val="0"/>
                <w:i w:val="0"/>
                <w:iCs w:val="0"/>
                <w:color w:val="auto"/>
                <w:sz w:val="24"/>
                <w:szCs w:val="24"/>
                <w:highlight w:val="none"/>
              </w:rPr>
              <w:t>。</w:t>
            </w:r>
          </w:p>
          <w:p w14:paraId="56AB8547">
            <w:pPr>
              <w:pStyle w:val="59"/>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4</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符合条件的联合体价格扣除：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无</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i w:val="0"/>
                <w:iCs w:val="0"/>
                <w:color w:val="auto"/>
                <w:sz w:val="24"/>
                <w:szCs w:val="24"/>
                <w:highlight w:val="none"/>
              </w:rPr>
              <w:t>。</w:t>
            </w:r>
          </w:p>
          <w:p w14:paraId="083F702C">
            <w:pPr>
              <w:pStyle w:val="59"/>
              <w:widowControl w:val="0"/>
              <w:spacing w:before="0" w:beforeAutospacing="0" w:after="0" w:afterAutospacing="0" w:line="240" w:lineRule="auto"/>
              <w:jc w:val="both"/>
              <w:rPr>
                <w:rFonts w:hint="eastAsia" w:ascii="宋体" w:hAnsi="宋体" w:eastAsia="宋体" w:cs="宋体"/>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5</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符合条件的向小微企业分包的大中型企业价格扣除：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无</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i w:val="0"/>
                <w:iCs w:val="0"/>
                <w:color w:val="auto"/>
                <w:sz w:val="24"/>
                <w:szCs w:val="24"/>
                <w:highlight w:val="none"/>
              </w:rPr>
              <w:t>。（允许大中型企业向小微企业分包的项目适用）</w:t>
            </w:r>
          </w:p>
        </w:tc>
      </w:tr>
      <w:tr w14:paraId="01605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0" w:hRule="atLeast"/>
        </w:trPr>
        <w:tc>
          <w:tcPr>
            <w:tcW w:w="970" w:type="dxa"/>
            <w:tcBorders>
              <w:top w:val="single" w:color="auto" w:sz="2" w:space="0"/>
              <w:left w:val="single" w:color="auto" w:sz="2" w:space="0"/>
              <w:bottom w:val="single" w:color="auto" w:sz="2" w:space="0"/>
              <w:right w:val="single" w:color="auto" w:sz="2" w:space="0"/>
            </w:tcBorders>
            <w:vAlign w:val="center"/>
          </w:tcPr>
          <w:p w14:paraId="790F1479">
            <w:pPr>
              <w:pStyle w:val="46"/>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42.9</w:t>
            </w:r>
          </w:p>
        </w:tc>
        <w:tc>
          <w:tcPr>
            <w:tcW w:w="1971" w:type="dxa"/>
            <w:tcBorders>
              <w:top w:val="single" w:color="auto" w:sz="2" w:space="0"/>
              <w:left w:val="single" w:color="auto" w:sz="2" w:space="0"/>
              <w:bottom w:val="single" w:color="auto" w:sz="2" w:space="0"/>
              <w:right w:val="single" w:color="auto" w:sz="2" w:space="0"/>
            </w:tcBorders>
            <w:vAlign w:val="center"/>
          </w:tcPr>
          <w:p w14:paraId="4DEF3B1D">
            <w:pPr>
              <w:pStyle w:val="46"/>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标的所属行业</w:t>
            </w:r>
          </w:p>
          <w:p w14:paraId="2A0D024C">
            <w:pPr>
              <w:pStyle w:val="46"/>
              <w:rPr>
                <w:rFonts w:hint="eastAsia" w:ascii="宋体" w:hAnsi="宋体" w:eastAsia="宋体" w:cs="宋体"/>
                <w:i w:val="0"/>
                <w:iCs w:val="0"/>
                <w:color w:val="auto"/>
                <w:sz w:val="24"/>
                <w:szCs w:val="24"/>
                <w:highlight w:val="none"/>
              </w:rPr>
            </w:pPr>
            <w:r>
              <w:rPr>
                <w:rStyle w:val="32"/>
                <w:rFonts w:hint="eastAsia" w:ascii="宋体" w:hAnsi="宋体" w:eastAsia="宋体" w:cs="宋体"/>
                <w:b w:val="0"/>
                <w:i w:val="0"/>
                <w:iCs w:val="0"/>
                <w:color w:val="auto"/>
                <w:sz w:val="24"/>
                <w:szCs w:val="24"/>
                <w:highlight w:val="none"/>
                <w:lang w:val="en-US" w:eastAsia="zh-CN"/>
              </w:rPr>
              <w:t>（参照后附</w:t>
            </w:r>
            <w:r>
              <w:rPr>
                <w:rStyle w:val="32"/>
                <w:rFonts w:hint="eastAsia" w:ascii="宋体" w:hAnsi="宋体" w:eastAsia="宋体" w:cs="宋体"/>
                <w:b w:val="0"/>
                <w:i w:val="0"/>
                <w:iCs w:val="0"/>
                <w:color w:val="auto"/>
                <w:sz w:val="24"/>
                <w:szCs w:val="24"/>
                <w:highlight w:val="none"/>
                <w:lang w:eastAsia="zh-CN"/>
              </w:rPr>
              <w:t>《</w:t>
            </w:r>
            <w:r>
              <w:rPr>
                <w:rStyle w:val="32"/>
                <w:rFonts w:hint="eastAsia" w:ascii="宋体" w:hAnsi="宋体" w:eastAsia="宋体" w:cs="宋体"/>
                <w:b w:val="0"/>
                <w:i w:val="0"/>
                <w:iCs w:val="0"/>
                <w:color w:val="auto"/>
                <w:sz w:val="24"/>
                <w:szCs w:val="24"/>
                <w:highlight w:val="none"/>
              </w:rPr>
              <w:t>工信部联企业〔2011〕300号</w:t>
            </w:r>
            <w:r>
              <w:rPr>
                <w:rStyle w:val="32"/>
                <w:rFonts w:hint="eastAsia" w:ascii="宋体" w:hAnsi="宋体" w:eastAsia="宋体" w:cs="宋体"/>
                <w:b w:val="0"/>
                <w:i w:val="0"/>
                <w:iCs w:val="0"/>
                <w:color w:val="auto"/>
                <w:sz w:val="24"/>
                <w:szCs w:val="24"/>
                <w:highlight w:val="none"/>
                <w:lang w:eastAsia="zh-CN"/>
              </w:rPr>
              <w:t>》）</w:t>
            </w:r>
          </w:p>
        </w:tc>
        <w:tc>
          <w:tcPr>
            <w:tcW w:w="6450" w:type="dxa"/>
            <w:tcBorders>
              <w:top w:val="single" w:color="auto" w:sz="2" w:space="0"/>
              <w:left w:val="single" w:color="auto" w:sz="2" w:space="0"/>
              <w:bottom w:val="single" w:color="auto" w:sz="2" w:space="0"/>
              <w:right w:val="single" w:color="auto" w:sz="2" w:space="0"/>
            </w:tcBorders>
            <w:vAlign w:val="center"/>
          </w:tcPr>
          <w:p w14:paraId="73639D39">
            <w:pPr>
              <w:keepNext w:val="0"/>
              <w:keepLines w:val="0"/>
              <w:widowControl/>
              <w:suppressLineNumbers w:val="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本项目采购标的对应的中小企业划分标准所属行业： </w:t>
            </w:r>
          </w:p>
          <w:tbl>
            <w:tblPr>
              <w:tblStyle w:val="30"/>
              <w:tblW w:w="5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3420"/>
            </w:tblGrid>
            <w:tr w14:paraId="385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vAlign w:val="center"/>
                </w:tcPr>
                <w:p w14:paraId="0AD36816">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标的名称</w:t>
                  </w:r>
                </w:p>
              </w:tc>
              <w:tc>
                <w:tcPr>
                  <w:tcW w:w="3420" w:type="dxa"/>
                  <w:vAlign w:val="center"/>
                </w:tcPr>
                <w:p w14:paraId="2C78D772">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中小企业划分标准所属行业</w:t>
                  </w:r>
                </w:p>
              </w:tc>
            </w:tr>
            <w:tr w14:paraId="531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vAlign w:val="center"/>
                </w:tcPr>
                <w:p w14:paraId="7B94C3FE">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cs="宋体"/>
                      <w:i w:val="0"/>
                      <w:iCs w:val="0"/>
                      <w:color w:val="auto"/>
                      <w:kern w:val="0"/>
                      <w:sz w:val="24"/>
                      <w:szCs w:val="24"/>
                      <w:highlight w:val="none"/>
                      <w:vertAlign w:val="baseline"/>
                      <w:lang w:val="en-US" w:eastAsia="zh-CN" w:bidi="ar"/>
                    </w:rPr>
                    <w:t>2025年度自治区人社厅DSG数据交换平台维护项目（二次）</w:t>
                  </w:r>
                </w:p>
              </w:tc>
              <w:tc>
                <w:tcPr>
                  <w:tcW w:w="3420" w:type="dxa"/>
                  <w:vAlign w:val="center"/>
                </w:tcPr>
                <w:p w14:paraId="33535D95">
                  <w:pPr>
                    <w:keepNext w:val="0"/>
                    <w:keepLines w:val="0"/>
                    <w:widowControl/>
                    <w:suppressLineNumbers w:val="0"/>
                    <w:jc w:val="center"/>
                    <w:rPr>
                      <w:rFonts w:hint="default" w:ascii="宋体" w:hAnsi="宋体" w:eastAsia="宋体" w:cs="宋体"/>
                      <w:i w:val="0"/>
                      <w:iCs w:val="0"/>
                      <w:color w:val="auto"/>
                      <w:kern w:val="0"/>
                      <w:sz w:val="24"/>
                      <w:szCs w:val="24"/>
                      <w:highlight w:val="none"/>
                      <w:vertAlign w:val="baseline"/>
                      <w:lang w:val="en-US" w:eastAsia="zh-CN" w:bidi="ar"/>
                    </w:rPr>
                  </w:pPr>
                  <w:r>
                    <w:rPr>
                      <w:rFonts w:hint="default" w:ascii="宋体" w:hAnsi="宋体" w:eastAsia="宋体" w:cs="宋体"/>
                      <w:i w:val="0"/>
                      <w:iCs w:val="0"/>
                      <w:color w:val="auto"/>
                      <w:kern w:val="0"/>
                      <w:sz w:val="24"/>
                      <w:szCs w:val="24"/>
                      <w:highlight w:val="none"/>
                      <w:vertAlign w:val="baseline"/>
                      <w:lang w:val="en-US" w:eastAsia="zh-CN" w:bidi="ar"/>
                    </w:rPr>
                    <w:t>软件和信息技术服务业</w:t>
                  </w:r>
                </w:p>
              </w:tc>
            </w:tr>
          </w:tbl>
          <w:p w14:paraId="4176FC14">
            <w:pPr>
              <w:pStyle w:val="46"/>
              <w:rPr>
                <w:rFonts w:hint="eastAsia" w:ascii="宋体" w:hAnsi="宋体" w:eastAsia="宋体" w:cs="宋体"/>
                <w:i w:val="0"/>
                <w:iCs w:val="0"/>
                <w:color w:val="auto"/>
                <w:sz w:val="24"/>
                <w:szCs w:val="24"/>
                <w:highlight w:val="none"/>
              </w:rPr>
            </w:pPr>
          </w:p>
        </w:tc>
      </w:tr>
      <w:tr w14:paraId="255D9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9"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1EF21B18">
            <w:pPr>
              <w:pStyle w:val="46"/>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43.5</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4E9700F5">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优先采购创新节能环保产品</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1E29B3FF">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产品纳入创新产品应用示范推荐目录内企业、所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产品获得节能产品或环境标志产品认证证书的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报价给予</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的价格扣除。</w:t>
            </w:r>
          </w:p>
        </w:tc>
      </w:tr>
      <w:tr w14:paraId="5DE88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786DB02">
            <w:pPr>
              <w:pStyle w:val="46"/>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1F7BC457">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政府采购</w:t>
            </w:r>
          </w:p>
          <w:p w14:paraId="2BEF7B44">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合同融资政策</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26C388BA">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1.</w:t>
            </w:r>
            <w:r>
              <w:rPr>
                <w:rFonts w:hint="eastAsia" w:ascii="宋体" w:hAnsi="宋体" w:eastAsia="宋体" w:cs="宋体"/>
                <w:i w:val="0"/>
                <w:iCs w:val="0"/>
                <w:color w:val="auto"/>
                <w:sz w:val="24"/>
                <w:szCs w:val="24"/>
                <w:highlight w:val="none"/>
              </w:rPr>
              <w:t>有融资需求的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人在获得政府采购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通知书后，即可向开展“政采贷”业务的金融机构提出申请，金融机构依据政府采购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通知书和政府采购合同，为中小微企业提供融资服务。</w:t>
            </w:r>
          </w:p>
          <w:p w14:paraId="6795BCBE">
            <w:pPr>
              <w:pStyle w:val="46"/>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 xml:space="preserve">  2.</w:t>
            </w:r>
            <w:r>
              <w:rPr>
                <w:rFonts w:hint="eastAsia" w:ascii="宋体" w:hAnsi="宋体" w:eastAsia="宋体" w:cs="宋体"/>
                <w:i w:val="0"/>
                <w:iCs w:val="0"/>
                <w:color w:val="auto"/>
                <w:sz w:val="24"/>
                <w:szCs w:val="24"/>
                <w:highlight w:val="none"/>
                <w:lang w:eastAsia="zh-CN"/>
              </w:rPr>
              <w:t>“政采贷”融资指引：在取得政府采购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通知书后，可访问“</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，查看和联系第三方平台或者金融机构，商洽融资事项，确定融资意向。</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人签署政府采购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合同后，登录“</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，选择意向产品进行申请，并填写相关信息，“</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将中标人融资申请信息推送第三方平台、意向金融机构。</w:t>
            </w:r>
          </w:p>
        </w:tc>
      </w:tr>
      <w:tr w14:paraId="54F8D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07" w:hRule="atLeast"/>
        </w:trPr>
        <w:tc>
          <w:tcPr>
            <w:tcW w:w="970" w:type="dxa"/>
            <w:tcBorders>
              <w:top w:val="single" w:color="auto" w:sz="2" w:space="0"/>
              <w:left w:val="single" w:color="auto" w:sz="2" w:space="0"/>
              <w:bottom w:val="single" w:color="auto" w:sz="2" w:space="0"/>
              <w:right w:val="single" w:color="auto" w:sz="4" w:space="0"/>
            </w:tcBorders>
            <w:vAlign w:val="center"/>
          </w:tcPr>
          <w:p w14:paraId="342D37A4">
            <w:pPr>
              <w:pStyle w:val="46"/>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4" w:space="0"/>
            </w:tcBorders>
            <w:vAlign w:val="center"/>
          </w:tcPr>
          <w:p w14:paraId="57A459C3">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需要补充的其他内容</w:t>
            </w:r>
          </w:p>
        </w:tc>
        <w:tc>
          <w:tcPr>
            <w:tcW w:w="6450" w:type="dxa"/>
            <w:tcBorders>
              <w:top w:val="single" w:color="auto" w:sz="2" w:space="0"/>
              <w:left w:val="single" w:color="auto" w:sz="4" w:space="0"/>
              <w:bottom w:val="single" w:color="auto" w:sz="2" w:space="0"/>
              <w:right w:val="single" w:color="auto" w:sz="2" w:space="0"/>
            </w:tcBorders>
            <w:vAlign w:val="center"/>
          </w:tcPr>
          <w:p w14:paraId="7C6D9930">
            <w:pPr>
              <w:pStyle w:val="46"/>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lang w:eastAsia="zh-CN"/>
              </w:rPr>
              <w:t>【</w:t>
            </w:r>
            <w:r>
              <w:rPr>
                <w:rFonts w:hint="eastAsia" w:cs="宋体"/>
                <w:b/>
                <w:bCs/>
                <w:i w:val="0"/>
                <w:iCs w:val="0"/>
                <w:color w:val="auto"/>
                <w:sz w:val="24"/>
                <w:szCs w:val="24"/>
                <w:highlight w:val="none"/>
                <w:lang w:val="en-US" w:eastAsia="zh-CN"/>
              </w:rPr>
              <w:t>成交</w:t>
            </w:r>
            <w:r>
              <w:rPr>
                <w:rFonts w:hint="eastAsia" w:ascii="宋体" w:hAnsi="宋体" w:eastAsia="宋体" w:cs="宋体"/>
                <w:b/>
                <w:bCs/>
                <w:i w:val="0"/>
                <w:iCs w:val="0"/>
                <w:color w:val="auto"/>
                <w:sz w:val="24"/>
                <w:szCs w:val="24"/>
                <w:highlight w:val="none"/>
                <w:lang w:val="en-US" w:eastAsia="zh-CN"/>
              </w:rPr>
              <w:t>供应商在领取</w:t>
            </w:r>
            <w:r>
              <w:rPr>
                <w:rFonts w:hint="eastAsia" w:cs="宋体"/>
                <w:b/>
                <w:bCs/>
                <w:i w:val="0"/>
                <w:iCs w:val="0"/>
                <w:color w:val="auto"/>
                <w:sz w:val="24"/>
                <w:szCs w:val="24"/>
                <w:highlight w:val="none"/>
                <w:lang w:val="en-US" w:eastAsia="zh-CN"/>
              </w:rPr>
              <w:t>成交</w:t>
            </w:r>
            <w:r>
              <w:rPr>
                <w:rFonts w:hint="eastAsia" w:ascii="宋体" w:hAnsi="宋体" w:eastAsia="宋体" w:cs="宋体"/>
                <w:b/>
                <w:bCs/>
                <w:i w:val="0"/>
                <w:iCs w:val="0"/>
                <w:color w:val="auto"/>
                <w:sz w:val="24"/>
                <w:szCs w:val="24"/>
                <w:highlight w:val="none"/>
                <w:lang w:val="en-US" w:eastAsia="zh-CN"/>
              </w:rPr>
              <w:t>通知书时须递交纸质响应文件叁份（正本一份，副本两份）胶装及盖章。</w:t>
            </w:r>
            <w:r>
              <w:rPr>
                <w:rFonts w:hint="eastAsia" w:ascii="宋体" w:hAnsi="宋体" w:eastAsia="宋体" w:cs="宋体"/>
                <w:b/>
                <w:bCs/>
                <w:i w:val="0"/>
                <w:iCs w:val="0"/>
                <w:color w:val="auto"/>
                <w:sz w:val="24"/>
                <w:szCs w:val="24"/>
                <w:highlight w:val="none"/>
                <w:lang w:eastAsia="zh-CN"/>
              </w:rPr>
              <w:t>】</w:t>
            </w:r>
          </w:p>
        </w:tc>
      </w:tr>
      <w:tr w14:paraId="1707F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391" w:type="dxa"/>
            <w:gridSpan w:val="3"/>
            <w:tcBorders>
              <w:top w:val="single" w:color="auto" w:sz="2" w:space="0"/>
              <w:left w:val="single" w:color="auto" w:sz="2" w:space="0"/>
              <w:bottom w:val="single" w:color="auto" w:sz="2" w:space="0"/>
              <w:right w:val="single" w:color="auto" w:sz="2" w:space="0"/>
            </w:tcBorders>
            <w:vAlign w:val="center"/>
          </w:tcPr>
          <w:p w14:paraId="45AC7FA3">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除本竞争性磋商文件另有规定外，竞争性磋商文件中出现的类似于“近三年”或“前三年”、“近五年”或“前五年”均指递交响应文件时间以前三年或前五年，以此类推。如：递交响应文件时间为  年  月  日，则“近三年”是指  年  月  日至  年  月  日。</w:t>
            </w:r>
          </w:p>
          <w:p w14:paraId="27269E57">
            <w:pPr>
              <w:pStyle w:val="4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本竞争性磋商文件所称的“以上”、“以下”、“内”、“以内”，包括本数；所称的“不足”，不包括本数。</w:t>
            </w:r>
          </w:p>
        </w:tc>
      </w:tr>
      <w:bookmarkEnd w:id="95"/>
    </w:tbl>
    <w:p w14:paraId="7DF1652A">
      <w:pPr>
        <w:rPr>
          <w:i w:val="0"/>
          <w:iCs w:val="0"/>
          <w:color w:val="auto"/>
          <w:highlight w:val="none"/>
        </w:rPr>
      </w:pPr>
    </w:p>
    <w:p w14:paraId="01483B1D">
      <w:pPr>
        <w:pStyle w:val="35"/>
        <w:ind w:firstLine="480"/>
        <w:rPr>
          <w:i w:val="0"/>
          <w:iCs w:val="0"/>
          <w:color w:val="auto"/>
          <w:highlight w:val="none"/>
        </w:rPr>
      </w:pPr>
    </w:p>
    <w:p w14:paraId="1DBD85E3">
      <w:pPr>
        <w:rPr>
          <w:i w:val="0"/>
          <w:iCs w:val="0"/>
          <w:color w:val="auto"/>
          <w:highlight w:val="none"/>
        </w:rPr>
        <w:sectPr>
          <w:footerReference r:id="rId7" w:type="default"/>
          <w:pgSz w:w="11906" w:h="16838"/>
          <w:pgMar w:top="1440" w:right="1800" w:bottom="1440" w:left="1800" w:header="851" w:footer="652" w:gutter="0"/>
          <w:pgNumType w:fmt="numberInDash"/>
          <w:cols w:space="0" w:num="1"/>
          <w:rtlGutter w:val="0"/>
          <w:docGrid w:type="lines" w:linePitch="312" w:charSpace="0"/>
        </w:sectPr>
      </w:pPr>
    </w:p>
    <w:p w14:paraId="1CF0D4F4">
      <w:pPr>
        <w:pStyle w:val="4"/>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97" w:name="_Toc185"/>
      <w:r>
        <w:rPr>
          <w:rFonts w:hint="eastAsia" w:eastAsia="宋体" w:asciiTheme="majorHAnsi" w:hAnsiTheme="majorHAnsi" w:cstheme="majorBidi"/>
          <w:b/>
          <w:bCs/>
          <w:i w:val="0"/>
          <w:iCs w:val="0"/>
          <w:color w:val="auto"/>
          <w:kern w:val="2"/>
          <w:sz w:val="28"/>
          <w:szCs w:val="28"/>
          <w:highlight w:val="none"/>
          <w:lang w:val="en-US" w:eastAsia="zh-CN" w:bidi="ar-SA"/>
        </w:rPr>
        <w:t>二、供应商须知</w:t>
      </w:r>
      <w:bookmarkEnd w:id="97"/>
    </w:p>
    <w:p w14:paraId="04978FCD">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98" w:name="_Toc21767"/>
      <w:bookmarkStart w:id="99" w:name="_Toc163493611"/>
      <w:bookmarkStart w:id="100" w:name="_Toc109897433"/>
      <w:bookmarkStart w:id="101" w:name="_Toc109900370"/>
      <w:bookmarkStart w:id="102" w:name="_Toc46771638"/>
      <w:bookmarkStart w:id="103" w:name="_Toc109899951"/>
      <w:bookmarkStart w:id="104" w:name="_Toc109899532"/>
      <w:bookmarkStart w:id="105" w:name="_Toc470172694"/>
      <w:r>
        <w:rPr>
          <w:rFonts w:hint="eastAsia" w:ascii="宋体" w:hAnsi="宋体" w:eastAsia="宋体" w:cs="宋体"/>
          <w:b/>
          <w:bCs/>
          <w:i w:val="0"/>
          <w:iCs w:val="0"/>
          <w:color w:val="auto"/>
          <w:kern w:val="2"/>
          <w:sz w:val="24"/>
          <w:szCs w:val="24"/>
          <w:highlight w:val="none"/>
          <w:lang w:val="en-US" w:eastAsia="zh-CN" w:bidi="ar-SA"/>
        </w:rPr>
        <w:t>（一）总则</w:t>
      </w:r>
      <w:bookmarkEnd w:id="98"/>
      <w:bookmarkEnd w:id="99"/>
      <w:bookmarkEnd w:id="100"/>
      <w:bookmarkEnd w:id="101"/>
      <w:bookmarkEnd w:id="102"/>
      <w:bookmarkEnd w:id="103"/>
      <w:bookmarkEnd w:id="104"/>
    </w:p>
    <w:p w14:paraId="18977FAF">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06" w:name="_Toc52962726"/>
      <w:bookmarkStart w:id="107" w:name="_Toc109900371"/>
      <w:bookmarkStart w:id="108" w:name="_Toc109897434"/>
      <w:bookmarkStart w:id="109" w:name="_Toc46772240"/>
      <w:bookmarkStart w:id="110" w:name="_Toc51674210"/>
      <w:bookmarkStart w:id="111" w:name="_Toc52960552"/>
      <w:bookmarkStart w:id="112" w:name="_Toc109899952"/>
      <w:bookmarkStart w:id="113" w:name="_Toc27243"/>
      <w:bookmarkStart w:id="114" w:name="_Toc470172664"/>
      <w:bookmarkStart w:id="115" w:name="_Toc46771639"/>
      <w:bookmarkStart w:id="116" w:name="_Toc48688788"/>
      <w:bookmarkStart w:id="117" w:name="_Toc109899533"/>
      <w:bookmarkStart w:id="118" w:name="_Toc48846108"/>
      <w:r>
        <w:rPr>
          <w:rFonts w:hint="eastAsia" w:ascii="宋体" w:hAnsi="宋体" w:eastAsia="宋体" w:cs="宋体"/>
          <w:b/>
          <w:bCs/>
          <w:i w:val="0"/>
          <w:iCs w:val="0"/>
          <w:color w:val="auto"/>
          <w:kern w:val="2"/>
          <w:sz w:val="24"/>
          <w:szCs w:val="24"/>
          <w:highlight w:val="none"/>
          <w:lang w:val="en-US" w:eastAsia="zh-CN" w:bidi="ar-SA"/>
        </w:rPr>
        <w:t>1.适用范围</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3FAC17DD">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rPr>
        <w:t>1.1本竞争性磋商文件（也称磋商文件或采购文件）仅适用于本次竞争性磋商中所述项目的采购活动。</w:t>
      </w:r>
    </w:p>
    <w:p w14:paraId="34F08411">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19" w:name="_Toc163492824"/>
      <w:r>
        <w:rPr>
          <w:rFonts w:hint="eastAsia" w:ascii="宋体" w:hAnsi="宋体" w:eastAsia="宋体" w:cs="宋体"/>
          <w:b/>
          <w:bCs/>
          <w:i w:val="0"/>
          <w:iCs w:val="0"/>
          <w:color w:val="auto"/>
          <w:kern w:val="2"/>
          <w:sz w:val="24"/>
          <w:szCs w:val="24"/>
          <w:highlight w:val="none"/>
          <w:lang w:val="en-US" w:eastAsia="zh-CN" w:bidi="ar-SA"/>
        </w:rPr>
        <w:t>2.基本定义</w:t>
      </w:r>
      <w:bookmarkEnd w:id="119"/>
    </w:p>
    <w:p w14:paraId="768D70C2">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2.1根据《中华人民共和国政府采购法》及其实施条例等有关法律、法规和规章的规定，制定本竞争性磋商文件。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2.2采购人：</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sz w:val="24"/>
          <w:szCs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2.3采购代理机构：</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sz w:val="24"/>
          <w:szCs w:val="24"/>
          <w:highlight w:val="none"/>
          <w:lang w:val="en-US" w:eastAsia="zh-CN"/>
        </w:rPr>
        <w:t>委托的采购代理机构</w:t>
      </w:r>
      <w:r>
        <w:rPr>
          <w:rFonts w:hint="eastAsia" w:ascii="宋体" w:hAnsi="宋体" w:eastAsia="宋体" w:cs="宋体"/>
          <w:i w:val="0"/>
          <w:iCs w:val="0"/>
          <w:color w:val="auto"/>
          <w:sz w:val="24"/>
          <w:szCs w:val="24"/>
          <w:highlight w:val="none"/>
        </w:rPr>
        <w:t>。</w:t>
      </w:r>
    </w:p>
    <w:p w14:paraId="26D50742">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2.5 服务内容见</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w:t>
      </w:r>
    </w:p>
    <w:p w14:paraId="359C340E">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2.6供应商（也称“申请人”）：指向采购人提供货物、工程或者服务的法人、其他组织或者自然人。</w:t>
      </w:r>
      <w:r>
        <w:rPr>
          <w:rFonts w:hint="eastAsia" w:ascii="宋体" w:hAnsi="宋体" w:eastAsia="宋体" w:cs="宋体"/>
          <w:i w:val="0"/>
          <w:iCs w:val="0"/>
          <w:color w:val="auto"/>
          <w:sz w:val="24"/>
          <w:szCs w:val="24"/>
          <w:highlight w:val="none"/>
        </w:rPr>
        <w:t>分支机构不得参加政府采购活动，但银行、保险、石油石化、电力、电信等</w:t>
      </w:r>
      <w:r>
        <w:rPr>
          <w:rFonts w:hint="eastAsia" w:ascii="宋体" w:hAnsi="宋体" w:eastAsia="宋体" w:cs="宋体"/>
          <w:i w:val="0"/>
          <w:iCs w:val="0"/>
          <w:color w:val="auto"/>
          <w:sz w:val="24"/>
          <w:szCs w:val="24"/>
          <w:highlight w:val="none"/>
          <w:lang w:val="en-US" w:eastAsia="zh-CN"/>
        </w:rPr>
        <w:t>有</w:t>
      </w:r>
      <w:r>
        <w:rPr>
          <w:rFonts w:hint="eastAsia" w:ascii="宋体" w:hAnsi="宋体" w:eastAsia="宋体" w:cs="宋体"/>
          <w:i w:val="0"/>
          <w:iCs w:val="0"/>
          <w:color w:val="auto"/>
          <w:sz w:val="24"/>
          <w:szCs w:val="24"/>
          <w:highlight w:val="none"/>
        </w:rPr>
        <w:t>行业特殊</w:t>
      </w:r>
      <w:r>
        <w:rPr>
          <w:rFonts w:hint="eastAsia" w:ascii="宋体" w:hAnsi="宋体" w:eastAsia="宋体" w:cs="宋体"/>
          <w:i w:val="0"/>
          <w:iCs w:val="0"/>
          <w:color w:val="auto"/>
          <w:sz w:val="24"/>
          <w:szCs w:val="24"/>
          <w:highlight w:val="none"/>
          <w:lang w:val="en-US" w:eastAsia="zh-CN"/>
        </w:rPr>
        <w:t>情况的</w:t>
      </w:r>
      <w:r>
        <w:rPr>
          <w:rFonts w:hint="eastAsia" w:ascii="宋体" w:hAnsi="宋体" w:eastAsia="宋体" w:cs="宋体"/>
          <w:i w:val="0"/>
          <w:iCs w:val="0"/>
          <w:color w:val="auto"/>
          <w:sz w:val="24"/>
          <w:szCs w:val="24"/>
          <w:highlight w:val="none"/>
        </w:rPr>
        <w:t>除外。本项目的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须满足以下条件：</w:t>
      </w:r>
    </w:p>
    <w:p w14:paraId="074A8062">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w:t>
      </w:r>
      <w:r>
        <w:rPr>
          <w:rFonts w:hint="eastAsia" w:ascii="宋体" w:hAnsi="宋体" w:eastAsia="宋体" w:cs="宋体"/>
          <w:i w:val="0"/>
          <w:iCs w:val="0"/>
          <w:color w:val="auto"/>
          <w:sz w:val="24"/>
          <w:szCs w:val="24"/>
          <w:highlight w:val="none"/>
          <w:lang w:val="en-US" w:eastAsia="zh-CN"/>
        </w:rPr>
        <w:t>条件</w:t>
      </w:r>
      <w:r>
        <w:rPr>
          <w:rFonts w:hint="eastAsia" w:ascii="宋体" w:hAnsi="宋体" w:eastAsia="宋体" w:cs="宋体"/>
          <w:i w:val="0"/>
          <w:iCs w:val="0"/>
          <w:color w:val="auto"/>
          <w:sz w:val="24"/>
          <w:szCs w:val="24"/>
          <w:highlight w:val="none"/>
        </w:rPr>
        <w:t>，遵守本项目采购人本级和上级财政部门政府采购的有关规定。</w:t>
      </w:r>
    </w:p>
    <w:p w14:paraId="323DC0B9">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以</w:t>
      </w:r>
      <w:r>
        <w:rPr>
          <w:rFonts w:hint="eastAsia" w:ascii="宋体" w:hAnsi="宋体" w:eastAsia="宋体" w:cs="宋体"/>
          <w:i w:val="0"/>
          <w:iCs w:val="0"/>
          <w:color w:val="auto"/>
          <w:sz w:val="24"/>
          <w:szCs w:val="24"/>
          <w:highlight w:val="none"/>
          <w:lang w:val="en-US" w:eastAsia="zh-CN"/>
        </w:rPr>
        <w:t>竞争性磋商公告中发布</w:t>
      </w:r>
      <w:r>
        <w:rPr>
          <w:rFonts w:hint="eastAsia" w:ascii="宋体" w:hAnsi="宋体" w:eastAsia="宋体" w:cs="宋体"/>
          <w:i w:val="0"/>
          <w:iCs w:val="0"/>
          <w:color w:val="auto"/>
          <w:sz w:val="24"/>
          <w:szCs w:val="24"/>
          <w:highlight w:val="none"/>
        </w:rPr>
        <w:t>的方式</w:t>
      </w:r>
      <w:r>
        <w:rPr>
          <w:rFonts w:hint="eastAsia" w:ascii="宋体" w:hAnsi="宋体" w:eastAsia="宋体" w:cs="宋体"/>
          <w:i w:val="0"/>
          <w:iCs w:val="0"/>
          <w:color w:val="auto"/>
          <w:sz w:val="24"/>
          <w:szCs w:val="24"/>
          <w:highlight w:val="none"/>
          <w:lang w:eastAsia="zh-CN"/>
        </w:rPr>
        <w:t>依法</w:t>
      </w:r>
      <w:r>
        <w:rPr>
          <w:rFonts w:hint="eastAsia" w:ascii="宋体" w:hAnsi="宋体" w:eastAsia="宋体" w:cs="宋体"/>
          <w:i w:val="0"/>
          <w:iCs w:val="0"/>
          <w:color w:val="auto"/>
          <w:sz w:val="24"/>
          <w:szCs w:val="24"/>
          <w:highlight w:val="none"/>
        </w:rPr>
        <w:t>获得了本项目的</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w:t>
      </w:r>
    </w:p>
    <w:p w14:paraId="07B83632">
      <w:pPr>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2.6.3符合本磋商文件规定并参加磋商的供应商。</w:t>
      </w:r>
    </w:p>
    <w:p w14:paraId="08F81926">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2.7</w:t>
      </w:r>
      <w:r>
        <w:rPr>
          <w:rFonts w:hint="eastAsia" w:ascii="宋体" w:hAnsi="宋体" w:eastAsia="宋体" w:cs="宋体"/>
          <w:i w:val="0"/>
          <w:iCs w:val="0"/>
          <w:color w:val="auto"/>
          <w:sz w:val="24"/>
          <w:szCs w:val="24"/>
          <w:highlight w:val="none"/>
          <w:shd w:val="clear" w:color="auto" w:fill="FFFFFF" w:themeFill="background1"/>
        </w:rPr>
        <w:t>潜在供应商</w:t>
      </w:r>
      <w:r>
        <w:rPr>
          <w:rFonts w:hint="eastAsia" w:ascii="宋体" w:hAnsi="宋体" w:eastAsia="宋体" w:cs="宋体"/>
          <w:i w:val="0"/>
          <w:iCs w:val="0"/>
          <w:color w:val="auto"/>
          <w:sz w:val="24"/>
          <w:szCs w:val="24"/>
          <w:highlight w:val="none"/>
          <w:shd w:val="clear" w:color="auto" w:fill="FFFFFF" w:themeFill="background1"/>
          <w:lang w:eastAsia="zh-CN"/>
        </w:rPr>
        <w:t>：</w:t>
      </w:r>
      <w:r>
        <w:rPr>
          <w:rFonts w:hint="eastAsia" w:ascii="宋体" w:hAnsi="宋体" w:eastAsia="宋体" w:cs="宋体"/>
          <w:i w:val="0"/>
          <w:iCs w:val="0"/>
          <w:color w:val="auto"/>
          <w:sz w:val="24"/>
          <w:szCs w:val="24"/>
          <w:highlight w:val="none"/>
          <w:shd w:val="clear" w:color="auto" w:fill="FFFFFF" w:themeFill="background1"/>
          <w:lang w:val="en-US" w:eastAsia="zh-CN"/>
        </w:rPr>
        <w:t>指</w:t>
      </w:r>
      <w:r>
        <w:rPr>
          <w:rFonts w:hint="eastAsia" w:ascii="宋体" w:hAnsi="宋体" w:eastAsia="宋体" w:cs="宋体"/>
          <w:i w:val="0"/>
          <w:iCs w:val="0"/>
          <w:color w:val="auto"/>
          <w:sz w:val="24"/>
          <w:szCs w:val="24"/>
          <w:highlight w:val="none"/>
          <w:lang w:val="en-US" w:eastAsia="zh-CN"/>
        </w:rPr>
        <w:t>符合本磋商文件规定的供应商</w:t>
      </w:r>
      <w:r>
        <w:rPr>
          <w:rFonts w:hint="eastAsia" w:ascii="宋体" w:hAnsi="宋体" w:eastAsia="宋体" w:cs="宋体"/>
          <w:i w:val="0"/>
          <w:iCs w:val="0"/>
          <w:color w:val="auto"/>
          <w:sz w:val="24"/>
          <w:szCs w:val="24"/>
          <w:highlight w:val="none"/>
        </w:rPr>
        <w:t>。</w:t>
      </w:r>
    </w:p>
    <w:p w14:paraId="4FFEB4B0">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20" w:name="_Toc109897437"/>
      <w:bookmarkStart w:id="121" w:name="_Toc52960555"/>
      <w:bookmarkStart w:id="122" w:name="_Toc109899955"/>
      <w:bookmarkStart w:id="123" w:name="_Toc9974"/>
      <w:bookmarkStart w:id="124" w:name="_Toc46771642"/>
      <w:bookmarkStart w:id="125" w:name="_Toc470172667"/>
      <w:bookmarkStart w:id="126" w:name="_Toc46772243"/>
      <w:bookmarkStart w:id="127" w:name="_Toc109900374"/>
      <w:bookmarkStart w:id="128" w:name="_Toc51674213"/>
      <w:bookmarkStart w:id="129" w:name="_Toc109899536"/>
      <w:bookmarkStart w:id="130" w:name="_Toc48846111"/>
      <w:bookmarkStart w:id="131" w:name="_Toc48688791"/>
      <w:bookmarkStart w:id="132" w:name="_Toc52962729"/>
      <w:r>
        <w:rPr>
          <w:rFonts w:hint="eastAsia" w:ascii="宋体" w:hAnsi="宋体" w:eastAsia="宋体" w:cs="宋体"/>
          <w:b/>
          <w:bCs/>
          <w:i w:val="0"/>
          <w:iCs w:val="0"/>
          <w:color w:val="auto"/>
          <w:kern w:val="2"/>
          <w:sz w:val="24"/>
          <w:szCs w:val="24"/>
          <w:highlight w:val="none"/>
          <w:lang w:val="en-US" w:eastAsia="zh-CN" w:bidi="ar-SA"/>
        </w:rPr>
        <w:t>3.资金来源</w:t>
      </w:r>
    </w:p>
    <w:p w14:paraId="7E10FE0B">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3.1资金来源：</w:t>
      </w:r>
      <w:r>
        <w:rPr>
          <w:rFonts w:hint="eastAsia" w:ascii="宋体" w:hAnsi="宋体" w:eastAsia="宋体" w:cs="宋体"/>
          <w:i w:val="0"/>
          <w:iCs w:val="0"/>
          <w:color w:val="auto"/>
          <w:sz w:val="24"/>
          <w:szCs w:val="24"/>
          <w:highlight w:val="none"/>
          <w:lang w:val="en-US" w:eastAsia="zh-CN"/>
        </w:rPr>
        <w:t>为财政性资金即</w:t>
      </w:r>
      <w:r>
        <w:rPr>
          <w:rFonts w:hint="eastAsia" w:ascii="宋体" w:hAnsi="宋体" w:eastAsia="宋体" w:cs="宋体"/>
          <w:i w:val="0"/>
          <w:iCs w:val="0"/>
          <w:color w:val="auto"/>
          <w:sz w:val="24"/>
          <w:szCs w:val="24"/>
          <w:highlight w:val="none"/>
        </w:rPr>
        <w:t>纳入预算管理的资金</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5B4402E6">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4.供应商资格要求</w:t>
      </w:r>
    </w:p>
    <w:p w14:paraId="0254842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4.1</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资格要求：见“</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w:t>
      </w:r>
    </w:p>
    <w:p w14:paraId="0BD49E7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lang w:val="zh-CN" w:eastAsia="zh-CN"/>
        </w:rPr>
        <w:t>”规定接受联合体</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lang w:val="zh-CN" w:eastAsia="zh-CN"/>
        </w:rPr>
        <w:t>的，还应遵守以下规定：</w:t>
      </w:r>
    </w:p>
    <w:p w14:paraId="313C07E9">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1两个以上的自然人、法人或者其他组织可以组成一个联合体，以一个供应商的身份共同参加政府采购。</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以联合体形式进行政府采购的，参加联合体的供应商均应当具备《政府采购法》第二十二条规定的条件。</w:t>
      </w:r>
    </w:p>
    <w:p w14:paraId="01B629AE">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2.2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联合体各方应按竞争性磋商文件提供的格式签订联合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作为</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文件的一部分提交，该协议书对联合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体所有成员</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均具有法律约束力。</w:t>
      </w:r>
    </w:p>
    <w:p w14:paraId="7A48C239">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4.2.3</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6B55F83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同一合同项下的磋商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，否则相关</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将被认定为</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b/>
          <w:bCs/>
          <w:i w:val="0"/>
          <w:iCs w:val="0"/>
          <w:color w:val="auto"/>
          <w:kern w:val="2"/>
          <w:sz w:val="24"/>
          <w:szCs w:val="24"/>
          <w:highlight w:val="none"/>
          <w:shd w:val="clear" w:color="auto" w:fill="FFFFFF" w:themeFill="background1"/>
          <w:lang w:val="zh-CN" w:eastAsia="zh-CN" w:bidi="ar-SA"/>
        </w:rPr>
        <w:t>无效</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p>
    <w:p w14:paraId="1D414EDE">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中应写明小型、微型企业的合同金额占到联合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体磋商合同</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总金额的比例。</w:t>
      </w:r>
    </w:p>
    <w:p w14:paraId="6036569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.6</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成交</w:t>
      </w:r>
      <w:r>
        <w:rPr>
          <w:rFonts w:hint="eastAsia" w:ascii="宋体" w:hAnsi="宋体" w:eastAsia="宋体" w:cs="宋体"/>
          <w:i w:val="0"/>
          <w:iCs w:val="0"/>
          <w:color w:val="auto"/>
          <w:kern w:val="2"/>
          <w:sz w:val="24"/>
          <w:szCs w:val="24"/>
          <w:highlight w:val="none"/>
          <w:u w:val="none"/>
          <w:shd w:val="clear" w:color="auto" w:fill="FFFFFF" w:themeFill="background1"/>
          <w:lang w:val="en-US" w:eastAsia="zh-CN" w:bidi="ar-SA"/>
        </w:rPr>
        <w:t>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采购</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合同应由</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各成员的合法授权代表签字</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及</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加盖</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各成员公章，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并</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5BF2FA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.7</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人</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书面同意并且须遵守相关法律、法规、本次</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的全部相关规定。</w:t>
      </w:r>
    </w:p>
    <w:p w14:paraId="1C0E489A">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8</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对联合体</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的其他资格要求见“</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第一章 竞争性磋商公告</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中的“二、供应商的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资格</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要求”</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p>
    <w:p w14:paraId="485F4964">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5.费用</w:t>
      </w:r>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宋体" w:hAnsi="宋体" w:eastAsia="宋体" w:cs="宋体"/>
          <w:b/>
          <w:bCs/>
          <w:i w:val="0"/>
          <w:iCs w:val="0"/>
          <w:color w:val="auto"/>
          <w:kern w:val="2"/>
          <w:sz w:val="24"/>
          <w:szCs w:val="24"/>
          <w:highlight w:val="none"/>
          <w:lang w:val="en-US" w:eastAsia="zh-CN" w:bidi="ar-SA"/>
        </w:rPr>
        <w:t>承担</w:t>
      </w:r>
    </w:p>
    <w:p w14:paraId="3C6741ED">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5.1</w:t>
      </w:r>
      <w:r>
        <w:rPr>
          <w:rFonts w:hint="eastAsia" w:ascii="宋体" w:hAnsi="宋体" w:eastAsia="宋体" w:cs="宋体"/>
          <w:i w:val="0"/>
          <w:iCs w:val="0"/>
          <w:snapToGrid w:val="0"/>
          <w:color w:val="auto"/>
          <w:sz w:val="24"/>
          <w:szCs w:val="24"/>
          <w:highlight w:val="none"/>
          <w:lang w:val="zh-CN" w:eastAsia="zh-CN"/>
        </w:rPr>
        <w:t>不论</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的结果如何，</w:t>
      </w:r>
      <w:r>
        <w:rPr>
          <w:rFonts w:hint="eastAsia" w:ascii="宋体" w:hAnsi="宋体" w:eastAsia="宋体" w:cs="宋体"/>
          <w:i w:val="0"/>
          <w:iCs w:val="0"/>
          <w:snapToGrid w:val="0"/>
          <w:color w:val="auto"/>
          <w:sz w:val="24"/>
          <w:szCs w:val="24"/>
          <w:highlight w:val="none"/>
          <w:lang w:val="en-US" w:eastAsia="zh-CN"/>
        </w:rPr>
        <w:t>供应商</w:t>
      </w:r>
      <w:r>
        <w:rPr>
          <w:rFonts w:hint="eastAsia" w:ascii="宋体" w:hAnsi="宋体" w:eastAsia="宋体" w:cs="宋体"/>
          <w:i w:val="0"/>
          <w:iCs w:val="0"/>
          <w:snapToGrid w:val="0"/>
          <w:color w:val="auto"/>
          <w:sz w:val="24"/>
          <w:szCs w:val="24"/>
          <w:highlight w:val="none"/>
          <w:lang w:val="zh-CN" w:eastAsia="zh-CN"/>
        </w:rPr>
        <w:t>应承担所有与准备和参加</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有关的费用。</w:t>
      </w:r>
    </w:p>
    <w:p w14:paraId="6DDD89BA">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3" w:name="_Toc140132761"/>
      <w:bookmarkStart w:id="134" w:name="_Toc161600293"/>
      <w:r>
        <w:rPr>
          <w:rFonts w:hint="eastAsia" w:ascii="宋体" w:hAnsi="宋体" w:eastAsia="宋体" w:cs="宋体"/>
          <w:b/>
          <w:bCs/>
          <w:i w:val="0"/>
          <w:iCs w:val="0"/>
          <w:color w:val="auto"/>
          <w:kern w:val="2"/>
          <w:sz w:val="24"/>
          <w:szCs w:val="24"/>
          <w:highlight w:val="none"/>
          <w:lang w:val="en-US" w:eastAsia="zh-CN" w:bidi="ar-SA"/>
        </w:rPr>
        <w:t>6.保密</w:t>
      </w:r>
      <w:bookmarkEnd w:id="133"/>
      <w:bookmarkEnd w:id="134"/>
    </w:p>
    <w:p w14:paraId="2E376810">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6.1</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参与磋商活动的各方应对竞争</w:t>
      </w:r>
      <w:r>
        <w:rPr>
          <w:rFonts w:hint="eastAsia" w:ascii="宋体" w:hAnsi="宋体" w:eastAsia="宋体" w:cs="宋体"/>
          <w:i w:val="0"/>
          <w:iCs w:val="0"/>
          <w:color w:val="auto"/>
          <w:sz w:val="24"/>
          <w:szCs w:val="24"/>
          <w:highlight w:val="none"/>
          <w:lang w:val="en-US" w:eastAsia="zh-CN"/>
        </w:rPr>
        <w:t>性</w:t>
      </w:r>
      <w:r>
        <w:rPr>
          <w:rFonts w:hint="eastAsia" w:ascii="宋体" w:hAnsi="宋体" w:eastAsia="宋体" w:cs="宋体"/>
          <w:i w:val="0"/>
          <w:iCs w:val="0"/>
          <w:color w:val="auto"/>
          <w:sz w:val="24"/>
          <w:szCs w:val="24"/>
          <w:highlight w:val="none"/>
        </w:rPr>
        <w:t>磋商文件和响应文件中的商业和技术等秘密保密，否则应承担相应的法律责任。</w:t>
      </w:r>
    </w:p>
    <w:p w14:paraId="23555BD0">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2 供应商</w:t>
      </w:r>
      <w:r>
        <w:rPr>
          <w:rFonts w:hint="eastAsia" w:ascii="宋体" w:hAnsi="宋体" w:eastAsia="宋体" w:cs="宋体"/>
          <w:i w:val="0"/>
          <w:iCs w:val="0"/>
          <w:color w:val="auto"/>
          <w:kern w:val="2"/>
          <w:sz w:val="24"/>
          <w:szCs w:val="24"/>
          <w:highlight w:val="none"/>
        </w:rPr>
        <w:t>自领取竞争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磋商文件之日起，须承担本竞争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磋商项目保密义务，不得将因本次竞争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磋商获得的信息向第三人外传。由采购人向</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提供的图纸、详细资料、样品、模型、模件和所有其它资料，被视为保密资料，仅被用于它所规定的用途。除非得到采购人的同意，不能向任何第三方透露。竞争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磋商结束后，应采购人要求，</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应归还所有从采购人处获得的保密资料。</w:t>
      </w:r>
    </w:p>
    <w:p w14:paraId="67907078">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 xml:space="preserve">3 </w:t>
      </w:r>
      <w:r>
        <w:rPr>
          <w:rFonts w:hint="eastAsia" w:ascii="宋体" w:hAnsi="宋体" w:eastAsia="宋体" w:cs="宋体"/>
          <w:i w:val="0"/>
          <w:iCs w:val="0"/>
          <w:color w:val="auto"/>
          <w:kern w:val="2"/>
          <w:sz w:val="24"/>
          <w:szCs w:val="24"/>
          <w:highlight w:val="none"/>
        </w:rPr>
        <w:t>采购代理机构有权将</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提供的所有资料向有关政府部门或竞争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磋商的有关人员披露。</w:t>
      </w:r>
    </w:p>
    <w:p w14:paraId="232A1AD6">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sz w:val="24"/>
          <w:szCs w:val="24"/>
          <w:highlight w:val="none"/>
        </w:rPr>
        <w:t xml:space="preserve"> </w:t>
      </w:r>
    </w:p>
    <w:p w14:paraId="47EBAEFC">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5" w:name="_Toc161600294"/>
      <w:bookmarkStart w:id="136" w:name="_Toc140132762"/>
      <w:r>
        <w:rPr>
          <w:rFonts w:hint="eastAsia" w:ascii="宋体" w:hAnsi="宋体" w:eastAsia="宋体" w:cs="宋体"/>
          <w:b/>
          <w:bCs/>
          <w:i w:val="0"/>
          <w:iCs w:val="0"/>
          <w:color w:val="auto"/>
          <w:kern w:val="2"/>
          <w:sz w:val="24"/>
          <w:szCs w:val="24"/>
          <w:highlight w:val="none"/>
          <w:lang w:val="en-US" w:eastAsia="zh-CN" w:bidi="ar-SA"/>
        </w:rPr>
        <w:t>7.语言文字</w:t>
      </w:r>
      <w:bookmarkEnd w:id="135"/>
      <w:bookmarkEnd w:id="136"/>
    </w:p>
    <w:p w14:paraId="3121AAFC">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7.1竞争</w:t>
      </w:r>
      <w:r>
        <w:rPr>
          <w:rFonts w:hint="eastAsia" w:ascii="宋体" w:hAnsi="宋体" w:eastAsia="宋体" w:cs="宋体"/>
          <w:i w:val="0"/>
          <w:iCs w:val="0"/>
          <w:color w:val="auto"/>
          <w:sz w:val="24"/>
          <w:szCs w:val="24"/>
          <w:highlight w:val="none"/>
          <w:lang w:val="en-US" w:eastAsia="zh-CN"/>
        </w:rPr>
        <w:t>性</w:t>
      </w:r>
      <w:r>
        <w:rPr>
          <w:rFonts w:hint="eastAsia" w:ascii="宋体" w:hAnsi="宋体" w:eastAsia="宋体" w:cs="宋体"/>
          <w:i w:val="0"/>
          <w:iCs w:val="0"/>
          <w:color w:val="auto"/>
          <w:sz w:val="24"/>
          <w:szCs w:val="24"/>
          <w:highlight w:val="none"/>
        </w:rPr>
        <w:t>磋商</w:t>
      </w:r>
      <w:r>
        <w:rPr>
          <w:rFonts w:hint="eastAsia" w:ascii="宋体" w:hAnsi="宋体" w:eastAsia="宋体" w:cs="宋体"/>
          <w:i w:val="0"/>
          <w:iCs w:val="0"/>
          <w:color w:val="auto"/>
          <w:sz w:val="24"/>
          <w:szCs w:val="24"/>
          <w:highlight w:val="none"/>
          <w:lang w:val="en-US" w:eastAsia="zh-CN"/>
        </w:rPr>
        <w:t>文件及响应</w:t>
      </w:r>
      <w:r>
        <w:rPr>
          <w:rFonts w:hint="eastAsia" w:ascii="宋体" w:hAnsi="宋体" w:eastAsia="宋体" w:cs="宋体"/>
          <w:i w:val="0"/>
          <w:iCs w:val="0"/>
          <w:color w:val="auto"/>
          <w:sz w:val="24"/>
          <w:szCs w:val="24"/>
          <w:highlight w:val="none"/>
        </w:rPr>
        <w:t>文件使用的语言文字为中文。专用术语使用外文的，应附有中文注释。</w:t>
      </w:r>
      <w:r>
        <w:rPr>
          <w:rFonts w:hint="eastAsia" w:ascii="宋体" w:hAnsi="宋体" w:eastAsia="宋体" w:cs="宋体"/>
          <w:i w:val="0"/>
          <w:iCs w:val="0"/>
          <w:color w:val="auto"/>
          <w:sz w:val="24"/>
          <w:szCs w:val="24"/>
          <w:highlight w:val="none"/>
          <w:lang w:val="en-US" w:eastAsia="zh-CN"/>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70762F">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7" w:name="_Toc161600295"/>
      <w:bookmarkStart w:id="138" w:name="_Toc140132763"/>
      <w:r>
        <w:rPr>
          <w:rFonts w:hint="eastAsia" w:ascii="宋体" w:hAnsi="宋体" w:eastAsia="宋体" w:cs="宋体"/>
          <w:b/>
          <w:bCs/>
          <w:i w:val="0"/>
          <w:iCs w:val="0"/>
          <w:color w:val="auto"/>
          <w:kern w:val="2"/>
          <w:sz w:val="24"/>
          <w:szCs w:val="24"/>
          <w:highlight w:val="none"/>
          <w:lang w:val="en-US" w:eastAsia="zh-CN" w:bidi="ar-SA"/>
        </w:rPr>
        <w:t>8.计量单位</w:t>
      </w:r>
      <w:bookmarkEnd w:id="137"/>
      <w:bookmarkEnd w:id="138"/>
    </w:p>
    <w:p w14:paraId="0DC441D4">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8.1所有计量均采用中华人民共和国法定计量单位。</w:t>
      </w:r>
    </w:p>
    <w:p w14:paraId="37E10A03">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9" w:name="_Toc161600296"/>
      <w:bookmarkStart w:id="140" w:name="_Toc140132764"/>
      <w:r>
        <w:rPr>
          <w:rFonts w:hint="eastAsia" w:ascii="宋体" w:hAnsi="宋体" w:eastAsia="宋体" w:cs="宋体"/>
          <w:b/>
          <w:bCs/>
          <w:i w:val="0"/>
          <w:iCs w:val="0"/>
          <w:color w:val="auto"/>
          <w:kern w:val="2"/>
          <w:sz w:val="24"/>
          <w:szCs w:val="24"/>
          <w:highlight w:val="none"/>
          <w:lang w:val="en-US" w:eastAsia="zh-CN" w:bidi="ar-SA"/>
        </w:rPr>
        <w:t>9.现场考察和答疑会</w:t>
      </w:r>
      <w:bookmarkEnd w:id="139"/>
      <w:bookmarkEnd w:id="140"/>
    </w:p>
    <w:p w14:paraId="70E7733A">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141" w:name="_Hlk143529198"/>
      <w:r>
        <w:rPr>
          <w:rFonts w:hint="eastAsia" w:ascii="宋体" w:hAnsi="宋体" w:eastAsia="宋体" w:cs="宋体"/>
          <w:i w:val="0"/>
          <w:iCs w:val="0"/>
          <w:color w:val="auto"/>
          <w:sz w:val="24"/>
          <w:szCs w:val="24"/>
          <w:highlight w:val="none"/>
        </w:rPr>
        <w:t xml:space="preserve">9.1 “供应商须知前附表”规定组织现场考察的，采购代理机构按“供应商须知前附表”规定的时间、地点组织供应商项目现场考察。 </w:t>
      </w:r>
    </w:p>
    <w:p w14:paraId="473C15DA">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9.2 供应商现场考察发生的费用自理。</w:t>
      </w:r>
    </w:p>
    <w:p w14:paraId="417B1E0B">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9.3 在现场考察中，因供应商自身原因发生的人员伤亡和财产损失，由供应商自行负责。</w:t>
      </w:r>
    </w:p>
    <w:p w14:paraId="2BF7B5CD">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9.4 采购人在现场考察中介绍的项目场地和相关的周边环境情况，仅供供应商在编制响应文件时参考，采购人和采购代理机构不对供应商据此作出的判断和决策负责。</w:t>
      </w:r>
    </w:p>
    <w:p w14:paraId="521951E4">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9.5 “供应商须知前附表”规定召开答疑会的，采购代理机构按“供应商须知前附表”规定的时间和地点召开答疑会，澄清供应商提出的问题。</w:t>
      </w:r>
    </w:p>
    <w:p w14:paraId="7BC8ED9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9.6 由于未参加现场考察或未参加答疑会而导致对项目实际情况不了解，影响响应文件编制、磋商报价准确性、综合因素响应不全面等问题的，由供应商自行承担不利评审后果。</w:t>
      </w:r>
    </w:p>
    <w:bookmarkEnd w:id="141"/>
    <w:p w14:paraId="020D8BF4">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42" w:name="_Toc155185858"/>
      <w:bookmarkStart w:id="143" w:name="_Toc161600298"/>
      <w:r>
        <w:rPr>
          <w:rFonts w:hint="eastAsia" w:ascii="宋体" w:hAnsi="宋体" w:eastAsia="宋体" w:cs="宋体"/>
          <w:b/>
          <w:bCs/>
          <w:i w:val="0"/>
          <w:iCs w:val="0"/>
          <w:color w:val="auto"/>
          <w:kern w:val="2"/>
          <w:sz w:val="24"/>
          <w:szCs w:val="24"/>
          <w:highlight w:val="none"/>
          <w:lang w:val="en-US" w:eastAsia="zh-CN" w:bidi="ar-SA"/>
        </w:rPr>
        <w:t>10.电子标说明</w:t>
      </w:r>
      <w:bookmarkEnd w:id="142"/>
      <w:bookmarkEnd w:id="143"/>
    </w:p>
    <w:p w14:paraId="410950EB">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10.1 本次采购采用电子交易方式，电子交易平台为</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en-US" w:eastAsia="zh-CN"/>
        </w:rPr>
        <w:t>政府采购电子交易云平台（网址：</w:t>
      </w:r>
      <w:r>
        <w:rPr>
          <w:rFonts w:hint="eastAsia" w:ascii="宋体" w:hAnsi="宋体" w:eastAsia="宋体" w:cs="宋体"/>
          <w:color w:val="auto"/>
          <w:sz w:val="24"/>
          <w:highlight w:val="none"/>
          <w:lang w:val="en-US" w:eastAsia="zh-CN"/>
        </w:rPr>
        <w:t>http://www.ccgp-xinjiang.gov.cn/</w:t>
      </w:r>
      <w:r>
        <w:rPr>
          <w:rFonts w:hint="eastAsia" w:ascii="宋体" w:hAnsi="宋体" w:eastAsia="宋体" w:cs="宋体"/>
          <w:i w:val="0"/>
          <w:iCs w:val="0"/>
          <w:color w:val="auto"/>
          <w:sz w:val="24"/>
          <w:szCs w:val="24"/>
          <w:highlight w:val="none"/>
          <w:lang w:val="en-US" w:eastAsia="zh-CN"/>
        </w:rPr>
        <w:t>）。供应商参与本项目电子交易活动前，</w:t>
      </w:r>
      <w:r>
        <w:rPr>
          <w:rFonts w:hint="eastAsia" w:ascii="宋体" w:hAnsi="宋体" w:eastAsia="宋体" w:cs="宋体"/>
          <w:i w:val="0"/>
          <w:iCs w:val="0"/>
          <w:color w:val="auto"/>
          <w:sz w:val="24"/>
          <w:szCs w:val="24"/>
          <w:highlight w:val="none"/>
        </w:rPr>
        <w:t>应</w:t>
      </w:r>
      <w:r>
        <w:rPr>
          <w:rFonts w:hint="eastAsia" w:ascii="宋体" w:hAnsi="宋体" w:eastAsia="宋体" w:cs="宋体"/>
          <w:i w:val="0"/>
          <w:iCs w:val="0"/>
          <w:color w:val="auto"/>
          <w:sz w:val="24"/>
          <w:szCs w:val="24"/>
          <w:highlight w:val="none"/>
          <w:lang w:val="en-US" w:eastAsia="zh-CN"/>
        </w:rPr>
        <w:t>在</w:t>
      </w:r>
      <w:r>
        <w:rPr>
          <w:rFonts w:hint="eastAsia" w:ascii="宋体" w:hAnsi="宋体" w:eastAsia="宋体" w:cs="宋体"/>
          <w:i w:val="0"/>
          <w:iCs w:val="0"/>
          <w:color w:val="auto"/>
          <w:sz w:val="24"/>
          <w:szCs w:val="24"/>
          <w:highlight w:val="none"/>
        </w:rPr>
        <w:t>政</w:t>
      </w:r>
      <w:r>
        <w:rPr>
          <w:rFonts w:hint="eastAsia" w:ascii="宋体" w:hAnsi="宋体" w:eastAsia="宋体" w:cs="宋体"/>
          <w:i w:val="0"/>
          <w:iCs w:val="0"/>
          <w:color w:val="auto"/>
          <w:sz w:val="24"/>
          <w:szCs w:val="24"/>
          <w:highlight w:val="none"/>
          <w:lang w:val="en-US" w:eastAsia="zh-CN"/>
        </w:rPr>
        <w:t>采</w:t>
      </w:r>
      <w:r>
        <w:rPr>
          <w:rFonts w:hint="eastAsia" w:ascii="宋体" w:hAnsi="宋体" w:eastAsia="宋体" w:cs="宋体"/>
          <w:i w:val="0"/>
          <w:iCs w:val="0"/>
          <w:color w:val="auto"/>
          <w:sz w:val="24"/>
          <w:szCs w:val="24"/>
          <w:highlight w:val="none"/>
          <w:lang w:val="en-US"/>
        </w:rPr>
        <w:t>云</w:t>
      </w:r>
      <w:r>
        <w:rPr>
          <w:rFonts w:hint="eastAsia" w:ascii="宋体" w:hAnsi="宋体" w:eastAsia="宋体" w:cs="宋体"/>
          <w:i w:val="0"/>
          <w:iCs w:val="0"/>
          <w:color w:val="auto"/>
          <w:sz w:val="24"/>
          <w:szCs w:val="24"/>
          <w:highlight w:val="none"/>
        </w:rPr>
        <w:t>平台</w:t>
      </w:r>
      <w:r>
        <w:rPr>
          <w:rFonts w:hint="eastAsia" w:ascii="宋体" w:hAnsi="宋体" w:eastAsia="宋体" w:cs="宋体"/>
          <w:i w:val="0"/>
          <w:iCs w:val="0"/>
          <w:color w:val="auto"/>
          <w:sz w:val="24"/>
          <w:szCs w:val="24"/>
          <w:highlight w:val="none"/>
          <w:lang w:val="en-US" w:eastAsia="zh-CN"/>
        </w:rPr>
        <w:t>上</w:t>
      </w:r>
      <w:r>
        <w:rPr>
          <w:rFonts w:hint="eastAsia" w:ascii="宋体" w:hAnsi="宋体" w:eastAsia="宋体" w:cs="宋体"/>
          <w:i w:val="0"/>
          <w:iCs w:val="0"/>
          <w:color w:val="auto"/>
          <w:sz w:val="24"/>
          <w:szCs w:val="24"/>
          <w:highlight w:val="none"/>
        </w:rPr>
        <w:t>注册</w:t>
      </w:r>
      <w:r>
        <w:rPr>
          <w:rFonts w:hint="eastAsia" w:ascii="宋体" w:hAnsi="宋体" w:eastAsia="宋体" w:cs="宋体"/>
          <w:i w:val="0"/>
          <w:iCs w:val="0"/>
          <w:color w:val="auto"/>
          <w:sz w:val="24"/>
          <w:szCs w:val="24"/>
          <w:highlight w:val="none"/>
          <w:lang w:val="en-US" w:eastAsia="zh-CN"/>
        </w:rPr>
        <w:t>供应商账号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en-US" w:eastAsia="zh-CN"/>
        </w:rPr>
        <w:t>政府采购网“供应商注册”—“新疆政府采购供应商入驻登记”—“立即登记”进行自助注册绑定。</w:t>
      </w:r>
    </w:p>
    <w:p w14:paraId="15920268">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10.2 供应商将</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en-US" w:eastAsia="zh-CN"/>
        </w:rPr>
        <w:t>政府采购电子交易云平台电子交易客户端下载、安装完成后，可通过账号密码或CA登录客户端进行响应文件制作。在使用政采云投标客户端时，建议使用WIN7及以上操作系统。供应商登录</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en-US" w:eastAsia="zh-CN"/>
        </w:rPr>
        <w:t>政府采购网“下载专区”—“电子招投标客户端下载”下载相关客户端，如有问题可拨打政采云客户服务热线95763进行咨询。</w:t>
      </w:r>
    </w:p>
    <w:p w14:paraId="1BDAF1A8">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10.3 加密的电子响应文件应在响应文件递交截止时间前通过政采云平台上传完成。逾期上传或者未上传指定地点的响应文件，不予受理。</w:t>
      </w:r>
    </w:p>
    <w:p w14:paraId="69FF5CC2">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10.4 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5C559BCB">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10.5 如遇“</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en-US" w:eastAsia="zh-CN"/>
        </w:rPr>
        <w:t>政府采购电子交易云平台（网址：</w:t>
      </w:r>
      <w:r>
        <w:rPr>
          <w:rFonts w:hint="eastAsia" w:ascii="宋体" w:hAnsi="宋体" w:eastAsia="宋体" w:cs="宋体"/>
          <w:color w:val="auto"/>
          <w:sz w:val="24"/>
          <w:highlight w:val="none"/>
          <w:lang w:val="en-US" w:eastAsia="zh-CN"/>
        </w:rPr>
        <w:t>http://www.ccgp-xinjiang.gov.cn/</w:t>
      </w:r>
      <w:r>
        <w:rPr>
          <w:rFonts w:hint="eastAsia" w:ascii="宋体" w:hAnsi="宋体" w:eastAsia="宋体" w:cs="宋体"/>
          <w:i w:val="0"/>
          <w:iCs w:val="0"/>
          <w:color w:val="auto"/>
          <w:sz w:val="24"/>
          <w:szCs w:val="24"/>
          <w:highlight w:val="none"/>
          <w:lang w:val="en-US" w:eastAsia="zh-CN"/>
        </w:rPr>
        <w:t>）”电子交易规则调整，以最新要求为准。</w:t>
      </w:r>
    </w:p>
    <w:p w14:paraId="552450FD">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10.6 电子交易系统咨询：供应商应当充分考虑到电子响应可能会发生的各种问题和风险，特别是响应文件签署、提交等问题，可按照“第一章 竞争性磋商公告”的联系方式咨询相关人员。</w:t>
      </w:r>
    </w:p>
    <w:p w14:paraId="2B30589C">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17FBA29F">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44" w:name="_Toc163493612"/>
      <w:bookmarkStart w:id="145" w:name="_Toc28430"/>
      <w:bookmarkStart w:id="146" w:name="_Toc46771643"/>
      <w:bookmarkStart w:id="147" w:name="_Toc470172668"/>
      <w:bookmarkStart w:id="148" w:name="_Toc109897438"/>
      <w:bookmarkStart w:id="149" w:name="_Toc109899956"/>
      <w:bookmarkStart w:id="150" w:name="_Toc109899537"/>
      <w:bookmarkStart w:id="151" w:name="_Toc109900375"/>
      <w:r>
        <w:rPr>
          <w:rFonts w:hint="eastAsia" w:ascii="宋体" w:hAnsi="宋体" w:eastAsia="宋体" w:cs="宋体"/>
          <w:b/>
          <w:bCs/>
          <w:i w:val="0"/>
          <w:iCs w:val="0"/>
          <w:color w:val="auto"/>
          <w:kern w:val="2"/>
          <w:sz w:val="24"/>
          <w:szCs w:val="24"/>
          <w:highlight w:val="none"/>
          <w:lang w:val="en-US" w:eastAsia="zh-CN" w:bidi="ar-SA"/>
        </w:rPr>
        <w:t>（二）磋商文件</w:t>
      </w:r>
      <w:bookmarkEnd w:id="144"/>
      <w:bookmarkEnd w:id="145"/>
      <w:bookmarkEnd w:id="146"/>
      <w:bookmarkEnd w:id="147"/>
      <w:bookmarkEnd w:id="148"/>
      <w:bookmarkEnd w:id="149"/>
      <w:bookmarkEnd w:id="150"/>
      <w:bookmarkEnd w:id="151"/>
    </w:p>
    <w:p w14:paraId="02C74752">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52" w:name="_Toc46771644"/>
      <w:bookmarkStart w:id="153" w:name="_Toc109899957"/>
      <w:bookmarkStart w:id="154" w:name="_Toc51674215"/>
      <w:bookmarkStart w:id="155" w:name="_Toc4547"/>
      <w:bookmarkStart w:id="156" w:name="_Toc470172669"/>
      <w:bookmarkStart w:id="157" w:name="_Toc109900376"/>
      <w:bookmarkStart w:id="158" w:name="_Toc52960557"/>
      <w:bookmarkStart w:id="159" w:name="_Toc48846113"/>
      <w:bookmarkStart w:id="160" w:name="_Toc52962731"/>
      <w:bookmarkStart w:id="161" w:name="_Toc109899538"/>
      <w:bookmarkStart w:id="162" w:name="_Toc109897439"/>
      <w:bookmarkStart w:id="163" w:name="_Toc48688793"/>
      <w:bookmarkStart w:id="164" w:name="_Toc46772245"/>
      <w:r>
        <w:rPr>
          <w:rFonts w:hint="eastAsia" w:ascii="宋体" w:hAnsi="宋体" w:eastAsia="宋体" w:cs="宋体"/>
          <w:b/>
          <w:bCs/>
          <w:i w:val="0"/>
          <w:iCs w:val="0"/>
          <w:color w:val="auto"/>
          <w:kern w:val="2"/>
          <w:sz w:val="24"/>
          <w:szCs w:val="24"/>
          <w:highlight w:val="none"/>
          <w:lang w:val="en-US" w:eastAsia="zh-CN" w:bidi="ar-SA"/>
        </w:rPr>
        <w:t>11.磋商文件的构成</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54909DE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lang w:eastAsia="zh-CN"/>
        </w:rPr>
      </w:pPr>
      <w:bookmarkStart w:id="165" w:name="_Toc109899958"/>
      <w:bookmarkStart w:id="166" w:name="_Toc109900377"/>
      <w:bookmarkStart w:id="167" w:name="_Toc46771645"/>
      <w:bookmarkStart w:id="168" w:name="_Toc109897440"/>
      <w:bookmarkStart w:id="169" w:name="_Toc52960558"/>
      <w:bookmarkStart w:id="170" w:name="_Toc46772246"/>
      <w:bookmarkStart w:id="171" w:name="_Toc48846114"/>
      <w:bookmarkStart w:id="172" w:name="_Toc51674216"/>
      <w:bookmarkStart w:id="173" w:name="_Toc109899539"/>
      <w:bookmarkStart w:id="174" w:name="_Toc52962732"/>
      <w:bookmarkStart w:id="175" w:name="_Toc48688794"/>
      <w:bookmarkStart w:id="176" w:name="_Toc478415174"/>
      <w:r>
        <w:rPr>
          <w:rFonts w:hint="eastAsia" w:ascii="宋体" w:hAnsi="宋体" w:eastAsia="宋体" w:cs="宋体"/>
          <w:i w:val="0"/>
          <w:iCs w:val="0"/>
          <w:color w:val="auto"/>
          <w:sz w:val="24"/>
          <w:szCs w:val="24"/>
          <w:highlight w:val="none"/>
        </w:rPr>
        <w:t>第一章 竞争性磋商</w:t>
      </w:r>
      <w:r>
        <w:rPr>
          <w:rFonts w:hint="eastAsia" w:ascii="宋体" w:hAnsi="宋体" w:eastAsia="宋体" w:cs="宋体"/>
          <w:i w:val="0"/>
          <w:iCs w:val="0"/>
          <w:color w:val="auto"/>
          <w:sz w:val="24"/>
          <w:szCs w:val="24"/>
          <w:highlight w:val="none"/>
          <w:lang w:val="en-US" w:eastAsia="zh-CN"/>
        </w:rPr>
        <w:t>公告</w:t>
      </w:r>
    </w:p>
    <w:p w14:paraId="7147E8B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第二章 供应商须知</w:t>
      </w:r>
    </w:p>
    <w:p w14:paraId="61D89D7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p>
    <w:p w14:paraId="6D7BF4E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第四章 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47AC85E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第五章 合同草案</w:t>
      </w:r>
    </w:p>
    <w:p w14:paraId="5706B4C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第六章 响应文件的格式</w:t>
      </w:r>
    </w:p>
    <w:p w14:paraId="2FA3C6F3">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12.磋商文件的澄清或修改</w:t>
      </w:r>
      <w:bookmarkEnd w:id="165"/>
      <w:bookmarkEnd w:id="166"/>
      <w:bookmarkEnd w:id="167"/>
      <w:bookmarkEnd w:id="168"/>
      <w:bookmarkEnd w:id="169"/>
      <w:bookmarkEnd w:id="170"/>
      <w:bookmarkEnd w:id="171"/>
      <w:bookmarkEnd w:id="172"/>
      <w:bookmarkEnd w:id="173"/>
      <w:bookmarkEnd w:id="174"/>
      <w:bookmarkEnd w:id="175"/>
      <w:bookmarkEnd w:id="176"/>
    </w:p>
    <w:p w14:paraId="6CD5473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 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文件询问的答复，在必要时将以澄清形式推送给每个获取竞争性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文件的潜在</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(答复中不包括问题的来源)。</w:t>
      </w:r>
    </w:p>
    <w:p w14:paraId="16247DA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供应商在规定的时间内未对竞争性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文件提出疑问或要求澄清的，采购代理机构将视其为同意，对在“供应商须知前附表”中“</w:t>
      </w:r>
      <w:r>
        <w:rPr>
          <w:rFonts w:hint="eastAsia" w:ascii="宋体" w:hAnsi="宋体" w:eastAsia="宋体" w:cs="宋体"/>
          <w:i w:val="0"/>
          <w:iCs w:val="0"/>
          <w:color w:val="auto"/>
          <w:sz w:val="24"/>
          <w:szCs w:val="24"/>
          <w:highlight w:val="none"/>
          <w:lang w:val="en-US" w:eastAsia="zh-CN"/>
        </w:rPr>
        <w:t>提出询问的</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之</w:t>
      </w:r>
      <w:r>
        <w:rPr>
          <w:rFonts w:hint="eastAsia" w:ascii="宋体" w:hAnsi="宋体" w:eastAsia="宋体" w:cs="宋体"/>
          <w:i w:val="0"/>
          <w:iCs w:val="0"/>
          <w:color w:val="auto"/>
          <w:sz w:val="24"/>
          <w:szCs w:val="24"/>
          <w:highlight w:val="none"/>
        </w:rPr>
        <w:t>后就竞争性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文件内容提出的疑问及澄清要求将不予受理。</w:t>
      </w:r>
    </w:p>
    <w:p w14:paraId="13C40F6A">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.2 采购人或者采购代理机构可以对已发出的竞争性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文件进行必要的澄清或者修改。澄清或修改的内容为竞争性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文件的组成部分，并对所有获取竞争性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文件的潜在供应商具有约束力。</w:t>
      </w:r>
    </w:p>
    <w:p w14:paraId="254B1BD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.3 竞争性磋商文件的澄清或者修</w:t>
      </w:r>
      <w:r>
        <w:rPr>
          <w:rFonts w:hint="eastAsia" w:ascii="宋体" w:hAnsi="宋体" w:eastAsia="宋体" w:cs="宋体"/>
          <w:i w:val="0"/>
          <w:iCs w:val="0"/>
          <w:snapToGrid w:val="0"/>
          <w:color w:val="auto"/>
          <w:sz w:val="24"/>
          <w:szCs w:val="24"/>
          <w:highlight w:val="none"/>
          <w:lang w:val="zh-CN"/>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ascii="宋体" w:hAnsi="宋体" w:eastAsia="宋体" w:cs="宋体"/>
          <w:i w:val="0"/>
          <w:iCs w:val="0"/>
          <w:color w:val="auto"/>
          <w:sz w:val="24"/>
          <w:szCs w:val="24"/>
          <w:highlight w:val="none"/>
        </w:rPr>
        <w:t>竞争性</w:t>
      </w:r>
      <w:r>
        <w:rPr>
          <w:rFonts w:hint="eastAsia" w:ascii="宋体" w:hAnsi="宋体" w:eastAsia="宋体" w:cs="宋体"/>
          <w:i w:val="0"/>
          <w:iCs w:val="0"/>
          <w:snapToGrid w:val="0"/>
          <w:color w:val="auto"/>
          <w:sz w:val="24"/>
          <w:szCs w:val="24"/>
          <w:highlight w:val="none"/>
          <w:lang w:val="zh-CN"/>
        </w:rPr>
        <w:t>磋商文件的供应商，不足5日的，应当顺延提交首次响应文件</w:t>
      </w:r>
      <w:r>
        <w:rPr>
          <w:rFonts w:hint="eastAsia" w:ascii="宋体" w:hAnsi="宋体" w:eastAsia="宋体" w:cs="宋体"/>
          <w:i w:val="0"/>
          <w:iCs w:val="0"/>
          <w:snapToGrid w:val="0"/>
          <w:color w:val="auto"/>
          <w:sz w:val="24"/>
          <w:szCs w:val="24"/>
          <w:highlight w:val="none"/>
          <w:lang w:val="en-US" w:eastAsia="zh-CN"/>
        </w:rPr>
        <w:t>的</w:t>
      </w:r>
      <w:r>
        <w:rPr>
          <w:rFonts w:hint="eastAsia" w:ascii="宋体" w:hAnsi="宋体" w:eastAsia="宋体" w:cs="宋体"/>
          <w:i w:val="0"/>
          <w:iCs w:val="0"/>
          <w:snapToGrid w:val="0"/>
          <w:color w:val="auto"/>
          <w:sz w:val="24"/>
          <w:szCs w:val="24"/>
          <w:highlight w:val="none"/>
          <w:lang w:val="zh-CN"/>
        </w:rPr>
        <w:t>截止时间</w:t>
      </w:r>
      <w:r>
        <w:rPr>
          <w:rFonts w:hint="eastAsia" w:ascii="宋体" w:hAnsi="宋体" w:eastAsia="宋体" w:cs="宋体"/>
          <w:i w:val="0"/>
          <w:iCs w:val="0"/>
          <w:color w:val="auto"/>
          <w:sz w:val="24"/>
          <w:szCs w:val="24"/>
          <w:highlight w:val="none"/>
        </w:rPr>
        <w:t>。</w:t>
      </w:r>
    </w:p>
    <w:p w14:paraId="58FA56D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 xml:space="preserve">.4 </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须知”所称“书面形式”包括系统消息、政府采购</w:t>
      </w:r>
      <w:r>
        <w:rPr>
          <w:rFonts w:hint="eastAsia" w:ascii="宋体" w:hAnsi="宋体" w:eastAsia="宋体" w:cs="宋体"/>
          <w:i w:val="0"/>
          <w:iCs w:val="0"/>
          <w:color w:val="auto"/>
          <w:sz w:val="24"/>
          <w:szCs w:val="24"/>
          <w:highlight w:val="none"/>
          <w:lang w:val="en-US" w:eastAsia="zh-CN"/>
        </w:rPr>
        <w:t>云平台</w:t>
      </w:r>
      <w:r>
        <w:rPr>
          <w:rFonts w:hint="eastAsia" w:ascii="宋体" w:hAnsi="宋体" w:eastAsia="宋体" w:cs="宋体"/>
          <w:i w:val="0"/>
          <w:iCs w:val="0"/>
          <w:color w:val="auto"/>
          <w:sz w:val="24"/>
          <w:szCs w:val="24"/>
          <w:highlight w:val="none"/>
        </w:rPr>
        <w:t>发布的公告。</w:t>
      </w:r>
    </w:p>
    <w:p w14:paraId="7222E92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2</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5</w:t>
      </w:r>
      <w:r>
        <w:rPr>
          <w:rFonts w:hint="eastAsia" w:ascii="宋体" w:hAnsi="宋体" w:eastAsia="宋体" w:cs="宋体"/>
          <w:i w:val="0"/>
          <w:iCs w:val="0"/>
          <w:color w:val="auto"/>
          <w:kern w:val="2"/>
          <w:sz w:val="24"/>
          <w:szCs w:val="24"/>
          <w:highlight w:val="none"/>
        </w:rPr>
        <w:t>采购代理机构一旦对竞争性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文件作出了澄清、修改，即刻发生效力，采购代理机构有关的澄清、修改文件，将作为竞争性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文件的组成部分，对所有现实的或潜在的</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均具有约束力，而无论是否已经实际收到上述文件。同时，采购代理机构和</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的权利及义务将受到新的截止期的约束。</w:t>
      </w:r>
    </w:p>
    <w:p w14:paraId="6E542BA8">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2</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采购代理机构对竞争性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文件作出的澄清、修改在平台内进行披露，请</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及时关注并获取相关资料。因登记有误、线路故障或其它任何意外情形，导致</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未及时获取的，采购代理机构不因此承担任何责任，且有关的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活动继续有效地进行。当竞争性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文件的澄清、修改及进行其他答复等就同一内容的表述不一致时，以最后发布的内容为准。</w:t>
      </w:r>
    </w:p>
    <w:p w14:paraId="7D17D0F6">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77" w:name="_Toc46771647"/>
      <w:bookmarkStart w:id="178" w:name="_Toc13211"/>
      <w:bookmarkStart w:id="179" w:name="_Toc109899541"/>
      <w:bookmarkStart w:id="180" w:name="_Toc109897442"/>
      <w:bookmarkStart w:id="181" w:name="_Toc109899960"/>
      <w:bookmarkStart w:id="182" w:name="_Toc470172672"/>
      <w:bookmarkStart w:id="183" w:name="_Toc163493613"/>
      <w:bookmarkStart w:id="184" w:name="_Toc109900379"/>
      <w:r>
        <w:rPr>
          <w:rFonts w:hint="eastAsia" w:ascii="宋体" w:hAnsi="宋体" w:eastAsia="宋体" w:cs="宋体"/>
          <w:b/>
          <w:bCs/>
          <w:i w:val="0"/>
          <w:iCs w:val="0"/>
          <w:color w:val="auto"/>
          <w:kern w:val="2"/>
          <w:sz w:val="24"/>
          <w:szCs w:val="24"/>
          <w:highlight w:val="none"/>
          <w:lang w:val="en-US" w:eastAsia="zh-CN" w:bidi="ar-SA"/>
        </w:rPr>
        <w:t>（三）响应文件</w:t>
      </w:r>
      <w:bookmarkEnd w:id="177"/>
      <w:bookmarkEnd w:id="178"/>
      <w:bookmarkEnd w:id="179"/>
      <w:bookmarkEnd w:id="180"/>
      <w:bookmarkEnd w:id="181"/>
      <w:bookmarkEnd w:id="182"/>
      <w:bookmarkEnd w:id="183"/>
      <w:bookmarkEnd w:id="184"/>
    </w:p>
    <w:p w14:paraId="3A231C5B">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85" w:name="_Toc109899543"/>
      <w:bookmarkStart w:id="186" w:name="_Toc48846118"/>
      <w:bookmarkStart w:id="187" w:name="_Toc109897444"/>
      <w:bookmarkStart w:id="188" w:name="_Toc51674220"/>
      <w:bookmarkStart w:id="189" w:name="_Toc46772250"/>
      <w:bookmarkStart w:id="190" w:name="_Toc52960562"/>
      <w:bookmarkStart w:id="191" w:name="_Toc470172674"/>
      <w:bookmarkStart w:id="192" w:name="_Toc109899962"/>
      <w:bookmarkStart w:id="193" w:name="_Toc109900381"/>
      <w:bookmarkStart w:id="194" w:name="_Toc32272"/>
      <w:bookmarkStart w:id="195" w:name="_Toc52962736"/>
      <w:bookmarkStart w:id="196" w:name="_Toc46771649"/>
      <w:bookmarkStart w:id="197" w:name="_Toc48688798"/>
      <w:r>
        <w:rPr>
          <w:rFonts w:hint="eastAsia" w:ascii="宋体" w:hAnsi="宋体" w:eastAsia="宋体" w:cs="宋体"/>
          <w:b/>
          <w:bCs/>
          <w:i w:val="0"/>
          <w:iCs w:val="0"/>
          <w:color w:val="auto"/>
          <w:kern w:val="2"/>
          <w:sz w:val="24"/>
          <w:szCs w:val="24"/>
          <w:highlight w:val="none"/>
          <w:lang w:val="en-US" w:eastAsia="zh-CN" w:bidi="ar-SA"/>
        </w:rPr>
        <w:t>13.响应文件的</w:t>
      </w:r>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b/>
          <w:bCs/>
          <w:i w:val="0"/>
          <w:iCs w:val="0"/>
          <w:color w:val="auto"/>
          <w:kern w:val="2"/>
          <w:sz w:val="24"/>
          <w:szCs w:val="24"/>
          <w:highlight w:val="none"/>
          <w:lang w:val="en-US" w:eastAsia="zh-CN" w:bidi="ar-SA"/>
        </w:rPr>
        <w:t>组成</w:t>
      </w:r>
    </w:p>
    <w:p w14:paraId="174A0A3D">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13</w:t>
      </w: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应完整地按竞争性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文件提供的</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文件格式及要求编写</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文件，具体内容详见</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lang w:val="en-US" w:eastAsia="zh-CN"/>
        </w:rPr>
        <w:t>第六章 响应</w:t>
      </w:r>
      <w:r>
        <w:rPr>
          <w:rFonts w:hint="eastAsia" w:ascii="宋体" w:hAnsi="宋体" w:eastAsia="宋体" w:cs="宋体"/>
          <w:i w:val="0"/>
          <w:iCs w:val="0"/>
          <w:color w:val="auto"/>
          <w:kern w:val="2"/>
          <w:sz w:val="24"/>
          <w:szCs w:val="24"/>
          <w:highlight w:val="none"/>
        </w:rPr>
        <w:t>文件</w:t>
      </w:r>
      <w:r>
        <w:rPr>
          <w:rFonts w:hint="eastAsia" w:ascii="宋体" w:hAnsi="宋体" w:eastAsia="宋体" w:cs="宋体"/>
          <w:i w:val="0"/>
          <w:iCs w:val="0"/>
          <w:color w:val="auto"/>
          <w:kern w:val="2"/>
          <w:sz w:val="24"/>
          <w:szCs w:val="24"/>
          <w:highlight w:val="none"/>
          <w:lang w:val="en-US" w:eastAsia="zh-CN"/>
        </w:rPr>
        <w:t>的</w:t>
      </w:r>
      <w:r>
        <w:rPr>
          <w:rFonts w:hint="eastAsia" w:ascii="宋体" w:hAnsi="宋体" w:eastAsia="宋体" w:cs="宋体"/>
          <w:i w:val="0"/>
          <w:iCs w:val="0"/>
          <w:color w:val="auto"/>
          <w:kern w:val="2"/>
          <w:sz w:val="24"/>
          <w:szCs w:val="24"/>
          <w:highlight w:val="none"/>
        </w:rPr>
        <w:t>格式</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的相关内容。</w:t>
      </w:r>
    </w:p>
    <w:p w14:paraId="3BB3A0B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13.2供应商</w:t>
      </w:r>
      <w:r>
        <w:rPr>
          <w:rFonts w:hint="eastAsia" w:ascii="宋体" w:hAnsi="宋体" w:eastAsia="宋体" w:cs="宋体"/>
          <w:i w:val="0"/>
          <w:iCs w:val="0"/>
          <w:color w:val="auto"/>
          <w:kern w:val="2"/>
          <w:sz w:val="24"/>
          <w:szCs w:val="24"/>
          <w:highlight w:val="none"/>
        </w:rPr>
        <w:t>应提交竞争性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文件要求的证明文件，证明其</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内容符合竞争性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文件规定</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该证明文件是</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文件的一部分</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证明文件</w:t>
      </w:r>
      <w:r>
        <w:rPr>
          <w:rFonts w:hint="eastAsia" w:ascii="宋体" w:hAnsi="宋体" w:eastAsia="宋体" w:cs="宋体"/>
          <w:i w:val="0"/>
          <w:iCs w:val="0"/>
          <w:color w:val="auto"/>
          <w:kern w:val="2"/>
          <w:sz w:val="24"/>
          <w:szCs w:val="24"/>
          <w:highlight w:val="none"/>
          <w:lang w:val="en-US" w:eastAsia="zh-CN"/>
        </w:rPr>
        <w:t>形式</w:t>
      </w:r>
      <w:r>
        <w:rPr>
          <w:rFonts w:hint="eastAsia" w:ascii="宋体" w:hAnsi="宋体" w:eastAsia="宋体" w:cs="宋体"/>
          <w:i w:val="0"/>
          <w:iCs w:val="0"/>
          <w:color w:val="auto"/>
          <w:kern w:val="2"/>
          <w:sz w:val="24"/>
          <w:szCs w:val="24"/>
          <w:highlight w:val="none"/>
        </w:rPr>
        <w:t>可以是文字资料、图纸和数据</w:t>
      </w:r>
      <w:bookmarkStart w:id="198" w:name="_Hlk11703583"/>
      <w:r>
        <w:rPr>
          <w:rFonts w:hint="eastAsia" w:ascii="宋体" w:hAnsi="宋体" w:eastAsia="宋体" w:cs="宋体"/>
          <w:i w:val="0"/>
          <w:iCs w:val="0"/>
          <w:color w:val="auto"/>
          <w:kern w:val="2"/>
          <w:sz w:val="24"/>
          <w:szCs w:val="24"/>
          <w:highlight w:val="none"/>
          <w:lang w:val="en-US" w:eastAsia="zh-CN"/>
        </w:rPr>
        <w:t>等。</w:t>
      </w:r>
    </w:p>
    <w:bookmarkEnd w:id="198"/>
    <w:p w14:paraId="781BBAE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13.3</w:t>
      </w:r>
      <w:r>
        <w:rPr>
          <w:rFonts w:hint="eastAsia" w:ascii="宋体" w:hAnsi="宋体" w:eastAsia="宋体" w:cs="宋体"/>
          <w:i w:val="0"/>
          <w:iCs w:val="0"/>
          <w:color w:val="auto"/>
          <w:kern w:val="2"/>
          <w:sz w:val="24"/>
          <w:szCs w:val="24"/>
          <w:highlight w:val="none"/>
        </w:rPr>
        <w:t>为保证公平公正，除非</w:t>
      </w:r>
      <w:r>
        <w:rPr>
          <w:rFonts w:hint="eastAsia" w:ascii="宋体" w:hAnsi="宋体" w:eastAsia="宋体" w:cs="宋体"/>
          <w:i w:val="0"/>
          <w:iCs w:val="0"/>
          <w:color w:val="auto"/>
          <w:kern w:val="2"/>
          <w:sz w:val="24"/>
          <w:szCs w:val="24"/>
          <w:highlight w:val="none"/>
          <w:lang w:val="en-US" w:eastAsia="zh-CN"/>
        </w:rPr>
        <w:t>本磋商文件</w:t>
      </w:r>
      <w:r>
        <w:rPr>
          <w:rFonts w:hint="eastAsia" w:ascii="宋体" w:hAnsi="宋体" w:eastAsia="宋体" w:cs="宋体"/>
          <w:i w:val="0"/>
          <w:iCs w:val="0"/>
          <w:color w:val="auto"/>
          <w:kern w:val="2"/>
          <w:sz w:val="24"/>
          <w:szCs w:val="24"/>
          <w:highlight w:val="none"/>
        </w:rPr>
        <w:t>另有规定或说明，</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对同一项目</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时，不得同时提供备选</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方案。</w:t>
      </w:r>
    </w:p>
    <w:p w14:paraId="5C8E7CA3">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99" w:name="_Toc48688800"/>
      <w:bookmarkStart w:id="200" w:name="_Toc46772252"/>
      <w:bookmarkStart w:id="201" w:name="_Toc51674222"/>
      <w:bookmarkStart w:id="202" w:name="_Toc109897446"/>
      <w:bookmarkStart w:id="203" w:name="_Toc52962738"/>
      <w:bookmarkStart w:id="204" w:name="_Toc24544"/>
      <w:bookmarkStart w:id="205" w:name="_Toc46771651"/>
      <w:bookmarkStart w:id="206" w:name="_Toc470172676"/>
      <w:bookmarkStart w:id="207" w:name="_Toc109900383"/>
      <w:bookmarkStart w:id="208" w:name="_Toc48846120"/>
      <w:bookmarkStart w:id="209" w:name="_Toc109899545"/>
      <w:bookmarkStart w:id="210" w:name="_Toc52960564"/>
      <w:bookmarkStart w:id="211" w:name="_Toc109899964"/>
      <w:bookmarkStart w:id="212" w:name="_Toc109899544"/>
      <w:bookmarkStart w:id="213" w:name="_Toc48846119"/>
      <w:bookmarkStart w:id="214" w:name="_Toc109900382"/>
      <w:bookmarkStart w:id="215" w:name="_Toc470172675"/>
      <w:bookmarkStart w:id="216" w:name="_Toc25217"/>
      <w:bookmarkStart w:id="217" w:name="_Toc109897445"/>
      <w:bookmarkStart w:id="218" w:name="_Toc46772251"/>
      <w:bookmarkStart w:id="219" w:name="_Toc52960563"/>
      <w:bookmarkStart w:id="220" w:name="_Toc46771650"/>
      <w:bookmarkStart w:id="221" w:name="_Toc48688799"/>
      <w:bookmarkStart w:id="222" w:name="_Toc52962737"/>
      <w:bookmarkStart w:id="223" w:name="_Toc109899963"/>
      <w:bookmarkStart w:id="224" w:name="_Toc51674221"/>
      <w:r>
        <w:rPr>
          <w:rFonts w:hint="eastAsia" w:ascii="宋体" w:hAnsi="宋体" w:eastAsia="宋体" w:cs="宋体"/>
          <w:b/>
          <w:bCs/>
          <w:i w:val="0"/>
          <w:iCs w:val="0"/>
          <w:color w:val="auto"/>
          <w:kern w:val="2"/>
          <w:sz w:val="24"/>
          <w:szCs w:val="24"/>
          <w:highlight w:val="none"/>
          <w:lang w:val="en-US" w:eastAsia="zh-CN" w:bidi="ar-SA"/>
        </w:rPr>
        <w:t>14.磋商报价</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0640D6E7">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.1磋商供应商的报价均应以人民币报价。磋商报价包括磋商供应商在首次提交的响应文件中的报价、磋商过程中的报价和最后报价，</w:t>
      </w:r>
      <w:r>
        <w:rPr>
          <w:rFonts w:hint="eastAsia" w:ascii="宋体" w:hAnsi="宋体" w:eastAsia="宋体" w:cs="宋体"/>
          <w:i w:val="0"/>
          <w:iCs w:val="0"/>
          <w:snapToGrid w:val="0"/>
          <w:color w:val="auto"/>
          <w:sz w:val="24"/>
          <w:szCs w:val="24"/>
          <w:highlight w:val="none"/>
          <w:lang w:val="en-US" w:eastAsia="zh-CN"/>
        </w:rPr>
        <w:t>且均</w:t>
      </w:r>
      <w:r>
        <w:rPr>
          <w:rFonts w:hint="eastAsia" w:ascii="宋体" w:hAnsi="宋体" w:eastAsia="宋体" w:cs="宋体"/>
          <w:i w:val="0"/>
          <w:iCs w:val="0"/>
          <w:color w:val="auto"/>
          <w:sz w:val="24"/>
          <w:szCs w:val="24"/>
          <w:highlight w:val="none"/>
        </w:rPr>
        <w:t>不得超过</w:t>
      </w:r>
      <w:bookmarkStart w:id="225" w:name="_Hlk161703672"/>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”中规定</w:t>
      </w:r>
      <w:bookmarkEnd w:id="225"/>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val="en-US" w:eastAsia="zh-CN"/>
        </w:rPr>
        <w:t>最高限价或者预算金额</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snapToGrid w:val="0"/>
          <w:color w:val="auto"/>
          <w:sz w:val="24"/>
          <w:szCs w:val="24"/>
          <w:highlight w:val="none"/>
          <w:lang w:val="zh-CN"/>
        </w:rPr>
        <w:t>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p>
    <w:p w14:paraId="300639DC">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p>
    <w:p w14:paraId="487FB39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snapToGrid w:val="0"/>
          <w:color w:val="auto"/>
          <w:sz w:val="24"/>
          <w:szCs w:val="24"/>
          <w:highlight w:val="none"/>
          <w:lang w:val="en-US" w:eastAsia="zh-CN"/>
        </w:rPr>
        <w:t>14.3</w:t>
      </w:r>
      <w:r>
        <w:rPr>
          <w:rFonts w:hint="eastAsia" w:ascii="宋体" w:hAnsi="宋体" w:eastAsia="宋体" w:cs="宋体"/>
          <w:i w:val="0"/>
          <w:iCs w:val="0"/>
          <w:snapToGrid w:val="0"/>
          <w:color w:val="auto"/>
          <w:sz w:val="24"/>
          <w:szCs w:val="24"/>
          <w:highlight w:val="none"/>
          <w:lang w:val="zh-CN"/>
        </w:rPr>
        <w:t>供应商</w:t>
      </w:r>
      <w:r>
        <w:rPr>
          <w:rFonts w:hint="eastAsia" w:ascii="宋体" w:hAnsi="宋体" w:eastAsia="宋体" w:cs="宋体"/>
          <w:i w:val="0"/>
          <w:iCs w:val="0"/>
          <w:color w:val="auto"/>
          <w:kern w:val="2"/>
          <w:sz w:val="24"/>
          <w:szCs w:val="24"/>
          <w:highlight w:val="none"/>
          <w:lang w:val="en-US" w:eastAsia="zh-CN"/>
        </w:rPr>
        <w:t>的报价应包括为完成本项目所发生的一切费用和税费，采购人将不再支付报价以外的任何费用。</w:t>
      </w:r>
      <w:r>
        <w:rPr>
          <w:rFonts w:hint="eastAsia" w:ascii="宋体" w:hAnsi="宋体" w:eastAsia="宋体" w:cs="宋体"/>
          <w:i w:val="0"/>
          <w:iCs w:val="0"/>
          <w:color w:val="auto"/>
          <w:kern w:val="2"/>
          <w:sz w:val="24"/>
          <w:szCs w:val="24"/>
          <w:highlight w:val="none"/>
        </w:rPr>
        <w:t>只要投报了一个确定数额的总价，无论分项价格是否全部填报了相应的金额或免费字样，</w:t>
      </w:r>
      <w:r>
        <w:rPr>
          <w:rFonts w:hint="eastAsia" w:ascii="宋体" w:hAnsi="宋体" w:eastAsia="宋体" w:cs="宋体"/>
          <w:i w:val="0"/>
          <w:iCs w:val="0"/>
          <w:color w:val="auto"/>
          <w:kern w:val="2"/>
          <w:sz w:val="24"/>
          <w:szCs w:val="24"/>
          <w:highlight w:val="none"/>
          <w:lang w:val="en-US" w:eastAsia="zh-CN"/>
        </w:rPr>
        <w:t>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宋体" w:hAnsi="宋体" w:eastAsia="宋体" w:cs="宋体"/>
          <w:i w:val="0"/>
          <w:iCs w:val="0"/>
          <w:color w:val="auto"/>
          <w:kern w:val="2"/>
          <w:sz w:val="24"/>
          <w:szCs w:val="24"/>
          <w:highlight w:val="none"/>
        </w:rPr>
        <w:t>。</w:t>
      </w:r>
    </w:p>
    <w:p w14:paraId="2ACD190C">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color w:val="auto"/>
          <w:kern w:val="2"/>
          <w:sz w:val="24"/>
          <w:szCs w:val="24"/>
          <w:highlight w:val="none"/>
          <w:lang w:val="en-US" w:eastAsia="zh-CN" w:bidi="ar-SA"/>
        </w:rPr>
        <w:t>14.4供应商的报价应包括但不限于按照竞争性磋商文件要求完成本项目的全部相关费用</w:t>
      </w:r>
      <w:r>
        <w:rPr>
          <w:rFonts w:hint="eastAsia" w:ascii="宋体" w:hAnsi="宋体" w:eastAsia="宋体" w:cs="宋体"/>
          <w:i w:val="0"/>
          <w:iCs w:val="0"/>
          <w:color w:val="auto"/>
          <w:kern w:val="2"/>
          <w:sz w:val="24"/>
          <w:szCs w:val="24"/>
          <w:highlight w:val="none"/>
          <w:lang w:val="en-US" w:eastAsia="zh-CN"/>
        </w:rPr>
        <w:t>。</w:t>
      </w:r>
    </w:p>
    <w:p w14:paraId="11C9B78F">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5供应商须严格按照分项报价表规定的内容填写服务单价以及其他事项。供应商应根据本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文件的规定和要求、市场价格水平及其走势、供应商的管理水平、供应商的方案和由这些因素决定的供应商之于本项目的成本水平等提出自己的报价。报价应合理，并包含完成本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文件采购需求全部内容的所有费用，所有根据本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文件或其它原因应由供应商支付的税款和其他应交纳的费用都应包括在供应商提交的响应报价中</w:t>
      </w:r>
      <w:r>
        <w:rPr>
          <w:rFonts w:hint="eastAsia" w:ascii="宋体" w:hAnsi="宋体" w:eastAsia="宋体" w:cs="宋体"/>
          <w:i w:val="0"/>
          <w:iCs w:val="0"/>
          <w:snapToGrid w:val="0"/>
          <w:color w:val="auto"/>
          <w:sz w:val="24"/>
          <w:szCs w:val="24"/>
          <w:highlight w:val="none"/>
          <w:lang w:val="zh-CN"/>
        </w:rPr>
        <w:t>。</w:t>
      </w:r>
    </w:p>
    <w:p w14:paraId="3DB7F190">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6</w:t>
      </w:r>
      <w:r>
        <w:rPr>
          <w:rFonts w:hint="eastAsia" w:ascii="宋体" w:hAnsi="宋体" w:eastAsia="宋体" w:cs="宋体"/>
          <w:i w:val="0"/>
          <w:iCs w:val="0"/>
          <w:snapToGrid w:val="0"/>
          <w:color w:val="auto"/>
          <w:sz w:val="24"/>
          <w:szCs w:val="24"/>
          <w:highlight w:val="none"/>
          <w:lang w:val="zh-CN"/>
        </w:rPr>
        <w:t>供应商在响应文件中注明免费的项目将视为包含在报价中。</w:t>
      </w:r>
    </w:p>
    <w:p w14:paraId="5A2E805F">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每一种采购内容只允许有一个报价，否则其响应文件将被视为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color w:val="auto"/>
          <w:kern w:val="2"/>
          <w:sz w:val="24"/>
          <w:szCs w:val="24"/>
          <w:highlight w:val="none"/>
        </w:rPr>
        <w:t>除非</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文件另有规定，不接受可选择或可调整的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方案和报价，任何有选择的或可调整的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方案和报价将被视为非响应性</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而被拒绝。</w:t>
      </w:r>
    </w:p>
    <w:p w14:paraId="2D8474D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4</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 xml:space="preserve">8 </w:t>
      </w:r>
      <w:r>
        <w:rPr>
          <w:rFonts w:hint="eastAsia" w:ascii="宋体" w:hAnsi="宋体" w:eastAsia="宋体" w:cs="宋体"/>
          <w:i w:val="0"/>
          <w:iCs w:val="0"/>
          <w:color w:val="auto"/>
          <w:kern w:val="2"/>
          <w:sz w:val="24"/>
          <w:szCs w:val="24"/>
          <w:highlight w:val="none"/>
          <w:lang w:val="zh-CN" w:eastAsia="zh-CN"/>
        </w:rPr>
        <w:t>供应商</w:t>
      </w:r>
      <w:r>
        <w:rPr>
          <w:rFonts w:hint="eastAsia" w:ascii="宋体" w:hAnsi="宋体" w:eastAsia="宋体" w:cs="宋体"/>
          <w:i w:val="0"/>
          <w:iCs w:val="0"/>
          <w:color w:val="auto"/>
          <w:kern w:val="2"/>
          <w:sz w:val="24"/>
          <w:szCs w:val="24"/>
          <w:highlight w:val="none"/>
          <w:lang w:val="en-US" w:eastAsia="zh-CN"/>
        </w:rPr>
        <w:t>对磋商</w:t>
      </w:r>
      <w:r>
        <w:rPr>
          <w:rFonts w:hint="eastAsia" w:ascii="宋体" w:hAnsi="宋体" w:eastAsia="宋体" w:cs="宋体"/>
          <w:i w:val="0"/>
          <w:iCs w:val="0"/>
          <w:color w:val="auto"/>
          <w:kern w:val="2"/>
          <w:sz w:val="24"/>
          <w:szCs w:val="24"/>
          <w:highlight w:val="none"/>
        </w:rPr>
        <w:t>报价若有说明应在</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文件中显著处注明。</w:t>
      </w:r>
    </w:p>
    <w:p w14:paraId="1719007D">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除政策性文件规定以外，</w:t>
      </w:r>
      <w:r>
        <w:rPr>
          <w:rFonts w:hint="eastAsia" w:ascii="宋体" w:hAnsi="宋体" w:eastAsia="宋体" w:cs="宋体"/>
          <w:i w:val="0"/>
          <w:iCs w:val="0"/>
          <w:color w:val="auto"/>
          <w:kern w:val="2"/>
          <w:sz w:val="24"/>
          <w:szCs w:val="24"/>
          <w:highlight w:val="none"/>
          <w:lang w:val="zh-CN"/>
        </w:rPr>
        <w:t>供应商</w:t>
      </w:r>
      <w:r>
        <w:rPr>
          <w:rFonts w:hint="eastAsia" w:ascii="宋体" w:hAnsi="宋体" w:eastAsia="宋体" w:cs="宋体"/>
          <w:i w:val="0"/>
          <w:iCs w:val="0"/>
          <w:color w:val="auto"/>
          <w:kern w:val="2"/>
          <w:sz w:val="24"/>
          <w:szCs w:val="24"/>
          <w:highlight w:val="none"/>
        </w:rPr>
        <w:t>所报价格在合同实施期间不因市场变化因素而变动。</w:t>
      </w:r>
    </w:p>
    <w:p w14:paraId="0B64FFB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4</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 xml:space="preserve">9 </w:t>
      </w:r>
      <w:r>
        <w:rPr>
          <w:rFonts w:hint="eastAsia" w:ascii="宋体" w:hAnsi="宋体" w:eastAsia="宋体" w:cs="宋体"/>
          <w:i w:val="0"/>
          <w:iCs w:val="0"/>
          <w:color w:val="auto"/>
          <w:kern w:val="2"/>
          <w:sz w:val="24"/>
          <w:szCs w:val="24"/>
          <w:highlight w:val="none"/>
        </w:rPr>
        <w:t>最低报价不能作为</w:t>
      </w:r>
      <w:r>
        <w:rPr>
          <w:rFonts w:hint="eastAsia" w:ascii="宋体" w:hAnsi="宋体" w:eastAsia="宋体" w:cs="宋体"/>
          <w:i w:val="0"/>
          <w:iCs w:val="0"/>
          <w:color w:val="auto"/>
          <w:kern w:val="2"/>
          <w:sz w:val="24"/>
          <w:szCs w:val="24"/>
          <w:highlight w:val="none"/>
          <w:lang w:val="en-US" w:eastAsia="zh-CN"/>
        </w:rPr>
        <w:t>成交</w:t>
      </w:r>
      <w:r>
        <w:rPr>
          <w:rFonts w:hint="eastAsia" w:ascii="宋体" w:hAnsi="宋体" w:eastAsia="宋体" w:cs="宋体"/>
          <w:i w:val="0"/>
          <w:iCs w:val="0"/>
          <w:color w:val="auto"/>
          <w:kern w:val="2"/>
          <w:sz w:val="24"/>
          <w:szCs w:val="24"/>
          <w:highlight w:val="none"/>
        </w:rPr>
        <w:t>的保证。</w:t>
      </w:r>
    </w:p>
    <w:p w14:paraId="2AA144BC">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rPr>
        <w:t>14.10</w:t>
      </w:r>
      <w:r>
        <w:rPr>
          <w:rFonts w:hint="eastAsia" w:ascii="宋体" w:hAnsi="宋体" w:eastAsia="宋体" w:cs="宋体"/>
          <w:i w:val="0"/>
          <w:iCs w:val="0"/>
          <w:color w:val="auto"/>
          <w:kern w:val="0"/>
          <w:sz w:val="24"/>
          <w:szCs w:val="24"/>
          <w:highlight w:val="none"/>
          <w:lang w:val="en-US" w:eastAsia="zh-CN" w:bidi="ar"/>
        </w:rPr>
        <w:t>采购人不得向供应商索要或者接受其给予的赠品、回扣或者与采购无关的其他商品、服务。</w:t>
      </w:r>
    </w:p>
    <w:p w14:paraId="3E3AFFE7">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14.11供应商不能提供任何有选择性或可调整的报价（磋商文件另有规定的除外），否则其</w:t>
      </w:r>
      <w:r>
        <w:rPr>
          <w:rFonts w:hint="eastAsia" w:ascii="宋体" w:hAnsi="宋体" w:eastAsia="宋体" w:cs="宋体"/>
          <w:b/>
          <w:bCs/>
          <w:i w:val="0"/>
          <w:iCs w:val="0"/>
          <w:color w:val="auto"/>
          <w:kern w:val="0"/>
          <w:sz w:val="24"/>
          <w:szCs w:val="24"/>
          <w:highlight w:val="none"/>
          <w:lang w:val="en-US" w:eastAsia="zh-CN" w:bidi="ar"/>
        </w:rPr>
        <w:t>响应无效</w:t>
      </w:r>
      <w:r>
        <w:rPr>
          <w:rFonts w:hint="eastAsia" w:ascii="宋体" w:hAnsi="宋体" w:eastAsia="宋体" w:cs="宋体"/>
          <w:i w:val="0"/>
          <w:iCs w:val="0"/>
          <w:color w:val="auto"/>
          <w:kern w:val="0"/>
          <w:sz w:val="24"/>
          <w:szCs w:val="24"/>
          <w:highlight w:val="none"/>
          <w:lang w:val="en-US" w:eastAsia="zh-CN" w:bidi="ar"/>
        </w:rPr>
        <w:t>。</w:t>
      </w:r>
    </w:p>
    <w:p w14:paraId="0CD8AEF2">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26" w:name="_Toc46771657"/>
      <w:bookmarkStart w:id="227" w:name="_Toc109900388"/>
      <w:bookmarkStart w:id="228" w:name="_Toc46772258"/>
      <w:bookmarkStart w:id="229" w:name="_Toc51674228"/>
      <w:bookmarkStart w:id="230" w:name="_Toc470172682"/>
      <w:bookmarkStart w:id="231" w:name="_Toc52962744"/>
      <w:bookmarkStart w:id="232" w:name="_Toc52960570"/>
      <w:bookmarkStart w:id="233" w:name="_Toc109899550"/>
      <w:bookmarkStart w:id="234" w:name="_Toc48846126"/>
      <w:bookmarkStart w:id="235" w:name="_Toc5668"/>
      <w:bookmarkStart w:id="236" w:name="_Toc109897451"/>
      <w:bookmarkStart w:id="237" w:name="_Toc48688806"/>
      <w:bookmarkStart w:id="238" w:name="_Toc109899969"/>
      <w:bookmarkStart w:id="239" w:name="_Toc109899966"/>
      <w:bookmarkStart w:id="240" w:name="_Toc109900385"/>
      <w:bookmarkStart w:id="241" w:name="_Toc48846122"/>
      <w:bookmarkStart w:id="242" w:name="_Toc46771653"/>
      <w:bookmarkStart w:id="243" w:name="_Toc46772254"/>
      <w:bookmarkStart w:id="244" w:name="_Toc109899547"/>
      <w:bookmarkStart w:id="245" w:name="_Toc52960566"/>
      <w:bookmarkStart w:id="246" w:name="_Toc52962740"/>
      <w:bookmarkStart w:id="247" w:name="_Toc51674224"/>
      <w:bookmarkStart w:id="248" w:name="_Toc48688802"/>
      <w:bookmarkStart w:id="249" w:name="_Toc470172678"/>
      <w:bookmarkStart w:id="250" w:name="_Toc3324"/>
      <w:bookmarkStart w:id="251" w:name="_Toc109897448"/>
      <w:r>
        <w:rPr>
          <w:rFonts w:hint="eastAsia" w:ascii="宋体" w:hAnsi="宋体" w:eastAsia="宋体" w:cs="宋体"/>
          <w:b/>
          <w:bCs/>
          <w:i w:val="0"/>
          <w:iCs w:val="0"/>
          <w:color w:val="auto"/>
          <w:kern w:val="2"/>
          <w:sz w:val="24"/>
          <w:szCs w:val="24"/>
          <w:highlight w:val="none"/>
          <w:lang w:val="en-US" w:eastAsia="zh-CN" w:bidi="ar-SA"/>
        </w:rPr>
        <w:t>15.响应文件有效期</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6C3E470C">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供应商提交的</w:t>
      </w:r>
      <w:r>
        <w:rPr>
          <w:rFonts w:hint="eastAsia" w:ascii="宋体" w:hAnsi="宋体" w:eastAsia="宋体" w:cs="宋体"/>
          <w:i w:val="0"/>
          <w:iCs w:val="0"/>
          <w:snapToGrid w:val="0"/>
          <w:color w:val="auto"/>
          <w:sz w:val="24"/>
          <w:szCs w:val="24"/>
          <w:highlight w:val="none"/>
          <w:lang w:val="zh-CN"/>
        </w:rPr>
        <w:t>响应文件有效期见“供应商须知前附表”，磋商供应商承诺的响应文件</w:t>
      </w:r>
      <w:r>
        <w:rPr>
          <w:rFonts w:hint="eastAsia" w:ascii="宋体" w:hAnsi="宋体" w:eastAsia="宋体" w:cs="宋体"/>
          <w:i w:val="0"/>
          <w:iCs w:val="0"/>
          <w:snapToGrid w:val="0"/>
          <w:color w:val="auto"/>
          <w:sz w:val="24"/>
          <w:szCs w:val="24"/>
          <w:highlight w:val="none"/>
          <w:lang w:val="zh-CN" w:eastAsia="zh-CN"/>
        </w:rPr>
        <w:t>有效期少于</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文件规定期限的，其</w:t>
      </w:r>
      <w:r>
        <w:rPr>
          <w:rFonts w:hint="eastAsia" w:ascii="宋体" w:hAnsi="宋体" w:eastAsia="宋体" w:cs="宋体"/>
          <w:b/>
          <w:bCs/>
          <w:i w:val="0"/>
          <w:iCs w:val="0"/>
          <w:snapToGrid w:val="0"/>
          <w:color w:val="auto"/>
          <w:sz w:val="24"/>
          <w:szCs w:val="24"/>
          <w:highlight w:val="none"/>
          <w:lang w:val="en-US" w:eastAsia="zh-CN"/>
        </w:rPr>
        <w:t>响应</w:t>
      </w:r>
      <w:r>
        <w:rPr>
          <w:rFonts w:hint="eastAsia" w:ascii="宋体" w:hAnsi="宋体" w:eastAsia="宋体" w:cs="宋体"/>
          <w:b/>
          <w:bCs/>
          <w:i w:val="0"/>
          <w:iCs w:val="0"/>
          <w:snapToGrid w:val="0"/>
          <w:color w:val="auto"/>
          <w:sz w:val="24"/>
          <w:szCs w:val="24"/>
          <w:highlight w:val="none"/>
          <w:lang w:val="zh-CN" w:eastAsia="zh-CN"/>
        </w:rPr>
        <w:t>无效</w:t>
      </w:r>
      <w:r>
        <w:rPr>
          <w:rFonts w:hint="eastAsia" w:ascii="宋体" w:hAnsi="宋体" w:eastAsia="宋体" w:cs="宋体"/>
          <w:i w:val="0"/>
          <w:iCs w:val="0"/>
          <w:snapToGrid w:val="0"/>
          <w:color w:val="auto"/>
          <w:sz w:val="24"/>
          <w:szCs w:val="24"/>
          <w:highlight w:val="none"/>
          <w:lang w:val="zh-CN" w:eastAsia="zh-CN"/>
        </w:rPr>
        <w:t>。</w:t>
      </w:r>
    </w:p>
    <w:p w14:paraId="4DFC2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auto"/>
          <w:kern w:val="2"/>
          <w:sz w:val="24"/>
          <w:szCs w:val="24"/>
          <w:highlight w:val="none"/>
          <w:lang w:val="en-US" w:eastAsia="zh-CN" w:bidi="ar-SA"/>
        </w:rPr>
      </w:pPr>
      <w:r>
        <w:rPr>
          <w:rFonts w:hint="eastAsia" w:ascii="宋体" w:hAnsi="宋体" w:eastAsia="宋体" w:cs="宋体"/>
          <w:i w:val="0"/>
          <w:iCs w:val="0"/>
          <w:snapToGrid w:val="0"/>
          <w:color w:val="auto"/>
          <w:kern w:val="2"/>
          <w:sz w:val="24"/>
          <w:szCs w:val="24"/>
          <w:highlight w:val="none"/>
          <w:lang w:val="en-US" w:eastAsia="zh-CN" w:bidi="ar-SA"/>
        </w:rPr>
        <w:t>15.2 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414B33F5">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kern w:val="2"/>
          <w:sz w:val="24"/>
          <w:szCs w:val="24"/>
          <w:highlight w:val="none"/>
          <w:lang w:val="zh-CN" w:eastAsia="zh-CN" w:bidi="ar-SA"/>
        </w:rPr>
        <w:t>1</w:t>
      </w:r>
      <w:r>
        <w:rPr>
          <w:rFonts w:hint="eastAsia" w:ascii="宋体" w:hAnsi="宋体" w:eastAsia="宋体" w:cs="宋体"/>
          <w:i w:val="0"/>
          <w:iCs w:val="0"/>
          <w:snapToGrid w:val="0"/>
          <w:color w:val="auto"/>
          <w:kern w:val="2"/>
          <w:sz w:val="24"/>
          <w:szCs w:val="24"/>
          <w:highlight w:val="none"/>
          <w:lang w:val="en-US" w:eastAsia="zh-CN" w:bidi="ar-SA"/>
        </w:rPr>
        <w:t>5</w:t>
      </w:r>
      <w:r>
        <w:rPr>
          <w:rFonts w:hint="eastAsia" w:ascii="宋体" w:hAnsi="宋体" w:eastAsia="宋体" w:cs="宋体"/>
          <w:i w:val="0"/>
          <w:iCs w:val="0"/>
          <w:snapToGrid w:val="0"/>
          <w:color w:val="auto"/>
          <w:kern w:val="2"/>
          <w:sz w:val="24"/>
          <w:szCs w:val="24"/>
          <w:highlight w:val="none"/>
          <w:lang w:val="zh-CN" w:eastAsia="zh-CN" w:bidi="ar-SA"/>
        </w:rPr>
        <w:t>.</w:t>
      </w:r>
      <w:r>
        <w:rPr>
          <w:rFonts w:hint="eastAsia" w:ascii="宋体" w:hAnsi="宋体" w:eastAsia="宋体" w:cs="宋体"/>
          <w:i w:val="0"/>
          <w:iCs w:val="0"/>
          <w:snapToGrid w:val="0"/>
          <w:color w:val="auto"/>
          <w:kern w:val="2"/>
          <w:sz w:val="24"/>
          <w:szCs w:val="24"/>
          <w:highlight w:val="none"/>
          <w:lang w:val="en-US" w:eastAsia="zh-CN" w:bidi="ar-SA"/>
        </w:rPr>
        <w:t>3</w:t>
      </w:r>
      <w:r>
        <w:rPr>
          <w:rFonts w:hint="eastAsia" w:ascii="宋体" w:hAnsi="宋体" w:eastAsia="宋体" w:cs="宋体"/>
          <w:i w:val="0"/>
          <w:iCs w:val="0"/>
          <w:snapToGrid w:val="0"/>
          <w:color w:val="auto"/>
          <w:kern w:val="2"/>
          <w:sz w:val="24"/>
          <w:szCs w:val="24"/>
          <w:highlight w:val="none"/>
          <w:lang w:val="zh-CN" w:eastAsia="zh-CN" w:bidi="ar-SA"/>
        </w:rPr>
        <w:t>特殊情况下，在原响应文件有效期截止之前，采购代理机构或采购人</w:t>
      </w:r>
      <w:r>
        <w:rPr>
          <w:rFonts w:hint="eastAsia" w:ascii="宋体" w:hAnsi="宋体" w:eastAsia="宋体" w:cs="宋体"/>
          <w:i w:val="0"/>
          <w:iCs w:val="0"/>
          <w:snapToGrid w:val="0"/>
          <w:color w:val="auto"/>
          <w:sz w:val="24"/>
          <w:szCs w:val="24"/>
          <w:highlight w:val="none"/>
          <w:lang w:val="zh-CN"/>
        </w:rPr>
        <w:t>可要求供应商延长响应文件有效期。需要延长响应文件有效期时，采购代理机构或采购人将以书面形式通知所有磋商供应商，供应商应以书面形式答复是否同意延长响应文件有效期。</w:t>
      </w:r>
    </w:p>
    <w:p w14:paraId="3803927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供应商同意延长的，</w:t>
      </w:r>
      <w:r>
        <w:rPr>
          <w:rFonts w:hint="eastAsia" w:ascii="宋体" w:hAnsi="宋体" w:eastAsia="宋体" w:cs="宋体"/>
          <w:i w:val="0"/>
          <w:iCs w:val="0"/>
          <w:snapToGrid w:val="0"/>
          <w:color w:val="auto"/>
          <w:sz w:val="24"/>
          <w:szCs w:val="24"/>
          <w:highlight w:val="none"/>
          <w:lang w:val="en-US" w:eastAsia="zh-CN"/>
        </w:rPr>
        <w:t>其磋商</w:t>
      </w:r>
      <w:r>
        <w:rPr>
          <w:rFonts w:hint="eastAsia" w:ascii="宋体" w:hAnsi="宋体" w:eastAsia="宋体" w:cs="宋体"/>
          <w:i w:val="0"/>
          <w:iCs w:val="0"/>
          <w:snapToGrid w:val="0"/>
          <w:color w:val="auto"/>
          <w:sz w:val="24"/>
          <w:szCs w:val="24"/>
          <w:highlight w:val="none"/>
          <w:lang w:val="zh-CN"/>
        </w:rPr>
        <w:t>保证金的有效期也相应延长</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snapToGrid w:val="0"/>
          <w:color w:val="auto"/>
          <w:sz w:val="24"/>
          <w:szCs w:val="24"/>
          <w:highlight w:val="none"/>
          <w:lang w:val="zh-CN"/>
        </w:rPr>
        <w:t>不得要求或被允许修改或撤销其响应文件；供应商拒绝延长的，其响应文件在原响应文件有效期满后将不再有效</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但其提交的磋商保证金可予以退还</w:t>
      </w:r>
      <w:r>
        <w:rPr>
          <w:rFonts w:hint="eastAsia" w:ascii="宋体" w:hAnsi="宋体" w:eastAsia="宋体" w:cs="宋体"/>
          <w:i w:val="0"/>
          <w:iCs w:val="0"/>
          <w:snapToGrid w:val="0"/>
          <w:color w:val="auto"/>
          <w:sz w:val="24"/>
          <w:szCs w:val="24"/>
          <w:highlight w:val="none"/>
          <w:lang w:val="zh-CN"/>
        </w:rPr>
        <w:t>。</w:t>
      </w:r>
    </w:p>
    <w:bookmarkEnd w:id="239"/>
    <w:bookmarkEnd w:id="240"/>
    <w:bookmarkEnd w:id="241"/>
    <w:bookmarkEnd w:id="242"/>
    <w:bookmarkEnd w:id="243"/>
    <w:bookmarkEnd w:id="244"/>
    <w:bookmarkEnd w:id="245"/>
    <w:bookmarkEnd w:id="246"/>
    <w:bookmarkEnd w:id="247"/>
    <w:bookmarkEnd w:id="248"/>
    <w:bookmarkEnd w:id="249"/>
    <w:bookmarkEnd w:id="250"/>
    <w:bookmarkEnd w:id="251"/>
    <w:p w14:paraId="26D695E6">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16.响应文件的编制</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710ABAB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文件应在供应商客户端中进行编制，在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文件中要求加盖印章的，除有特殊说明之外，</w:t>
      </w:r>
      <w:r>
        <w:rPr>
          <w:rFonts w:hint="eastAsia" w:ascii="宋体" w:hAnsi="宋体" w:eastAsia="宋体" w:cs="宋体"/>
          <w:i w:val="0"/>
          <w:iCs w:val="0"/>
          <w:color w:val="auto"/>
          <w:sz w:val="24"/>
          <w:szCs w:val="24"/>
          <w:highlight w:val="none"/>
          <w:lang w:val="en-US" w:eastAsia="zh-CN"/>
        </w:rPr>
        <w:t>可</w:t>
      </w:r>
      <w:r>
        <w:rPr>
          <w:rFonts w:hint="eastAsia" w:ascii="宋体" w:hAnsi="宋体" w:eastAsia="宋体" w:cs="宋体"/>
          <w:i w:val="0"/>
          <w:iCs w:val="0"/>
          <w:color w:val="auto"/>
          <w:sz w:val="24"/>
          <w:szCs w:val="24"/>
          <w:highlight w:val="none"/>
        </w:rPr>
        <w:t>使用电子签章签署。</w:t>
      </w:r>
    </w:p>
    <w:p w14:paraId="6FD5FFC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在供应商客户端中按照供应商客户端中的格式要求填写响应内容后，生成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须按照</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文件的要求使用电子签章对要求加盖印章的部分逐一进行签章。</w:t>
      </w:r>
    </w:p>
    <w:p w14:paraId="4BB9824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3供应商</w:t>
      </w:r>
      <w:r>
        <w:rPr>
          <w:rFonts w:hint="eastAsia" w:ascii="宋体" w:hAnsi="宋体" w:eastAsia="宋体" w:cs="宋体"/>
          <w:i w:val="0"/>
          <w:iCs w:val="0"/>
          <w:color w:val="auto"/>
          <w:sz w:val="24"/>
          <w:szCs w:val="24"/>
          <w:highlight w:val="none"/>
        </w:rPr>
        <w:t>应详细阅读</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文件的全部内容。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文件须对</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文件中的内容作出实质性和完整的响应，如果</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文件填报的内容不详，或没有提供</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文件中所要求的全部资料及数据，将可能</w:t>
      </w:r>
      <w:r>
        <w:rPr>
          <w:rFonts w:hint="eastAsia" w:ascii="宋体" w:hAnsi="宋体" w:eastAsia="宋体" w:cs="宋体"/>
          <w:b/>
          <w:bCs/>
          <w:i w:val="0"/>
          <w:iCs w:val="0"/>
          <w:color w:val="auto"/>
          <w:sz w:val="24"/>
          <w:szCs w:val="24"/>
          <w:highlight w:val="none"/>
        </w:rPr>
        <w:t>导致</w:t>
      </w:r>
      <w:r>
        <w:rPr>
          <w:rFonts w:hint="eastAsia" w:ascii="宋体" w:hAnsi="宋体" w:eastAsia="宋体" w:cs="宋体"/>
          <w:b/>
          <w:bCs/>
          <w:i w:val="0"/>
          <w:iCs w:val="0"/>
          <w:color w:val="auto"/>
          <w:sz w:val="24"/>
          <w:szCs w:val="24"/>
          <w:highlight w:val="none"/>
          <w:lang w:val="en-US" w:eastAsia="zh-CN"/>
        </w:rPr>
        <w:t>其响应无效</w:t>
      </w:r>
      <w:r>
        <w:rPr>
          <w:rFonts w:hint="eastAsia" w:ascii="宋体" w:hAnsi="宋体" w:eastAsia="宋体" w:cs="宋体"/>
          <w:i w:val="0"/>
          <w:iCs w:val="0"/>
          <w:color w:val="auto"/>
          <w:sz w:val="24"/>
          <w:szCs w:val="24"/>
          <w:highlight w:val="none"/>
        </w:rPr>
        <w:t>。</w:t>
      </w:r>
    </w:p>
    <w:p w14:paraId="2084E86D">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4响应</w:t>
      </w:r>
      <w:r>
        <w:rPr>
          <w:rFonts w:hint="eastAsia" w:ascii="宋体" w:hAnsi="宋体" w:eastAsia="宋体" w:cs="宋体"/>
          <w:i w:val="0"/>
          <w:iCs w:val="0"/>
          <w:color w:val="auto"/>
          <w:sz w:val="24"/>
          <w:szCs w:val="24"/>
          <w:highlight w:val="none"/>
        </w:rPr>
        <w:t>文件须严格按照</w:t>
      </w:r>
      <w:r>
        <w:rPr>
          <w:rFonts w:hint="eastAsia" w:ascii="宋体" w:hAnsi="宋体" w:eastAsia="宋体" w:cs="宋体"/>
          <w:i w:val="0"/>
          <w:iCs w:val="0"/>
          <w:color w:val="auto"/>
          <w:sz w:val="24"/>
          <w:szCs w:val="24"/>
          <w:highlight w:val="none"/>
          <w:lang w:val="en-US" w:eastAsia="zh-CN"/>
        </w:rPr>
        <w:t>本竞争性磋商</w:t>
      </w:r>
      <w:r>
        <w:rPr>
          <w:rFonts w:hint="eastAsia" w:ascii="宋体" w:hAnsi="宋体" w:eastAsia="宋体" w:cs="宋体"/>
          <w:i w:val="0"/>
          <w:iCs w:val="0"/>
          <w:color w:val="auto"/>
          <w:sz w:val="24"/>
          <w:szCs w:val="24"/>
          <w:highlight w:val="none"/>
        </w:rPr>
        <w:t>文件第</w:t>
      </w:r>
      <w:r>
        <w:rPr>
          <w:rFonts w:hint="eastAsia" w:ascii="宋体" w:hAnsi="宋体" w:eastAsia="宋体" w:cs="宋体"/>
          <w:i w:val="0"/>
          <w:iCs w:val="0"/>
          <w:color w:val="auto"/>
          <w:sz w:val="24"/>
          <w:szCs w:val="24"/>
          <w:highlight w:val="none"/>
          <w:lang w:val="en-US" w:eastAsia="zh-CN"/>
        </w:rPr>
        <w:t>六章</w:t>
      </w:r>
      <w:r>
        <w:rPr>
          <w:rFonts w:hint="eastAsia" w:ascii="宋体" w:hAnsi="宋体" w:eastAsia="宋体" w:cs="宋体"/>
          <w:i w:val="0"/>
          <w:iCs w:val="0"/>
          <w:color w:val="auto"/>
          <w:sz w:val="24"/>
          <w:szCs w:val="24"/>
          <w:highlight w:val="none"/>
        </w:rPr>
        <w:t>规定的格式提交，并按规定的统一格式逐项填写，不准有空项；无相应内容可填的项，应填写“无”、“未测试”、“没有相应指标”等明确的回答文字。由于编排混乱导致</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文件被误读或查找不到，其责任由</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承担。</w:t>
      </w:r>
    </w:p>
    <w:p w14:paraId="71265CA2">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5供应商</w:t>
      </w:r>
      <w:r>
        <w:rPr>
          <w:rFonts w:hint="eastAsia" w:ascii="宋体" w:hAnsi="宋体" w:eastAsia="宋体" w:cs="宋体"/>
          <w:i w:val="0"/>
          <w:iCs w:val="0"/>
          <w:color w:val="auto"/>
          <w:sz w:val="24"/>
          <w:szCs w:val="24"/>
          <w:highlight w:val="none"/>
        </w:rPr>
        <w:t>须注意：为合理节约政府采购评审成本，提倡诚实信用的</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行为，特别要求</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应本着诚信精神，在本次</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文件的偏离表中，均以审慎的态度明确、清楚地披露各项偏离。若</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对某一事项是否存在或是否属于偏离不能确定，亦必须在偏离表中清楚地表明该偏离事项，并可以注明不能确定的字样。任何情况下，对于</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没有在偏离表中明确、清楚地披露的事项，包括可能属于被</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在偏离表中遗漏披露的事项，一旦在评审中被发现存在偏离或被认定为属于偏离，则评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委员会有权视具体情形评审时予以处理，</w:t>
      </w:r>
      <w:r>
        <w:rPr>
          <w:rFonts w:hint="eastAsia" w:ascii="宋体" w:hAnsi="宋体" w:eastAsia="宋体" w:cs="宋体"/>
          <w:b/>
          <w:bCs/>
          <w:i w:val="0"/>
          <w:iCs w:val="0"/>
          <w:color w:val="auto"/>
          <w:sz w:val="24"/>
          <w:szCs w:val="24"/>
          <w:highlight w:val="none"/>
        </w:rPr>
        <w:t>将可能导致</w:t>
      </w:r>
      <w:r>
        <w:rPr>
          <w:rFonts w:hint="eastAsia" w:ascii="宋体" w:hAnsi="宋体" w:eastAsia="宋体" w:cs="宋体"/>
          <w:b/>
          <w:bCs/>
          <w:i w:val="0"/>
          <w:iCs w:val="0"/>
          <w:color w:val="auto"/>
          <w:sz w:val="24"/>
          <w:szCs w:val="24"/>
          <w:highlight w:val="none"/>
          <w:lang w:eastAsia="zh-CN"/>
        </w:rPr>
        <w:t>响应</w:t>
      </w:r>
      <w:r>
        <w:rPr>
          <w:rFonts w:hint="eastAsia" w:ascii="宋体" w:hAnsi="宋体" w:eastAsia="宋体" w:cs="宋体"/>
          <w:b/>
          <w:bCs/>
          <w:i w:val="0"/>
          <w:iCs w:val="0"/>
          <w:color w:val="auto"/>
          <w:sz w:val="24"/>
          <w:szCs w:val="24"/>
          <w:highlight w:val="none"/>
          <w:lang w:val="en-US" w:eastAsia="zh-CN"/>
        </w:rPr>
        <w:t>无效</w:t>
      </w:r>
      <w:r>
        <w:rPr>
          <w:rFonts w:hint="eastAsia" w:ascii="宋体" w:hAnsi="宋体" w:eastAsia="宋体" w:cs="宋体"/>
          <w:i w:val="0"/>
          <w:iCs w:val="0"/>
          <w:color w:val="auto"/>
          <w:sz w:val="24"/>
          <w:szCs w:val="24"/>
          <w:highlight w:val="none"/>
        </w:rPr>
        <w:t>。</w:t>
      </w:r>
    </w:p>
    <w:p w14:paraId="54FCBEF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6供应商</w:t>
      </w:r>
      <w:r>
        <w:rPr>
          <w:rFonts w:hint="eastAsia" w:ascii="宋体" w:hAnsi="宋体" w:eastAsia="宋体" w:cs="宋体"/>
          <w:i w:val="0"/>
          <w:iCs w:val="0"/>
          <w:color w:val="auto"/>
          <w:sz w:val="24"/>
          <w:szCs w:val="24"/>
          <w:highlight w:val="none"/>
        </w:rPr>
        <w:t>必须保证</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文件所提供的全部资料真实可靠，并接受采购</w:t>
      </w:r>
      <w:r>
        <w:rPr>
          <w:rFonts w:hint="eastAsia" w:ascii="宋体" w:hAnsi="宋体" w:eastAsia="宋体" w:cs="宋体"/>
          <w:i w:val="0"/>
          <w:iCs w:val="0"/>
          <w:color w:val="auto"/>
          <w:sz w:val="24"/>
          <w:szCs w:val="24"/>
          <w:highlight w:val="none"/>
          <w:lang w:val="en-US" w:eastAsia="zh-CN"/>
        </w:rPr>
        <w:t>人、采购</w:t>
      </w:r>
      <w:r>
        <w:rPr>
          <w:rFonts w:hint="eastAsia" w:ascii="宋体" w:hAnsi="宋体" w:eastAsia="宋体" w:cs="宋体"/>
          <w:i w:val="0"/>
          <w:iCs w:val="0"/>
          <w:color w:val="auto"/>
          <w:sz w:val="24"/>
          <w:szCs w:val="24"/>
          <w:highlight w:val="none"/>
        </w:rPr>
        <w:t>代理机构或评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委员会对其中任何资料进一步审查的要求。</w:t>
      </w:r>
    </w:p>
    <w:p w14:paraId="7064EC3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7供应商</w:t>
      </w:r>
      <w:r>
        <w:rPr>
          <w:rFonts w:hint="eastAsia" w:ascii="宋体" w:hAnsi="宋体" w:eastAsia="宋体" w:cs="宋体"/>
          <w:i w:val="0"/>
          <w:iCs w:val="0"/>
          <w:color w:val="auto"/>
          <w:sz w:val="24"/>
          <w:szCs w:val="24"/>
          <w:highlight w:val="none"/>
        </w:rPr>
        <w:t>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bCs/>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处理。</w:t>
      </w:r>
    </w:p>
    <w:p w14:paraId="4071B61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16.8电子响应文件的编制</w:t>
      </w:r>
    </w:p>
    <w:p w14:paraId="4A87E245">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16.8.1电子响应文件需按竞争性磋商文件要求进行制作编制。响应文件制作时，不同内容按标签提示制作导入，按照竞争性磋商文件中明确的响应文件目录和格式进行编制，保证目录清晰、内容完整。           </w:t>
      </w:r>
    </w:p>
    <w:p w14:paraId="1D4C561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其响应无效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p>
    <w:p w14:paraId="72852751">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52" w:name="_Toc109899552"/>
      <w:bookmarkStart w:id="253" w:name="_Toc109899971"/>
      <w:bookmarkStart w:id="254" w:name="_Toc470172684"/>
      <w:bookmarkStart w:id="255" w:name="_Toc109900390"/>
      <w:bookmarkStart w:id="256" w:name="_Toc109897453"/>
      <w:bookmarkStart w:id="257" w:name="_Toc46771659"/>
      <w:bookmarkStart w:id="258" w:name="_Toc26555"/>
      <w:bookmarkStart w:id="259" w:name="_Toc163493614"/>
      <w:r>
        <w:rPr>
          <w:rFonts w:hint="eastAsia" w:ascii="宋体" w:hAnsi="宋体" w:eastAsia="宋体" w:cs="宋体"/>
          <w:b/>
          <w:bCs/>
          <w:i w:val="0"/>
          <w:iCs w:val="0"/>
          <w:color w:val="auto"/>
          <w:kern w:val="2"/>
          <w:sz w:val="24"/>
          <w:szCs w:val="24"/>
          <w:highlight w:val="none"/>
          <w:lang w:val="en-US" w:eastAsia="zh-CN" w:bidi="ar-SA"/>
        </w:rPr>
        <w:t>（四）响应文件的</w:t>
      </w:r>
      <w:bookmarkEnd w:id="252"/>
      <w:bookmarkEnd w:id="253"/>
      <w:bookmarkEnd w:id="254"/>
      <w:bookmarkEnd w:id="255"/>
      <w:bookmarkEnd w:id="256"/>
      <w:bookmarkEnd w:id="257"/>
      <w:r>
        <w:rPr>
          <w:rFonts w:hint="eastAsia" w:ascii="宋体" w:hAnsi="宋体" w:eastAsia="宋体" w:cs="宋体"/>
          <w:b/>
          <w:bCs/>
          <w:i w:val="0"/>
          <w:iCs w:val="0"/>
          <w:color w:val="auto"/>
          <w:kern w:val="2"/>
          <w:sz w:val="24"/>
          <w:szCs w:val="24"/>
          <w:highlight w:val="none"/>
          <w:lang w:val="en-US" w:eastAsia="zh-CN" w:bidi="ar-SA"/>
        </w:rPr>
        <w:t>递交</w:t>
      </w:r>
      <w:bookmarkEnd w:id="258"/>
      <w:bookmarkEnd w:id="259"/>
    </w:p>
    <w:p w14:paraId="01810122">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60" w:name="_Toc109897552"/>
      <w:bookmarkStart w:id="261" w:name="_Toc109900489"/>
      <w:bookmarkStart w:id="262" w:name="_Toc109900070"/>
      <w:bookmarkStart w:id="263" w:name="_Toc109899651"/>
      <w:bookmarkStart w:id="264" w:name="_Toc156490296"/>
      <w:bookmarkStart w:id="265" w:name="_Toc155095707"/>
      <w:bookmarkStart w:id="266" w:name="_Toc109897553"/>
      <w:bookmarkStart w:id="267" w:name="_Toc109899652"/>
      <w:bookmarkStart w:id="268" w:name="_Toc109900490"/>
      <w:bookmarkStart w:id="269" w:name="_Toc109900071"/>
      <w:bookmarkStart w:id="270" w:name="_Toc155095708"/>
      <w:bookmarkStart w:id="271" w:name="_Toc156490297"/>
      <w:r>
        <w:rPr>
          <w:rFonts w:hint="eastAsia" w:ascii="宋体" w:hAnsi="宋体" w:eastAsia="宋体" w:cs="宋体"/>
          <w:b/>
          <w:bCs/>
          <w:i w:val="0"/>
          <w:iCs w:val="0"/>
          <w:color w:val="auto"/>
          <w:kern w:val="2"/>
          <w:sz w:val="24"/>
          <w:szCs w:val="24"/>
          <w:highlight w:val="none"/>
          <w:lang w:val="en-US" w:eastAsia="zh-CN" w:bidi="ar-SA"/>
        </w:rPr>
        <w:t>17.磋商保证金</w:t>
      </w:r>
    </w:p>
    <w:p w14:paraId="1A207ACD">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17.1供应商应按照竞争性磋商文件“供应商须知前附表”规定的金额及要求交纳磋商保证金。供应商自愿超额缴纳磋商保证金的，响应文件不做无效处理。</w:t>
      </w:r>
    </w:p>
    <w:p w14:paraId="77BF162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17.2交纳磋商保证金可采用的形式：政府采购法律法规接受的支票、汇票、本票、网上银行支付或者金融机构、担保机构出具的保函等非现金形式。未按磋商文件要求提交磋商保证金的，其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r>
        <w:rPr>
          <w:rFonts w:hint="eastAsia" w:ascii="宋体" w:hAnsi="宋体" w:eastAsia="宋体" w:cs="宋体"/>
          <w:i w:val="0"/>
          <w:iCs w:val="0"/>
          <w:color w:val="auto"/>
          <w:sz w:val="24"/>
          <w:szCs w:val="24"/>
          <w:highlight w:val="none"/>
          <w:lang w:val="en-US" w:eastAsia="zh-CN"/>
        </w:rPr>
        <w:t>磋商保证金有效期同响应文件有效期。</w:t>
      </w:r>
    </w:p>
    <w:p w14:paraId="0C3CACC6">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原件扫描后作为响应文件的组成部分与响应文件一起上传。由于到账时间晚于响应文件递交截止时间，或者票据错误、印鉴不清等原因导致不能到账的，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p>
    <w:p w14:paraId="7EBFBB8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17.4 供应商为联合体的，可以由联合体中的一方或者多方共同交纳磋商保证金，其交纳的磋商保证金对联合体各方均具有约束力。 </w:t>
      </w:r>
    </w:p>
    <w:p w14:paraId="6E02FB95">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 5 个工作日内退还，成交供应商的磋商保证金应当自采购合同签订之日起 5 个工作日内退还。 </w:t>
      </w:r>
    </w:p>
    <w:p w14:paraId="48C6EAF6">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17.6 供应商在响应文件递交截止时间前撤回已提交的响应文件的，自收到供应商书面撤回通知之日起 5 个工作日内，退还已收取的磋商保证金，但因供应商自身原因导致无法及时退还的除外。 </w:t>
      </w:r>
    </w:p>
    <w:p w14:paraId="6C0BF0B3">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17.7 终止磋商的项目已经收取磋商保证金的，自终止采购活动后5个工作日内退还已收取的磋商保证金及其在银行产生的孳息。</w:t>
      </w:r>
    </w:p>
    <w:p w14:paraId="63FB6EE6">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17.8有下列情形之一的，磋商保证金不予退还,</w:t>
      </w:r>
      <w:r>
        <w:rPr>
          <w:rFonts w:hint="eastAsia" w:ascii="宋体" w:hAnsi="宋体" w:eastAsia="宋体" w:cs="宋体"/>
          <w:i w:val="0"/>
          <w:iCs w:val="0"/>
          <w:color w:val="auto"/>
          <w:kern w:val="2"/>
          <w:sz w:val="24"/>
          <w:szCs w:val="24"/>
          <w:highlight w:val="none"/>
        </w:rPr>
        <w:t>情节严重的将其列入不良记录名单</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 </w:t>
      </w:r>
    </w:p>
    <w:p w14:paraId="56909F59">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17.8.1供应商在提交响应文件截止时间后撤回响应文件的； </w:t>
      </w:r>
    </w:p>
    <w:p w14:paraId="6BDEA651">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17.8.2供应商在响应文件中提供虚假材料的； </w:t>
      </w:r>
    </w:p>
    <w:p w14:paraId="120042A8">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17.8.3除因不可抗力或磋商文件认可的情形以外，成交供应商不与采购人签订合同的； </w:t>
      </w:r>
    </w:p>
    <w:p w14:paraId="5C8617B0">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17.8.4供应商与采购人、其他供应商或者采购代理机构恶意串通的； </w:t>
      </w:r>
    </w:p>
    <w:p w14:paraId="17490B0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17.8.5磋商文件规定的其他情形。</w:t>
      </w:r>
    </w:p>
    <w:p w14:paraId="17E6CCBD">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17.9如开启时供应商对本单位磋商保证金缴纳情况有疑义，供应商应在开启结束前向采购人提交书面申请核实保证金缴纳情况。由银行或保险公司核实后出具书面材料予以答复。</w:t>
      </w:r>
    </w:p>
    <w:p w14:paraId="071DFFA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17.10</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新疆政府采购网”—顶部通栏“政采贷”快捷模块查看。金融服务支撑热线：</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0991-2661159</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     </w:t>
      </w:r>
    </w:p>
    <w:p w14:paraId="784B786D">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18.响应文件的</w:t>
      </w:r>
      <w:bookmarkEnd w:id="260"/>
      <w:bookmarkEnd w:id="261"/>
      <w:bookmarkEnd w:id="262"/>
      <w:bookmarkEnd w:id="263"/>
      <w:r>
        <w:rPr>
          <w:rFonts w:hint="eastAsia" w:ascii="宋体" w:hAnsi="宋体" w:eastAsia="宋体" w:cs="宋体"/>
          <w:b/>
          <w:bCs/>
          <w:i w:val="0"/>
          <w:iCs w:val="0"/>
          <w:color w:val="auto"/>
          <w:kern w:val="2"/>
          <w:sz w:val="24"/>
          <w:szCs w:val="24"/>
          <w:highlight w:val="none"/>
          <w:lang w:val="en-US" w:eastAsia="zh-CN" w:bidi="ar-SA"/>
        </w:rPr>
        <w:t>加密</w:t>
      </w:r>
      <w:bookmarkEnd w:id="264"/>
      <w:bookmarkEnd w:id="265"/>
    </w:p>
    <w:p w14:paraId="105C769D">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18.1 供应商在供应商客户端中生成响应文件并完成签章之后，使用CA证书在供应商客户端中对响应文件进行加密。</w:t>
      </w:r>
    </w:p>
    <w:p w14:paraId="0AE412D5">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18.2 供应商应在供应商客户端中对加密的响应文件进行解密验证，以防止响应文件加密异常，在开启时无法解密。</w:t>
      </w:r>
    </w:p>
    <w:p w14:paraId="79A877BA">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18.3 供应商应保证加密响应文件的CA证书有效期在开启时间之前。若CA证书有效期临近开启时间，建议供应商提前办理CA证书续期，以免开启时无法进行解密。</w:t>
      </w:r>
    </w:p>
    <w:p w14:paraId="1CDCC9E5">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供应商</w:t>
      </w:r>
      <w:r>
        <w:rPr>
          <w:rFonts w:hint="eastAsia" w:ascii="宋体" w:hAnsi="宋体" w:eastAsia="宋体" w:cs="宋体"/>
          <w:i w:val="0"/>
          <w:iCs w:val="0"/>
          <w:color w:val="auto"/>
          <w:sz w:val="24"/>
          <w:szCs w:val="24"/>
          <w:highlight w:val="none"/>
        </w:rPr>
        <w:t>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递交截</w:t>
      </w:r>
      <w:r>
        <w:rPr>
          <w:rFonts w:hint="eastAsia" w:ascii="宋体" w:hAnsi="宋体" w:eastAsia="宋体" w:cs="宋体"/>
          <w:i w:val="0"/>
          <w:iCs w:val="0"/>
          <w:color w:val="auto"/>
          <w:sz w:val="24"/>
          <w:szCs w:val="24"/>
          <w:highlight w:val="none"/>
          <w:lang w:val="en-US" w:eastAsia="zh-CN"/>
        </w:rPr>
        <w:t>止</w:t>
      </w:r>
      <w:r>
        <w:rPr>
          <w:rFonts w:hint="eastAsia" w:ascii="宋体" w:hAnsi="宋体" w:eastAsia="宋体" w:cs="宋体"/>
          <w:i w:val="0"/>
          <w:iCs w:val="0"/>
          <w:color w:val="auto"/>
          <w:sz w:val="24"/>
          <w:szCs w:val="24"/>
          <w:highlight w:val="none"/>
        </w:rPr>
        <w:t>时间前通过</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rPr>
        <w:t>政府采购网（</w:t>
      </w:r>
      <w:r>
        <w:rPr>
          <w:rFonts w:hint="eastAsia" w:eastAsia="宋体" w:cs="仿宋_GB2312"/>
          <w:color w:val="auto"/>
          <w:sz w:val="24"/>
          <w:szCs w:val="24"/>
          <w:highlight w:val="none"/>
        </w:rPr>
        <w:t>http://www.ccgp-xinjiang.gov.cn/</w:t>
      </w:r>
      <w:r>
        <w:rPr>
          <w:rFonts w:hint="eastAsia" w:ascii="宋体" w:hAnsi="宋体" w:eastAsia="宋体" w:cs="宋体"/>
          <w:i w:val="0"/>
          <w:iCs w:val="0"/>
          <w:color w:val="auto"/>
          <w:sz w:val="24"/>
          <w:szCs w:val="24"/>
          <w:highlight w:val="none"/>
        </w:rPr>
        <w:t>）的”政采云登录入口”登录后，将加密电子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（为.jmbs后缀格式）上传到对应项目的指定位置</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认为有必要提交的其他资料请于</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递交截止时间前一并提交。</w:t>
      </w:r>
    </w:p>
    <w:p w14:paraId="3896D47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如果</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未按上述要求</w:t>
      </w:r>
      <w:r>
        <w:rPr>
          <w:rFonts w:hint="eastAsia" w:ascii="宋体" w:hAnsi="宋体" w:eastAsia="宋体" w:cs="宋体"/>
          <w:i w:val="0"/>
          <w:iCs w:val="0"/>
          <w:color w:val="auto"/>
          <w:sz w:val="24"/>
          <w:szCs w:val="24"/>
          <w:highlight w:val="none"/>
          <w:lang w:val="en-US" w:eastAsia="zh-CN"/>
        </w:rPr>
        <w:t>加密并上传</w:t>
      </w:r>
      <w:r>
        <w:rPr>
          <w:rFonts w:hint="eastAsia" w:ascii="宋体" w:hAnsi="宋体" w:eastAsia="宋体" w:cs="宋体"/>
          <w:i w:val="0"/>
          <w:iCs w:val="0"/>
          <w:color w:val="auto"/>
          <w:sz w:val="24"/>
          <w:szCs w:val="24"/>
          <w:highlight w:val="none"/>
        </w:rPr>
        <w:t>，采购代理机构对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文件的误投</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无法解密、传输错误等问题</w:t>
      </w:r>
      <w:r>
        <w:rPr>
          <w:rFonts w:hint="eastAsia" w:ascii="宋体" w:hAnsi="宋体" w:eastAsia="宋体" w:cs="宋体"/>
          <w:i w:val="0"/>
          <w:iCs w:val="0"/>
          <w:color w:val="auto"/>
          <w:sz w:val="24"/>
          <w:szCs w:val="24"/>
          <w:highlight w:val="none"/>
        </w:rPr>
        <w:t>概不负责。对由此造成</w:t>
      </w:r>
      <w:r>
        <w:rPr>
          <w:rFonts w:hint="eastAsia" w:ascii="宋体" w:hAnsi="宋体" w:eastAsia="宋体" w:cs="宋体"/>
          <w:i w:val="0"/>
          <w:iCs w:val="0"/>
          <w:color w:val="auto"/>
          <w:sz w:val="24"/>
          <w:szCs w:val="24"/>
          <w:highlight w:val="none"/>
          <w:lang w:val="en-US" w:eastAsia="zh-CN"/>
        </w:rPr>
        <w:t>无法正常开启</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文件，采购代理机构有权予以拒绝，并退回</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p>
    <w:p w14:paraId="54A49319">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本项目采用不见面开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方式，无需提供电子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文件U盘。</w:t>
      </w:r>
    </w:p>
    <w:p w14:paraId="0EEE0E8A">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19.响应文件的</w:t>
      </w:r>
      <w:bookmarkEnd w:id="266"/>
      <w:bookmarkEnd w:id="267"/>
      <w:bookmarkEnd w:id="268"/>
      <w:bookmarkEnd w:id="269"/>
      <w:r>
        <w:rPr>
          <w:rFonts w:hint="eastAsia" w:ascii="宋体" w:hAnsi="宋体" w:eastAsia="宋体" w:cs="宋体"/>
          <w:b/>
          <w:bCs/>
          <w:i w:val="0"/>
          <w:iCs w:val="0"/>
          <w:color w:val="auto"/>
          <w:kern w:val="2"/>
          <w:sz w:val="24"/>
          <w:szCs w:val="24"/>
          <w:highlight w:val="none"/>
          <w:lang w:val="en-US" w:eastAsia="zh-CN" w:bidi="ar-SA"/>
        </w:rPr>
        <w:t>递交</w:t>
      </w:r>
      <w:bookmarkEnd w:id="270"/>
      <w:bookmarkEnd w:id="271"/>
      <w:r>
        <w:rPr>
          <w:rFonts w:hint="eastAsia" w:ascii="宋体" w:hAnsi="宋体" w:eastAsia="宋体" w:cs="宋体"/>
          <w:b/>
          <w:bCs/>
          <w:i w:val="0"/>
          <w:iCs w:val="0"/>
          <w:color w:val="auto"/>
          <w:kern w:val="2"/>
          <w:sz w:val="24"/>
          <w:szCs w:val="24"/>
          <w:highlight w:val="none"/>
          <w:lang w:val="en-US" w:eastAsia="zh-CN" w:bidi="ar-SA"/>
        </w:rPr>
        <w:t>（上传）</w:t>
      </w:r>
    </w:p>
    <w:p w14:paraId="4BB721FA">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19.1 供应商应在“</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”规定的响应文件递交截止时间前递交（上传）响应文件。</w:t>
      </w:r>
    </w:p>
    <w:p w14:paraId="1788DDFE">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19.2 供应商递交（上传）响应文件的地点见“</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w:t>
      </w:r>
    </w:p>
    <w:p w14:paraId="74B3F1A5">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19.3供应商应充分评估集中同时递交响应文件带来的网络影响，尽量避开递交响应文件高峰时间，错峰进行递交。供应商递交全部的响应文件后可在政采云平台（项目采购</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投标文件上传）中获取响应文件递交回执单。</w:t>
      </w:r>
    </w:p>
    <w:p w14:paraId="5634F60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19.4 供应商应在供应商客户端中下载未加密且完成签章的响应文件妥善保存，以便启动应急开启程序时使用。</w:t>
      </w:r>
    </w:p>
    <w:p w14:paraId="6F8BD19B">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19.5供应商所递交的响应文件不予退还。</w:t>
      </w:r>
    </w:p>
    <w:p w14:paraId="03DDA0A8">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72" w:name="_Toc155095709"/>
      <w:bookmarkStart w:id="273" w:name="_Toc156490298"/>
      <w:r>
        <w:rPr>
          <w:rFonts w:hint="eastAsia" w:ascii="宋体" w:hAnsi="宋体" w:eastAsia="宋体" w:cs="宋体"/>
          <w:b/>
          <w:bCs/>
          <w:i w:val="0"/>
          <w:iCs w:val="0"/>
          <w:color w:val="auto"/>
          <w:kern w:val="2"/>
          <w:sz w:val="24"/>
          <w:szCs w:val="24"/>
          <w:highlight w:val="none"/>
          <w:lang w:val="en-US" w:eastAsia="zh-CN" w:bidi="ar-SA"/>
        </w:rPr>
        <w:t>20.拒收</w:t>
      </w:r>
      <w:bookmarkEnd w:id="272"/>
      <w:bookmarkEnd w:id="273"/>
    </w:p>
    <w:p w14:paraId="6764A5C0">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20.1超过递交响应文件的截止时间或者不按照本章要求加密的响应文件，交易系统应当拒收。</w:t>
      </w:r>
    </w:p>
    <w:p w14:paraId="03C096FA">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74" w:name="_Toc155095710"/>
      <w:bookmarkStart w:id="275" w:name="_Toc109900492"/>
      <w:bookmarkStart w:id="276" w:name="_Toc109897555"/>
      <w:bookmarkStart w:id="277" w:name="_Toc156490299"/>
      <w:bookmarkStart w:id="278" w:name="_Toc109899654"/>
      <w:bookmarkStart w:id="279" w:name="_Toc109900073"/>
      <w:r>
        <w:rPr>
          <w:rFonts w:hint="eastAsia" w:ascii="宋体" w:hAnsi="宋体" w:eastAsia="宋体" w:cs="宋体"/>
          <w:b/>
          <w:bCs/>
          <w:i w:val="0"/>
          <w:iCs w:val="0"/>
          <w:color w:val="auto"/>
          <w:kern w:val="2"/>
          <w:sz w:val="24"/>
          <w:szCs w:val="24"/>
          <w:highlight w:val="none"/>
          <w:lang w:val="en-US" w:eastAsia="zh-CN" w:bidi="ar-SA"/>
        </w:rPr>
        <w:t>21.响应文件的修改与撤回</w:t>
      </w:r>
      <w:bookmarkEnd w:id="274"/>
      <w:bookmarkEnd w:id="275"/>
      <w:bookmarkEnd w:id="276"/>
      <w:bookmarkEnd w:id="277"/>
      <w:bookmarkEnd w:id="278"/>
      <w:bookmarkEnd w:id="279"/>
    </w:p>
    <w:p w14:paraId="059E1BF2">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zh-CN" w:eastAsia="zh-CN"/>
        </w:rPr>
        <w:t>1</w:t>
      </w:r>
      <w:r>
        <w:rPr>
          <w:rFonts w:hint="eastAsia" w:ascii="宋体" w:hAnsi="宋体" w:eastAsia="宋体" w:cs="宋体"/>
          <w:i w:val="0"/>
          <w:iCs w:val="0"/>
          <w:snapToGrid w:val="0"/>
          <w:color w:val="auto"/>
          <w:sz w:val="24"/>
          <w:szCs w:val="24"/>
          <w:highlight w:val="none"/>
          <w:lang w:val="zh-CN"/>
        </w:rPr>
        <w:t>.1</w:t>
      </w:r>
      <w:bookmarkStart w:id="280" w:name="_Hlk143532466"/>
      <w:r>
        <w:rPr>
          <w:rFonts w:hint="eastAsia" w:ascii="宋体" w:hAnsi="宋体" w:eastAsia="宋体" w:cs="宋体"/>
          <w:i w:val="0"/>
          <w:iCs w:val="0"/>
          <w:snapToGrid w:val="0"/>
          <w:color w:val="auto"/>
          <w:sz w:val="24"/>
          <w:szCs w:val="24"/>
          <w:highlight w:val="none"/>
          <w:lang w:val="zh-CN" w:eastAsia="zh-CN"/>
        </w:rPr>
        <w:t>供应商</w:t>
      </w:r>
      <w:r>
        <w:rPr>
          <w:rFonts w:hint="eastAsia" w:ascii="宋体" w:hAnsi="宋体" w:eastAsia="宋体" w:cs="宋体"/>
          <w:i w:val="0"/>
          <w:iCs w:val="0"/>
          <w:snapToGrid w:val="0"/>
          <w:color w:val="auto"/>
          <w:sz w:val="24"/>
          <w:szCs w:val="24"/>
          <w:highlight w:val="none"/>
          <w:lang w:val="zh-CN"/>
        </w:rPr>
        <w:t>在</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snapToGrid w:val="0"/>
          <w:color w:val="auto"/>
          <w:sz w:val="24"/>
          <w:szCs w:val="24"/>
          <w:highlight w:val="none"/>
          <w:lang w:val="zh-CN"/>
        </w:rPr>
        <w:t>规定的</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递交截止时间之前，可在</w:t>
      </w:r>
      <w:r>
        <w:rPr>
          <w:rFonts w:hint="eastAsia" w:cs="宋体"/>
          <w:i w:val="0"/>
          <w:iCs w:val="0"/>
          <w:snapToGrid w:val="0"/>
          <w:color w:val="auto"/>
          <w:sz w:val="24"/>
          <w:szCs w:val="24"/>
          <w:highlight w:val="none"/>
          <w:lang w:val="en-US" w:eastAsia="zh-CN"/>
        </w:rPr>
        <w:t>新疆</w:t>
      </w:r>
      <w:r>
        <w:rPr>
          <w:rFonts w:hint="eastAsia" w:ascii="宋体" w:hAnsi="宋体" w:eastAsia="宋体" w:cs="宋体"/>
          <w:i w:val="0"/>
          <w:iCs w:val="0"/>
          <w:snapToGrid w:val="0"/>
          <w:color w:val="auto"/>
          <w:sz w:val="24"/>
          <w:szCs w:val="24"/>
          <w:highlight w:val="none"/>
          <w:lang w:val="zh-CN"/>
        </w:rPr>
        <w:t>政府采购电子交易云平台上随时撤回已上传的电子</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，将修改好的电子</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在</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递交截止时间前重新上传到</w:t>
      </w:r>
      <w:r>
        <w:rPr>
          <w:rFonts w:hint="eastAsia" w:cs="宋体"/>
          <w:i w:val="0"/>
          <w:iCs w:val="0"/>
          <w:snapToGrid w:val="0"/>
          <w:color w:val="auto"/>
          <w:sz w:val="24"/>
          <w:szCs w:val="24"/>
          <w:highlight w:val="none"/>
          <w:lang w:val="en-US" w:eastAsia="zh-CN"/>
        </w:rPr>
        <w:t>新疆</w:t>
      </w:r>
      <w:r>
        <w:rPr>
          <w:rFonts w:hint="eastAsia" w:ascii="宋体" w:hAnsi="宋体" w:eastAsia="宋体" w:cs="宋体"/>
          <w:i w:val="0"/>
          <w:iCs w:val="0"/>
          <w:snapToGrid w:val="0"/>
          <w:color w:val="auto"/>
          <w:sz w:val="24"/>
          <w:szCs w:val="24"/>
          <w:highlight w:val="none"/>
          <w:lang w:val="zh-CN"/>
        </w:rPr>
        <w:t>政府采购电子交易云平台的</w:t>
      </w:r>
      <w:r>
        <w:rPr>
          <w:rFonts w:hint="eastAsia" w:ascii="宋体" w:hAnsi="宋体" w:eastAsia="宋体" w:cs="宋体"/>
          <w:i w:val="0"/>
          <w:iCs w:val="0"/>
          <w:snapToGrid w:val="0"/>
          <w:color w:val="auto"/>
          <w:sz w:val="24"/>
          <w:szCs w:val="24"/>
          <w:highlight w:val="none"/>
          <w:lang w:val="zh-CN" w:eastAsia="zh-CN"/>
        </w:rPr>
        <w:t>指</w:t>
      </w:r>
      <w:r>
        <w:rPr>
          <w:rFonts w:hint="eastAsia" w:ascii="宋体" w:hAnsi="宋体" w:eastAsia="宋体" w:cs="宋体"/>
          <w:i w:val="0"/>
          <w:iCs w:val="0"/>
          <w:snapToGrid w:val="0"/>
          <w:color w:val="auto"/>
          <w:sz w:val="24"/>
          <w:szCs w:val="24"/>
          <w:highlight w:val="none"/>
          <w:lang w:val="zh-CN"/>
        </w:rPr>
        <w:t>定位置。</w:t>
      </w:r>
    </w:p>
    <w:bookmarkEnd w:id="280"/>
    <w:p w14:paraId="4F9C167F">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81" w:name="_Toc155185874"/>
      <w:bookmarkStart w:id="282" w:name="_Toc155185973"/>
      <w:bookmarkStart w:id="283" w:name="_Toc158888664"/>
      <w:r>
        <w:rPr>
          <w:rFonts w:hint="eastAsia" w:ascii="宋体" w:hAnsi="宋体" w:eastAsia="宋体" w:cs="宋体"/>
          <w:b/>
          <w:bCs/>
          <w:i w:val="0"/>
          <w:iCs w:val="0"/>
          <w:color w:val="auto"/>
          <w:kern w:val="2"/>
          <w:sz w:val="24"/>
          <w:szCs w:val="24"/>
          <w:highlight w:val="none"/>
          <w:lang w:val="en-US" w:eastAsia="zh-CN" w:bidi="ar-SA"/>
        </w:rPr>
        <w:t>22.实物样品</w:t>
      </w:r>
      <w:bookmarkEnd w:id="281"/>
      <w:bookmarkEnd w:id="282"/>
      <w:bookmarkEnd w:id="283"/>
    </w:p>
    <w:p w14:paraId="3015EA96">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22.1“供应商须知前附表”要求提供样品的，样品的具体要求及评审详见“第三章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采购需求”和“第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 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3F3F84A5">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22.2样品退还：未成交的供应商应</w:t>
      </w:r>
      <w:r>
        <w:rPr>
          <w:rFonts w:hint="eastAsia" w:ascii="宋体" w:hAnsi="宋体" w:eastAsia="宋体" w:cs="宋体"/>
          <w:i w:val="0"/>
          <w:iCs w:val="0"/>
          <w:color w:val="auto"/>
          <w:sz w:val="24"/>
          <w:szCs w:val="24"/>
          <w:highlight w:val="none"/>
          <w:lang w:val="en-US" w:eastAsia="zh-CN"/>
        </w:rPr>
        <w:t>按照</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rPr>
        <w:t>自行联系采购人取回递交样品；成交供应商的样品由采购人进行保管、封存，并作为履约验收的参考（竞争性磋商文件另有规定的从其规定）。</w:t>
      </w:r>
    </w:p>
    <w:p w14:paraId="56366B46">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84" w:name="_Toc155185875"/>
      <w:bookmarkStart w:id="285" w:name="_Toc155185974"/>
      <w:bookmarkStart w:id="286" w:name="_Toc158888665"/>
      <w:r>
        <w:rPr>
          <w:rFonts w:hint="eastAsia" w:ascii="宋体" w:hAnsi="宋体" w:eastAsia="宋体" w:cs="宋体"/>
          <w:b/>
          <w:bCs/>
          <w:i w:val="0"/>
          <w:iCs w:val="0"/>
          <w:color w:val="auto"/>
          <w:kern w:val="2"/>
          <w:sz w:val="24"/>
          <w:szCs w:val="24"/>
          <w:highlight w:val="none"/>
          <w:lang w:val="en-US" w:eastAsia="zh-CN" w:bidi="ar-SA"/>
        </w:rPr>
        <w:t>23.项目演示</w:t>
      </w:r>
      <w:bookmarkEnd w:id="284"/>
      <w:bookmarkEnd w:id="285"/>
      <w:bookmarkEnd w:id="286"/>
    </w:p>
    <w:p w14:paraId="3C483910">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23.1要求供应商进行演示的，演示要求详见“供应商须知前附表”。</w:t>
      </w:r>
    </w:p>
    <w:p w14:paraId="22102C81">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23.2演示的评审详见“第三章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采购需求”和“第四章 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6B46A24D">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87" w:name="_Toc163493615"/>
      <w:bookmarkStart w:id="288" w:name="_Toc22772"/>
      <w:bookmarkStart w:id="289" w:name="_Toc470172689"/>
      <w:bookmarkStart w:id="290" w:name="_Toc109900395"/>
      <w:bookmarkStart w:id="291" w:name="_Toc109899557"/>
      <w:bookmarkStart w:id="292" w:name="_Toc109899976"/>
      <w:bookmarkStart w:id="293" w:name="_Toc46771664"/>
      <w:bookmarkStart w:id="294" w:name="_Toc109897458"/>
      <w:r>
        <w:rPr>
          <w:rFonts w:hint="eastAsia" w:ascii="宋体" w:hAnsi="宋体" w:eastAsia="宋体" w:cs="宋体"/>
          <w:b/>
          <w:bCs/>
          <w:i w:val="0"/>
          <w:iCs w:val="0"/>
          <w:color w:val="auto"/>
          <w:kern w:val="2"/>
          <w:sz w:val="24"/>
          <w:szCs w:val="24"/>
          <w:highlight w:val="none"/>
          <w:lang w:val="en-US" w:eastAsia="zh-CN" w:bidi="ar-SA"/>
        </w:rPr>
        <w:t>（五）</w:t>
      </w:r>
      <w:bookmarkEnd w:id="287"/>
      <w:r>
        <w:rPr>
          <w:rFonts w:hint="eastAsia" w:ascii="宋体" w:hAnsi="宋体" w:eastAsia="宋体" w:cs="宋体"/>
          <w:b/>
          <w:bCs/>
          <w:i w:val="0"/>
          <w:iCs w:val="0"/>
          <w:color w:val="auto"/>
          <w:kern w:val="2"/>
          <w:sz w:val="24"/>
          <w:szCs w:val="24"/>
          <w:highlight w:val="none"/>
          <w:lang w:val="en-US" w:eastAsia="zh-CN" w:bidi="ar-SA"/>
        </w:rPr>
        <w:t>响应文件开启</w:t>
      </w:r>
      <w:bookmarkEnd w:id="288"/>
    </w:p>
    <w:p w14:paraId="750D725B">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5" w:name="_Hlk161704700"/>
      <w:r>
        <w:rPr>
          <w:rFonts w:hint="eastAsia" w:ascii="宋体" w:hAnsi="宋体" w:eastAsia="宋体" w:cs="宋体"/>
          <w:b/>
          <w:bCs/>
          <w:i w:val="0"/>
          <w:iCs w:val="0"/>
          <w:color w:val="auto"/>
          <w:kern w:val="2"/>
          <w:sz w:val="24"/>
          <w:szCs w:val="24"/>
          <w:highlight w:val="none"/>
          <w:lang w:val="en-US" w:eastAsia="zh-CN" w:bidi="ar-SA"/>
        </w:rPr>
        <w:t>24.响应文件开启</w:t>
      </w:r>
    </w:p>
    <w:p w14:paraId="30320CCC">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bCs/>
          <w:i w:val="0"/>
          <w:iCs w:val="0"/>
          <w:color w:val="auto"/>
          <w:sz w:val="24"/>
          <w:szCs w:val="24"/>
          <w:highlight w:val="none"/>
        </w:rPr>
      </w:pPr>
      <w:bookmarkStart w:id="296" w:name="_Toc140132781"/>
      <w:r>
        <w:rPr>
          <w:rFonts w:hint="eastAsia" w:ascii="宋体" w:hAnsi="宋体" w:eastAsia="宋体" w:cs="宋体"/>
          <w:i w:val="0"/>
          <w:iCs w:val="0"/>
          <w:color w:val="auto"/>
          <w:sz w:val="24"/>
          <w:szCs w:val="24"/>
          <w:highlight w:val="none"/>
        </w:rPr>
        <w:t>24.1供应商应按照“</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”中的要求参与开启。</w:t>
      </w:r>
      <w:bookmarkEnd w:id="296"/>
    </w:p>
    <w:p w14:paraId="44C062AD">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7" w:name="_Toc161600316"/>
      <w:bookmarkStart w:id="298" w:name="_Toc140132782"/>
      <w:r>
        <w:rPr>
          <w:rFonts w:hint="eastAsia" w:ascii="宋体" w:hAnsi="宋体" w:eastAsia="宋体" w:cs="宋体"/>
          <w:b/>
          <w:bCs/>
          <w:i w:val="0"/>
          <w:iCs w:val="0"/>
          <w:color w:val="auto"/>
          <w:kern w:val="2"/>
          <w:sz w:val="24"/>
          <w:szCs w:val="24"/>
          <w:highlight w:val="none"/>
          <w:lang w:val="en-US" w:eastAsia="zh-CN" w:bidi="ar-SA"/>
        </w:rPr>
        <w:t>25.开启时间和地点</w:t>
      </w:r>
      <w:bookmarkEnd w:id="297"/>
      <w:bookmarkEnd w:id="298"/>
    </w:p>
    <w:p w14:paraId="19FC62D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25.1开启时间和地点</w:t>
      </w:r>
    </w:p>
    <w:p w14:paraId="74263C6D">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响应文件截止时间前，供应商登录供应商客户端，</w:t>
      </w:r>
      <w:r>
        <w:rPr>
          <w:rFonts w:hint="eastAsia" w:ascii="宋体" w:hAnsi="宋体" w:eastAsia="宋体" w:cs="宋体"/>
          <w:i w:val="0"/>
          <w:iCs w:val="0"/>
          <w:snapToGrid w:val="0"/>
          <w:color w:val="auto"/>
          <w:sz w:val="24"/>
          <w:szCs w:val="24"/>
          <w:highlight w:val="none"/>
          <w:lang w:val="zh-CN"/>
        </w:rPr>
        <w:t>通过供应商客户端进入交易系统</w:t>
      </w:r>
      <w:r>
        <w:rPr>
          <w:rFonts w:hint="eastAsia" w:ascii="宋体" w:hAnsi="宋体" w:eastAsia="宋体" w:cs="宋体"/>
          <w:i w:val="0"/>
          <w:iCs w:val="0"/>
          <w:color w:val="auto"/>
          <w:sz w:val="24"/>
          <w:szCs w:val="24"/>
          <w:highlight w:val="none"/>
        </w:rPr>
        <w:t>“开标大厅”选择所投项目（或采购包）完成项目签到工作。</w:t>
      </w:r>
    </w:p>
    <w:p w14:paraId="485DC310">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（2）在</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规</w:t>
      </w:r>
      <w:r>
        <w:rPr>
          <w:rFonts w:hint="eastAsia" w:ascii="宋体" w:hAnsi="宋体" w:eastAsia="宋体" w:cs="宋体"/>
          <w:i w:val="0"/>
          <w:iCs w:val="0"/>
          <w:color w:val="auto"/>
          <w:sz w:val="24"/>
          <w:szCs w:val="24"/>
          <w:highlight w:val="none"/>
          <w:lang w:val="zh-CN"/>
        </w:rPr>
        <w:t>定的</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lang w:val="zh-CN"/>
        </w:rPr>
        <w:t>响应文件截止时间、开启时间及地点，采购代理机构通过</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zh-CN" w:eastAsia="zh-CN"/>
        </w:rPr>
        <w:t>政府采购电子交易云平台</w:t>
      </w:r>
      <w:r>
        <w:rPr>
          <w:rFonts w:hint="eastAsia" w:ascii="宋体" w:hAnsi="宋体" w:eastAsia="宋体" w:cs="宋体"/>
          <w:i w:val="0"/>
          <w:iCs w:val="0"/>
          <w:color w:val="auto"/>
          <w:kern w:val="2"/>
          <w:sz w:val="24"/>
          <w:szCs w:val="24"/>
          <w:highlight w:val="none"/>
        </w:rPr>
        <w:t>的“政采云远程开标大厅”</w:t>
      </w:r>
      <w:r>
        <w:rPr>
          <w:rFonts w:hint="eastAsia" w:ascii="宋体" w:hAnsi="宋体" w:eastAsia="宋体" w:cs="宋体"/>
          <w:i w:val="0"/>
          <w:iCs w:val="0"/>
          <w:color w:val="auto"/>
          <w:sz w:val="24"/>
          <w:szCs w:val="24"/>
          <w:highlight w:val="none"/>
          <w:lang w:val="zh-CN"/>
        </w:rPr>
        <w:t>组织响应文件开启工作。</w:t>
      </w:r>
    </w:p>
    <w:p w14:paraId="66534CB4">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25.2响应文件开启：</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响应文件截止时间到后，工作人员启动开始解密指令，供应商应当按照“供应商须知前附表”规定及时进行响应文件解密，完成响应文件开启工作。</w:t>
      </w:r>
    </w:p>
    <w:p w14:paraId="77684B06">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25.3规定的时间内，非因</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zh-CN" w:eastAsia="zh-CN"/>
        </w:rPr>
        <w:t>政府采购电子交易云平台</w:t>
      </w:r>
      <w:r>
        <w:rPr>
          <w:rFonts w:hint="eastAsia" w:ascii="宋体" w:hAnsi="宋体" w:eastAsia="宋体" w:cs="宋体"/>
          <w:i w:val="0"/>
          <w:iCs w:val="0"/>
          <w:color w:val="auto"/>
          <w:sz w:val="24"/>
          <w:szCs w:val="24"/>
          <w:highlight w:val="none"/>
        </w:rPr>
        <w:t>原因造成响应文件未解密的，视为供应商撤回响应文件。停止解密后，已解密开启的响应文件不足3家的，应当终止采购活动。</w:t>
      </w:r>
    </w:p>
    <w:p w14:paraId="46075363">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25.4供应商或其授权代表对响应文件开启过程有疑义的，以及认为采购人、采购代理机构相关工作人员有需要回避的情形的，应在开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会议中提出询问或者回避申请。采购人、采购代理机构对</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授权代表提出的询问或者回避申请应当及时处理。</w:t>
      </w:r>
    </w:p>
    <w:p w14:paraId="0486AA50">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w:t>
      </w:r>
      <w:r>
        <w:rPr>
          <w:rFonts w:hint="eastAsia" w:ascii="宋体" w:hAnsi="宋体" w:eastAsia="宋体" w:cs="宋体"/>
          <w:i w:val="0"/>
          <w:iCs w:val="0"/>
          <w:color w:val="auto"/>
          <w:sz w:val="24"/>
          <w:szCs w:val="24"/>
          <w:highlight w:val="none"/>
          <w:lang w:val="en-US" w:eastAsia="zh-CN"/>
        </w:rPr>
        <w:t>5供应商</w:t>
      </w:r>
      <w:r>
        <w:rPr>
          <w:rFonts w:hint="eastAsia" w:ascii="宋体" w:hAnsi="宋体" w:eastAsia="宋体" w:cs="宋体"/>
          <w:i w:val="0"/>
          <w:iCs w:val="0"/>
          <w:color w:val="auto"/>
          <w:sz w:val="24"/>
          <w:szCs w:val="24"/>
          <w:highlight w:val="none"/>
        </w:rPr>
        <w:t>未参加开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的，视同认可开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结果。</w:t>
      </w:r>
    </w:p>
    <w:bookmarkEnd w:id="289"/>
    <w:bookmarkEnd w:id="290"/>
    <w:bookmarkEnd w:id="291"/>
    <w:bookmarkEnd w:id="292"/>
    <w:bookmarkEnd w:id="293"/>
    <w:bookmarkEnd w:id="294"/>
    <w:bookmarkEnd w:id="295"/>
    <w:p w14:paraId="55D243EF">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9" w:name="_Toc155185877"/>
      <w:bookmarkStart w:id="300" w:name="_Toc140132785"/>
      <w:bookmarkStart w:id="301" w:name="_Toc25520"/>
      <w:bookmarkStart w:id="302" w:name="_Toc163492854"/>
      <w:r>
        <w:rPr>
          <w:rFonts w:hint="eastAsia" w:ascii="宋体" w:hAnsi="宋体" w:eastAsia="宋体" w:cs="宋体"/>
          <w:b/>
          <w:bCs/>
          <w:i w:val="0"/>
          <w:iCs w:val="0"/>
          <w:color w:val="auto"/>
          <w:kern w:val="2"/>
          <w:sz w:val="24"/>
          <w:szCs w:val="24"/>
          <w:highlight w:val="none"/>
          <w:lang w:val="en-US" w:eastAsia="zh-CN" w:bidi="ar-SA"/>
        </w:rPr>
        <w:t>（六）资格审查</w:t>
      </w:r>
      <w:bookmarkEnd w:id="299"/>
      <w:bookmarkEnd w:id="300"/>
      <w:bookmarkEnd w:id="301"/>
      <w:bookmarkEnd w:id="302"/>
    </w:p>
    <w:p w14:paraId="2C1B5FD6">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3" w:name="_Toc163492855"/>
      <w:r>
        <w:rPr>
          <w:rFonts w:hint="eastAsia" w:ascii="宋体" w:hAnsi="宋体" w:eastAsia="宋体" w:cs="宋体"/>
          <w:b/>
          <w:bCs/>
          <w:i w:val="0"/>
          <w:iCs w:val="0"/>
          <w:color w:val="auto"/>
          <w:kern w:val="2"/>
          <w:sz w:val="24"/>
          <w:szCs w:val="24"/>
          <w:highlight w:val="none"/>
          <w:lang w:val="en-US" w:eastAsia="zh-CN" w:bidi="ar-SA"/>
        </w:rPr>
        <w:t>26.资格审查及审查主体</w:t>
      </w:r>
      <w:bookmarkEnd w:id="303"/>
    </w:p>
    <w:p w14:paraId="3F6E8AD4">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304" w:name="_Toc140132786"/>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结束后，</w:t>
      </w:r>
      <w:r>
        <w:rPr>
          <w:rFonts w:hint="eastAsia" w:ascii="宋体" w:hAnsi="宋体" w:eastAsia="宋体" w:cs="宋体"/>
          <w:i w:val="0"/>
          <w:iCs w:val="0"/>
          <w:color w:val="auto"/>
          <w:sz w:val="24"/>
          <w:szCs w:val="24"/>
          <w:highlight w:val="none"/>
          <w:lang w:val="en-US" w:eastAsia="zh-CN"/>
        </w:rPr>
        <w:t>磋商小组</w:t>
      </w:r>
      <w:r>
        <w:rPr>
          <w:rFonts w:hint="eastAsia" w:ascii="宋体" w:hAnsi="宋体" w:eastAsia="宋体" w:cs="宋体"/>
          <w:i w:val="0"/>
          <w:iCs w:val="0"/>
          <w:color w:val="auto"/>
          <w:sz w:val="24"/>
          <w:szCs w:val="24"/>
          <w:highlight w:val="none"/>
        </w:rPr>
        <w:t>依据法律法规和本</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文件的规定，依法对</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资格进行审查，以确定</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是否具备</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资格。</w:t>
      </w:r>
      <w:bookmarkEnd w:id="304"/>
    </w:p>
    <w:p w14:paraId="6F7626D3">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305" w:name="_Toc140132787"/>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.2资格审查按“第四章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snapToGrid w:val="0"/>
          <w:color w:val="auto"/>
          <w:sz w:val="24"/>
          <w:szCs w:val="24"/>
          <w:highlight w:val="none"/>
          <w:lang w:val="zh-CN"/>
        </w:rPr>
        <w:t>评审</w:t>
      </w:r>
      <w:r>
        <w:rPr>
          <w:rFonts w:hint="eastAsia" w:ascii="宋体" w:hAnsi="宋体" w:eastAsia="宋体" w:cs="宋体"/>
          <w:i w:val="0"/>
          <w:iCs w:val="0"/>
          <w:snapToGrid w:val="0"/>
          <w:color w:val="auto"/>
          <w:sz w:val="24"/>
          <w:szCs w:val="24"/>
          <w:highlight w:val="none"/>
          <w:lang w:val="en-US" w:eastAsia="zh-CN"/>
        </w:rPr>
        <w:t>方</w:t>
      </w:r>
      <w:r>
        <w:rPr>
          <w:rFonts w:hint="eastAsia" w:ascii="宋体" w:hAnsi="宋体" w:eastAsia="宋体" w:cs="宋体"/>
          <w:i w:val="0"/>
          <w:iCs w:val="0"/>
          <w:snapToGrid w:val="0"/>
          <w:color w:val="auto"/>
          <w:sz w:val="24"/>
          <w:szCs w:val="24"/>
          <w:highlight w:val="none"/>
          <w:lang w:val="zh-CN"/>
        </w:rPr>
        <w:t>法及标准</w:t>
      </w:r>
      <w:r>
        <w:rPr>
          <w:rFonts w:hint="eastAsia" w:ascii="宋体" w:hAnsi="宋体" w:eastAsia="宋体" w:cs="宋体"/>
          <w:i w:val="0"/>
          <w:iCs w:val="0"/>
          <w:color w:val="auto"/>
          <w:sz w:val="24"/>
          <w:szCs w:val="24"/>
          <w:highlight w:val="none"/>
        </w:rPr>
        <w:t>”的规定进行。</w:t>
      </w:r>
      <w:bookmarkEnd w:id="305"/>
    </w:p>
    <w:p w14:paraId="44D43B82">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306" w:name="_Toc140132788"/>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.3资格审查结束后，应及时对资格审查结果进行复核，对资格审查错误进行及时纠正并记录。</w:t>
      </w:r>
      <w:bookmarkEnd w:id="306"/>
    </w:p>
    <w:p w14:paraId="272F167A">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26.4</w:t>
      </w:r>
      <w:r>
        <w:rPr>
          <w:rFonts w:hint="eastAsia" w:ascii="宋体" w:hAnsi="宋体" w:eastAsia="宋体" w:cs="宋体"/>
          <w:i w:val="0"/>
          <w:iCs w:val="0"/>
          <w:color w:val="auto"/>
          <w:sz w:val="24"/>
          <w:szCs w:val="24"/>
          <w:highlight w:val="none"/>
        </w:rPr>
        <w:t>资格审查合格</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不足3家的，不得评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w:t>
      </w:r>
    </w:p>
    <w:p w14:paraId="7A1F7D21">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36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7" w:name="_Toc155185878"/>
      <w:bookmarkStart w:id="308" w:name="_Toc140132789"/>
      <w:bookmarkStart w:id="309" w:name="_Toc163492856"/>
      <w:bookmarkStart w:id="310" w:name="_Toc21173"/>
      <w:r>
        <w:rPr>
          <w:rFonts w:hint="eastAsia" w:ascii="宋体" w:hAnsi="宋体" w:eastAsia="宋体" w:cs="宋体"/>
          <w:b/>
          <w:bCs/>
          <w:i w:val="0"/>
          <w:iCs w:val="0"/>
          <w:color w:val="auto"/>
          <w:kern w:val="2"/>
          <w:sz w:val="24"/>
          <w:szCs w:val="24"/>
          <w:highlight w:val="none"/>
          <w:lang w:val="en-US" w:eastAsia="zh-CN" w:bidi="ar-SA"/>
        </w:rPr>
        <w:t>（七）项目评</w:t>
      </w:r>
      <w:bookmarkEnd w:id="307"/>
      <w:bookmarkEnd w:id="308"/>
      <w:bookmarkEnd w:id="309"/>
      <w:r>
        <w:rPr>
          <w:rFonts w:hint="eastAsia" w:ascii="宋体" w:hAnsi="宋体" w:eastAsia="宋体" w:cs="宋体"/>
          <w:b/>
          <w:bCs/>
          <w:i w:val="0"/>
          <w:iCs w:val="0"/>
          <w:color w:val="auto"/>
          <w:kern w:val="2"/>
          <w:sz w:val="24"/>
          <w:szCs w:val="24"/>
          <w:highlight w:val="none"/>
          <w:lang w:val="en-US" w:eastAsia="zh-CN" w:bidi="ar-SA"/>
        </w:rPr>
        <w:t>审</w:t>
      </w:r>
      <w:bookmarkEnd w:id="310"/>
    </w:p>
    <w:p w14:paraId="4C04DF4E">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27.评审方法、程序及标准</w:t>
      </w:r>
    </w:p>
    <w:p w14:paraId="0B5D7D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评审方法：综合评分法。</w:t>
      </w:r>
    </w:p>
    <w:p w14:paraId="1D78CC98">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eastAsia="zh-CN"/>
        </w:rPr>
        <w:t>综合评分法，是指响应文件满足磋商文件全部实质性要求且按评审因素的量化指标评审得分最高的供应商为成交候选供应商的评审方法。</w:t>
      </w:r>
    </w:p>
    <w:p w14:paraId="51EDFC5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本</w:t>
      </w:r>
      <w:r>
        <w:rPr>
          <w:rFonts w:hint="eastAsia" w:ascii="宋体" w:hAnsi="宋体" w:eastAsia="宋体" w:cs="宋体"/>
          <w:i w:val="0"/>
          <w:iCs w:val="0"/>
          <w:snapToGrid w:val="0"/>
          <w:color w:val="auto"/>
          <w:sz w:val="24"/>
          <w:szCs w:val="24"/>
          <w:highlight w:val="none"/>
          <w:lang w:val="zh-CN"/>
        </w:rPr>
        <w:t>项目评审方法、程序及标准详见“第</w:t>
      </w:r>
      <w:r>
        <w:rPr>
          <w:rFonts w:hint="eastAsia" w:ascii="宋体" w:hAnsi="宋体" w:eastAsia="宋体" w:cs="宋体"/>
          <w:i w:val="0"/>
          <w:iCs w:val="0"/>
          <w:snapToGrid w:val="0"/>
          <w:color w:val="auto"/>
          <w:sz w:val="24"/>
          <w:szCs w:val="24"/>
          <w:highlight w:val="none"/>
          <w:lang w:val="en-US" w:eastAsia="zh-CN"/>
        </w:rPr>
        <w:t>四</w:t>
      </w:r>
      <w:r>
        <w:rPr>
          <w:rFonts w:hint="eastAsia" w:ascii="宋体" w:hAnsi="宋体" w:eastAsia="宋体" w:cs="宋体"/>
          <w:i w:val="0"/>
          <w:iCs w:val="0"/>
          <w:snapToGrid w:val="0"/>
          <w:color w:val="auto"/>
          <w:sz w:val="24"/>
          <w:szCs w:val="24"/>
          <w:highlight w:val="none"/>
          <w:lang w:val="zh-CN"/>
        </w:rPr>
        <w:t>章 评审</w:t>
      </w:r>
      <w:r>
        <w:rPr>
          <w:rFonts w:hint="eastAsia" w:ascii="宋体" w:hAnsi="宋体" w:eastAsia="宋体" w:cs="宋体"/>
          <w:i w:val="0"/>
          <w:iCs w:val="0"/>
          <w:snapToGrid w:val="0"/>
          <w:color w:val="auto"/>
          <w:sz w:val="24"/>
          <w:szCs w:val="24"/>
          <w:highlight w:val="none"/>
          <w:lang w:val="en-US" w:eastAsia="zh-CN"/>
        </w:rPr>
        <w:t>方</w:t>
      </w:r>
      <w:r>
        <w:rPr>
          <w:rFonts w:hint="eastAsia" w:ascii="宋体" w:hAnsi="宋体" w:eastAsia="宋体" w:cs="宋体"/>
          <w:i w:val="0"/>
          <w:iCs w:val="0"/>
          <w:snapToGrid w:val="0"/>
          <w:color w:val="auto"/>
          <w:sz w:val="24"/>
          <w:szCs w:val="24"/>
          <w:highlight w:val="none"/>
          <w:lang w:val="zh-CN"/>
        </w:rPr>
        <w:t>法及标准”。</w:t>
      </w:r>
    </w:p>
    <w:p w14:paraId="42E7A75C">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.2磋商准备：供应商应当按照“</w:t>
      </w:r>
      <w:r>
        <w:rPr>
          <w:rFonts w:hint="eastAsia" w:ascii="宋体" w:hAnsi="宋体" w:eastAsia="宋体" w:cs="宋体"/>
          <w:i w:val="0"/>
          <w:iCs w:val="0"/>
          <w:snapToGrid w:val="0"/>
          <w:color w:val="auto"/>
          <w:sz w:val="24"/>
          <w:szCs w:val="24"/>
          <w:highlight w:val="none"/>
          <w:lang w:val="zh-CN" w:eastAsia="zh-CN"/>
        </w:rPr>
        <w:t>第</w:t>
      </w:r>
      <w:r>
        <w:rPr>
          <w:rFonts w:hint="eastAsia" w:ascii="宋体" w:hAnsi="宋体" w:eastAsia="宋体" w:cs="宋体"/>
          <w:i w:val="0"/>
          <w:iCs w:val="0"/>
          <w:snapToGrid w:val="0"/>
          <w:color w:val="auto"/>
          <w:sz w:val="24"/>
          <w:szCs w:val="24"/>
          <w:highlight w:val="none"/>
          <w:lang w:val="en-US" w:eastAsia="zh-CN"/>
        </w:rPr>
        <w:t>二</w:t>
      </w:r>
      <w:r>
        <w:rPr>
          <w:rFonts w:hint="eastAsia" w:ascii="宋体" w:hAnsi="宋体" w:eastAsia="宋体" w:cs="宋体"/>
          <w:i w:val="0"/>
          <w:iCs w:val="0"/>
          <w:snapToGrid w:val="0"/>
          <w:color w:val="auto"/>
          <w:sz w:val="24"/>
          <w:szCs w:val="24"/>
          <w:highlight w:val="none"/>
          <w:lang w:val="zh-CN" w:eastAsia="zh-CN"/>
        </w:rPr>
        <w:t xml:space="preserve">章 </w:t>
      </w:r>
      <w:r>
        <w:rPr>
          <w:rFonts w:hint="eastAsia" w:ascii="宋体" w:hAnsi="宋体" w:eastAsia="宋体" w:cs="宋体"/>
          <w:i w:val="0"/>
          <w:iCs w:val="0"/>
          <w:snapToGrid w:val="0"/>
          <w:color w:val="auto"/>
          <w:sz w:val="24"/>
          <w:szCs w:val="24"/>
          <w:highlight w:val="none"/>
          <w:lang w:val="en-US" w:eastAsia="zh-CN"/>
        </w:rPr>
        <w:t>供应商须知</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的</w:t>
      </w:r>
      <w:r>
        <w:rPr>
          <w:rFonts w:hint="eastAsia" w:ascii="宋体" w:hAnsi="宋体" w:eastAsia="宋体" w:cs="宋体"/>
          <w:i w:val="0"/>
          <w:iCs w:val="0"/>
          <w:snapToGrid w:val="0"/>
          <w:color w:val="auto"/>
          <w:sz w:val="24"/>
          <w:szCs w:val="24"/>
          <w:highlight w:val="none"/>
          <w:lang w:val="zh-CN"/>
        </w:rPr>
        <w:t>要求提前准备好磋商所需的设备，确保设备稳定可靠、互联网畅通。</w:t>
      </w:r>
      <w:r>
        <w:rPr>
          <w:rFonts w:hint="eastAsia" w:ascii="宋体" w:hAnsi="宋体" w:eastAsia="宋体" w:cs="宋体"/>
          <w:i w:val="0"/>
          <w:iCs w:val="0"/>
          <w:color w:val="auto"/>
          <w:sz w:val="24"/>
          <w:szCs w:val="24"/>
          <w:highlight w:val="none"/>
        </w:rPr>
        <w:t>供应商登录供应商客户端，</w:t>
      </w:r>
      <w:r>
        <w:rPr>
          <w:rFonts w:hint="eastAsia" w:ascii="宋体" w:hAnsi="宋体" w:eastAsia="宋体" w:cs="宋体"/>
          <w:i w:val="0"/>
          <w:iCs w:val="0"/>
          <w:snapToGrid w:val="0"/>
          <w:color w:val="auto"/>
          <w:sz w:val="24"/>
          <w:szCs w:val="24"/>
          <w:highlight w:val="none"/>
          <w:lang w:val="zh-CN"/>
        </w:rPr>
        <w:t>通过供应商客户端进入交易系统“</w:t>
      </w:r>
      <w:r>
        <w:rPr>
          <w:rFonts w:hint="eastAsia" w:ascii="宋体" w:hAnsi="宋体" w:eastAsia="宋体" w:cs="宋体"/>
          <w:i w:val="0"/>
          <w:iCs w:val="0"/>
          <w:snapToGrid w:val="0"/>
          <w:color w:val="auto"/>
          <w:sz w:val="24"/>
          <w:szCs w:val="24"/>
          <w:highlight w:val="none"/>
          <w:lang w:val="en-US" w:eastAsia="zh-CN"/>
        </w:rPr>
        <w:t>开</w:t>
      </w:r>
      <w:r>
        <w:rPr>
          <w:rFonts w:hint="eastAsia" w:ascii="宋体" w:hAnsi="宋体" w:eastAsia="宋体" w:cs="宋体"/>
          <w:i w:val="0"/>
          <w:iCs w:val="0"/>
          <w:snapToGrid w:val="0"/>
          <w:color w:val="auto"/>
          <w:sz w:val="24"/>
          <w:szCs w:val="24"/>
          <w:highlight w:val="none"/>
          <w:lang w:val="zh-CN"/>
        </w:rPr>
        <w:t>标大厅”，准时参加在线磋商，按照工作人员提示进行相关操作。未按上述要求进行的，导致的后果由供应商自行承担。</w:t>
      </w:r>
    </w:p>
    <w:p w14:paraId="21D93F4E">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1" w:name="_Toc163492857"/>
      <w:bookmarkStart w:id="312" w:name="_Toc140132790"/>
      <w:r>
        <w:rPr>
          <w:rFonts w:hint="eastAsia" w:ascii="宋体" w:hAnsi="宋体" w:eastAsia="宋体" w:cs="宋体"/>
          <w:b/>
          <w:bCs/>
          <w:i w:val="0"/>
          <w:iCs w:val="0"/>
          <w:color w:val="auto"/>
          <w:kern w:val="2"/>
          <w:sz w:val="24"/>
          <w:szCs w:val="24"/>
          <w:highlight w:val="none"/>
          <w:lang w:val="en-US" w:eastAsia="zh-CN" w:bidi="ar-SA"/>
        </w:rPr>
        <w:t>28.</w:t>
      </w:r>
      <w:bookmarkEnd w:id="311"/>
      <w:bookmarkEnd w:id="312"/>
      <w:r>
        <w:rPr>
          <w:rFonts w:hint="eastAsia" w:ascii="宋体" w:hAnsi="宋体" w:eastAsia="宋体" w:cs="宋体"/>
          <w:b/>
          <w:bCs/>
          <w:i w:val="0"/>
          <w:iCs w:val="0"/>
          <w:color w:val="auto"/>
          <w:kern w:val="2"/>
          <w:sz w:val="24"/>
          <w:szCs w:val="24"/>
          <w:highlight w:val="none"/>
          <w:lang w:val="en-US" w:eastAsia="zh-CN" w:bidi="ar-SA"/>
        </w:rPr>
        <w:t>磋商小组</w:t>
      </w:r>
    </w:p>
    <w:p w14:paraId="6C1089B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01CAD8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.2 磋商小组成员有下列情形之一的，应当回避：</w:t>
      </w:r>
    </w:p>
    <w:p w14:paraId="0656ACE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（1）参加采购活动前3年内与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存在劳动关系；</w:t>
      </w:r>
    </w:p>
    <w:p w14:paraId="55B6A1B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（2）参加采购活动前3年内担任</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的董事、监事；</w:t>
      </w:r>
    </w:p>
    <w:p w14:paraId="61A1D2B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（3）参加采购活动前3年内是</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的控股股东或者实际控制人；</w:t>
      </w:r>
    </w:p>
    <w:p w14:paraId="2961D582">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的法定代表人或者负责人有夫妻、直系血亲、三代以内旁系血亲或者近姻亲关系；</w:t>
      </w:r>
    </w:p>
    <w:p w14:paraId="20FB9B7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有其他可能影响采购活动公平、公正进行的关系。</w:t>
      </w:r>
    </w:p>
    <w:p w14:paraId="25BEA5A7">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3" w:name="_Toc163492858"/>
      <w:bookmarkStart w:id="314" w:name="_Toc140132791"/>
      <w:r>
        <w:rPr>
          <w:rFonts w:hint="eastAsia" w:ascii="宋体" w:hAnsi="宋体" w:eastAsia="宋体" w:cs="宋体"/>
          <w:b/>
          <w:bCs/>
          <w:i w:val="0"/>
          <w:iCs w:val="0"/>
          <w:color w:val="auto"/>
          <w:kern w:val="2"/>
          <w:sz w:val="24"/>
          <w:szCs w:val="24"/>
          <w:highlight w:val="none"/>
          <w:lang w:val="en-US" w:eastAsia="zh-CN" w:bidi="ar-SA"/>
        </w:rPr>
        <w:t>29.</w:t>
      </w:r>
      <w:bookmarkEnd w:id="313"/>
      <w:bookmarkEnd w:id="314"/>
      <w:r>
        <w:rPr>
          <w:rFonts w:hint="eastAsia" w:ascii="宋体" w:hAnsi="宋体" w:eastAsia="宋体" w:cs="宋体"/>
          <w:b/>
          <w:bCs/>
          <w:i w:val="0"/>
          <w:iCs w:val="0"/>
          <w:color w:val="auto"/>
          <w:kern w:val="2"/>
          <w:sz w:val="24"/>
          <w:szCs w:val="24"/>
          <w:highlight w:val="none"/>
          <w:lang w:val="en-US" w:eastAsia="zh-CN" w:bidi="ar-SA"/>
        </w:rPr>
        <w:t>评审</w:t>
      </w:r>
    </w:p>
    <w:p w14:paraId="418DE4CD">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1 </w:t>
      </w:r>
      <w:r>
        <w:rPr>
          <w:rFonts w:hint="eastAsia" w:ascii="宋体" w:hAnsi="宋体" w:eastAsia="宋体" w:cs="宋体"/>
          <w:i w:val="0"/>
          <w:iCs w:val="0"/>
          <w:color w:val="auto"/>
          <w:sz w:val="24"/>
          <w:szCs w:val="24"/>
          <w:highlight w:val="none"/>
        </w:rPr>
        <w:t>磋商小组按照“第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方法及标准”</w:t>
      </w:r>
      <w:r>
        <w:rPr>
          <w:rFonts w:hint="eastAsia" w:ascii="宋体" w:hAnsi="宋体" w:eastAsia="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rPr>
        <w:t>规定对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文件进行评审。“第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方法及标准”没有规定的方法、评审因素和标准，不作为评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依据。</w:t>
      </w:r>
    </w:p>
    <w:p w14:paraId="1A9007D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2 </w:t>
      </w:r>
      <w:r>
        <w:rPr>
          <w:rFonts w:hint="eastAsia" w:ascii="宋体" w:hAnsi="宋体" w:eastAsia="宋体" w:cs="宋体"/>
          <w:i w:val="0"/>
          <w:iCs w:val="0"/>
          <w:color w:val="auto"/>
          <w:sz w:val="24"/>
          <w:szCs w:val="24"/>
          <w:highlight w:val="none"/>
        </w:rPr>
        <w:t>磋商小组按“</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须知前附表”规定的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候选人数量在评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报告中向采购人推荐</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候选人。</w:t>
      </w:r>
    </w:p>
    <w:p w14:paraId="1E63454C">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29.3 开启之后，直到签订合同止，凡是属于审查、澄清、评价和比较磋商的有关资料以及确定成交意向等，均不得向供应商或者其他与评审无关的人员透露。</w:t>
      </w:r>
    </w:p>
    <w:p w14:paraId="57927CBE">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29.4 在确定成交人之前，供应商试图在响应文件审查、澄清、比较和评审时对</w:t>
      </w:r>
      <w:r>
        <w:rPr>
          <w:rFonts w:hint="eastAsia" w:ascii="宋体" w:hAnsi="宋体" w:eastAsia="宋体" w:cs="宋体"/>
          <w:i w:val="0"/>
          <w:iCs w:val="0"/>
          <w:color w:val="auto"/>
          <w:sz w:val="24"/>
          <w:szCs w:val="24"/>
          <w:highlight w:val="none"/>
        </w:rPr>
        <w:t>磋商小组</w:t>
      </w:r>
      <w:r>
        <w:rPr>
          <w:rFonts w:hint="eastAsia" w:ascii="宋体" w:hAnsi="宋体" w:eastAsia="宋体" w:cs="宋体"/>
          <w:i w:val="0"/>
          <w:iCs w:val="0"/>
          <w:color w:val="auto"/>
          <w:sz w:val="24"/>
          <w:szCs w:val="24"/>
          <w:highlight w:val="none"/>
          <w:lang w:val="en-US" w:eastAsia="zh-CN"/>
        </w:rPr>
        <w:t>、采购人和采购代理机构施加任何影响都可能导致其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i w:val="0"/>
          <w:iCs w:val="0"/>
          <w:color w:val="auto"/>
          <w:sz w:val="24"/>
          <w:szCs w:val="24"/>
          <w:highlight w:val="none"/>
          <w:lang w:val="en-US" w:eastAsia="zh-CN"/>
        </w:rPr>
        <w:t>。</w:t>
      </w:r>
    </w:p>
    <w:p w14:paraId="32A3200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 电子招投标的应急措施</w:t>
      </w:r>
    </w:p>
    <w:p w14:paraId="52525CD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29.5.1电子开启、评审如出现下列原因，导致系统无法正常运行或无法正常评审时，应采取应急措施。</w:t>
      </w:r>
    </w:p>
    <w:p w14:paraId="3D99F562">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（1）系统服务器发生故障，无法访问或无法使用系统；</w:t>
      </w:r>
    </w:p>
    <w:p w14:paraId="518B308A">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（2）系统的软件或数据库出现错误，不能进行正常操作；</w:t>
      </w:r>
    </w:p>
    <w:p w14:paraId="657BA7B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（3）系统发现有安全漏洞，有潜在的泄密危险；</w:t>
      </w:r>
    </w:p>
    <w:p w14:paraId="26B1539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（4）病毒发作或受到外来病毒的攻击；</w:t>
      </w:r>
    </w:p>
    <w:p w14:paraId="6BCA43D9">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（5）出现其他不可抗拒的客观原因造成开评标系统无法正常使用。</w:t>
      </w:r>
    </w:p>
    <w:p w14:paraId="2BA3CE0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出现上述情况时，应对未开启的暂停开启。已在系统内开启、评审的立即停止。采取应急措施时，必须对原有资料及信息作出妥善保密处理。</w:t>
      </w:r>
    </w:p>
    <w:p w14:paraId="791CC4F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29.5.2因系统原因导致供应商均无法解密电子响应文件时，采购代理机构可在开启现场直接导入供应商在递交响应文件截止时间前递交的未加密的电子响应文件进行开启、评审。</w:t>
      </w:r>
    </w:p>
    <w:p w14:paraId="28CD45E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29.6 供应商瑕疵滞后发现的处理规则</w:t>
      </w:r>
    </w:p>
    <w:p w14:paraId="11E85EAD">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5000462B">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5" w:name="_Toc109900401"/>
      <w:bookmarkStart w:id="316" w:name="_Toc6316"/>
      <w:bookmarkStart w:id="317" w:name="_Toc109897464"/>
      <w:bookmarkStart w:id="318" w:name="_Toc46771670"/>
      <w:bookmarkStart w:id="319" w:name="_Toc109899563"/>
      <w:bookmarkStart w:id="320" w:name="_Toc163493616"/>
      <w:bookmarkStart w:id="321" w:name="_Toc470172692"/>
      <w:bookmarkStart w:id="322" w:name="_Toc109899982"/>
      <w:r>
        <w:rPr>
          <w:rFonts w:hint="eastAsia" w:ascii="宋体" w:hAnsi="宋体" w:eastAsia="宋体" w:cs="宋体"/>
          <w:b/>
          <w:bCs/>
          <w:i w:val="0"/>
          <w:iCs w:val="0"/>
          <w:color w:val="auto"/>
          <w:kern w:val="2"/>
          <w:sz w:val="24"/>
          <w:szCs w:val="24"/>
          <w:highlight w:val="none"/>
          <w:lang w:val="en-US" w:eastAsia="zh-CN" w:bidi="ar-SA"/>
        </w:rPr>
        <w:t>（八）成交</w:t>
      </w:r>
      <w:bookmarkEnd w:id="315"/>
      <w:bookmarkEnd w:id="316"/>
      <w:bookmarkEnd w:id="317"/>
      <w:bookmarkEnd w:id="318"/>
      <w:bookmarkEnd w:id="319"/>
      <w:bookmarkEnd w:id="320"/>
      <w:bookmarkEnd w:id="321"/>
      <w:bookmarkEnd w:id="322"/>
    </w:p>
    <w:p w14:paraId="59C81E92">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23" w:name="_Toc48846140"/>
      <w:bookmarkStart w:id="324" w:name="_Toc109900402"/>
      <w:bookmarkStart w:id="325" w:name="_Toc48688820"/>
      <w:bookmarkStart w:id="326" w:name="_Toc52962758"/>
      <w:bookmarkStart w:id="327" w:name="_Toc109899983"/>
      <w:bookmarkStart w:id="328" w:name="_Toc109899564"/>
      <w:bookmarkStart w:id="329" w:name="_Toc52960584"/>
      <w:bookmarkStart w:id="330" w:name="_Toc51674242"/>
      <w:bookmarkStart w:id="331" w:name="_Toc109897465"/>
      <w:bookmarkStart w:id="332" w:name="_Toc46772272"/>
      <w:bookmarkStart w:id="333" w:name="_Toc46771671"/>
      <w:bookmarkStart w:id="334" w:name="_Hlk143533953"/>
      <w:r>
        <w:rPr>
          <w:rFonts w:hint="eastAsia" w:ascii="宋体" w:hAnsi="宋体" w:eastAsia="宋体" w:cs="宋体"/>
          <w:b/>
          <w:bCs/>
          <w:i w:val="0"/>
          <w:iCs w:val="0"/>
          <w:color w:val="auto"/>
          <w:kern w:val="2"/>
          <w:sz w:val="24"/>
          <w:szCs w:val="24"/>
          <w:highlight w:val="none"/>
          <w:lang w:val="en-US" w:eastAsia="zh-CN" w:bidi="ar-SA"/>
        </w:rPr>
        <w:t>30.确定成交供应商</w:t>
      </w:r>
      <w:bookmarkEnd w:id="323"/>
      <w:bookmarkEnd w:id="324"/>
      <w:bookmarkEnd w:id="325"/>
      <w:bookmarkEnd w:id="326"/>
      <w:bookmarkEnd w:id="327"/>
      <w:bookmarkEnd w:id="328"/>
      <w:bookmarkEnd w:id="329"/>
      <w:bookmarkEnd w:id="330"/>
      <w:bookmarkEnd w:id="331"/>
      <w:bookmarkEnd w:id="332"/>
      <w:bookmarkEnd w:id="333"/>
    </w:p>
    <w:p w14:paraId="2A96CF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30</w:t>
      </w:r>
      <w:r>
        <w:rPr>
          <w:rFonts w:hint="eastAsia" w:ascii="宋体" w:hAnsi="宋体" w:eastAsia="宋体" w:cs="宋体"/>
          <w:i w:val="0"/>
          <w:iCs w:val="0"/>
          <w:snapToGrid w:val="0"/>
          <w:color w:val="auto"/>
          <w:sz w:val="24"/>
          <w:szCs w:val="24"/>
          <w:highlight w:val="none"/>
          <w:lang w:val="zh-CN"/>
        </w:rPr>
        <w:t>.1确定成交供应商详见”供应商须知前附表”。</w:t>
      </w:r>
    </w:p>
    <w:p w14:paraId="4B64349D">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31.成交结果公告</w:t>
      </w:r>
    </w:p>
    <w:p w14:paraId="32E98E3A">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snapToGrid w:val="0"/>
          <w:color w:val="auto"/>
          <w:sz w:val="24"/>
          <w:szCs w:val="24"/>
          <w:highlight w:val="none"/>
          <w:lang w:val="en-US" w:eastAsia="zh-CN"/>
        </w:rPr>
        <w:t>31</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color w:val="auto"/>
          <w:sz w:val="24"/>
          <w:szCs w:val="24"/>
          <w:highlight w:val="none"/>
          <w:lang w:bidi="ar"/>
        </w:rPr>
        <w:t>采购人或者采购代理机构应当在成交供应商确定后2个工作日内，在省级以上财政部门指定的政府采购信息发布媒体上公告成交结果，磋商文件</w:t>
      </w:r>
      <w:r>
        <w:rPr>
          <w:rFonts w:hint="eastAsia" w:ascii="宋体" w:hAnsi="宋体" w:eastAsia="宋体" w:cs="宋体"/>
          <w:i w:val="0"/>
          <w:iCs w:val="0"/>
          <w:color w:val="auto"/>
          <w:sz w:val="24"/>
          <w:szCs w:val="24"/>
          <w:highlight w:val="none"/>
          <w:lang w:eastAsia="zh-CN" w:bidi="ar"/>
        </w:rPr>
        <w:t>、</w:t>
      </w: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lang w:val="en-US" w:eastAsia="zh-CN"/>
        </w:rPr>
        <w:t>供应商的评审总得分</w:t>
      </w:r>
      <w:r>
        <w:rPr>
          <w:rFonts w:hint="eastAsia" w:ascii="宋体" w:hAnsi="宋体" w:eastAsia="宋体" w:cs="宋体"/>
          <w:i w:val="0"/>
          <w:iCs w:val="0"/>
          <w:color w:val="auto"/>
          <w:sz w:val="24"/>
          <w:szCs w:val="24"/>
          <w:highlight w:val="none"/>
          <w:lang w:bidi="ar"/>
        </w:rPr>
        <w:t>随成交结果同时公告。</w:t>
      </w:r>
    </w:p>
    <w:p w14:paraId="25AD9E9E">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1</w:t>
      </w:r>
      <w:r>
        <w:rPr>
          <w:rFonts w:hint="eastAsia" w:ascii="宋体" w:hAnsi="宋体" w:eastAsia="宋体" w:cs="宋体"/>
          <w:bCs/>
          <w:i w:val="0"/>
          <w:iCs w:val="0"/>
          <w:color w:val="auto"/>
          <w:sz w:val="24"/>
          <w:szCs w:val="24"/>
          <w:highlight w:val="none"/>
        </w:rPr>
        <w:t>.2</w:t>
      </w: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lang w:val="en-US" w:eastAsia="zh-CN"/>
        </w:rPr>
        <w:t>人</w:t>
      </w:r>
      <w:r>
        <w:rPr>
          <w:rFonts w:hint="eastAsia" w:ascii="宋体" w:hAnsi="宋体" w:eastAsia="宋体" w:cs="宋体"/>
          <w:bCs/>
          <w:i w:val="0"/>
          <w:iCs w:val="0"/>
          <w:color w:val="auto"/>
          <w:sz w:val="24"/>
          <w:szCs w:val="24"/>
          <w:highlight w:val="none"/>
          <w:lang w:eastAsia="zh-CN"/>
        </w:rPr>
        <w:t>为中小企业</w:t>
      </w:r>
      <w:r>
        <w:rPr>
          <w:rFonts w:hint="eastAsia" w:ascii="宋体" w:hAnsi="宋体" w:eastAsia="宋体" w:cs="宋体"/>
          <w:bCs/>
          <w:i w:val="0"/>
          <w:iCs w:val="0"/>
          <w:color w:val="auto"/>
          <w:sz w:val="24"/>
          <w:szCs w:val="24"/>
          <w:highlight w:val="none"/>
          <w:lang w:val="en-US" w:eastAsia="zh-CN"/>
        </w:rPr>
        <w:t>享受中小企业扶持政策的</w:t>
      </w:r>
      <w:r>
        <w:rPr>
          <w:rFonts w:hint="eastAsia" w:ascii="宋体" w:hAnsi="宋体" w:eastAsia="宋体" w:cs="宋体"/>
          <w:bCs/>
          <w:i w:val="0"/>
          <w:iCs w:val="0"/>
          <w:color w:val="auto"/>
          <w:sz w:val="24"/>
          <w:szCs w:val="24"/>
          <w:highlight w:val="none"/>
          <w:lang w:eastAsia="zh-CN"/>
        </w:rPr>
        <w:t>，其“中小企业声明函”随成交结果同时公告。成交</w:t>
      </w:r>
      <w:r>
        <w:rPr>
          <w:rFonts w:hint="eastAsia" w:ascii="宋体" w:hAnsi="宋体" w:eastAsia="宋体" w:cs="宋体"/>
          <w:bCs/>
          <w:i w:val="0"/>
          <w:iCs w:val="0"/>
          <w:color w:val="auto"/>
          <w:sz w:val="24"/>
          <w:szCs w:val="24"/>
          <w:highlight w:val="none"/>
          <w:lang w:val="en-US" w:eastAsia="zh-CN"/>
        </w:rPr>
        <w:t>人</w:t>
      </w:r>
      <w:r>
        <w:rPr>
          <w:rFonts w:hint="eastAsia" w:ascii="宋体" w:hAnsi="宋体" w:eastAsia="宋体" w:cs="宋体"/>
          <w:bCs/>
          <w:i w:val="0"/>
          <w:iCs w:val="0"/>
          <w:color w:val="auto"/>
          <w:sz w:val="24"/>
          <w:szCs w:val="24"/>
          <w:highlight w:val="none"/>
          <w:lang w:eastAsia="zh-CN"/>
        </w:rPr>
        <w:t>为残疾人福利性单位的，其“残疾人福利性单位声明函”随成交结果同时公告。</w:t>
      </w:r>
    </w:p>
    <w:p w14:paraId="4CB6B367">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32.成交通知书</w:t>
      </w:r>
    </w:p>
    <w:p w14:paraId="3F3AC502">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32</w:t>
      </w:r>
      <w:r>
        <w:rPr>
          <w:rFonts w:hint="eastAsia" w:ascii="宋体" w:hAnsi="宋体" w:eastAsia="宋体" w:cs="宋体"/>
          <w:i w:val="0"/>
          <w:iCs w:val="0"/>
          <w:snapToGrid w:val="0"/>
          <w:color w:val="auto"/>
          <w:sz w:val="24"/>
          <w:szCs w:val="24"/>
          <w:highlight w:val="none"/>
          <w:lang w:val="zh-CN"/>
        </w:rPr>
        <w:t>.1发布成交结果公告同时向成交供应商发出成交通知书。成交通知书是合同的组成部分,对成交供应商和采购人具有同等法律效力。</w:t>
      </w:r>
    </w:p>
    <w:p w14:paraId="3E2C2D81">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35" w:name="_Toc2979"/>
      <w:bookmarkStart w:id="336" w:name="_Toc163493617"/>
      <w:r>
        <w:rPr>
          <w:rFonts w:hint="eastAsia" w:ascii="宋体" w:hAnsi="宋体" w:eastAsia="宋体" w:cs="宋体"/>
          <w:b/>
          <w:bCs/>
          <w:i w:val="0"/>
          <w:iCs w:val="0"/>
          <w:color w:val="auto"/>
          <w:kern w:val="2"/>
          <w:sz w:val="24"/>
          <w:szCs w:val="24"/>
          <w:highlight w:val="none"/>
          <w:lang w:val="en-US" w:eastAsia="zh-CN" w:bidi="ar-SA"/>
        </w:rPr>
        <w:t>（九）签订合同</w:t>
      </w:r>
      <w:bookmarkEnd w:id="335"/>
      <w:bookmarkEnd w:id="336"/>
    </w:p>
    <w:p w14:paraId="6F871425">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37" w:name="_Toc109900403"/>
      <w:bookmarkStart w:id="338" w:name="_Toc52960585"/>
      <w:bookmarkStart w:id="339" w:name="_Toc52962759"/>
      <w:bookmarkStart w:id="340" w:name="_Toc48688821"/>
      <w:bookmarkStart w:id="341" w:name="_Toc48846141"/>
      <w:bookmarkStart w:id="342" w:name="_Toc51674243"/>
      <w:bookmarkStart w:id="343" w:name="_Toc46772273"/>
      <w:bookmarkStart w:id="344" w:name="_Toc109899565"/>
      <w:bookmarkStart w:id="345" w:name="_Toc109897466"/>
      <w:bookmarkStart w:id="346" w:name="_Toc46771672"/>
      <w:bookmarkStart w:id="347" w:name="_Toc109899984"/>
      <w:r>
        <w:rPr>
          <w:rFonts w:hint="eastAsia" w:ascii="宋体" w:hAnsi="宋体" w:eastAsia="宋体" w:cs="宋体"/>
          <w:b/>
          <w:bCs/>
          <w:i w:val="0"/>
          <w:iCs w:val="0"/>
          <w:color w:val="auto"/>
          <w:kern w:val="2"/>
          <w:sz w:val="24"/>
          <w:szCs w:val="24"/>
          <w:highlight w:val="none"/>
          <w:lang w:val="en-US" w:eastAsia="zh-CN" w:bidi="ar-SA"/>
        </w:rPr>
        <w:t>33.履约保证金</w:t>
      </w:r>
    </w:p>
    <w:p w14:paraId="2934878C">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.1在签订合同前，成交供应商应按“供应商须知前附表”规定的金额、担保形式和采购人认可的履约担保格式向采购人提交履约保证金。</w:t>
      </w:r>
    </w:p>
    <w:p w14:paraId="429BB4A0">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.2成交供应商不能按本章第3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.1项要求提交履约担保的，视为放弃成交，给采购人造成损失的，成交供应商还应当承担民事责任。</w:t>
      </w:r>
    </w:p>
    <w:p w14:paraId="2B0382DC">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34.签订合同</w:t>
      </w:r>
      <w:bookmarkEnd w:id="337"/>
      <w:bookmarkEnd w:id="338"/>
      <w:bookmarkEnd w:id="339"/>
      <w:bookmarkEnd w:id="340"/>
      <w:bookmarkEnd w:id="341"/>
      <w:bookmarkEnd w:id="342"/>
      <w:bookmarkEnd w:id="343"/>
      <w:bookmarkEnd w:id="344"/>
      <w:bookmarkEnd w:id="345"/>
      <w:bookmarkEnd w:id="346"/>
      <w:bookmarkEnd w:id="347"/>
    </w:p>
    <w:p w14:paraId="77507EBB">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sz w:val="24"/>
          <w:szCs w:val="24"/>
          <w:highlight w:val="none"/>
          <w:lang w:val="zh-CN"/>
        </w:rPr>
        <w:t>3</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.1采购人与成交供应商应当在成交通知书发出之日起</w:t>
      </w:r>
      <w:r>
        <w:rPr>
          <w:rFonts w:hint="eastAsia" w:ascii="宋体" w:hAnsi="宋体" w:eastAsia="宋体" w:cs="宋体"/>
          <w:i w:val="0"/>
          <w:iCs w:val="0"/>
          <w:snapToGrid w:val="0"/>
          <w:color w:val="auto"/>
          <w:sz w:val="24"/>
          <w:szCs w:val="24"/>
          <w:highlight w:val="none"/>
          <w:lang w:val="en-US" w:eastAsia="zh-CN"/>
        </w:rPr>
        <w:t>25</w:t>
      </w:r>
      <w:r>
        <w:rPr>
          <w:rFonts w:hint="eastAsia" w:ascii="宋体" w:hAnsi="宋体" w:eastAsia="宋体" w:cs="宋体"/>
          <w:i w:val="0"/>
          <w:iCs w:val="0"/>
          <w:snapToGrid w:val="0"/>
          <w:color w:val="auto"/>
          <w:sz w:val="24"/>
          <w:szCs w:val="24"/>
          <w:highlight w:val="none"/>
          <w:lang w:val="zh-CN"/>
        </w:rPr>
        <w:t>日内，按照磋商文件确定的合同文本以及采购标的、规格型号、采购金额、采购数量、技术和服务要求等事项签订政府采购合同。</w:t>
      </w:r>
      <w:r>
        <w:rPr>
          <w:rFonts w:hint="eastAsia" w:ascii="宋体" w:hAnsi="宋体" w:eastAsia="宋体" w:cs="宋体"/>
          <w:i w:val="0"/>
          <w:iCs w:val="0"/>
          <w:color w:val="auto"/>
          <w:sz w:val="24"/>
          <w:szCs w:val="24"/>
          <w:highlight w:val="none"/>
        </w:rPr>
        <w:t>采购人因不可抗力原因迟延签订合同的，应当自不可抗力事由消除之日起7日内完成合同签订事宜。所签订的合同不得对</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文件和</w:t>
      </w:r>
      <w:r>
        <w:rPr>
          <w:rFonts w:hint="eastAsia" w:ascii="宋体" w:hAnsi="宋体" w:eastAsia="宋体" w:cs="宋体"/>
          <w:i w:val="0"/>
          <w:iCs w:val="0"/>
          <w:color w:val="auto"/>
          <w:sz w:val="24"/>
          <w:szCs w:val="24"/>
          <w:highlight w:val="none"/>
          <w:lang w:val="en-US" w:eastAsia="zh-CN"/>
        </w:rPr>
        <w:t>成交供应商响应</w:t>
      </w:r>
      <w:r>
        <w:rPr>
          <w:rFonts w:hint="eastAsia" w:ascii="宋体" w:hAnsi="宋体" w:eastAsia="宋体" w:cs="宋体"/>
          <w:i w:val="0"/>
          <w:iCs w:val="0"/>
          <w:color w:val="auto"/>
          <w:sz w:val="24"/>
          <w:szCs w:val="24"/>
          <w:highlight w:val="none"/>
        </w:rPr>
        <w:t>文件作实质性修改。</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人无正当理由拒签合同，给采购人造成损失的，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人还应当承担民事责任。</w:t>
      </w:r>
    </w:p>
    <w:p w14:paraId="631AC2E0">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zh-CN"/>
        </w:rPr>
        <w:t>成交供应商拒绝签订政府采购合同的，采购人可以</w:t>
      </w:r>
      <w:r>
        <w:rPr>
          <w:rFonts w:hint="eastAsia" w:ascii="宋体" w:hAnsi="宋体" w:eastAsia="宋体" w:cs="宋体"/>
          <w:i w:val="0"/>
          <w:iCs w:val="0"/>
          <w:color w:val="auto"/>
          <w:sz w:val="24"/>
          <w:szCs w:val="24"/>
          <w:highlight w:val="none"/>
          <w:lang w:val="en-US" w:eastAsia="zh-CN"/>
        </w:rPr>
        <w:t>按照</w:t>
      </w:r>
      <w:r>
        <w:rPr>
          <w:rFonts w:hint="eastAsia" w:ascii="宋体" w:hAnsi="宋体" w:eastAsia="宋体" w:cs="宋体"/>
          <w:i w:val="0"/>
          <w:iCs w:val="0"/>
          <w:color w:val="auto"/>
          <w:sz w:val="24"/>
          <w:szCs w:val="24"/>
          <w:highlight w:val="none"/>
          <w:lang w:val="zh-CN"/>
        </w:rPr>
        <w:t>《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116F4558">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bCs/>
          <w:i w:val="0"/>
          <w:iCs w:val="0"/>
          <w:color w:val="auto"/>
          <w:sz w:val="24"/>
          <w:szCs w:val="24"/>
          <w:highlight w:val="none"/>
        </w:rPr>
        <w:t>.3</w:t>
      </w:r>
      <w:r>
        <w:rPr>
          <w:rFonts w:hint="eastAsia" w:ascii="宋体" w:hAnsi="宋体" w:eastAsia="宋体" w:cs="宋体"/>
          <w:i w:val="0"/>
          <w:iCs w:val="0"/>
          <w:color w:val="auto"/>
          <w:sz w:val="24"/>
          <w:szCs w:val="24"/>
          <w:highlight w:val="none"/>
        </w:rPr>
        <w:t>采购人和</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供应商不得向对方提出任何不合理的要求，作为签订合同的条件，双方不得私下订立背离合同实质性内容的协议。</w:t>
      </w:r>
    </w:p>
    <w:p w14:paraId="1585C775">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34.4联合体成交的，联合体各方应当共同与采购人签订合同，就采购合同约定的事项向采购人承担连带责任。</w:t>
      </w:r>
    </w:p>
    <w:p w14:paraId="53A85602">
      <w:pPr>
        <w:pStyle w:val="35"/>
        <w:keepNext w:val="0"/>
        <w:keepLines w:val="0"/>
        <w:pageBreakBefore w:val="0"/>
        <w:widowControl w:val="0"/>
        <w:kinsoku/>
        <w:overflowPunct/>
        <w:topLinePunct w:val="0"/>
        <w:bidi w:val="0"/>
        <w:ind w:firstLine="48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34.5本项目的非主体、非关键性工作是否允许分包，见“供应商须知前附表”。</w:t>
      </w:r>
      <w:r>
        <w:rPr>
          <w:rFonts w:hint="eastAsia" w:ascii="宋体" w:hAnsi="宋体" w:eastAsia="宋体" w:cs="宋体"/>
          <w:i w:val="0"/>
          <w:iCs w:val="0"/>
          <w:color w:val="auto"/>
          <w:sz w:val="24"/>
          <w:szCs w:val="24"/>
          <w:highlight w:val="none"/>
        </w:rPr>
        <w:t>供应商未遵守竞争性磋商文件分包规定的，其</w:t>
      </w:r>
      <w:r>
        <w:rPr>
          <w:rFonts w:hint="eastAsia" w:ascii="宋体" w:hAnsi="宋体" w:eastAsia="宋体" w:cs="宋体"/>
          <w:b/>
          <w:bCs/>
          <w:i w:val="0"/>
          <w:iCs w:val="0"/>
          <w:color w:val="auto"/>
          <w:sz w:val="24"/>
          <w:szCs w:val="24"/>
          <w:highlight w:val="none"/>
        </w:rPr>
        <w:t>响应无效</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宋体" w:hAnsi="宋体" w:eastAsia="宋体" w:cs="宋体"/>
          <w:b/>
          <w:bCs/>
          <w:i w:val="0"/>
          <w:iCs w:val="0"/>
          <w:color w:val="auto"/>
          <w:sz w:val="24"/>
          <w:szCs w:val="24"/>
          <w:highlight w:val="none"/>
          <w:lang w:val="en-US" w:eastAsia="zh-CN"/>
        </w:rPr>
        <w:t>成交无效</w:t>
      </w:r>
      <w:r>
        <w:rPr>
          <w:rFonts w:hint="eastAsia" w:ascii="宋体" w:hAnsi="宋体" w:eastAsia="宋体" w:cs="宋体"/>
          <w:i w:val="0"/>
          <w:iCs w:val="0"/>
          <w:color w:val="auto"/>
          <w:sz w:val="24"/>
          <w:szCs w:val="24"/>
          <w:highlight w:val="none"/>
          <w:lang w:val="en-US" w:eastAsia="zh-CN"/>
        </w:rPr>
        <w:t>。成交供应商就采购项目和分包项目向采购人负责，分包供应商就分包项目承担责任。</w:t>
      </w:r>
      <w:r>
        <w:rPr>
          <w:rFonts w:hint="eastAsia" w:ascii="宋体" w:hAnsi="宋体" w:eastAsia="宋体" w:cs="宋体"/>
          <w:b/>
          <w:bCs/>
          <w:i w:val="0"/>
          <w:iCs w:val="0"/>
          <w:color w:val="auto"/>
          <w:sz w:val="24"/>
          <w:szCs w:val="24"/>
          <w:highlight w:val="none"/>
          <w:lang w:val="en-US" w:eastAsia="zh-CN"/>
        </w:rPr>
        <w:t>政府采购合同不能转包。</w:t>
      </w:r>
    </w:p>
    <w:p w14:paraId="13468534">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采购合同履行中，采购人需追加与合同标的相同的</w:t>
      </w:r>
      <w:r>
        <w:rPr>
          <w:rFonts w:hint="eastAsia" w:ascii="宋体" w:hAnsi="宋体" w:eastAsia="宋体" w:cs="宋体"/>
          <w:i w:val="0"/>
          <w:iCs w:val="0"/>
          <w:color w:val="auto"/>
          <w:sz w:val="24"/>
          <w:szCs w:val="24"/>
          <w:highlight w:val="none"/>
          <w:lang w:val="en-US" w:eastAsia="zh-CN"/>
        </w:rPr>
        <w:t>货物、工程或者服务</w:t>
      </w:r>
      <w:r>
        <w:rPr>
          <w:rFonts w:hint="eastAsia" w:ascii="宋体" w:hAnsi="宋体" w:eastAsia="宋体" w:cs="宋体"/>
          <w:i w:val="0"/>
          <w:iCs w:val="0"/>
          <w:color w:val="auto"/>
          <w:sz w:val="24"/>
          <w:szCs w:val="24"/>
          <w:highlight w:val="none"/>
        </w:rPr>
        <w:t>的，在不改变合同其他条款的前提下，可以与成交供应商协商签订补充合同，但所有补充合同的采购金额不得超过原合同采购金额的百分之十。</w:t>
      </w:r>
    </w:p>
    <w:p w14:paraId="43E904D8">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34.7采购人应于签订合同之日起2个工作日内在政采云平台备案公示。</w:t>
      </w:r>
    </w:p>
    <w:bookmarkEnd w:id="334"/>
    <w:p w14:paraId="4252B453">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48" w:name="_Toc10843"/>
      <w:bookmarkStart w:id="349" w:name="_Toc109900404"/>
      <w:bookmarkStart w:id="350" w:name="_Toc109897467"/>
      <w:bookmarkStart w:id="351" w:name="_Toc109899985"/>
      <w:bookmarkStart w:id="352" w:name="_Toc163493618"/>
      <w:bookmarkStart w:id="353" w:name="_Toc46771673"/>
      <w:bookmarkStart w:id="354" w:name="_Toc109899566"/>
      <w:bookmarkStart w:id="355" w:name="_Toc470172693"/>
      <w:r>
        <w:rPr>
          <w:rFonts w:hint="eastAsia" w:ascii="宋体" w:hAnsi="宋体" w:eastAsia="宋体" w:cs="宋体"/>
          <w:b/>
          <w:bCs/>
          <w:i w:val="0"/>
          <w:iCs w:val="0"/>
          <w:color w:val="auto"/>
          <w:kern w:val="2"/>
          <w:sz w:val="24"/>
          <w:szCs w:val="24"/>
          <w:highlight w:val="none"/>
          <w:lang w:val="en-US" w:eastAsia="zh-CN" w:bidi="ar-SA"/>
        </w:rPr>
        <w:t>（十）质疑和投诉</w:t>
      </w:r>
      <w:bookmarkEnd w:id="348"/>
      <w:bookmarkEnd w:id="349"/>
      <w:bookmarkEnd w:id="350"/>
      <w:bookmarkEnd w:id="351"/>
      <w:bookmarkEnd w:id="352"/>
      <w:bookmarkEnd w:id="353"/>
      <w:bookmarkEnd w:id="354"/>
    </w:p>
    <w:p w14:paraId="000ACFE7">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56" w:name="_Toc48846143"/>
      <w:bookmarkStart w:id="357" w:name="_Toc109900405"/>
      <w:bookmarkStart w:id="358" w:name="_Toc109899986"/>
      <w:bookmarkStart w:id="359" w:name="_Toc46772275"/>
      <w:bookmarkStart w:id="360" w:name="_Toc46771674"/>
      <w:bookmarkStart w:id="361" w:name="_Toc48688823"/>
      <w:bookmarkStart w:id="362" w:name="_Toc52960587"/>
      <w:bookmarkStart w:id="363" w:name="_Toc51674245"/>
      <w:bookmarkStart w:id="364" w:name="_Toc52962761"/>
      <w:bookmarkStart w:id="365" w:name="_Toc109897468"/>
      <w:bookmarkStart w:id="366" w:name="_Toc109899567"/>
      <w:r>
        <w:rPr>
          <w:rFonts w:hint="eastAsia" w:ascii="宋体" w:hAnsi="宋体" w:eastAsia="宋体" w:cs="宋体"/>
          <w:b/>
          <w:bCs/>
          <w:i w:val="0"/>
          <w:iCs w:val="0"/>
          <w:color w:val="auto"/>
          <w:kern w:val="2"/>
          <w:sz w:val="24"/>
          <w:szCs w:val="24"/>
          <w:highlight w:val="none"/>
          <w:lang w:val="en-US" w:eastAsia="zh-CN" w:bidi="ar-SA"/>
        </w:rPr>
        <w:t>35.质疑</w:t>
      </w:r>
      <w:bookmarkEnd w:id="356"/>
      <w:bookmarkEnd w:id="357"/>
      <w:bookmarkEnd w:id="358"/>
      <w:bookmarkEnd w:id="359"/>
      <w:bookmarkEnd w:id="360"/>
      <w:bookmarkEnd w:id="361"/>
      <w:bookmarkEnd w:id="362"/>
      <w:bookmarkEnd w:id="363"/>
      <w:bookmarkEnd w:id="364"/>
      <w:bookmarkEnd w:id="365"/>
      <w:bookmarkEnd w:id="366"/>
    </w:p>
    <w:bookmarkEnd w:id="105"/>
    <w:bookmarkEnd w:id="355"/>
    <w:p w14:paraId="522F842D">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bookmarkStart w:id="367" w:name="_Toc52962762"/>
      <w:bookmarkStart w:id="368" w:name="_Toc109899987"/>
      <w:bookmarkStart w:id="369" w:name="_Toc46771675"/>
      <w:bookmarkStart w:id="370" w:name="_Toc46772276"/>
      <w:bookmarkStart w:id="371" w:name="_Toc48846144"/>
      <w:bookmarkStart w:id="372" w:name="_Toc109899568"/>
      <w:bookmarkStart w:id="373" w:name="_Toc51674246"/>
      <w:bookmarkStart w:id="374" w:name="_Toc48688824"/>
      <w:bookmarkStart w:id="375" w:name="_Toc52960588"/>
      <w:bookmarkStart w:id="376" w:name="_Toc109897469"/>
      <w:bookmarkStart w:id="377" w:name="_Toc109900406"/>
      <w:bookmarkStart w:id="378" w:name="_Toc163493619"/>
      <w:bookmarkStart w:id="379" w:name="_Toc109900408"/>
      <w:bookmarkStart w:id="380" w:name="_Toc109899989"/>
      <w:bookmarkStart w:id="381" w:name="_Toc109897471"/>
      <w:bookmarkStart w:id="382" w:name="_Hlk60570485"/>
      <w:bookmarkStart w:id="383" w:name="_Toc109899570"/>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.1供应商认为</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过程、成交结果使自己的权益受到损害的，可以在知道或者应知其权益受到损害之日起7个工作日内，以书面形式向采购人、采购代理机构提出质疑</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详见“供应商须知前附表”</w:t>
      </w:r>
      <w:r>
        <w:rPr>
          <w:rFonts w:hint="eastAsia" w:ascii="宋体" w:hAnsi="宋体" w:eastAsia="宋体" w:cs="宋体"/>
          <w:i w:val="0"/>
          <w:iCs w:val="0"/>
          <w:color w:val="auto"/>
          <w:sz w:val="24"/>
          <w:szCs w:val="24"/>
          <w:highlight w:val="none"/>
        </w:rPr>
        <w:t>。供应商在法定质疑期内一次性提出针对同一采购程序环节的质疑。</w:t>
      </w:r>
    </w:p>
    <w:p w14:paraId="2723D96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.2提出质疑的供应商（以下简称质疑供应商）应当是参与所质疑项目采购活动的供应商。</w:t>
      </w:r>
    </w:p>
    <w:p w14:paraId="09DCB02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35.3</w:t>
      </w:r>
      <w:r>
        <w:rPr>
          <w:rFonts w:hint="eastAsia" w:ascii="宋体" w:hAnsi="宋体" w:eastAsia="宋体" w:cs="宋体"/>
          <w:i w:val="0"/>
          <w:iCs w:val="0"/>
          <w:color w:val="auto"/>
          <w:sz w:val="24"/>
          <w:szCs w:val="24"/>
          <w:highlight w:val="none"/>
        </w:rPr>
        <w:t>潜在供应商已依法获取其可质疑的</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文件的，可以对该文件提出质疑。对</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文件提出质疑的，应当在获取</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文件或者</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文件公告期限届满之日起7个工作日内提出。</w:t>
      </w:r>
    </w:p>
    <w:p w14:paraId="331319BB">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35.4</w:t>
      </w:r>
      <w:r>
        <w:rPr>
          <w:rFonts w:hint="eastAsia" w:ascii="宋体" w:hAnsi="宋体" w:eastAsia="宋体" w:cs="宋体"/>
          <w:i w:val="0"/>
          <w:iCs w:val="0"/>
          <w:color w:val="auto"/>
          <w:sz w:val="24"/>
          <w:szCs w:val="24"/>
          <w:highlight w:val="none"/>
        </w:rPr>
        <w:t>供应商提出质疑应当提交质疑函和必要的证明材料。质疑函应当包括下列内容：</w:t>
      </w:r>
    </w:p>
    <w:p w14:paraId="5E0912E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）供应商的姓名或者名称、地址、邮编、联系人及联系电话；</w:t>
      </w:r>
    </w:p>
    <w:p w14:paraId="649F7F4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）质疑项目的名称、</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p>
    <w:p w14:paraId="23F85E7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）具体、明确的质疑事项和与质疑事项相关的请求；</w:t>
      </w:r>
    </w:p>
    <w:p w14:paraId="1C83B1C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）事实依据；</w:t>
      </w:r>
    </w:p>
    <w:p w14:paraId="67C848AB">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）必要的法律依据；</w:t>
      </w:r>
    </w:p>
    <w:p w14:paraId="6BCFEC3E">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）提出质疑的日期。</w:t>
      </w:r>
    </w:p>
    <w:p w14:paraId="2623B52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供应商为自然人的，应当由本人签字；供应商为法人或者其他组织的，应当由法定代表人、主要负责人，或者其授权代表签字或者盖章，并加盖公章。</w:t>
      </w:r>
    </w:p>
    <w:p w14:paraId="5F1352A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.5质疑函不符合上述要求的，采购人或代理机构应书面告知具体事项，质疑人应当按要求进行修改或补充，并在质疑有效期限内提交。</w:t>
      </w:r>
    </w:p>
    <w:p w14:paraId="76BD2AC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rPr>
        <w:t>3</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6供应商</w:t>
      </w:r>
      <w:r>
        <w:rPr>
          <w:rFonts w:hint="eastAsia" w:ascii="宋体" w:hAnsi="宋体" w:eastAsia="宋体" w:cs="宋体"/>
          <w:i w:val="0"/>
          <w:iCs w:val="0"/>
          <w:snapToGrid w:val="0"/>
          <w:color w:val="auto"/>
          <w:sz w:val="24"/>
          <w:szCs w:val="24"/>
          <w:highlight w:val="none"/>
        </w:rPr>
        <w:t>进行虚假和恶意</w:t>
      </w:r>
      <w:r>
        <w:rPr>
          <w:rFonts w:hint="eastAsia" w:ascii="宋体" w:hAnsi="宋体" w:eastAsia="宋体" w:cs="宋体"/>
          <w:i w:val="0"/>
          <w:iCs w:val="0"/>
          <w:snapToGrid w:val="0"/>
          <w:color w:val="auto"/>
          <w:sz w:val="24"/>
          <w:szCs w:val="24"/>
          <w:highlight w:val="none"/>
          <w:lang w:val="en-US" w:eastAsia="zh-CN"/>
        </w:rPr>
        <w:t>质疑投诉</w:t>
      </w:r>
      <w:r>
        <w:rPr>
          <w:rFonts w:hint="eastAsia" w:ascii="宋体" w:hAnsi="宋体" w:eastAsia="宋体" w:cs="宋体"/>
          <w:i w:val="0"/>
          <w:iCs w:val="0"/>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06C8AD2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35.7</w:t>
      </w:r>
      <w:r>
        <w:rPr>
          <w:rFonts w:hint="eastAsia" w:ascii="宋体" w:hAnsi="宋体" w:eastAsia="宋体" w:cs="宋体"/>
          <w:i w:val="0"/>
          <w:iCs w:val="0"/>
          <w:color w:val="auto"/>
          <w:sz w:val="24"/>
          <w:szCs w:val="24"/>
          <w:highlight w:val="none"/>
        </w:rPr>
        <w:t>质疑函</w:t>
      </w:r>
      <w:r>
        <w:rPr>
          <w:rFonts w:hint="eastAsia" w:ascii="宋体" w:hAnsi="宋体" w:eastAsia="宋体" w:cs="宋体"/>
          <w:i w:val="0"/>
          <w:iCs w:val="0"/>
          <w:color w:val="auto"/>
          <w:sz w:val="24"/>
          <w:szCs w:val="24"/>
          <w:highlight w:val="none"/>
          <w:lang w:val="en-US" w:eastAsia="zh-CN"/>
        </w:rPr>
        <w:t>应当使用中文，并采用财政部门制定的范本。</w:t>
      </w:r>
    </w:p>
    <w:p w14:paraId="03C1D514">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36.质疑答复</w:t>
      </w:r>
      <w:bookmarkEnd w:id="367"/>
      <w:bookmarkEnd w:id="368"/>
      <w:bookmarkEnd w:id="369"/>
      <w:bookmarkEnd w:id="370"/>
      <w:bookmarkEnd w:id="371"/>
      <w:bookmarkEnd w:id="372"/>
      <w:bookmarkEnd w:id="373"/>
      <w:bookmarkEnd w:id="374"/>
      <w:bookmarkEnd w:id="375"/>
      <w:bookmarkEnd w:id="376"/>
      <w:bookmarkEnd w:id="377"/>
    </w:p>
    <w:p w14:paraId="4E8601BA">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bookmarkStart w:id="384" w:name="_Toc51674247"/>
      <w:bookmarkStart w:id="385" w:name="_Toc48688825"/>
      <w:bookmarkStart w:id="386" w:name="_Toc109899569"/>
      <w:bookmarkStart w:id="387" w:name="_Toc109900407"/>
      <w:bookmarkStart w:id="388" w:name="_Toc52960589"/>
      <w:bookmarkStart w:id="389" w:name="_Toc109899988"/>
      <w:bookmarkStart w:id="390" w:name="_Toc46771676"/>
      <w:bookmarkStart w:id="391" w:name="_Toc109897470"/>
      <w:bookmarkStart w:id="392" w:name="_Toc48846145"/>
      <w:bookmarkStart w:id="393" w:name="_Toc46772277"/>
      <w:bookmarkStart w:id="394" w:name="_Toc52962763"/>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5D718B09">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36.2供应商对评审过程、成交结果提出质疑的，采购人、采购代理机构可以组织原竞争性磋商小组协助答复质疑。</w:t>
      </w:r>
    </w:p>
    <w:p w14:paraId="093BA48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质疑答复应当包括下列内容：</w:t>
      </w:r>
    </w:p>
    <w:p w14:paraId="4A69D1BC">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zh-CN" w:eastAsia="zh-CN"/>
        </w:rPr>
        <w:t>）质疑供应商的姓名或者名称；</w:t>
      </w:r>
    </w:p>
    <w:p w14:paraId="5DAA627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）收到质疑函的日期、质疑项目名称及</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lang w:val="zh-CN" w:eastAsia="zh-CN"/>
        </w:rPr>
        <w:t>编号/包号；</w:t>
      </w:r>
    </w:p>
    <w:p w14:paraId="57B0732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zh-CN" w:eastAsia="zh-CN"/>
        </w:rPr>
        <w:t>）质疑事项、质疑答复的具体内容、事实依据和法律依据；</w:t>
      </w:r>
    </w:p>
    <w:p w14:paraId="797EB669">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）告知质疑供应商依法投诉的权利；</w:t>
      </w:r>
    </w:p>
    <w:p w14:paraId="7BAD87B4">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zh-CN" w:eastAsia="zh-CN"/>
        </w:rPr>
        <w:t>）质疑答复人名称；</w:t>
      </w:r>
    </w:p>
    <w:p w14:paraId="0A463F5C">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zh-CN" w:eastAsia="zh-CN"/>
        </w:rPr>
        <w:t>）答复质疑的日期。</w:t>
      </w:r>
    </w:p>
    <w:p w14:paraId="68DAC335">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36.3</w:t>
      </w:r>
      <w:r>
        <w:rPr>
          <w:rFonts w:hint="eastAsia" w:ascii="宋体" w:hAnsi="宋体" w:eastAsia="宋体" w:cs="宋体"/>
          <w:i w:val="0"/>
          <w:iCs w:val="0"/>
          <w:color w:val="auto"/>
          <w:sz w:val="24"/>
          <w:szCs w:val="24"/>
          <w:highlight w:val="none"/>
          <w:lang w:val="zh-CN" w:eastAsia="zh-CN"/>
        </w:rPr>
        <w:t>质疑答复的内容不得涉及商业秘密。</w:t>
      </w:r>
    </w:p>
    <w:p w14:paraId="668690D7">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37.投诉</w:t>
      </w:r>
      <w:bookmarkEnd w:id="384"/>
      <w:bookmarkEnd w:id="385"/>
      <w:bookmarkEnd w:id="386"/>
      <w:bookmarkEnd w:id="387"/>
      <w:bookmarkEnd w:id="388"/>
      <w:bookmarkEnd w:id="389"/>
      <w:bookmarkEnd w:id="390"/>
      <w:bookmarkEnd w:id="391"/>
      <w:bookmarkEnd w:id="392"/>
      <w:bookmarkEnd w:id="393"/>
      <w:bookmarkEnd w:id="394"/>
    </w:p>
    <w:p w14:paraId="34C5EAA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37.1</w:t>
      </w:r>
      <w:r>
        <w:rPr>
          <w:rFonts w:hint="eastAsia" w:ascii="宋体" w:hAnsi="宋体" w:eastAsia="宋体" w:cs="宋体"/>
          <w:i w:val="0"/>
          <w:iCs w:val="0"/>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i w:val="0"/>
          <w:iCs w:val="0"/>
          <w:color w:val="auto"/>
          <w:sz w:val="24"/>
          <w:szCs w:val="24"/>
          <w:highlight w:val="none"/>
          <w:lang w:val="en-US" w:eastAsia="zh-CN"/>
        </w:rPr>
        <w:t>同级政府采购监督管理部门</w:t>
      </w:r>
      <w:r>
        <w:rPr>
          <w:rFonts w:hint="eastAsia" w:ascii="宋体" w:hAnsi="宋体" w:eastAsia="宋体" w:cs="宋体"/>
          <w:i w:val="0"/>
          <w:iCs w:val="0"/>
          <w:color w:val="auto"/>
          <w:sz w:val="24"/>
          <w:szCs w:val="24"/>
          <w:highlight w:val="none"/>
        </w:rPr>
        <w:t>提起投诉。</w:t>
      </w:r>
    </w:p>
    <w:p w14:paraId="7AE3C0F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37.2</w:t>
      </w:r>
      <w:r>
        <w:rPr>
          <w:rFonts w:hint="eastAsia" w:ascii="宋体" w:hAnsi="宋体" w:eastAsia="宋体" w:cs="宋体"/>
          <w:i w:val="0"/>
          <w:iCs w:val="0"/>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）投诉人和被投诉人的姓名或者名称、通讯地址、邮编、联系人及联系电话；</w:t>
      </w:r>
    </w:p>
    <w:p w14:paraId="1A65A10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）质疑和质疑答复情况说明及相关证明材料；</w:t>
      </w:r>
    </w:p>
    <w:p w14:paraId="675A6D9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）具体、明确的投诉事项和与投诉事项相关的投诉请求；</w:t>
      </w:r>
    </w:p>
    <w:p w14:paraId="4A0C159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）事实依据；</w:t>
      </w:r>
    </w:p>
    <w:p w14:paraId="4CFD3E0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）法律依据；</w:t>
      </w:r>
    </w:p>
    <w:p w14:paraId="35FA6A4A">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）提起投诉的日期。</w:t>
      </w:r>
    </w:p>
    <w:p w14:paraId="4FC7C3AB">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投诉人为自然人的，应当由本人签字；投诉人为法人或者其他组织的，应当由法定代表人、主要负责人，或者其授权代表签字或者盖章，并加盖公章。</w:t>
      </w:r>
    </w:p>
    <w:p w14:paraId="4DF335BD">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37.3</w:t>
      </w:r>
      <w:r>
        <w:rPr>
          <w:rFonts w:hint="eastAsia" w:ascii="宋体" w:hAnsi="宋体" w:eastAsia="宋体" w:cs="宋体"/>
          <w:i w:val="0"/>
          <w:iCs w:val="0"/>
          <w:color w:val="auto"/>
          <w:sz w:val="24"/>
          <w:szCs w:val="24"/>
          <w:highlight w:val="none"/>
        </w:rPr>
        <w:t>供应商</w:t>
      </w:r>
      <w:r>
        <w:rPr>
          <w:rFonts w:hint="eastAsia" w:ascii="宋体" w:hAnsi="宋体" w:eastAsia="宋体" w:cs="宋体"/>
          <w:i w:val="0"/>
          <w:iCs w:val="0"/>
          <w:color w:val="auto"/>
          <w:sz w:val="24"/>
          <w:szCs w:val="24"/>
          <w:highlight w:val="none"/>
          <w:lang w:val="en-US" w:eastAsia="zh-CN"/>
        </w:rPr>
        <w:t>质疑、</w:t>
      </w:r>
      <w:r>
        <w:rPr>
          <w:rFonts w:hint="eastAsia" w:ascii="宋体" w:hAnsi="宋体" w:eastAsia="宋体" w:cs="宋体"/>
          <w:i w:val="0"/>
          <w:iCs w:val="0"/>
          <w:color w:val="auto"/>
          <w:sz w:val="24"/>
          <w:szCs w:val="24"/>
          <w:highlight w:val="none"/>
        </w:rPr>
        <w:t>投诉</w:t>
      </w:r>
      <w:r>
        <w:rPr>
          <w:rFonts w:hint="eastAsia" w:ascii="宋体" w:hAnsi="宋体" w:eastAsia="宋体" w:cs="宋体"/>
          <w:i w:val="0"/>
          <w:iCs w:val="0"/>
          <w:color w:val="auto"/>
          <w:sz w:val="24"/>
          <w:szCs w:val="24"/>
          <w:highlight w:val="none"/>
          <w:lang w:val="en-US" w:eastAsia="zh-CN"/>
        </w:rPr>
        <w:t>应当有明确的请求和必要的证明材料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供应商投诉的事项不得超出</w:t>
      </w:r>
      <w:r>
        <w:rPr>
          <w:rFonts w:hint="eastAsia" w:ascii="宋体" w:hAnsi="宋体" w:eastAsia="宋体" w:cs="宋体"/>
          <w:i w:val="0"/>
          <w:iCs w:val="0"/>
          <w:color w:val="auto"/>
          <w:sz w:val="24"/>
          <w:szCs w:val="24"/>
          <w:highlight w:val="none"/>
          <w:lang w:val="en-US" w:eastAsia="zh-CN"/>
        </w:rPr>
        <w:t>已</w:t>
      </w:r>
      <w:r>
        <w:rPr>
          <w:rFonts w:hint="eastAsia" w:ascii="宋体" w:hAnsi="宋体" w:eastAsia="宋体" w:cs="宋体"/>
          <w:i w:val="0"/>
          <w:iCs w:val="0"/>
          <w:color w:val="auto"/>
          <w:sz w:val="24"/>
          <w:szCs w:val="24"/>
          <w:highlight w:val="none"/>
        </w:rPr>
        <w:t>质疑事项的范围，但基于质疑答复内容提出的投诉事项除外</w:t>
      </w:r>
      <w:r>
        <w:rPr>
          <w:rFonts w:hint="eastAsia" w:ascii="宋体" w:hAnsi="宋体" w:eastAsia="宋体" w:cs="宋体"/>
          <w:bCs/>
          <w:i w:val="0"/>
          <w:iCs w:val="0"/>
          <w:color w:val="auto"/>
          <w:sz w:val="24"/>
          <w:szCs w:val="24"/>
          <w:highlight w:val="none"/>
        </w:rPr>
        <w:t>。</w:t>
      </w:r>
    </w:p>
    <w:p w14:paraId="2A3BCE0B">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snapToGrid w:val="0"/>
          <w:color w:val="auto"/>
          <w:sz w:val="24"/>
          <w:szCs w:val="24"/>
          <w:highlight w:val="none"/>
          <w:lang w:val="en-US" w:eastAsia="zh-CN"/>
        </w:rPr>
        <w:t>37.4</w:t>
      </w:r>
      <w:r>
        <w:rPr>
          <w:rFonts w:hint="eastAsia" w:ascii="宋体" w:hAnsi="宋体" w:eastAsia="宋体" w:cs="宋体"/>
          <w:i w:val="0"/>
          <w:iCs w:val="0"/>
          <w:color w:val="auto"/>
          <w:sz w:val="24"/>
          <w:szCs w:val="24"/>
          <w:highlight w:val="none"/>
          <w:lang w:val="en-US" w:eastAsia="zh-CN"/>
        </w:rPr>
        <w:t>投诉书应当使用中文，并采用财政部门制定的范本</w:t>
      </w:r>
      <w:r>
        <w:rPr>
          <w:rFonts w:hint="eastAsia" w:ascii="宋体" w:hAnsi="宋体" w:eastAsia="宋体" w:cs="宋体"/>
          <w:i w:val="0"/>
          <w:iCs w:val="0"/>
          <w:color w:val="auto"/>
          <w:sz w:val="24"/>
          <w:szCs w:val="24"/>
          <w:highlight w:val="none"/>
          <w:lang w:val="zh-CN" w:eastAsia="zh-CN"/>
        </w:rPr>
        <w:t>。</w:t>
      </w:r>
    </w:p>
    <w:p w14:paraId="072EB102">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95" w:name="_Toc21708"/>
      <w:r>
        <w:rPr>
          <w:rFonts w:hint="eastAsia" w:ascii="宋体" w:hAnsi="宋体" w:eastAsia="宋体" w:cs="宋体"/>
          <w:b/>
          <w:bCs/>
          <w:i w:val="0"/>
          <w:iCs w:val="0"/>
          <w:color w:val="auto"/>
          <w:kern w:val="2"/>
          <w:sz w:val="24"/>
          <w:szCs w:val="24"/>
          <w:highlight w:val="none"/>
          <w:lang w:val="en-US" w:eastAsia="zh-CN" w:bidi="ar-SA"/>
        </w:rPr>
        <w:t>（十一）采购代理服务费</w:t>
      </w:r>
      <w:bookmarkEnd w:id="378"/>
      <w:bookmarkEnd w:id="395"/>
    </w:p>
    <w:p w14:paraId="32832303">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38.收取方式和标准</w:t>
      </w:r>
    </w:p>
    <w:p w14:paraId="0F0CA960">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.1采购代理机构按“供应商须知前附表”规定的方式和标准收取采购代理服务费。</w:t>
      </w:r>
    </w:p>
    <w:p w14:paraId="5E6F9613">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96" w:name="_Toc163493620"/>
      <w:bookmarkStart w:id="397" w:name="_Toc14684"/>
      <w:r>
        <w:rPr>
          <w:rFonts w:hint="eastAsia" w:ascii="宋体" w:hAnsi="宋体" w:eastAsia="宋体" w:cs="宋体"/>
          <w:b/>
          <w:bCs/>
          <w:i w:val="0"/>
          <w:iCs w:val="0"/>
          <w:color w:val="auto"/>
          <w:kern w:val="2"/>
          <w:sz w:val="24"/>
          <w:szCs w:val="24"/>
          <w:highlight w:val="none"/>
          <w:lang w:val="en-US" w:eastAsia="zh-CN" w:bidi="ar-SA"/>
        </w:rPr>
        <w:t>（十二）无效响应和终止采购活动</w:t>
      </w:r>
      <w:bookmarkEnd w:id="396"/>
      <w:bookmarkEnd w:id="397"/>
    </w:p>
    <w:p w14:paraId="02780A34">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98" w:name="_Toc161600338"/>
      <w:bookmarkStart w:id="399" w:name="_Toc140132806"/>
      <w:r>
        <w:rPr>
          <w:rFonts w:hint="eastAsia" w:ascii="宋体" w:hAnsi="宋体" w:eastAsia="宋体" w:cs="宋体"/>
          <w:b/>
          <w:bCs/>
          <w:i w:val="0"/>
          <w:iCs w:val="0"/>
          <w:color w:val="auto"/>
          <w:kern w:val="2"/>
          <w:sz w:val="24"/>
          <w:szCs w:val="24"/>
          <w:highlight w:val="none"/>
          <w:lang w:val="en-US" w:eastAsia="zh-CN" w:bidi="ar-SA"/>
        </w:rPr>
        <w:t>39.无效</w:t>
      </w:r>
      <w:bookmarkEnd w:id="398"/>
      <w:bookmarkEnd w:id="399"/>
      <w:r>
        <w:rPr>
          <w:rFonts w:hint="eastAsia" w:ascii="宋体" w:hAnsi="宋体" w:eastAsia="宋体" w:cs="宋体"/>
          <w:b/>
          <w:bCs/>
          <w:i w:val="0"/>
          <w:iCs w:val="0"/>
          <w:color w:val="auto"/>
          <w:kern w:val="2"/>
          <w:sz w:val="24"/>
          <w:szCs w:val="24"/>
          <w:highlight w:val="none"/>
          <w:lang w:val="en-US" w:eastAsia="zh-CN" w:bidi="ar-SA"/>
        </w:rPr>
        <w:t>响应</w:t>
      </w:r>
    </w:p>
    <w:p w14:paraId="132D1B41">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.1响应文件存在“第四章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评审方法及标准”规定的</w:t>
      </w:r>
      <w:r>
        <w:rPr>
          <w:rFonts w:hint="eastAsia" w:ascii="宋体" w:hAnsi="宋体" w:eastAsia="宋体" w:cs="宋体"/>
          <w:b/>
          <w:bCs/>
          <w:i w:val="0"/>
          <w:iCs w:val="0"/>
          <w:color w:val="auto"/>
          <w:sz w:val="24"/>
          <w:szCs w:val="24"/>
          <w:highlight w:val="none"/>
        </w:rPr>
        <w:t>响应无效</w:t>
      </w:r>
      <w:r>
        <w:rPr>
          <w:rFonts w:hint="eastAsia" w:ascii="宋体" w:hAnsi="宋体" w:eastAsia="宋体" w:cs="宋体"/>
          <w:i w:val="0"/>
          <w:iCs w:val="0"/>
          <w:color w:val="auto"/>
          <w:sz w:val="24"/>
          <w:szCs w:val="24"/>
          <w:highlight w:val="none"/>
        </w:rPr>
        <w:t>情形的，做</w:t>
      </w:r>
      <w:r>
        <w:rPr>
          <w:rFonts w:hint="eastAsia" w:ascii="宋体" w:hAnsi="宋体" w:eastAsia="宋体" w:cs="宋体"/>
          <w:b/>
          <w:bCs/>
          <w:i w:val="0"/>
          <w:iCs w:val="0"/>
          <w:color w:val="auto"/>
          <w:sz w:val="24"/>
          <w:szCs w:val="24"/>
          <w:highlight w:val="none"/>
        </w:rPr>
        <w:t>无效响应</w:t>
      </w:r>
      <w:r>
        <w:rPr>
          <w:rFonts w:hint="eastAsia" w:ascii="宋体" w:hAnsi="宋体" w:eastAsia="宋体" w:cs="宋体"/>
          <w:i w:val="0"/>
          <w:iCs w:val="0"/>
          <w:color w:val="auto"/>
          <w:sz w:val="24"/>
          <w:szCs w:val="24"/>
          <w:highlight w:val="none"/>
        </w:rPr>
        <w:t>处理。</w:t>
      </w:r>
    </w:p>
    <w:p w14:paraId="631C56D4">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40.终止采购活动</w:t>
      </w:r>
    </w:p>
    <w:p w14:paraId="6F5166EC">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40</w:t>
      </w:r>
      <w:r>
        <w:rPr>
          <w:rFonts w:hint="eastAsia" w:ascii="宋体" w:hAnsi="宋体" w:eastAsia="宋体" w:cs="宋体"/>
          <w:i w:val="0"/>
          <w:iCs w:val="0"/>
          <w:color w:val="auto"/>
          <w:sz w:val="24"/>
          <w:szCs w:val="24"/>
          <w:highlight w:val="none"/>
        </w:rPr>
        <w:t>.1出现下列情形之一的，应当终止竞争性磋商采购活动，发布项目终止公告并说明原因，重新开展采购活动：</w:t>
      </w:r>
    </w:p>
    <w:p w14:paraId="09E00DE2">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（1）因情况变化，不再符合规定的竞争性磋商采购方式适用情形的；</w:t>
      </w:r>
    </w:p>
    <w:p w14:paraId="5FD95404">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（2）出现影响采购公正的违法、违规行为的；</w:t>
      </w:r>
    </w:p>
    <w:p w14:paraId="7598E364">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3EDE2978">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40.2在采购活动中因重大变故，采购任务取消的，采购人或者采购代理机构应当终止采购活动，通知所有参加采购活动的供应商，并将项目实施情况和采购任务取消原因报送本级财政部门。</w:t>
      </w:r>
    </w:p>
    <w:p w14:paraId="35C9F5A9">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0" w:name="_Toc161600340"/>
      <w:bookmarkStart w:id="401" w:name="_Toc140132766"/>
      <w:bookmarkStart w:id="402" w:name="_Toc163493621"/>
      <w:bookmarkStart w:id="403" w:name="_Toc14581"/>
      <w:r>
        <w:rPr>
          <w:rFonts w:hint="eastAsia" w:ascii="宋体" w:hAnsi="宋体" w:eastAsia="宋体" w:cs="宋体"/>
          <w:b/>
          <w:bCs/>
          <w:i w:val="0"/>
          <w:iCs w:val="0"/>
          <w:color w:val="auto"/>
          <w:kern w:val="2"/>
          <w:sz w:val="24"/>
          <w:szCs w:val="24"/>
          <w:highlight w:val="none"/>
          <w:lang w:val="en-US" w:eastAsia="zh-CN" w:bidi="ar-SA"/>
        </w:rPr>
        <w:t>（十三）落实政府采购政策</w:t>
      </w:r>
      <w:bookmarkEnd w:id="400"/>
      <w:bookmarkEnd w:id="401"/>
      <w:bookmarkEnd w:id="402"/>
      <w:r>
        <w:rPr>
          <w:rFonts w:hint="eastAsia" w:ascii="宋体" w:hAnsi="宋体" w:eastAsia="宋体" w:cs="宋体"/>
          <w:b/>
          <w:bCs/>
          <w:i w:val="0"/>
          <w:iCs w:val="0"/>
          <w:color w:val="auto"/>
          <w:kern w:val="2"/>
          <w:sz w:val="24"/>
          <w:szCs w:val="24"/>
          <w:highlight w:val="none"/>
          <w:lang w:val="en-US" w:eastAsia="zh-CN" w:bidi="ar-SA"/>
        </w:rPr>
        <w:t>（包括但不限于下列具体政策要求）</w:t>
      </w:r>
      <w:bookmarkEnd w:id="403"/>
    </w:p>
    <w:p w14:paraId="1D377CD1">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4" w:name="_Toc161600341"/>
      <w:r>
        <w:rPr>
          <w:rFonts w:hint="eastAsia" w:ascii="宋体" w:hAnsi="宋体" w:eastAsia="宋体" w:cs="宋体"/>
          <w:b/>
          <w:bCs/>
          <w:i w:val="0"/>
          <w:iCs w:val="0"/>
          <w:color w:val="auto"/>
          <w:kern w:val="2"/>
          <w:sz w:val="24"/>
          <w:szCs w:val="24"/>
          <w:highlight w:val="none"/>
          <w:lang w:val="en-US" w:eastAsia="zh-CN" w:bidi="ar-SA"/>
        </w:rPr>
        <w:t>41.支持国产和进口产品审批</w:t>
      </w:r>
      <w:bookmarkEnd w:id="404"/>
    </w:p>
    <w:p w14:paraId="3194662E">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41.1除“供应商须知前附表”另有规定外，政府采购应当采购本国货物、工程和服务，确需采购进口产品的，采购人应当按照《政府采购进口产品管理办法》（财库〔2007〕119 号文）、《关于政府采购进口产品管理有关问题的通知》（财办库〔2008〕248号）规定执行进口产品审批制，科研院所监管部门另有规定的从其规定。项目若涉及采购进口产品的，具体要求详见“第三章 项目采购需求”。</w:t>
      </w:r>
    </w:p>
    <w:p w14:paraId="135B393E">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41.2进口产品指通过中国海关报关验放进入中国境内且产自关境外的产品，包括已经进入中国境内的进口产品。</w:t>
      </w:r>
    </w:p>
    <w:p w14:paraId="0C404CE2">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41.3若采购需求中写明允许采购进口产品，供应商应保证所响应产品可履行合法报通关手续进入中国关境内。</w:t>
      </w:r>
    </w:p>
    <w:p w14:paraId="3D077042">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41.4若采购需求中未写明允许采购进口产品，如供应商所响应产品为进口产品，其响应将被认定为</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w:t>
      </w:r>
    </w:p>
    <w:p w14:paraId="1F7E8604">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5" w:name="_Toc161600342"/>
      <w:r>
        <w:rPr>
          <w:rFonts w:hint="eastAsia" w:ascii="宋体" w:hAnsi="宋体" w:eastAsia="宋体" w:cs="宋体"/>
          <w:b/>
          <w:bCs/>
          <w:i w:val="0"/>
          <w:iCs w:val="0"/>
          <w:color w:val="auto"/>
          <w:kern w:val="2"/>
          <w:sz w:val="24"/>
          <w:szCs w:val="24"/>
          <w:highlight w:val="none"/>
          <w:lang w:val="en-US" w:eastAsia="zh-CN" w:bidi="ar-SA"/>
        </w:rPr>
        <w:t>42.中小企业、监狱企业及残疾人福利性单位</w:t>
      </w:r>
      <w:bookmarkEnd w:id="405"/>
    </w:p>
    <w:p w14:paraId="3DC30D3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6EB577E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eastAsia="zh-CN"/>
        </w:rPr>
      </w:pPr>
      <w:r>
        <w:rPr>
          <w:rFonts w:hint="eastAsia" w:ascii="宋体" w:hAnsi="宋体" w:eastAsia="宋体" w:cs="宋体"/>
          <w:i w:val="0"/>
          <w:iCs w:val="0"/>
          <w:snapToGrid w:val="0"/>
          <w:color w:val="auto"/>
          <w:sz w:val="24"/>
          <w:szCs w:val="24"/>
          <w:highlight w:val="none"/>
          <w:lang w:val="en-US" w:eastAsia="zh-CN"/>
        </w:rPr>
        <w:t>42</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2</w:t>
      </w:r>
      <w:r>
        <w:rPr>
          <w:rFonts w:hint="eastAsia" w:ascii="宋体" w:hAnsi="宋体" w:eastAsia="宋体" w:cs="宋体"/>
          <w:i w:val="0"/>
          <w:iCs w:val="0"/>
          <w:snapToGrid w:val="0"/>
          <w:color w:val="auto"/>
          <w:sz w:val="24"/>
          <w:szCs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i w:val="0"/>
          <w:iCs w:val="0"/>
          <w:snapToGrid w:val="0"/>
          <w:color w:val="auto"/>
          <w:sz w:val="24"/>
          <w:szCs w:val="24"/>
          <w:highlight w:val="none"/>
          <w:lang w:eastAsia="zh-CN"/>
        </w:rPr>
        <w:t>需享受中小企业相关政策的，且</w:t>
      </w:r>
      <w:r>
        <w:rPr>
          <w:rFonts w:hint="eastAsia" w:ascii="宋体" w:hAnsi="宋体" w:eastAsia="宋体" w:cs="宋体"/>
          <w:i w:val="0"/>
          <w:iCs w:val="0"/>
          <w:snapToGrid w:val="0"/>
          <w:color w:val="auto"/>
          <w:sz w:val="24"/>
          <w:szCs w:val="24"/>
          <w:highlight w:val="none"/>
        </w:rPr>
        <w:t>符合上述文件规定的，</w:t>
      </w:r>
      <w:r>
        <w:rPr>
          <w:rFonts w:hint="eastAsia" w:ascii="宋体" w:hAnsi="宋体" w:eastAsia="宋体" w:cs="宋体"/>
          <w:i w:val="0"/>
          <w:iCs w:val="0"/>
          <w:snapToGrid w:val="0"/>
          <w:color w:val="auto"/>
          <w:sz w:val="24"/>
          <w:szCs w:val="24"/>
          <w:highlight w:val="none"/>
          <w:lang w:eastAsia="zh-CN"/>
        </w:rPr>
        <w:t>应按本磋商文件规定格式</w:t>
      </w:r>
      <w:r>
        <w:rPr>
          <w:rFonts w:hint="eastAsia" w:ascii="宋体" w:hAnsi="宋体" w:eastAsia="宋体" w:cs="宋体"/>
          <w:i w:val="0"/>
          <w:iCs w:val="0"/>
          <w:snapToGrid w:val="0"/>
          <w:color w:val="auto"/>
          <w:sz w:val="24"/>
          <w:szCs w:val="24"/>
          <w:highlight w:val="none"/>
        </w:rPr>
        <w:t>提供</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监狱企业证明文件</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残疾人福利性单位声明函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，评审时，磋商小组将依据</w:t>
      </w:r>
      <w:r>
        <w:rPr>
          <w:rFonts w:hint="eastAsia" w:ascii="宋体" w:hAnsi="宋体" w:eastAsia="宋体" w:cs="宋体"/>
          <w:i w:val="0"/>
          <w:iCs w:val="0"/>
          <w:snapToGrid w:val="0"/>
          <w:color w:val="auto"/>
          <w:sz w:val="24"/>
          <w:szCs w:val="24"/>
          <w:highlight w:val="none"/>
          <w:lang w:eastAsia="zh-CN"/>
        </w:rPr>
        <w:t>本磋商文件</w:t>
      </w:r>
      <w:r>
        <w:rPr>
          <w:rFonts w:hint="eastAsia" w:ascii="宋体" w:hAnsi="宋体" w:eastAsia="宋体" w:cs="宋体"/>
          <w:i w:val="0"/>
          <w:iCs w:val="0"/>
          <w:snapToGrid w:val="0"/>
          <w:color w:val="auto"/>
          <w:sz w:val="24"/>
          <w:szCs w:val="24"/>
          <w:highlight w:val="none"/>
        </w:rPr>
        <w:t>“供应商须知前附表”规定的报价扣除比例，对供应商报价进行价格扣除，用扣除后的价格参与评审</w:t>
      </w:r>
      <w:r>
        <w:rPr>
          <w:rFonts w:hint="eastAsia" w:ascii="宋体" w:hAnsi="宋体" w:eastAsia="宋体" w:cs="宋体"/>
          <w:i w:val="0"/>
          <w:iCs w:val="0"/>
          <w:snapToGrid w:val="0"/>
          <w:color w:val="auto"/>
          <w:sz w:val="24"/>
          <w:szCs w:val="24"/>
          <w:highlight w:val="none"/>
          <w:lang w:eastAsia="zh-CN"/>
        </w:rPr>
        <w:t>；磋商公告中明确项目专门面向中小企业采购的，“</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”为资格要求文件，</w:t>
      </w:r>
      <w:r>
        <w:rPr>
          <w:rFonts w:hint="eastAsia" w:ascii="宋体" w:hAnsi="宋体" w:eastAsia="宋体" w:cs="宋体"/>
          <w:i w:val="0"/>
          <w:iCs w:val="0"/>
          <w:snapToGrid w:val="0"/>
          <w:color w:val="auto"/>
          <w:sz w:val="24"/>
          <w:szCs w:val="24"/>
          <w:highlight w:val="none"/>
        </w:rPr>
        <w:t>供应商</w:t>
      </w:r>
      <w:r>
        <w:rPr>
          <w:rFonts w:hint="eastAsia" w:ascii="宋体" w:hAnsi="宋体" w:eastAsia="宋体" w:cs="宋体"/>
          <w:i w:val="0"/>
          <w:iCs w:val="0"/>
          <w:snapToGrid w:val="0"/>
          <w:color w:val="auto"/>
          <w:sz w:val="24"/>
          <w:szCs w:val="24"/>
          <w:highlight w:val="none"/>
          <w:lang w:eastAsia="zh-CN"/>
        </w:rPr>
        <w:t>参与磋商须按本磋商文件规定格式</w:t>
      </w:r>
      <w:r>
        <w:rPr>
          <w:rFonts w:hint="eastAsia" w:ascii="宋体" w:hAnsi="宋体" w:eastAsia="宋体" w:cs="宋体"/>
          <w:i w:val="0"/>
          <w:iCs w:val="0"/>
          <w:snapToGrid w:val="0"/>
          <w:color w:val="auto"/>
          <w:sz w:val="24"/>
          <w:szCs w:val="24"/>
          <w:highlight w:val="none"/>
        </w:rPr>
        <w:t>提供</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监狱企业证明文件</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残疾人福利性单位声明函</w:t>
      </w:r>
      <w:r>
        <w:rPr>
          <w:rFonts w:hint="eastAsia" w:ascii="宋体" w:hAnsi="宋体" w:eastAsia="宋体" w:cs="宋体"/>
          <w:i w:val="0"/>
          <w:iCs w:val="0"/>
          <w:snapToGrid w:val="0"/>
          <w:color w:val="auto"/>
          <w:sz w:val="24"/>
          <w:szCs w:val="24"/>
          <w:highlight w:val="none"/>
          <w:lang w:eastAsia="zh-CN"/>
        </w:rPr>
        <w:t>”等作为资格证明文件。</w:t>
      </w:r>
    </w:p>
    <w:p w14:paraId="61ADCD5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42.3供应商提供的货物、工程或者服务符合下列情形的，享受中小企业扶持政策： </w:t>
      </w:r>
    </w:p>
    <w:p w14:paraId="41D81885">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42.3.1在货物采购项目中，货物由中小企业制造，即货物由中小企业生产且使用该中小企业商号或者注册商标； </w:t>
      </w:r>
    </w:p>
    <w:p w14:paraId="4287B4C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42.3.2在工程采购项目中，工程由中小企业承建，即工程施工单位为中小企业； </w:t>
      </w:r>
    </w:p>
    <w:p w14:paraId="504BBF1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42.3.3在服务采购项目中，服务由中小企业承接，即提供服务的人员为中小企业依照《中华人民共和国劳动合同法》订立劳动合同的从业人员。</w:t>
      </w:r>
    </w:p>
    <w:p w14:paraId="28FED95B">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42.4 在货物采购项目中，供应商提供的货物既有中小企业制造货物，也有大型企业制造货物的，不享受中小企业扶持政策。 </w:t>
      </w:r>
    </w:p>
    <w:p w14:paraId="182B8EB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42.5 以联合体形式参加政府采购活动，联合体各方均为中小企业的，联合体视同中小企业。其中，联合体各方均为小微企业的，联合体视同小微企业。      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615AEA5A">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0F65A30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42.7.1 安置的残疾人占本单位在职职工人数的比例不低于 25% （含 25%），并且安置的残疾人人数不少于 10 人（含 10人）； </w:t>
      </w:r>
    </w:p>
    <w:p w14:paraId="145068A4">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42.7.2 依法与安置的每位残疾人签订了1年以上（含1年）的劳动合同或服务协议； </w:t>
      </w:r>
    </w:p>
    <w:p w14:paraId="4AFBBA50">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42.7.3 为安置的每位残疾人按月足额缴纳了基本养老保险、基本医疗保险、失业保险、工伤保险和生育保险等社会保险费； </w:t>
      </w:r>
    </w:p>
    <w:p w14:paraId="4487EF6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42.7.4 通过银行等金融机构向安置的每位残疾人，按月支付了不低于单位所在区县适用的经省级人民政府批准的月最低工资标准的工资； </w:t>
      </w:r>
    </w:p>
    <w:p w14:paraId="66EBECD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42.7.5 提供本单位制造的货物、承担的工程或者服务（以下简称产品），或者提供其他残疾人福利性单位制造的货物（不包括使用非残疾人福利性单位注册商标的货物）； </w:t>
      </w:r>
    </w:p>
    <w:p w14:paraId="556BC0B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3B39EECD">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42.8 本项目是否专门面向中小企业预留采购份额见“第一章 竞争性磋商邀请”。</w:t>
      </w:r>
    </w:p>
    <w:p w14:paraId="5A70CB6C">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42.9 采购标的对应的中小企业划分标准所属行业见“供应商须知前附表”。    42.10小微企业价格评审优惠的政策调整：见“第四章 评审方法及标准”。</w:t>
      </w:r>
    </w:p>
    <w:p w14:paraId="76C0345E">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6" w:name="_Toc161600343"/>
      <w:r>
        <w:rPr>
          <w:rFonts w:hint="eastAsia" w:ascii="宋体" w:hAnsi="宋体" w:eastAsia="宋体" w:cs="宋体"/>
          <w:b/>
          <w:bCs/>
          <w:i w:val="0"/>
          <w:iCs w:val="0"/>
          <w:color w:val="auto"/>
          <w:kern w:val="2"/>
          <w:sz w:val="24"/>
          <w:szCs w:val="24"/>
          <w:highlight w:val="none"/>
          <w:lang w:val="en-US" w:eastAsia="zh-CN" w:bidi="ar-SA"/>
        </w:rPr>
        <w:t>43.政府采购节能产品、环境标志产品</w:t>
      </w:r>
      <w:bookmarkEnd w:id="406"/>
    </w:p>
    <w:p w14:paraId="74D83274">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017FF1A4">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1379730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 xml:space="preserve">。 </w:t>
      </w:r>
    </w:p>
    <w:p w14:paraId="73ADF02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43.4 非政府强制采购的节能产品或环境标志产品，依据品目清单和认证证书实施政府优先采购。优先采购的具体规定见“第四章 评审方法及标准”（如涉及）。</w:t>
      </w:r>
    </w:p>
    <w:p w14:paraId="1E54CD45">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43.5 供应商</w:t>
      </w:r>
      <w:r>
        <w:rPr>
          <w:rFonts w:hint="eastAsia" w:ascii="宋体" w:hAnsi="宋体" w:eastAsia="宋体" w:cs="宋体"/>
          <w:i w:val="0"/>
          <w:iCs w:val="0"/>
          <w:snapToGrid w:val="0"/>
          <w:color w:val="auto"/>
          <w:sz w:val="24"/>
          <w:szCs w:val="24"/>
          <w:highlight w:val="none"/>
        </w:rPr>
        <w:t>所</w:t>
      </w:r>
      <w:r>
        <w:rPr>
          <w:rFonts w:hint="eastAsia" w:ascii="宋体" w:hAnsi="宋体" w:eastAsia="宋体" w:cs="宋体"/>
          <w:i w:val="0"/>
          <w:iCs w:val="0"/>
          <w:snapToGrid w:val="0"/>
          <w:color w:val="auto"/>
          <w:sz w:val="24"/>
          <w:szCs w:val="24"/>
          <w:highlight w:val="none"/>
          <w:lang w:val="en-US" w:eastAsia="zh-CN"/>
        </w:rPr>
        <w:t>报</w:t>
      </w:r>
      <w:r>
        <w:rPr>
          <w:rFonts w:hint="eastAsia" w:ascii="宋体" w:hAnsi="宋体" w:eastAsia="宋体" w:cs="宋体"/>
          <w:i w:val="0"/>
          <w:iCs w:val="0"/>
          <w:snapToGrid w:val="0"/>
          <w:color w:val="auto"/>
          <w:sz w:val="24"/>
          <w:szCs w:val="24"/>
          <w:highlight w:val="none"/>
        </w:rPr>
        <w:t>产品如属于节能产品政府采购品目清单、环境标志产品政府采购品目清单范围的，须提供国家确定的认证机构出具的、处于有效期内的产品认证证书，认证证书的产品型号与所</w:t>
      </w:r>
      <w:r>
        <w:rPr>
          <w:rFonts w:hint="eastAsia" w:ascii="宋体" w:hAnsi="宋体" w:eastAsia="宋体" w:cs="宋体"/>
          <w:i w:val="0"/>
          <w:iCs w:val="0"/>
          <w:snapToGrid w:val="0"/>
          <w:color w:val="auto"/>
          <w:sz w:val="24"/>
          <w:szCs w:val="24"/>
          <w:highlight w:val="none"/>
          <w:lang w:val="en-US" w:eastAsia="zh-CN"/>
        </w:rPr>
        <w:t>报</w:t>
      </w:r>
      <w:r>
        <w:rPr>
          <w:rFonts w:hint="eastAsia" w:ascii="宋体" w:hAnsi="宋体" w:eastAsia="宋体" w:cs="宋体"/>
          <w:i w:val="0"/>
          <w:iCs w:val="0"/>
          <w:snapToGrid w:val="0"/>
          <w:color w:val="auto"/>
          <w:sz w:val="24"/>
          <w:szCs w:val="24"/>
          <w:highlight w:val="none"/>
        </w:rPr>
        <w:t>产品不一致的，视为未提供。属于政府强制采购产品的，已作为</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rPr>
        <w:t>时强制性要求不再给予</w:t>
      </w:r>
      <w:r>
        <w:rPr>
          <w:rFonts w:hint="eastAsia" w:ascii="宋体" w:hAnsi="宋体" w:eastAsia="宋体" w:cs="宋体"/>
          <w:i w:val="0"/>
          <w:iCs w:val="0"/>
          <w:snapToGrid w:val="0"/>
          <w:color w:val="auto"/>
          <w:sz w:val="24"/>
          <w:szCs w:val="24"/>
          <w:highlight w:val="none"/>
          <w:lang w:val="en-US" w:eastAsia="zh-CN"/>
        </w:rPr>
        <w:t>价格评审优惠</w:t>
      </w:r>
      <w:r>
        <w:rPr>
          <w:rFonts w:hint="eastAsia" w:ascii="宋体" w:hAnsi="宋体" w:eastAsia="宋体" w:cs="宋体"/>
          <w:i w:val="0"/>
          <w:iCs w:val="0"/>
          <w:snapToGrid w:val="0"/>
          <w:color w:val="auto"/>
          <w:sz w:val="24"/>
          <w:szCs w:val="24"/>
          <w:highlight w:val="none"/>
        </w:rPr>
        <w:t>，未提供认证证书的视为</w:t>
      </w:r>
      <w:r>
        <w:rPr>
          <w:rFonts w:hint="eastAsia" w:ascii="宋体" w:hAnsi="宋体" w:eastAsia="宋体" w:cs="宋体"/>
          <w:b/>
          <w:bCs/>
          <w:i w:val="0"/>
          <w:iCs w:val="0"/>
          <w:snapToGrid w:val="0"/>
          <w:color w:val="auto"/>
          <w:sz w:val="24"/>
          <w:szCs w:val="24"/>
          <w:highlight w:val="none"/>
        </w:rPr>
        <w:t>无效响应</w:t>
      </w:r>
      <w:r>
        <w:rPr>
          <w:rFonts w:hint="eastAsia" w:ascii="宋体" w:hAnsi="宋体" w:eastAsia="宋体" w:cs="宋体"/>
          <w:i w:val="0"/>
          <w:iCs w:val="0"/>
          <w:snapToGrid w:val="0"/>
          <w:color w:val="auto"/>
          <w:sz w:val="24"/>
          <w:szCs w:val="24"/>
          <w:highlight w:val="none"/>
        </w:rPr>
        <w:t>。属于</w:t>
      </w:r>
      <w:r>
        <w:rPr>
          <w:rFonts w:hint="eastAsia" w:ascii="宋体" w:hAnsi="宋体" w:eastAsia="宋体" w:cs="宋体"/>
          <w:i w:val="0"/>
          <w:iCs w:val="0"/>
          <w:snapToGrid w:val="0"/>
          <w:color w:val="auto"/>
          <w:sz w:val="24"/>
          <w:szCs w:val="24"/>
          <w:highlight w:val="none"/>
          <w:lang w:val="en-US" w:eastAsia="zh-CN"/>
        </w:rPr>
        <w:t>优先采购</w:t>
      </w:r>
      <w:r>
        <w:rPr>
          <w:rFonts w:hint="eastAsia" w:ascii="宋体" w:hAnsi="宋体" w:eastAsia="宋体" w:cs="宋体"/>
          <w:i w:val="0"/>
          <w:iCs w:val="0"/>
          <w:snapToGrid w:val="0"/>
          <w:color w:val="auto"/>
          <w:sz w:val="24"/>
          <w:szCs w:val="24"/>
          <w:highlight w:val="none"/>
        </w:rPr>
        <w:t>节能产品政府采购品目清单、环境标志产品政府采购品目清单</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创新产品</w:t>
      </w:r>
      <w:r>
        <w:rPr>
          <w:rFonts w:hint="eastAsia" w:ascii="宋体" w:hAnsi="宋体" w:eastAsia="宋体" w:cs="宋体"/>
          <w:i w:val="0"/>
          <w:iCs w:val="0"/>
          <w:snapToGrid w:val="0"/>
          <w:color w:val="auto"/>
          <w:sz w:val="24"/>
          <w:szCs w:val="24"/>
          <w:highlight w:val="none"/>
        </w:rPr>
        <w:t>范围的，按照“</w:t>
      </w:r>
      <w:r>
        <w:rPr>
          <w:rFonts w:hint="eastAsia" w:ascii="宋体" w:hAnsi="宋体" w:eastAsia="宋体" w:cs="宋体"/>
          <w:i w:val="0"/>
          <w:iCs w:val="0"/>
          <w:snapToGrid w:val="0"/>
          <w:color w:val="auto"/>
          <w:sz w:val="24"/>
          <w:szCs w:val="24"/>
          <w:highlight w:val="none"/>
          <w:lang w:val="en-US" w:eastAsia="zh-CN"/>
        </w:rPr>
        <w:t>第四章 评审方法及标准</w:t>
      </w:r>
      <w:r>
        <w:rPr>
          <w:rFonts w:hint="eastAsia" w:ascii="宋体" w:hAnsi="宋体" w:eastAsia="宋体" w:cs="宋体"/>
          <w:i w:val="0"/>
          <w:iCs w:val="0"/>
          <w:snapToGrid w:val="0"/>
          <w:color w:val="auto"/>
          <w:sz w:val="24"/>
          <w:szCs w:val="24"/>
          <w:highlight w:val="none"/>
        </w:rPr>
        <w:t>”中相关规定</w:t>
      </w:r>
      <w:r>
        <w:rPr>
          <w:rFonts w:hint="eastAsia" w:ascii="宋体" w:hAnsi="宋体" w:eastAsia="宋体" w:cs="宋体"/>
          <w:i w:val="0"/>
          <w:iCs w:val="0"/>
          <w:color w:val="auto"/>
          <w:sz w:val="24"/>
          <w:szCs w:val="24"/>
          <w:highlight w:val="none"/>
          <w:lang w:val="en-US" w:eastAsia="zh-CN"/>
        </w:rPr>
        <w:t>在评审时给予价格评审优惠，具体详见</w:t>
      </w:r>
      <w:r>
        <w:rPr>
          <w:rFonts w:hint="eastAsia" w:ascii="宋体" w:hAnsi="宋体" w:eastAsia="宋体" w:cs="宋体"/>
          <w:i w:val="0"/>
          <w:iCs w:val="0"/>
          <w:snapToGrid w:val="0"/>
          <w:color w:val="auto"/>
          <w:sz w:val="24"/>
          <w:szCs w:val="24"/>
          <w:highlight w:val="none"/>
          <w:lang w:val="en-US" w:eastAsia="zh-CN"/>
        </w:rPr>
        <w:t>“供应商须知前附表”及</w:t>
      </w:r>
      <w:r>
        <w:rPr>
          <w:rFonts w:hint="eastAsia" w:ascii="宋体" w:hAnsi="宋体" w:eastAsia="宋体" w:cs="宋体"/>
          <w:i w:val="0"/>
          <w:iCs w:val="0"/>
          <w:color w:val="auto"/>
          <w:sz w:val="24"/>
          <w:szCs w:val="24"/>
          <w:highlight w:val="none"/>
          <w:lang w:val="en-US" w:eastAsia="zh-CN"/>
        </w:rPr>
        <w:t>“第四章 评审方法及标准”</w:t>
      </w:r>
      <w:r>
        <w:rPr>
          <w:rFonts w:hint="eastAsia" w:ascii="宋体" w:hAnsi="宋体" w:eastAsia="宋体" w:cs="宋体"/>
          <w:i w:val="0"/>
          <w:iCs w:val="0"/>
          <w:color w:val="auto"/>
          <w:sz w:val="24"/>
          <w:szCs w:val="24"/>
          <w:highlight w:val="none"/>
        </w:rPr>
        <w:t>。</w:t>
      </w:r>
    </w:p>
    <w:p w14:paraId="17C511EA">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44.正版软件</w:t>
      </w:r>
    </w:p>
    <w:p w14:paraId="1F0E8307">
      <w:pPr>
        <w:pStyle w:val="35"/>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3480636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 xml:space="preserve">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7A1724D">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 xml:space="preserve">45.网络安全专用产品 </w:t>
      </w:r>
    </w:p>
    <w:p w14:paraId="13C0877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4911AC78">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w:t>
      </w:r>
    </w:p>
    <w:p w14:paraId="05D0648E">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 xml:space="preserve">46.采购需求标准 </w:t>
      </w:r>
    </w:p>
    <w:bookmarkEnd w:id="379"/>
    <w:bookmarkEnd w:id="380"/>
    <w:bookmarkEnd w:id="381"/>
    <w:bookmarkEnd w:id="382"/>
    <w:bookmarkEnd w:id="383"/>
    <w:p w14:paraId="1251808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bookmarkStart w:id="407" w:name="_Toc109900412"/>
      <w:bookmarkStart w:id="408" w:name="_Toc109899993"/>
      <w:bookmarkStart w:id="409" w:name="_Toc163493622"/>
      <w:bookmarkStart w:id="410" w:name="_Toc109897475"/>
      <w:bookmarkStart w:id="411" w:name="_Toc109899574"/>
      <w:r>
        <w:rPr>
          <w:rFonts w:hint="eastAsia" w:ascii="宋体" w:hAnsi="宋体" w:eastAsia="宋体" w:cs="宋体"/>
          <w:i w:val="0"/>
          <w:iCs w:val="0"/>
          <w:snapToGrid w:val="0"/>
          <w:color w:val="auto"/>
          <w:sz w:val="24"/>
          <w:szCs w:val="24"/>
          <w:highlight w:val="none"/>
          <w:lang w:val="en-US" w:eastAsia="zh-CN"/>
        </w:rPr>
        <w:t xml:space="preserve">46.1 商品包装、快递包装政府采购需求标准（试行） </w:t>
      </w:r>
    </w:p>
    <w:p w14:paraId="527BC2D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 xml:space="preserve">。 </w:t>
      </w:r>
    </w:p>
    <w:p w14:paraId="088B5DEF">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 xml:space="preserve">46.2 绿色数据中心政府采购需求标准（试行） </w:t>
      </w:r>
    </w:p>
    <w:p w14:paraId="2BAD2545">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为加快数据中心绿色转型，根据财政部 生态环境部 工业和信息化部关于印发《绿色数据中心政府采购需求标准（试行）》的通知（财库〔2023〕7 号），本项目如涉及绿色数据中心，则具体要求见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 xml:space="preserve">。 </w:t>
      </w:r>
    </w:p>
    <w:p w14:paraId="33C6F27D">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46.3台式计算机政府采购需求标准</w:t>
      </w:r>
    </w:p>
    <w:p w14:paraId="7FE94F3A">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683C9A6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46.4便携式计算机政府采购需求标准</w:t>
      </w:r>
    </w:p>
    <w:p w14:paraId="56D621A3">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48ED666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46.5一体式计算机政府采购需求标准</w:t>
      </w:r>
    </w:p>
    <w:p w14:paraId="7A06F60A">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6AA36A4C">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46.6工作站政府采购需求标准</w:t>
      </w:r>
    </w:p>
    <w:p w14:paraId="401E4836">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6AA55F4D">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46.7通用服务器政府采购需求标准</w:t>
      </w:r>
    </w:p>
    <w:p w14:paraId="6FE6FE7A">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5E799E3E">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46.8操作系统政府采购需求标准</w:t>
      </w:r>
    </w:p>
    <w:p w14:paraId="71E70859">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757FBE3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46.9数据库政府采购需求标准</w:t>
      </w:r>
    </w:p>
    <w:p w14:paraId="4096E2F1">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0F23144D">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46.10物业管理服务政府采购需求标准（办公场所类）（试行）</w:t>
      </w:r>
    </w:p>
    <w:p w14:paraId="0169F247">
      <w:pPr>
        <w:pStyle w:val="3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38AF6858">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12" w:name="_Toc26488"/>
      <w:r>
        <w:rPr>
          <w:rFonts w:hint="eastAsia" w:ascii="宋体" w:hAnsi="宋体" w:eastAsia="宋体" w:cs="宋体"/>
          <w:b/>
          <w:bCs/>
          <w:i w:val="0"/>
          <w:iCs w:val="0"/>
          <w:color w:val="auto"/>
          <w:kern w:val="2"/>
          <w:sz w:val="24"/>
          <w:szCs w:val="24"/>
          <w:highlight w:val="none"/>
          <w:lang w:val="en-US" w:eastAsia="zh-CN" w:bidi="ar-SA"/>
        </w:rPr>
        <w:t>（十四）政府采购合同融资政策</w:t>
      </w:r>
      <w:bookmarkEnd w:id="407"/>
      <w:bookmarkEnd w:id="408"/>
      <w:bookmarkEnd w:id="409"/>
      <w:bookmarkEnd w:id="410"/>
      <w:bookmarkEnd w:id="411"/>
      <w:bookmarkEnd w:id="412"/>
    </w:p>
    <w:p w14:paraId="78CE466D">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13" w:name="_Toc161600345"/>
      <w:bookmarkStart w:id="414" w:name="_Toc109897476"/>
      <w:r>
        <w:rPr>
          <w:rFonts w:hint="eastAsia" w:ascii="宋体" w:hAnsi="宋体" w:eastAsia="宋体" w:cs="宋体"/>
          <w:b/>
          <w:bCs/>
          <w:i w:val="0"/>
          <w:iCs w:val="0"/>
          <w:color w:val="auto"/>
          <w:kern w:val="2"/>
          <w:sz w:val="24"/>
          <w:szCs w:val="24"/>
          <w:highlight w:val="none"/>
          <w:lang w:val="en-US" w:eastAsia="zh-CN" w:bidi="ar-SA"/>
        </w:rPr>
        <w:t>47.政府采购合同融资政策</w:t>
      </w:r>
      <w:bookmarkEnd w:id="413"/>
    </w:p>
    <w:p w14:paraId="59269D30">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.1政府采购合同融资政策：见供应商须知前附表。</w:t>
      </w:r>
    </w:p>
    <w:p w14:paraId="032E5A3C">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15" w:name="_Toc109899575"/>
      <w:bookmarkStart w:id="416" w:name="_Toc163493623"/>
      <w:bookmarkStart w:id="417" w:name="_Toc29816"/>
      <w:bookmarkStart w:id="418" w:name="_Toc109900413"/>
      <w:bookmarkStart w:id="419" w:name="_Toc109899994"/>
      <w:r>
        <w:rPr>
          <w:rFonts w:hint="eastAsia" w:ascii="宋体" w:hAnsi="宋体" w:eastAsia="宋体" w:cs="宋体"/>
          <w:b/>
          <w:bCs/>
          <w:i w:val="0"/>
          <w:iCs w:val="0"/>
          <w:color w:val="auto"/>
          <w:kern w:val="2"/>
          <w:sz w:val="24"/>
          <w:szCs w:val="24"/>
          <w:highlight w:val="none"/>
          <w:lang w:val="en-US" w:eastAsia="zh-CN" w:bidi="ar-SA"/>
        </w:rPr>
        <w:t>（十五）其他</w:t>
      </w:r>
      <w:bookmarkEnd w:id="414"/>
      <w:bookmarkEnd w:id="415"/>
      <w:bookmarkEnd w:id="416"/>
      <w:bookmarkEnd w:id="417"/>
      <w:bookmarkEnd w:id="418"/>
      <w:bookmarkEnd w:id="419"/>
    </w:p>
    <w:p w14:paraId="0C2C4C1A">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20" w:name="_Toc161600347"/>
      <w:r>
        <w:rPr>
          <w:rFonts w:hint="eastAsia" w:ascii="宋体" w:hAnsi="宋体" w:eastAsia="宋体" w:cs="宋体"/>
          <w:b/>
          <w:bCs/>
          <w:i w:val="0"/>
          <w:iCs w:val="0"/>
          <w:color w:val="auto"/>
          <w:kern w:val="2"/>
          <w:sz w:val="24"/>
          <w:szCs w:val="24"/>
          <w:highlight w:val="none"/>
          <w:lang w:val="en-US" w:eastAsia="zh-CN" w:bidi="ar-SA"/>
        </w:rPr>
        <w:t>48.需要补充的其他内容</w:t>
      </w:r>
      <w:bookmarkEnd w:id="420"/>
    </w:p>
    <w:p w14:paraId="3957C993">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.1需要补充的其他内容：见供应商须知前附表。</w:t>
      </w:r>
    </w:p>
    <w:p w14:paraId="740594BA">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21" w:name="_Toc109899576"/>
      <w:bookmarkStart w:id="422" w:name="_Toc109899995"/>
      <w:bookmarkStart w:id="423" w:name="_Toc109900414"/>
      <w:bookmarkStart w:id="424" w:name="_Toc109897477"/>
      <w:r>
        <w:rPr>
          <w:rFonts w:hint="eastAsia" w:ascii="宋体" w:hAnsi="宋体" w:eastAsia="宋体" w:cs="宋体"/>
          <w:b/>
          <w:bCs/>
          <w:i w:val="0"/>
          <w:iCs w:val="0"/>
          <w:color w:val="auto"/>
          <w:kern w:val="2"/>
          <w:sz w:val="24"/>
          <w:szCs w:val="24"/>
          <w:highlight w:val="none"/>
          <w:lang w:val="en-US" w:eastAsia="zh-CN" w:bidi="ar-SA"/>
        </w:rPr>
        <w:t>49.适用法律</w:t>
      </w:r>
      <w:bookmarkEnd w:id="421"/>
      <w:bookmarkEnd w:id="422"/>
      <w:bookmarkEnd w:id="423"/>
      <w:bookmarkEnd w:id="424"/>
    </w:p>
    <w:p w14:paraId="48B6B3FD">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4</w:t>
      </w:r>
      <w:r>
        <w:rPr>
          <w:rFonts w:hint="eastAsia" w:ascii="宋体" w:hAnsi="宋体" w:eastAsia="宋体" w:cs="宋体"/>
          <w:i w:val="0"/>
          <w:iCs w:val="0"/>
          <w:snapToGrid w:val="0"/>
          <w:color w:val="auto"/>
          <w:sz w:val="24"/>
          <w:szCs w:val="24"/>
          <w:highlight w:val="none"/>
          <w:lang w:val="en-US" w:eastAsia="zh-CN"/>
        </w:rPr>
        <w:t>9</w:t>
      </w:r>
      <w:r>
        <w:rPr>
          <w:rFonts w:hint="eastAsia" w:ascii="宋体" w:hAnsi="宋体" w:eastAsia="宋体" w:cs="宋体"/>
          <w:i w:val="0"/>
          <w:iCs w:val="0"/>
          <w:snapToGrid w:val="0"/>
          <w:color w:val="auto"/>
          <w:sz w:val="24"/>
          <w:szCs w:val="24"/>
          <w:highlight w:val="none"/>
          <w:lang w:val="zh-CN"/>
        </w:rPr>
        <w:t>.1采购人、采购代理机构及供应商的一切采购活动均适用《</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政府采购法》、《</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政府采购法实施条例》、</w:t>
      </w:r>
      <w:r>
        <w:rPr>
          <w:rFonts w:hint="eastAsia" w:ascii="宋体" w:hAnsi="宋体" w:eastAsia="宋体" w:cs="宋体"/>
          <w:i w:val="0"/>
          <w:iCs w:val="0"/>
          <w:color w:val="auto"/>
          <w:sz w:val="24"/>
          <w:szCs w:val="24"/>
          <w:highlight w:val="none"/>
        </w:rPr>
        <w:t>《政府采购竞争性磋商采购方式管理暂行办法》（财库〔2014〕214号）</w:t>
      </w:r>
      <w:r>
        <w:rPr>
          <w:rFonts w:hint="eastAsia" w:ascii="宋体" w:hAnsi="宋体" w:eastAsia="宋体" w:cs="宋体"/>
          <w:i w:val="0"/>
          <w:iCs w:val="0"/>
          <w:snapToGrid w:val="0"/>
          <w:color w:val="auto"/>
          <w:sz w:val="24"/>
          <w:szCs w:val="24"/>
          <w:highlight w:val="none"/>
          <w:lang w:val="zh-CN"/>
        </w:rPr>
        <w:t>及相关法律法规。</w:t>
      </w:r>
    </w:p>
    <w:p w14:paraId="7EF83039">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4</w:t>
      </w:r>
      <w:r>
        <w:rPr>
          <w:rFonts w:hint="eastAsia" w:ascii="宋体" w:hAnsi="宋体" w:eastAsia="宋体" w:cs="宋体"/>
          <w:i w:val="0"/>
          <w:iCs w:val="0"/>
          <w:snapToGrid w:val="0"/>
          <w:color w:val="auto"/>
          <w:sz w:val="24"/>
          <w:szCs w:val="24"/>
          <w:highlight w:val="none"/>
          <w:lang w:val="en-US" w:eastAsia="zh-CN"/>
        </w:rPr>
        <w:t>9</w:t>
      </w:r>
      <w:r>
        <w:rPr>
          <w:rFonts w:hint="eastAsia" w:ascii="宋体" w:hAnsi="宋体" w:eastAsia="宋体" w:cs="宋体"/>
          <w:i w:val="0"/>
          <w:iCs w:val="0"/>
          <w:snapToGrid w:val="0"/>
          <w:color w:val="auto"/>
          <w:sz w:val="24"/>
          <w:szCs w:val="24"/>
          <w:highlight w:val="none"/>
          <w:lang w:val="zh-CN"/>
        </w:rPr>
        <w:t>.2政府采购合同的履行、违约责任和解决争议的方法等适用《</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民法典》。</w:t>
      </w:r>
    </w:p>
    <w:p w14:paraId="5A914310">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25" w:name="_Toc155185887"/>
      <w:bookmarkStart w:id="426" w:name="_Toc161600349"/>
      <w:r>
        <w:rPr>
          <w:rFonts w:hint="eastAsia" w:ascii="宋体" w:hAnsi="宋体" w:eastAsia="宋体" w:cs="宋体"/>
          <w:b/>
          <w:bCs/>
          <w:i w:val="0"/>
          <w:iCs w:val="0"/>
          <w:color w:val="auto"/>
          <w:kern w:val="2"/>
          <w:sz w:val="24"/>
          <w:szCs w:val="24"/>
          <w:highlight w:val="none"/>
          <w:lang w:val="en-US" w:eastAsia="zh-CN" w:bidi="ar-SA"/>
        </w:rPr>
        <w:t>50.解释权</w:t>
      </w:r>
      <w:bookmarkEnd w:id="425"/>
      <w:bookmarkEnd w:id="426"/>
    </w:p>
    <w:p w14:paraId="02BEF40F">
      <w:pPr>
        <w:pStyle w:val="35"/>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50</w:t>
      </w:r>
      <w:r>
        <w:rPr>
          <w:rFonts w:hint="eastAsia" w:ascii="宋体" w:hAnsi="宋体" w:eastAsia="宋体" w:cs="宋体"/>
          <w:i w:val="0"/>
          <w:iCs w:val="0"/>
          <w:snapToGrid w:val="0"/>
          <w:color w:val="auto"/>
          <w:sz w:val="24"/>
          <w:szCs w:val="24"/>
          <w:highlight w:val="none"/>
        </w:rPr>
        <w:t>.1本竞争性磋商文件最终解释权归采购人或采购代理机构所有。</w:t>
      </w:r>
    </w:p>
    <w:p w14:paraId="6A67B13D">
      <w:pPr>
        <w:pStyle w:val="35"/>
        <w:ind w:firstLine="480"/>
        <w:rPr>
          <w:rFonts w:hint="eastAsia" w:ascii="宋体" w:hAnsi="宋体" w:eastAsia="宋体" w:cs="宋体"/>
          <w:i w:val="0"/>
          <w:iCs w:val="0"/>
          <w:color w:val="auto"/>
          <w:sz w:val="24"/>
          <w:szCs w:val="24"/>
          <w:highlight w:val="none"/>
        </w:rPr>
      </w:pPr>
    </w:p>
    <w:p w14:paraId="216F1C6D">
      <w:pPr>
        <w:pStyle w:val="35"/>
        <w:ind w:firstLine="480"/>
        <w:rPr>
          <w:i w:val="0"/>
          <w:iCs w:val="0"/>
          <w:color w:val="auto"/>
          <w:highlight w:val="none"/>
        </w:rPr>
      </w:pPr>
    </w:p>
    <w:p w14:paraId="716E15C9">
      <w:pPr>
        <w:pStyle w:val="35"/>
        <w:ind w:firstLine="480"/>
        <w:rPr>
          <w:i w:val="0"/>
          <w:iCs w:val="0"/>
          <w:color w:val="auto"/>
          <w:highlight w:val="none"/>
        </w:rPr>
        <w:sectPr>
          <w:pgSz w:w="11906" w:h="16838"/>
          <w:pgMar w:top="1440" w:right="1800" w:bottom="1440" w:left="1800" w:header="851" w:footer="652" w:gutter="0"/>
          <w:pgNumType w:fmt="numberInDash"/>
          <w:cols w:space="0" w:num="1"/>
          <w:rtlGutter w:val="0"/>
          <w:docGrid w:type="lines" w:linePitch="312" w:charSpace="0"/>
        </w:sectPr>
      </w:pPr>
    </w:p>
    <w:p w14:paraId="42932E8F">
      <w:pPr>
        <w:pStyle w:val="3"/>
        <w:keepNext/>
        <w:keepLines/>
        <w:pageBreakBefore w:val="0"/>
        <w:widowControl w:val="0"/>
        <w:kinsoku/>
        <w:wordWrap/>
        <w:overflowPunct/>
        <w:topLinePunct w:val="0"/>
        <w:autoSpaceDE/>
        <w:autoSpaceDN/>
        <w:bidi w:val="0"/>
        <w:adjustRightInd/>
        <w:snapToGrid/>
        <w:spacing w:before="220" w:after="220" w:line="360" w:lineRule="auto"/>
        <w:ind w:left="420" w:hanging="420"/>
        <w:textAlignment w:val="auto"/>
        <w:rPr>
          <w:rFonts w:cs="宋体"/>
          <w:kern w:val="0"/>
          <w:szCs w:val="24"/>
          <w:highlight w:val="none"/>
        </w:rPr>
      </w:pPr>
      <w:bookmarkStart w:id="427" w:name="_Toc25233"/>
      <w:bookmarkStart w:id="428" w:name="_Toc12488"/>
      <w:r>
        <w:rPr>
          <w:rFonts w:hint="eastAsia" w:eastAsia="宋体" w:cs="宋体"/>
          <w:sz w:val="36"/>
          <w:szCs w:val="36"/>
          <w:highlight w:val="none"/>
        </w:rPr>
        <w:t>第三章 项目采购需求</w:t>
      </w:r>
      <w:bookmarkEnd w:id="427"/>
      <w:bookmarkStart w:id="429" w:name="_Toc163492886"/>
      <w:bookmarkStart w:id="430" w:name="_Toc140132812"/>
      <w:bookmarkStart w:id="431" w:name="_Toc155185889"/>
    </w:p>
    <w:bookmarkEnd w:id="429"/>
    <w:bookmarkEnd w:id="430"/>
    <w:bookmarkEnd w:id="431"/>
    <w:p w14:paraId="663A4BF7">
      <w:pPr>
        <w:autoSpaceDE w:val="0"/>
        <w:autoSpaceDN w:val="0"/>
        <w:adjustRightInd w:val="0"/>
        <w:rPr>
          <w:rFonts w:hint="eastAsia" w:ascii="宋体" w:hAnsi="宋体" w:eastAsia="宋体" w:cs="宋体"/>
          <w:b/>
          <w:kern w:val="0"/>
          <w:sz w:val="28"/>
          <w:szCs w:val="28"/>
          <w:highlight w:val="none"/>
          <w:lang w:val="en-US" w:eastAsia="zh-CN"/>
        </w:rPr>
      </w:pPr>
      <w:r>
        <w:rPr>
          <w:rFonts w:hint="eastAsia" w:ascii="宋体" w:hAnsi="宋体" w:eastAsia="宋体" w:cs="宋体"/>
          <w:b/>
          <w:kern w:val="0"/>
          <w:sz w:val="28"/>
          <w:szCs w:val="28"/>
          <w:highlight w:val="none"/>
          <w:lang w:val="en-US" w:eastAsia="zh-CN"/>
        </w:rPr>
        <w:t>一、项目背景</w:t>
      </w:r>
    </w:p>
    <w:p w14:paraId="0F480FBD">
      <w:pPr>
        <w:autoSpaceDE w:val="0"/>
        <w:autoSpaceDN w:val="0"/>
        <w:adjustRightInd w:val="0"/>
        <w:ind w:firstLine="480"/>
        <w:rPr>
          <w:rFonts w:hint="eastAsia"/>
          <w:highlight w:val="none"/>
          <w:lang w:val="en-US" w:eastAsia="zh-CN"/>
        </w:rPr>
      </w:pPr>
      <w:r>
        <w:rPr>
          <w:rFonts w:hint="eastAsia" w:ascii="宋体" w:hAnsi="宋体" w:eastAsia="宋体" w:cs="宋体"/>
          <w:kern w:val="0"/>
          <w:szCs w:val="24"/>
          <w:highlight w:val="none"/>
          <w:lang w:val="en-US" w:eastAsia="zh-CN"/>
        </w:rPr>
        <w:t>自治区人社厅2025年DSG维保内容主要是针对新疆人社厅社保及就业数据业务DSG同步复制软件的维护服务。随着新疆人社厅业务的发展，新的业务平台不断趋于集中，新的业务平台存储了全区大量的重要业务数据，这些数据的同步复制和备份直接关系个人和单位社保及就业数据的安全，关系着社会民生的重要方面。此次维保项目服务商的要求高，总体上要做到专业技术精，响应速度快。此次维保内容包括DSG同步复制软件和备份软件</w:t>
      </w:r>
      <w:r>
        <w:rPr>
          <w:rFonts w:hint="eastAsia" w:cs="宋体"/>
          <w:kern w:val="0"/>
          <w:szCs w:val="24"/>
          <w:highlight w:val="none"/>
          <w:lang w:val="en-US" w:eastAsia="zh-CN"/>
        </w:rPr>
        <w:t>，</w:t>
      </w:r>
      <w:r>
        <w:rPr>
          <w:rFonts w:hint="eastAsia" w:ascii="宋体" w:hAnsi="宋体" w:eastAsia="宋体" w:cs="宋体"/>
          <w:kern w:val="0"/>
          <w:szCs w:val="24"/>
          <w:highlight w:val="none"/>
          <w:lang w:val="en-US" w:eastAsia="zh-CN"/>
        </w:rPr>
        <w:t>服务方提供最高的维保服务级别。</w:t>
      </w:r>
    </w:p>
    <w:p w14:paraId="5FD0B13A">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自2011年数据交换平台投产以来，为新疆人社信息中心的数据业务处理带来了很大的便利。新疆成为在全国率先实现省级数据大集中的省份。</w:t>
      </w:r>
    </w:p>
    <w:p w14:paraId="2897C997">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为了确保数据交换平台的稳定运行，承建方和原厂商多年来持续提供相应的技术服务，包括：</w:t>
      </w:r>
    </w:p>
    <w:p w14:paraId="73E576A9">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数据迁移服务</w:t>
      </w:r>
    </w:p>
    <w:p w14:paraId="61E67684">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2020年为了建设新的数据交换平台，将数据交换平台系统由原来的AIX 6.1 的oracle11g升级到Linux7.2的oracle12c。</w:t>
      </w:r>
    </w:p>
    <w:p w14:paraId="2FC17334">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厅数据中心交换平台系统维护</w:t>
      </w:r>
    </w:p>
    <w:p w14:paraId="7FFD0DC3">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在厅数据中心对前置平台数据库、数据交换库及数据复制软件进行持续维护，包括每天巡检、每周周报、出现故障后迅速处理并提供处理报告、调整同步对象配置、软件版本升级等；</w:t>
      </w:r>
    </w:p>
    <w:p w14:paraId="25080609">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各地市州局回推数据维护</w:t>
      </w:r>
    </w:p>
    <w:p w14:paraId="4365ABB5">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对数据交换平台所涉及的各地市州人社局系统进行远程维护。包括进程重启、数据重新同步、更换服务器重新部署、异常同步处理、停电导致数据丢失时重新初始化等等；</w:t>
      </w:r>
    </w:p>
    <w:p w14:paraId="1CEA2554">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地市州局数据恢复</w:t>
      </w:r>
    </w:p>
    <w:p w14:paraId="6699B815">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在运维期间，先后帮助巴州人社局、塔城人社局等地市州局恢复数据，保障了地市州局的数据安全。</w:t>
      </w:r>
    </w:p>
    <w:p w14:paraId="37F175E6">
      <w:pPr>
        <w:autoSpaceDE w:val="0"/>
        <w:autoSpaceDN w:val="0"/>
        <w:adjustRightInd w:val="0"/>
        <w:ind w:firstLine="480"/>
        <w:rPr>
          <w:rFonts w:hint="eastAsia" w:ascii="宋体" w:hAnsi="宋体" w:eastAsia="宋体" w:cs="宋体"/>
          <w:kern w:val="0"/>
          <w:szCs w:val="24"/>
          <w:highlight w:val="none"/>
          <w:lang w:val="en-US" w:eastAsia="zh-CN"/>
        </w:rPr>
      </w:pPr>
      <w:bookmarkStart w:id="432" w:name="_Toc15058"/>
      <w:bookmarkStart w:id="433" w:name="_Toc6459"/>
      <w:r>
        <w:rPr>
          <w:rFonts w:hint="eastAsia" w:ascii="宋体" w:hAnsi="宋体" w:eastAsia="宋体" w:cs="宋体"/>
          <w:kern w:val="0"/>
          <w:szCs w:val="24"/>
          <w:highlight w:val="none"/>
          <w:lang w:val="en-US" w:eastAsia="zh-CN"/>
        </w:rPr>
        <w:t>迄今为止，DSG软件产品为人社厅数据交换平台带来以下便利：</w:t>
      </w:r>
    </w:p>
    <w:p w14:paraId="1E51BC56">
      <w:pPr>
        <w:autoSpaceDE w:val="0"/>
        <w:autoSpaceDN w:val="0"/>
        <w:adjustRightInd w:val="0"/>
        <w:ind w:firstLine="480"/>
        <w:rPr>
          <w:rFonts w:hint="eastAsia" w:ascii="宋体" w:hAnsi="宋体" w:eastAsia="宋体" w:cs="宋体"/>
          <w:kern w:val="0"/>
          <w:szCs w:val="24"/>
          <w:highlight w:val="none"/>
          <w:lang w:val="en-US" w:eastAsia="zh-CN"/>
        </w:rPr>
      </w:pPr>
      <w:bookmarkStart w:id="434" w:name="_Toc19580_WPSOffice_Level3"/>
      <w:r>
        <w:rPr>
          <w:rFonts w:hint="eastAsia" w:ascii="宋体" w:hAnsi="宋体" w:eastAsia="宋体" w:cs="宋体"/>
          <w:kern w:val="0"/>
          <w:szCs w:val="24"/>
          <w:highlight w:val="none"/>
          <w:lang w:val="en-US" w:eastAsia="zh-CN"/>
        </w:rPr>
        <w:t>支持数据分析和综合决策</w:t>
      </w:r>
      <w:bookmarkEnd w:id="432"/>
      <w:bookmarkEnd w:id="433"/>
      <w:bookmarkEnd w:id="434"/>
    </w:p>
    <w:p w14:paraId="15C3E829">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在交换库基础上，进行数据信息的综合利用，实现信息分析、数据挖掘和决策支持。同时交换库的建设将为数据仓库及应用的建设打下基础，为数据仓库提供基础数据源。</w:t>
      </w:r>
    </w:p>
    <w:p w14:paraId="616EEA60">
      <w:pPr>
        <w:autoSpaceDE w:val="0"/>
        <w:autoSpaceDN w:val="0"/>
        <w:adjustRightInd w:val="0"/>
        <w:ind w:firstLine="480"/>
        <w:rPr>
          <w:rFonts w:hint="eastAsia" w:ascii="宋体" w:hAnsi="宋体" w:eastAsia="宋体" w:cs="宋体"/>
          <w:kern w:val="0"/>
          <w:szCs w:val="24"/>
          <w:highlight w:val="none"/>
          <w:lang w:val="en-US" w:eastAsia="zh-CN"/>
        </w:rPr>
      </w:pPr>
      <w:bookmarkStart w:id="435" w:name="_Toc5601"/>
      <w:bookmarkStart w:id="436" w:name="_Toc8945"/>
      <w:bookmarkStart w:id="437" w:name="_Toc27438_WPSOffice_Level3"/>
      <w:r>
        <w:rPr>
          <w:rFonts w:hint="eastAsia" w:ascii="宋体" w:hAnsi="宋体" w:eastAsia="宋体" w:cs="宋体"/>
          <w:kern w:val="0"/>
          <w:szCs w:val="24"/>
          <w:highlight w:val="none"/>
          <w:lang w:val="en-US" w:eastAsia="zh-CN"/>
        </w:rPr>
        <w:t>通过统一的数据交换平台，建立对外的统一数据交换区</w:t>
      </w:r>
      <w:bookmarkEnd w:id="435"/>
      <w:bookmarkEnd w:id="436"/>
      <w:bookmarkEnd w:id="437"/>
    </w:p>
    <w:p w14:paraId="156ED083">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实现业务资源数据与交换资源数据的数据交换，通过统一的数据交换平台，实现向部里及横向与其他平级单位间的数据交换，如为审计和财政等部门提供统一的监测数据源。基于交换平台，实现对业务数据的检测、过滤、筛选、抽取等功能。</w:t>
      </w:r>
    </w:p>
    <w:p w14:paraId="165938B0">
      <w:pPr>
        <w:autoSpaceDE w:val="0"/>
        <w:autoSpaceDN w:val="0"/>
        <w:adjustRightInd w:val="0"/>
        <w:ind w:firstLine="480"/>
        <w:rPr>
          <w:rFonts w:hint="eastAsia" w:ascii="宋体" w:hAnsi="宋体" w:eastAsia="宋体" w:cs="宋体"/>
          <w:kern w:val="0"/>
          <w:szCs w:val="24"/>
          <w:highlight w:val="none"/>
          <w:lang w:val="en-US" w:eastAsia="zh-CN"/>
        </w:rPr>
      </w:pPr>
      <w:bookmarkStart w:id="438" w:name="_Toc25467_WPSOffice_Level3"/>
      <w:bookmarkStart w:id="439" w:name="_Toc26494"/>
      <w:bookmarkStart w:id="440" w:name="_Toc19773"/>
      <w:r>
        <w:rPr>
          <w:rFonts w:hint="eastAsia" w:ascii="宋体" w:hAnsi="宋体" w:eastAsia="宋体" w:cs="宋体"/>
          <w:kern w:val="0"/>
          <w:szCs w:val="24"/>
          <w:highlight w:val="none"/>
          <w:lang w:val="en-US" w:eastAsia="zh-CN"/>
        </w:rPr>
        <w:t>为人社部提供各类指标系统的上报</w:t>
      </w:r>
      <w:bookmarkEnd w:id="438"/>
      <w:bookmarkEnd w:id="439"/>
      <w:bookmarkEnd w:id="440"/>
    </w:p>
    <w:p w14:paraId="2FE25FCC">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实现业务资源数据库到交换库的数据交换，实现向部里上报数据的功能，建立统一的交换数据区。</w:t>
      </w:r>
    </w:p>
    <w:p w14:paraId="4CAAD4B2">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数据交换平台是建设人社厅数据交换区的核心系统，其主要的作用为：为地市级社保信息向上级提供安全、高效的信息传递、采集通道；保证社保分析数据信息交互的数据实时性和数据一致性；在社保内部形成统一的数据视图，方便管理；提供向部里进行数据交换的统一平台；避免出现信息孤岛，方便应用开发和管理；为人社部指标上报提供数据基础。</w:t>
      </w:r>
    </w:p>
    <w:p w14:paraId="5D32A6F4">
      <w:pPr>
        <w:autoSpaceDE w:val="0"/>
        <w:autoSpaceDN w:val="0"/>
        <w:adjustRightInd w:val="0"/>
        <w:ind w:firstLine="480"/>
        <w:rPr>
          <w:rFonts w:hint="eastAsia" w:ascii="宋体" w:hAnsi="宋体" w:eastAsia="宋体" w:cs="宋体"/>
          <w:kern w:val="0"/>
          <w:szCs w:val="24"/>
          <w:highlight w:val="none"/>
          <w:lang w:val="en-US" w:eastAsia="zh-CN"/>
        </w:rPr>
      </w:pPr>
      <w:bookmarkStart w:id="441" w:name="_Toc10812"/>
      <w:bookmarkStart w:id="442" w:name="_Toc11330"/>
      <w:bookmarkStart w:id="443" w:name="_Toc2075_WPSOffice_Level3"/>
      <w:r>
        <w:rPr>
          <w:rFonts w:hint="eastAsia" w:ascii="宋体" w:hAnsi="宋体" w:eastAsia="宋体" w:cs="宋体"/>
          <w:kern w:val="0"/>
          <w:szCs w:val="24"/>
          <w:highlight w:val="none"/>
          <w:lang w:val="en-US" w:eastAsia="zh-CN"/>
        </w:rPr>
        <w:t>建立统一公共服务基础数据</w:t>
      </w:r>
      <w:bookmarkEnd w:id="441"/>
      <w:bookmarkEnd w:id="442"/>
      <w:bookmarkEnd w:id="443"/>
    </w:p>
    <w:p w14:paraId="7FB2FCA1">
      <w:pPr>
        <w:autoSpaceDE w:val="0"/>
        <w:autoSpaceDN w:val="0"/>
        <w:adjustRightInd w:val="0"/>
        <w:ind w:firstLine="480"/>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为全疆各地12333、人社厅和地州的网站提供基础业务数据，方便各地群众查询自己的各险种参保、缴费、领取待遇和各类账户收支的信息服务，以便更好的服务于参保群众。</w:t>
      </w:r>
    </w:p>
    <w:p w14:paraId="74B0A464">
      <w:pPr>
        <w:autoSpaceDE w:val="0"/>
        <w:autoSpaceDN w:val="0"/>
        <w:adjustRightInd w:val="0"/>
        <w:rPr>
          <w:rFonts w:hint="eastAsia" w:ascii="宋体" w:hAnsi="宋体" w:eastAsia="宋体" w:cs="宋体"/>
          <w:b/>
          <w:kern w:val="0"/>
          <w:sz w:val="28"/>
          <w:szCs w:val="28"/>
          <w:highlight w:val="none"/>
          <w:lang w:val="en-US" w:eastAsia="zh-CN"/>
        </w:rPr>
      </w:pPr>
    </w:p>
    <w:p w14:paraId="74A205FF">
      <w:pPr>
        <w:autoSpaceDE w:val="0"/>
        <w:autoSpaceDN w:val="0"/>
        <w:adjustRightInd w:val="0"/>
        <w:rPr>
          <w:rFonts w:hint="eastAsia" w:ascii="宋体" w:hAnsi="宋体" w:eastAsia="宋体" w:cs="宋体"/>
          <w:b/>
          <w:kern w:val="0"/>
          <w:sz w:val="28"/>
          <w:szCs w:val="28"/>
          <w:highlight w:val="none"/>
          <w:lang w:val="en-US" w:eastAsia="zh-CN"/>
        </w:rPr>
      </w:pPr>
      <w:r>
        <w:rPr>
          <w:rFonts w:hint="eastAsia" w:ascii="宋体" w:hAnsi="宋体" w:eastAsia="宋体" w:cs="宋体"/>
          <w:b/>
          <w:kern w:val="0"/>
          <w:sz w:val="28"/>
          <w:szCs w:val="28"/>
          <w:highlight w:val="none"/>
          <w:lang w:val="en-US" w:eastAsia="zh-CN"/>
        </w:rPr>
        <w:t>二、项目建设内容</w:t>
      </w:r>
    </w:p>
    <w:p w14:paraId="79F4EBE2">
      <w:pPr>
        <w:rPr>
          <w:rFonts w:hint="eastAsia"/>
          <w:b/>
          <w:bCs/>
          <w:highlight w:val="none"/>
          <w:lang w:val="en-US" w:eastAsia="zh-CN"/>
        </w:rPr>
      </w:pPr>
      <w:r>
        <w:rPr>
          <w:rFonts w:hint="eastAsia"/>
          <w:b/>
          <w:bCs/>
          <w:highlight w:val="none"/>
          <w:lang w:val="en-US" w:eastAsia="zh-CN"/>
        </w:rPr>
        <w:t>（一）总体要求</w:t>
      </w:r>
    </w:p>
    <w:p w14:paraId="63587B54">
      <w:pPr>
        <w:ind w:firstLine="480" w:firstLineChars="200"/>
        <w:rPr>
          <w:rFonts w:hint="eastAsia"/>
          <w:highlight w:val="none"/>
          <w:lang w:val="en-US" w:eastAsia="zh-CN"/>
        </w:rPr>
      </w:pPr>
      <w:r>
        <w:rPr>
          <w:rFonts w:hint="eastAsia"/>
          <w:highlight w:val="none"/>
          <w:lang w:val="en-US" w:eastAsia="zh-CN"/>
        </w:rPr>
        <w:t>1.运维周期：1年。</w:t>
      </w:r>
    </w:p>
    <w:p w14:paraId="5A950EFE">
      <w:pPr>
        <w:ind w:firstLine="480" w:firstLineChars="200"/>
        <w:rPr>
          <w:rFonts w:hint="eastAsia"/>
          <w:highlight w:val="none"/>
          <w:lang w:val="en-US" w:eastAsia="zh-CN"/>
        </w:rPr>
      </w:pPr>
      <w:r>
        <w:rPr>
          <w:rFonts w:hint="eastAsia"/>
          <w:highlight w:val="none"/>
          <w:lang w:val="en-US" w:eastAsia="zh-CN"/>
        </w:rPr>
        <w:t>2.运维地点：新疆自治区人力资源和社会保障厅。</w:t>
      </w:r>
    </w:p>
    <w:p w14:paraId="1D7E1F19">
      <w:pPr>
        <w:ind w:firstLine="480" w:firstLineChars="200"/>
        <w:rPr>
          <w:rFonts w:hint="eastAsia"/>
          <w:highlight w:val="none"/>
          <w:lang w:val="en-US" w:eastAsia="zh-CN"/>
        </w:rPr>
      </w:pPr>
      <w:r>
        <w:rPr>
          <w:rFonts w:hint="eastAsia"/>
          <w:highlight w:val="none"/>
          <w:lang w:val="en-US" w:eastAsia="zh-CN"/>
        </w:rPr>
        <w:t>3.服务目标：实现数据交换平台相关软件99.9%的运行可靠率。</w:t>
      </w:r>
    </w:p>
    <w:p w14:paraId="324642AE">
      <w:pPr>
        <w:ind w:firstLine="480" w:firstLineChars="200"/>
        <w:rPr>
          <w:rFonts w:hint="eastAsia"/>
          <w:highlight w:val="none"/>
          <w:lang w:val="en-US" w:eastAsia="zh-CN"/>
        </w:rPr>
      </w:pPr>
      <w:r>
        <w:rPr>
          <w:rFonts w:hint="eastAsia"/>
          <w:highlight w:val="none"/>
          <w:lang w:val="en-US" w:eastAsia="zh-CN"/>
        </w:rPr>
        <w:t>4.响应要求：远程支持响应时间不超过30分钟，现场达到时间不超过4小时；故障处理时间不超过48小时。软件异常报错处理时间不超过4小时。</w:t>
      </w:r>
    </w:p>
    <w:p w14:paraId="6EC0C73A">
      <w:pPr>
        <w:ind w:firstLine="480" w:firstLineChars="200"/>
        <w:rPr>
          <w:rFonts w:hint="eastAsia"/>
          <w:highlight w:val="none"/>
          <w:lang w:val="en-US" w:eastAsia="zh-CN"/>
        </w:rPr>
      </w:pPr>
      <w:r>
        <w:rPr>
          <w:rFonts w:hint="eastAsia"/>
          <w:highlight w:val="none"/>
          <w:lang w:val="en-US" w:eastAsia="zh-CN"/>
        </w:rPr>
        <w:t>5.服务方式: 24小时在线支持。</w:t>
      </w:r>
    </w:p>
    <w:p w14:paraId="069EFCDF">
      <w:pPr>
        <w:ind w:firstLine="480" w:firstLineChars="200"/>
        <w:rPr>
          <w:rFonts w:hint="eastAsia"/>
          <w:highlight w:val="none"/>
          <w:lang w:val="en-US" w:eastAsia="zh-CN"/>
        </w:rPr>
      </w:pPr>
      <w:r>
        <w:rPr>
          <w:rFonts w:hint="eastAsia"/>
          <w:highlight w:val="none"/>
          <w:lang w:val="en-US" w:eastAsia="zh-CN"/>
        </w:rPr>
        <w:t>维保服务的总体技术要求是通过24小时持续不断的监控和日常巡检，及时发现数据库同步软件的隐患，及时预防；在出现故障时，能够尽快实现数据库同步软件的问题修复，使相关数据交换平台系统能够健康稳定运行，每年因dsg软件异常引起的数据交换平台停机时间不超过12小时。</w:t>
      </w:r>
    </w:p>
    <w:p w14:paraId="58E3374F">
      <w:pPr>
        <w:rPr>
          <w:rFonts w:hint="eastAsia"/>
          <w:b/>
          <w:bCs/>
          <w:highlight w:val="none"/>
          <w:lang w:val="en-US" w:eastAsia="zh-CN"/>
        </w:rPr>
      </w:pPr>
      <w:r>
        <w:rPr>
          <w:rFonts w:hint="eastAsia"/>
          <w:b/>
          <w:bCs/>
          <w:highlight w:val="none"/>
          <w:lang w:val="en-US" w:eastAsia="zh-CN"/>
        </w:rPr>
        <w:t>（二）维保服务范围</w:t>
      </w:r>
    </w:p>
    <w:p w14:paraId="123DA76E">
      <w:pPr>
        <w:rPr>
          <w:rFonts w:hint="eastAsia"/>
          <w:highlight w:val="none"/>
          <w:lang w:val="en-US" w:eastAsia="zh-CN"/>
        </w:rPr>
      </w:pPr>
      <w:r>
        <w:rPr>
          <w:rFonts w:hint="eastAsia"/>
          <w:highlight w:val="none"/>
          <w:lang w:val="en-US" w:eastAsia="zh-CN"/>
        </w:rPr>
        <w:t>维保服务范围概况：</w:t>
      </w:r>
    </w:p>
    <w:p w14:paraId="2457DA05">
      <w:pPr>
        <w:rPr>
          <w:rFonts w:hint="eastAsia"/>
          <w:highlight w:val="none"/>
          <w:lang w:val="en-US" w:eastAsia="zh-CN"/>
        </w:rPr>
      </w:pPr>
      <w:r>
        <w:rPr>
          <w:rFonts w:hint="eastAsia"/>
          <w:highlight w:val="none"/>
          <w:lang w:val="en-US" w:eastAsia="zh-CN"/>
        </w:rPr>
        <w:t>1.社保数据回流维保服务范围概况</w:t>
      </w:r>
    </w:p>
    <w:p w14:paraId="7292257B">
      <w:pPr>
        <w:ind w:firstLine="480" w:firstLineChars="200"/>
        <w:rPr>
          <w:rFonts w:hint="eastAsia"/>
          <w:highlight w:val="none"/>
          <w:lang w:val="en-US" w:eastAsia="zh-CN"/>
        </w:rPr>
      </w:pPr>
      <w:r>
        <w:rPr>
          <w:rFonts w:hint="eastAsia"/>
          <w:highlight w:val="none"/>
          <w:lang w:val="en-US" w:eastAsia="zh-CN"/>
        </w:rPr>
        <w:t>将社会保险生产库，卡库，持卡库生产库数据实时同步复制到交换库以达到数据容灾的目的并且为共享回推社会保险生产库数据做准备。</w:t>
      </w:r>
    </w:p>
    <w:p w14:paraId="11AF262D">
      <w:pPr>
        <w:ind w:firstLine="480" w:firstLineChars="200"/>
        <w:rPr>
          <w:rFonts w:hint="eastAsia"/>
          <w:highlight w:val="none"/>
          <w:lang w:val="en-US" w:eastAsia="zh-CN"/>
        </w:rPr>
      </w:pPr>
      <w:r>
        <w:rPr>
          <w:rFonts w:hint="eastAsia"/>
          <w:highlight w:val="none"/>
          <w:lang w:val="en-US" w:eastAsia="zh-CN"/>
        </w:rPr>
        <w:t>（1）将生产库数据实时同步复制到交换库以达到数据容灾的目的并且为共享回推数据做准备。</w:t>
      </w:r>
    </w:p>
    <w:p w14:paraId="30482502">
      <w:pPr>
        <w:ind w:firstLine="480" w:firstLineChars="200"/>
        <w:rPr>
          <w:rFonts w:hint="eastAsia"/>
          <w:highlight w:val="none"/>
          <w:lang w:val="en-US" w:eastAsia="zh-CN"/>
        </w:rPr>
      </w:pPr>
      <w:r>
        <w:rPr>
          <w:rFonts w:hint="eastAsia"/>
          <w:highlight w:val="none"/>
          <w:lang w:val="en-US" w:eastAsia="zh-CN"/>
        </w:rPr>
        <w:t>（2）将交换库数据拆分处理后分别回推给各地州本地库（含三油一铁），主要包括以下地州：乌鲁木齐市、伊犁州、克州、巴州、阿克苏地区、喀什地区、塔城地区、和田地区、博州、哈密市、吐鲁番市、阿勒泰地区、克拉玛依油田、吐哈油田、塔里木油田及铁路社保。</w:t>
      </w:r>
    </w:p>
    <w:p w14:paraId="20685699">
      <w:pPr>
        <w:ind w:firstLine="480" w:firstLineChars="200"/>
        <w:rPr>
          <w:rFonts w:hint="eastAsia"/>
          <w:highlight w:val="none"/>
          <w:lang w:val="en-US" w:eastAsia="zh-CN"/>
        </w:rPr>
      </w:pPr>
      <w:r>
        <w:rPr>
          <w:rFonts w:hint="eastAsia"/>
          <w:highlight w:val="none"/>
          <w:lang w:val="en-US" w:eastAsia="zh-CN"/>
        </w:rPr>
        <w:t>（3）将交换库数据部分同步至自治区政法委及公安厅；</w:t>
      </w:r>
    </w:p>
    <w:p w14:paraId="676C3766">
      <w:pPr>
        <w:ind w:firstLine="480" w:firstLineChars="200"/>
        <w:rPr>
          <w:rFonts w:hint="eastAsia"/>
          <w:highlight w:val="none"/>
          <w:lang w:val="en-US" w:eastAsia="zh-CN"/>
        </w:rPr>
      </w:pPr>
      <w:r>
        <w:rPr>
          <w:rFonts w:hint="eastAsia"/>
          <w:highlight w:val="none"/>
          <w:lang w:val="en-US" w:eastAsia="zh-CN"/>
        </w:rPr>
        <w:t>在同步初期需对各节点软硬件环境进行调研工作，设计部署规划，安装软件代理程序，全量同步数据后进入实时增量同步状态，各地州分别与生产库比对校验数据，保证数据的完整性及可用性。</w:t>
      </w:r>
    </w:p>
    <w:p w14:paraId="3623F103">
      <w:pPr>
        <w:rPr>
          <w:rFonts w:hint="eastAsia"/>
          <w:highlight w:val="none"/>
          <w:lang w:val="en-US" w:eastAsia="zh-CN"/>
        </w:rPr>
      </w:pPr>
      <w:r>
        <w:rPr>
          <w:rFonts w:hint="eastAsia"/>
          <w:highlight w:val="none"/>
          <w:lang w:val="en-US" w:eastAsia="zh-CN"/>
        </w:rPr>
        <w:t>2.就业数据回流维保服务范围概况</w:t>
      </w:r>
    </w:p>
    <w:p w14:paraId="116F8C18">
      <w:pPr>
        <w:ind w:firstLine="480" w:firstLineChars="200"/>
        <w:rPr>
          <w:rFonts w:hint="eastAsia"/>
          <w:highlight w:val="none"/>
          <w:lang w:val="en-US" w:eastAsia="zh-CN"/>
        </w:rPr>
      </w:pPr>
      <w:r>
        <w:rPr>
          <w:rFonts w:hint="eastAsia"/>
          <w:highlight w:val="none"/>
          <w:lang w:val="en-US" w:eastAsia="zh-CN"/>
        </w:rPr>
        <w:t>将就业生产库部分，公共服务库数据需要回流的数据实时同步复制到交换库。</w:t>
      </w:r>
    </w:p>
    <w:p w14:paraId="49B4CB7C">
      <w:pPr>
        <w:ind w:firstLine="480" w:firstLineChars="200"/>
        <w:rPr>
          <w:rFonts w:hint="eastAsia"/>
          <w:highlight w:val="none"/>
          <w:lang w:val="en-US" w:eastAsia="zh-CN"/>
        </w:rPr>
      </w:pPr>
      <w:r>
        <w:rPr>
          <w:rFonts w:hint="eastAsia"/>
          <w:highlight w:val="none"/>
          <w:lang w:val="en-US" w:eastAsia="zh-CN"/>
        </w:rPr>
        <w:t>（1）在交换库对没有地州字段的数据添加地州字段，以达到根据地州字段筛选，并且为共享回推数据做准备。</w:t>
      </w:r>
    </w:p>
    <w:p w14:paraId="1A13E3E6">
      <w:pPr>
        <w:ind w:firstLine="480" w:firstLineChars="200"/>
        <w:rPr>
          <w:rFonts w:hint="eastAsia"/>
          <w:highlight w:val="none"/>
          <w:lang w:val="en-US" w:eastAsia="zh-CN"/>
        </w:rPr>
      </w:pPr>
      <w:r>
        <w:rPr>
          <w:rFonts w:hint="eastAsia"/>
          <w:highlight w:val="none"/>
          <w:lang w:val="en-US" w:eastAsia="zh-CN"/>
        </w:rPr>
        <w:t>（2）将交换库数据拆分处理后分别回推给各地州本地就业库，主要包括以下地州：乌鲁木齐市、伊犁州、克州、巴州、阿克苏地区、喀什地区、塔城地区、和田地区、博州、哈密市、吐鲁番市、阿勒泰地区。</w:t>
      </w:r>
    </w:p>
    <w:p w14:paraId="7878EA66">
      <w:pPr>
        <w:ind w:firstLine="480" w:firstLineChars="200"/>
        <w:rPr>
          <w:rFonts w:hint="eastAsia"/>
          <w:highlight w:val="none"/>
          <w:lang w:val="en-US" w:eastAsia="zh-CN"/>
        </w:rPr>
      </w:pPr>
      <w:r>
        <w:rPr>
          <w:rFonts w:hint="eastAsia"/>
          <w:highlight w:val="none"/>
          <w:lang w:val="en-US" w:eastAsia="zh-CN"/>
        </w:rPr>
        <w:t>（3）将就业库全部数据同步至就业备份库；</w:t>
      </w:r>
    </w:p>
    <w:p w14:paraId="24B466C4">
      <w:pPr>
        <w:ind w:firstLine="480" w:firstLineChars="200"/>
        <w:rPr>
          <w:rFonts w:hint="eastAsia"/>
          <w:highlight w:val="none"/>
          <w:lang w:val="en-US" w:eastAsia="zh-CN"/>
        </w:rPr>
      </w:pPr>
      <w:r>
        <w:rPr>
          <w:rFonts w:hint="eastAsia"/>
          <w:highlight w:val="none"/>
          <w:lang w:val="en-US" w:eastAsia="zh-CN"/>
        </w:rPr>
        <w:t>（4）将卡业务的两个库全部同步数据备份库；</w:t>
      </w:r>
    </w:p>
    <w:p w14:paraId="23171027">
      <w:pPr>
        <w:ind w:firstLine="480" w:firstLineChars="200"/>
        <w:rPr>
          <w:rFonts w:hint="eastAsia"/>
          <w:highlight w:val="none"/>
          <w:lang w:val="en-US" w:eastAsia="zh-CN"/>
        </w:rPr>
      </w:pPr>
      <w:r>
        <w:rPr>
          <w:rFonts w:hint="eastAsia"/>
          <w:highlight w:val="none"/>
          <w:lang w:val="en-US" w:eastAsia="zh-CN"/>
        </w:rPr>
        <w:t>在同步初期需对各节点软硬件环境进行调研工作，设计部署规划，安装软件代理程序，全量同步数据后进入实时增量同步状态，各地州分别与生产库比对校验数据，保证数据的完整性及可用性。</w:t>
      </w:r>
    </w:p>
    <w:p w14:paraId="491170D5">
      <w:pPr>
        <w:rPr>
          <w:rFonts w:hint="eastAsia"/>
          <w:b/>
          <w:bCs/>
          <w:highlight w:val="none"/>
          <w:lang w:val="en-US" w:eastAsia="zh-CN"/>
        </w:rPr>
      </w:pPr>
      <w:r>
        <w:rPr>
          <w:rFonts w:hint="eastAsia"/>
          <w:b/>
          <w:bCs/>
          <w:highlight w:val="none"/>
          <w:lang w:val="en-US" w:eastAsia="zh-CN"/>
        </w:rPr>
        <w:t>（三）维保服务内容</w:t>
      </w:r>
    </w:p>
    <w:p w14:paraId="766363AF">
      <w:pPr>
        <w:rPr>
          <w:rFonts w:hint="eastAsia"/>
          <w:b/>
          <w:bCs/>
          <w:highlight w:val="none"/>
          <w:lang w:val="en-US" w:eastAsia="zh-CN"/>
        </w:rPr>
      </w:pPr>
      <w:r>
        <w:rPr>
          <w:rFonts w:hint="eastAsia"/>
          <w:b/>
          <w:bCs/>
          <w:highlight w:val="none"/>
          <w:lang w:val="en-US" w:eastAsia="zh-CN"/>
        </w:rPr>
        <w:t>日常维护服务</w:t>
      </w:r>
    </w:p>
    <w:p w14:paraId="5F2B2909">
      <w:pPr>
        <w:ind w:firstLine="480" w:firstLineChars="200"/>
        <w:rPr>
          <w:rFonts w:hint="eastAsia"/>
          <w:highlight w:val="none"/>
          <w:lang w:val="en-US" w:eastAsia="zh-CN"/>
        </w:rPr>
      </w:pPr>
      <w:r>
        <w:rPr>
          <w:rFonts w:hint="eastAsia"/>
          <w:highlight w:val="none"/>
          <w:lang w:val="en-US" w:eastAsia="zh-CN"/>
        </w:rPr>
        <w:t>1、对厅里同步软件所有队列的源端、目标端的运行状态进行监控（包括源端数据库是否正常，同步软件是否分析及正常发送数据，目标端数据库是否正常，同步软件是否正常接收及加载数据）；</w:t>
      </w:r>
    </w:p>
    <w:p w14:paraId="13BF98F5">
      <w:pPr>
        <w:ind w:firstLine="480" w:firstLineChars="200"/>
        <w:rPr>
          <w:rFonts w:hint="eastAsia"/>
          <w:highlight w:val="none"/>
          <w:lang w:val="en-US" w:eastAsia="zh-CN"/>
        </w:rPr>
      </w:pPr>
      <w:r>
        <w:rPr>
          <w:rFonts w:hint="eastAsia"/>
          <w:highlight w:val="none"/>
          <w:lang w:val="en-US" w:eastAsia="zh-CN"/>
        </w:rPr>
        <w:t>2、对厅里同步软件所有备份的源端、备份端的备份状态进行监控（包括源端数据库是否正常，备份软件是否分析及发送备份数据，备份端数据库是否正常，备份软件是否正常接收及保存备份数据）；</w:t>
      </w:r>
    </w:p>
    <w:p w14:paraId="4E2ED554">
      <w:pPr>
        <w:ind w:firstLine="480" w:firstLineChars="200"/>
        <w:rPr>
          <w:rFonts w:hint="eastAsia"/>
          <w:highlight w:val="none"/>
          <w:lang w:val="en-US" w:eastAsia="zh-CN"/>
        </w:rPr>
      </w:pPr>
      <w:r>
        <w:rPr>
          <w:rFonts w:hint="eastAsia"/>
          <w:highlight w:val="none"/>
          <w:lang w:val="en-US" w:eastAsia="zh-CN"/>
        </w:rPr>
        <w:t>3、及时提交完整的日常监控记录文档（见附录1）。</w:t>
      </w:r>
    </w:p>
    <w:p w14:paraId="49C80A20">
      <w:pPr>
        <w:rPr>
          <w:rFonts w:hint="eastAsia"/>
          <w:b/>
          <w:bCs/>
          <w:highlight w:val="none"/>
          <w:lang w:val="en-US" w:eastAsia="zh-CN"/>
        </w:rPr>
      </w:pPr>
      <w:r>
        <w:rPr>
          <w:rFonts w:hint="eastAsia"/>
          <w:b/>
          <w:bCs/>
          <w:highlight w:val="none"/>
          <w:lang w:val="en-US" w:eastAsia="zh-CN"/>
        </w:rPr>
        <w:t>软件问题处理</w:t>
      </w:r>
    </w:p>
    <w:p w14:paraId="418EF06B">
      <w:pPr>
        <w:ind w:firstLine="480" w:firstLineChars="200"/>
        <w:rPr>
          <w:rFonts w:hint="eastAsia"/>
          <w:highlight w:val="none"/>
          <w:lang w:val="en-US" w:eastAsia="zh-CN"/>
        </w:rPr>
      </w:pPr>
      <w:r>
        <w:rPr>
          <w:rFonts w:hint="eastAsia"/>
          <w:highlight w:val="none"/>
          <w:lang w:val="en-US" w:eastAsia="zh-CN"/>
        </w:rPr>
        <w:t>1、对未能实时同步加载的队列进行错误解决，保证实时同步数据有效性及一致性；</w:t>
      </w:r>
    </w:p>
    <w:p w14:paraId="04988734">
      <w:pPr>
        <w:ind w:firstLine="480" w:firstLineChars="200"/>
        <w:rPr>
          <w:rFonts w:hint="eastAsia"/>
          <w:highlight w:val="none"/>
          <w:lang w:val="en-US" w:eastAsia="zh-CN"/>
        </w:rPr>
      </w:pPr>
      <w:r>
        <w:rPr>
          <w:rFonts w:hint="eastAsia"/>
          <w:highlight w:val="none"/>
          <w:lang w:val="en-US" w:eastAsia="zh-CN"/>
        </w:rPr>
        <w:t>2、对未能备份的数据库进行安全检查，发现错误原因并予以解决；</w:t>
      </w:r>
    </w:p>
    <w:p w14:paraId="08887BB2">
      <w:pPr>
        <w:ind w:firstLine="480" w:firstLineChars="200"/>
        <w:rPr>
          <w:rFonts w:hint="eastAsia"/>
          <w:highlight w:val="none"/>
          <w:lang w:val="en-US" w:eastAsia="zh-CN"/>
        </w:rPr>
      </w:pPr>
      <w:r>
        <w:rPr>
          <w:rFonts w:hint="eastAsia"/>
          <w:highlight w:val="none"/>
          <w:lang w:val="en-US" w:eastAsia="zh-CN"/>
        </w:rPr>
        <w:t>3、调整软件相关策略，灵活满足客户的容灾需求；</w:t>
      </w:r>
    </w:p>
    <w:p w14:paraId="4FE67B1C">
      <w:pPr>
        <w:ind w:firstLine="480" w:firstLineChars="200"/>
        <w:rPr>
          <w:rFonts w:hint="eastAsia"/>
          <w:highlight w:val="none"/>
          <w:lang w:val="en-US" w:eastAsia="zh-CN"/>
        </w:rPr>
      </w:pPr>
      <w:r>
        <w:rPr>
          <w:rFonts w:hint="eastAsia"/>
          <w:highlight w:val="none"/>
          <w:lang w:val="en-US" w:eastAsia="zh-CN"/>
        </w:rPr>
        <w:t>4、bug处理：在软件运行过程中出现意外错误时，及时对软件进行相应修补；</w:t>
      </w:r>
    </w:p>
    <w:p w14:paraId="371B11C0">
      <w:pPr>
        <w:ind w:firstLine="480" w:firstLineChars="200"/>
        <w:rPr>
          <w:rFonts w:hint="eastAsia"/>
          <w:highlight w:val="none"/>
          <w:lang w:val="en-US" w:eastAsia="zh-CN"/>
        </w:rPr>
      </w:pPr>
      <w:r>
        <w:rPr>
          <w:rFonts w:hint="eastAsia"/>
          <w:highlight w:val="none"/>
          <w:lang w:val="en-US" w:eastAsia="zh-CN"/>
        </w:rPr>
        <w:t>5、根据用户需求及数据量和系统结构的变化，对同步软件、备份软件的参数进行调整，确保系统运行在最佳状态；</w:t>
      </w:r>
    </w:p>
    <w:p w14:paraId="50D4ABDF">
      <w:pPr>
        <w:ind w:firstLine="480" w:firstLineChars="200"/>
        <w:rPr>
          <w:rFonts w:hint="eastAsia"/>
          <w:highlight w:val="none"/>
          <w:lang w:val="en-US" w:eastAsia="zh-CN"/>
        </w:rPr>
      </w:pPr>
      <w:r>
        <w:rPr>
          <w:rFonts w:hint="eastAsia"/>
          <w:highlight w:val="none"/>
          <w:lang w:val="en-US" w:eastAsia="zh-CN"/>
        </w:rPr>
        <w:t>6、源端和目标端数据库对象和数据比对；</w:t>
      </w:r>
    </w:p>
    <w:p w14:paraId="6220E0D4">
      <w:pPr>
        <w:ind w:firstLine="480" w:firstLineChars="200"/>
        <w:rPr>
          <w:rFonts w:hint="eastAsia"/>
          <w:highlight w:val="none"/>
          <w:lang w:val="en-US" w:eastAsia="zh-CN"/>
        </w:rPr>
      </w:pPr>
      <w:r>
        <w:rPr>
          <w:rFonts w:hint="eastAsia"/>
          <w:highlight w:val="none"/>
          <w:lang w:val="en-US" w:eastAsia="zh-CN"/>
        </w:rPr>
        <w:t>7、源端和目标端数据库对象和数据修复；</w:t>
      </w:r>
    </w:p>
    <w:p w14:paraId="3FFE7036">
      <w:pPr>
        <w:ind w:firstLine="480" w:firstLineChars="200"/>
        <w:rPr>
          <w:rFonts w:hint="eastAsia"/>
          <w:highlight w:val="none"/>
          <w:lang w:val="en-US" w:eastAsia="zh-CN"/>
        </w:rPr>
      </w:pPr>
      <w:r>
        <w:rPr>
          <w:rFonts w:hint="eastAsia"/>
          <w:highlight w:val="none"/>
          <w:lang w:val="en-US" w:eastAsia="zh-CN"/>
        </w:rPr>
        <w:t>8、报表库全表重复数据处理，全表主键和索引重建；</w:t>
      </w:r>
    </w:p>
    <w:p w14:paraId="7537E0FA">
      <w:pPr>
        <w:ind w:firstLine="480" w:firstLineChars="200"/>
        <w:rPr>
          <w:rFonts w:hint="eastAsia"/>
          <w:highlight w:val="none"/>
          <w:lang w:val="en-US" w:eastAsia="zh-CN"/>
        </w:rPr>
      </w:pPr>
      <w:r>
        <w:rPr>
          <w:rFonts w:hint="eastAsia"/>
          <w:highlight w:val="none"/>
          <w:lang w:val="en-US" w:eastAsia="zh-CN"/>
        </w:rPr>
        <w:t>9、及时提交完整的问题故障处理记录文档（见附录2）。</w:t>
      </w:r>
    </w:p>
    <w:p w14:paraId="22A8810D">
      <w:pPr>
        <w:rPr>
          <w:rFonts w:hint="eastAsia"/>
          <w:b/>
          <w:bCs/>
          <w:highlight w:val="none"/>
          <w:lang w:val="en-US" w:eastAsia="zh-CN"/>
        </w:rPr>
      </w:pPr>
      <w:r>
        <w:rPr>
          <w:rFonts w:hint="eastAsia"/>
          <w:b/>
          <w:bCs/>
          <w:highlight w:val="none"/>
          <w:lang w:val="en-US" w:eastAsia="zh-CN"/>
        </w:rPr>
        <w:t>深度巡检</w:t>
      </w:r>
    </w:p>
    <w:p w14:paraId="5A996246">
      <w:pPr>
        <w:ind w:firstLine="480" w:firstLineChars="200"/>
        <w:rPr>
          <w:rFonts w:hint="eastAsia"/>
          <w:highlight w:val="none"/>
          <w:lang w:val="en-US" w:eastAsia="zh-CN"/>
        </w:rPr>
      </w:pPr>
      <w:r>
        <w:rPr>
          <w:rFonts w:hint="eastAsia"/>
          <w:highlight w:val="none"/>
          <w:lang w:val="en-US" w:eastAsia="zh-CN"/>
        </w:rPr>
        <w:t>1、针对同步软件的高端策略配置、数据转换配置等进行检查和校验；</w:t>
      </w:r>
    </w:p>
    <w:p w14:paraId="12FF0B1E">
      <w:pPr>
        <w:ind w:firstLine="480" w:firstLineChars="200"/>
        <w:rPr>
          <w:rFonts w:hint="eastAsia"/>
          <w:highlight w:val="none"/>
          <w:lang w:val="en-US" w:eastAsia="zh-CN"/>
        </w:rPr>
      </w:pPr>
      <w:r>
        <w:rPr>
          <w:rFonts w:hint="eastAsia"/>
          <w:highlight w:val="none"/>
          <w:lang w:val="en-US" w:eastAsia="zh-CN"/>
        </w:rPr>
        <w:t>2、配置备份高级参数，配置线程数、内存大小，确保备份软件效率最高</w:t>
      </w:r>
    </w:p>
    <w:p w14:paraId="761F411E">
      <w:pPr>
        <w:ind w:firstLine="480" w:firstLineChars="200"/>
        <w:rPr>
          <w:rFonts w:hint="eastAsia"/>
          <w:highlight w:val="none"/>
          <w:lang w:val="en-US" w:eastAsia="zh-CN"/>
        </w:rPr>
      </w:pPr>
      <w:r>
        <w:rPr>
          <w:rFonts w:hint="eastAsia"/>
          <w:highlight w:val="none"/>
          <w:lang w:val="en-US" w:eastAsia="zh-CN"/>
        </w:rPr>
        <w:t>3、同步软件两端数据库进行严格数据比对，保证目标端与源端的数据一致性；</w:t>
      </w:r>
    </w:p>
    <w:p w14:paraId="58BAA2FE">
      <w:pPr>
        <w:ind w:firstLine="480" w:firstLineChars="200"/>
        <w:rPr>
          <w:rFonts w:hint="eastAsia"/>
          <w:highlight w:val="none"/>
          <w:lang w:val="en-US" w:eastAsia="zh-CN"/>
        </w:rPr>
      </w:pPr>
      <w:r>
        <w:rPr>
          <w:rFonts w:hint="eastAsia"/>
          <w:highlight w:val="none"/>
          <w:lang w:val="en-US" w:eastAsia="zh-CN"/>
        </w:rPr>
        <w:t>4、调整同步软件参数，对可能导致数据丢失的DDL操作，如Truncate、drop排除同步操作；及时提交完整的巡检报告和隐患排查报告（见附录3）。</w:t>
      </w:r>
    </w:p>
    <w:p w14:paraId="5F88A220">
      <w:pPr>
        <w:rPr>
          <w:rFonts w:hint="eastAsia"/>
          <w:b/>
          <w:bCs/>
          <w:highlight w:val="none"/>
          <w:lang w:val="en-US" w:eastAsia="zh-CN"/>
        </w:rPr>
      </w:pPr>
      <w:r>
        <w:rPr>
          <w:rFonts w:hint="eastAsia"/>
          <w:b/>
          <w:bCs/>
          <w:highlight w:val="none"/>
          <w:lang w:val="en-US" w:eastAsia="zh-CN"/>
        </w:rPr>
        <w:t>软件咨询服务</w:t>
      </w:r>
    </w:p>
    <w:p w14:paraId="210AD6B7">
      <w:pPr>
        <w:ind w:firstLine="480" w:firstLineChars="200"/>
        <w:rPr>
          <w:rFonts w:hint="eastAsia"/>
          <w:highlight w:val="none"/>
          <w:lang w:val="en-US" w:eastAsia="zh-CN"/>
        </w:rPr>
      </w:pPr>
      <w:r>
        <w:rPr>
          <w:rFonts w:hint="eastAsia"/>
          <w:highlight w:val="none"/>
          <w:lang w:val="en-US" w:eastAsia="zh-CN"/>
        </w:rPr>
        <w:t>1、面向客户在使用过程中出现的关于同步、备份软件的所有技术问题咨询；</w:t>
      </w:r>
    </w:p>
    <w:p w14:paraId="768A5E22">
      <w:pPr>
        <w:ind w:firstLine="480" w:firstLineChars="200"/>
        <w:rPr>
          <w:rFonts w:hint="eastAsia"/>
          <w:highlight w:val="none"/>
          <w:lang w:val="en-US" w:eastAsia="zh-CN"/>
        </w:rPr>
      </w:pPr>
      <w:r>
        <w:rPr>
          <w:rFonts w:hint="eastAsia"/>
          <w:highlight w:val="none"/>
          <w:lang w:val="en-US" w:eastAsia="zh-CN"/>
        </w:rPr>
        <w:t>2、建立咨询服务工作成果支撑文档。</w:t>
      </w:r>
    </w:p>
    <w:p w14:paraId="50196844">
      <w:pPr>
        <w:rPr>
          <w:rFonts w:hint="eastAsia"/>
          <w:b/>
          <w:bCs/>
          <w:highlight w:val="none"/>
          <w:lang w:val="en-US" w:eastAsia="zh-CN"/>
        </w:rPr>
      </w:pPr>
      <w:r>
        <w:rPr>
          <w:rFonts w:hint="eastAsia"/>
          <w:b/>
          <w:bCs/>
          <w:highlight w:val="none"/>
          <w:lang w:val="en-US" w:eastAsia="zh-CN"/>
        </w:rPr>
        <w:t>软件培训</w:t>
      </w:r>
    </w:p>
    <w:p w14:paraId="6E0F6A17">
      <w:pPr>
        <w:ind w:firstLine="480" w:firstLineChars="200"/>
        <w:rPr>
          <w:rFonts w:hint="eastAsia"/>
          <w:highlight w:val="none"/>
          <w:lang w:val="en-US" w:eastAsia="zh-CN"/>
        </w:rPr>
      </w:pPr>
      <w:r>
        <w:rPr>
          <w:rFonts w:hint="eastAsia"/>
          <w:highlight w:val="none"/>
          <w:lang w:val="en-US" w:eastAsia="zh-CN"/>
        </w:rPr>
        <w:t>1、在服务期间内进行多次数据库复制、备份产品培训，以便用户熟悉软件基本操作及特性；</w:t>
      </w:r>
    </w:p>
    <w:p w14:paraId="3A41C7DB">
      <w:pPr>
        <w:ind w:firstLine="480" w:firstLineChars="200"/>
        <w:rPr>
          <w:rFonts w:hint="eastAsia"/>
          <w:highlight w:val="none"/>
          <w:lang w:val="en-US" w:eastAsia="zh-CN"/>
        </w:rPr>
      </w:pPr>
      <w:r>
        <w:rPr>
          <w:rFonts w:hint="eastAsia"/>
          <w:highlight w:val="none"/>
          <w:lang w:val="en-US" w:eastAsia="zh-CN"/>
        </w:rPr>
        <w:t>2、及时提交完整的用户培训文档。</w:t>
      </w:r>
    </w:p>
    <w:p w14:paraId="1B418947">
      <w:pPr>
        <w:rPr>
          <w:rFonts w:hint="eastAsia"/>
          <w:b/>
          <w:bCs/>
          <w:highlight w:val="none"/>
          <w:lang w:val="en-US" w:eastAsia="zh-CN"/>
        </w:rPr>
      </w:pPr>
      <w:r>
        <w:rPr>
          <w:rFonts w:hint="eastAsia"/>
          <w:b/>
          <w:bCs/>
          <w:highlight w:val="none"/>
          <w:lang w:val="en-US" w:eastAsia="zh-CN"/>
        </w:rPr>
        <w:t>数据库优化</w:t>
      </w:r>
    </w:p>
    <w:p w14:paraId="7AF4A536">
      <w:pPr>
        <w:ind w:firstLine="480" w:firstLineChars="200"/>
        <w:rPr>
          <w:rFonts w:hint="eastAsia"/>
          <w:highlight w:val="none"/>
          <w:lang w:val="en-US" w:eastAsia="zh-CN"/>
        </w:rPr>
      </w:pPr>
      <w:r>
        <w:rPr>
          <w:rFonts w:hint="eastAsia"/>
          <w:highlight w:val="none"/>
          <w:lang w:val="en-US" w:eastAsia="zh-CN"/>
        </w:rPr>
        <w:t>1、及时发现运行问题并调整数据库及软件参数，达到优化效果，提升用户使用满意度；</w:t>
      </w:r>
    </w:p>
    <w:p w14:paraId="62EFD272">
      <w:pPr>
        <w:ind w:firstLine="480" w:firstLineChars="200"/>
        <w:rPr>
          <w:rFonts w:hint="eastAsia"/>
          <w:highlight w:val="none"/>
          <w:lang w:val="en-US" w:eastAsia="zh-CN"/>
        </w:rPr>
      </w:pPr>
      <w:r>
        <w:rPr>
          <w:rFonts w:hint="eastAsia"/>
          <w:highlight w:val="none"/>
          <w:lang w:val="en-US" w:eastAsia="zh-CN"/>
        </w:rPr>
        <w:t>2、及时提交完整的数据库优化记录报告。</w:t>
      </w:r>
    </w:p>
    <w:p w14:paraId="62163D4B">
      <w:pPr>
        <w:rPr>
          <w:rFonts w:hint="eastAsia"/>
          <w:b/>
          <w:bCs/>
          <w:highlight w:val="none"/>
          <w:lang w:val="en-US" w:eastAsia="zh-CN"/>
        </w:rPr>
      </w:pPr>
      <w:r>
        <w:rPr>
          <w:rFonts w:hint="eastAsia"/>
          <w:b/>
          <w:bCs/>
          <w:highlight w:val="none"/>
          <w:lang w:val="en-US" w:eastAsia="zh-CN"/>
        </w:rPr>
        <w:t>数据恢复服务</w:t>
      </w:r>
    </w:p>
    <w:p w14:paraId="7F1CF234">
      <w:pPr>
        <w:ind w:firstLine="480" w:firstLineChars="200"/>
        <w:rPr>
          <w:rFonts w:hint="eastAsia"/>
          <w:highlight w:val="none"/>
          <w:lang w:val="en-US" w:eastAsia="zh-CN"/>
        </w:rPr>
      </w:pPr>
      <w:r>
        <w:rPr>
          <w:rFonts w:hint="eastAsia"/>
          <w:highlight w:val="none"/>
          <w:lang w:val="en-US" w:eastAsia="zh-CN"/>
        </w:rPr>
        <w:t>4套备份的数据库发生故障后，根据系统损坏的情况提供各种数据恢复服务</w:t>
      </w:r>
    </w:p>
    <w:p w14:paraId="25419D5A">
      <w:pPr>
        <w:rPr>
          <w:rFonts w:hint="eastAsia"/>
          <w:b/>
          <w:bCs/>
          <w:highlight w:val="none"/>
          <w:lang w:val="en-US" w:eastAsia="zh-CN"/>
        </w:rPr>
      </w:pPr>
      <w:r>
        <w:rPr>
          <w:rFonts w:hint="eastAsia"/>
          <w:b/>
          <w:bCs/>
          <w:highlight w:val="none"/>
          <w:lang w:val="en-US" w:eastAsia="zh-CN"/>
        </w:rPr>
        <w:t>地市数据恢复协助</w:t>
      </w:r>
    </w:p>
    <w:p w14:paraId="48F030E8">
      <w:pPr>
        <w:ind w:firstLine="480" w:firstLineChars="200"/>
        <w:rPr>
          <w:rFonts w:hint="eastAsia"/>
          <w:highlight w:val="none"/>
          <w:lang w:val="en-US" w:eastAsia="zh-CN"/>
        </w:rPr>
      </w:pPr>
      <w:r>
        <w:rPr>
          <w:rFonts w:hint="eastAsia"/>
          <w:highlight w:val="none"/>
          <w:lang w:val="en-US" w:eastAsia="zh-CN"/>
        </w:rPr>
        <w:t>地市人社局系统法神故障可能导致数据丢失时，可以从厅信息中心机房反向回写业务数据，协助地市人社局恢复数据和应用。</w:t>
      </w:r>
    </w:p>
    <w:p w14:paraId="7647AC09">
      <w:pPr>
        <w:rPr>
          <w:rFonts w:hint="eastAsia"/>
          <w:b/>
          <w:bCs/>
          <w:highlight w:val="none"/>
          <w:lang w:val="en-US" w:eastAsia="zh-CN"/>
        </w:rPr>
      </w:pPr>
      <w:r>
        <w:rPr>
          <w:rFonts w:hint="eastAsia"/>
          <w:b/>
          <w:bCs/>
          <w:highlight w:val="none"/>
          <w:lang w:val="en-US" w:eastAsia="zh-CN"/>
        </w:rPr>
        <w:t>数据快照回写</w:t>
      </w:r>
    </w:p>
    <w:p w14:paraId="231740AA">
      <w:pPr>
        <w:ind w:firstLine="480" w:firstLineChars="200"/>
        <w:rPr>
          <w:rFonts w:hint="eastAsia"/>
          <w:highlight w:val="none"/>
          <w:lang w:val="en-US" w:eastAsia="zh-CN"/>
        </w:rPr>
      </w:pPr>
      <w:r>
        <w:rPr>
          <w:rFonts w:hint="eastAsia"/>
          <w:highlight w:val="none"/>
          <w:lang w:val="en-US" w:eastAsia="zh-CN"/>
        </w:rPr>
        <w:t>在发生逻辑错误的情况下，通过备份软件的快照功能，将错误发生前的状态恢复出来，从而帮助用户减少数据损失，缩短下线时间。</w:t>
      </w:r>
    </w:p>
    <w:p w14:paraId="3BABFB14">
      <w:pPr>
        <w:rPr>
          <w:rFonts w:hint="eastAsia"/>
          <w:b/>
          <w:bCs/>
          <w:highlight w:val="none"/>
          <w:lang w:val="en-US" w:eastAsia="zh-CN"/>
        </w:rPr>
      </w:pPr>
      <w:r>
        <w:rPr>
          <w:rFonts w:hint="eastAsia"/>
          <w:b/>
          <w:bCs/>
          <w:highlight w:val="none"/>
          <w:lang w:val="en-US" w:eastAsia="zh-CN"/>
        </w:rPr>
        <w:t>新环境搭建</w:t>
      </w:r>
    </w:p>
    <w:p w14:paraId="76C936D6">
      <w:pPr>
        <w:ind w:firstLine="480" w:firstLineChars="200"/>
        <w:rPr>
          <w:rFonts w:hint="eastAsia"/>
          <w:highlight w:val="none"/>
          <w:lang w:val="en-US" w:eastAsia="zh-CN"/>
        </w:rPr>
      </w:pPr>
      <w:r>
        <w:rPr>
          <w:rFonts w:hint="eastAsia"/>
          <w:highlight w:val="none"/>
          <w:lang w:val="en-US" w:eastAsia="zh-CN"/>
        </w:rPr>
        <w:t>1、安装服务器操作系统；</w:t>
      </w:r>
    </w:p>
    <w:p w14:paraId="70A0D78A">
      <w:pPr>
        <w:ind w:firstLine="480" w:firstLineChars="200"/>
        <w:rPr>
          <w:rFonts w:hint="eastAsia"/>
          <w:highlight w:val="none"/>
          <w:lang w:val="en-US" w:eastAsia="zh-CN"/>
        </w:rPr>
      </w:pPr>
      <w:r>
        <w:rPr>
          <w:rFonts w:hint="eastAsia"/>
          <w:highlight w:val="none"/>
          <w:lang w:val="en-US" w:eastAsia="zh-CN"/>
        </w:rPr>
        <w:t>2、安装数据库软件并配置相应可同步环境；</w:t>
      </w:r>
    </w:p>
    <w:p w14:paraId="22410D52">
      <w:pPr>
        <w:ind w:firstLine="480" w:firstLineChars="200"/>
        <w:rPr>
          <w:rFonts w:hint="eastAsia"/>
          <w:highlight w:val="none"/>
          <w:lang w:val="en-US" w:eastAsia="zh-CN"/>
        </w:rPr>
      </w:pPr>
      <w:r>
        <w:rPr>
          <w:rFonts w:hint="eastAsia"/>
          <w:highlight w:val="none"/>
          <w:lang w:val="en-US" w:eastAsia="zh-CN"/>
        </w:rPr>
        <w:t>3、安装相应版本备份或同步软件；</w:t>
      </w:r>
    </w:p>
    <w:p w14:paraId="2825FCCA">
      <w:pPr>
        <w:ind w:firstLine="480" w:firstLineChars="200"/>
        <w:rPr>
          <w:rFonts w:hint="eastAsia"/>
          <w:highlight w:val="none"/>
          <w:lang w:val="en-US" w:eastAsia="zh-CN"/>
        </w:rPr>
      </w:pPr>
      <w:r>
        <w:rPr>
          <w:rFonts w:hint="eastAsia"/>
          <w:highlight w:val="none"/>
          <w:lang w:val="en-US" w:eastAsia="zh-CN"/>
        </w:rPr>
        <w:t>4、记录相应的安装过程文档。</w:t>
      </w:r>
    </w:p>
    <w:p w14:paraId="39C20A8F">
      <w:pPr>
        <w:rPr>
          <w:rFonts w:hint="eastAsia"/>
          <w:b/>
          <w:bCs/>
          <w:highlight w:val="none"/>
          <w:lang w:val="en-US" w:eastAsia="zh-CN"/>
        </w:rPr>
      </w:pPr>
      <w:r>
        <w:rPr>
          <w:rFonts w:hint="eastAsia"/>
          <w:b/>
          <w:bCs/>
          <w:highlight w:val="none"/>
          <w:lang w:val="en-US" w:eastAsia="zh-CN"/>
        </w:rPr>
        <w:t>复制软件License迁移</w:t>
      </w:r>
    </w:p>
    <w:p w14:paraId="626DA386">
      <w:pPr>
        <w:ind w:firstLine="480" w:firstLineChars="200"/>
        <w:rPr>
          <w:rFonts w:hint="eastAsia"/>
          <w:highlight w:val="none"/>
          <w:lang w:val="en-US" w:eastAsia="zh-CN"/>
        </w:rPr>
      </w:pPr>
      <w:r>
        <w:rPr>
          <w:rFonts w:hint="eastAsia"/>
          <w:highlight w:val="none"/>
          <w:lang w:val="en-US" w:eastAsia="zh-CN"/>
        </w:rPr>
        <w:t>1、根据现场网络拓扑和硬件架构，搭建满足客户需要的容灾软件；</w:t>
      </w:r>
    </w:p>
    <w:p w14:paraId="39537031">
      <w:pPr>
        <w:ind w:firstLine="480" w:firstLineChars="200"/>
        <w:rPr>
          <w:rFonts w:hint="eastAsia"/>
          <w:highlight w:val="none"/>
          <w:lang w:val="en-US" w:eastAsia="zh-CN"/>
        </w:rPr>
      </w:pPr>
      <w:r>
        <w:rPr>
          <w:rFonts w:hint="eastAsia"/>
          <w:highlight w:val="none"/>
          <w:lang w:val="en-US" w:eastAsia="zh-CN"/>
        </w:rPr>
        <w:t>2、根据用户实际需要，配置相应软件策略，达到最优同步效果；</w:t>
      </w:r>
    </w:p>
    <w:p w14:paraId="2F26AC91">
      <w:pPr>
        <w:ind w:firstLine="480" w:firstLineChars="200"/>
        <w:rPr>
          <w:rFonts w:hint="eastAsia"/>
          <w:highlight w:val="none"/>
          <w:lang w:val="en-US" w:eastAsia="zh-CN"/>
        </w:rPr>
      </w:pPr>
      <w:r>
        <w:rPr>
          <w:rFonts w:hint="eastAsia"/>
          <w:highlight w:val="none"/>
          <w:lang w:val="en-US" w:eastAsia="zh-CN"/>
        </w:rPr>
        <w:t>3、记录相应的同步软件配置策略文档。</w:t>
      </w:r>
    </w:p>
    <w:p w14:paraId="5507D448">
      <w:pPr>
        <w:rPr>
          <w:rFonts w:hint="eastAsia"/>
          <w:b/>
          <w:bCs/>
          <w:highlight w:val="none"/>
          <w:lang w:val="en-US" w:eastAsia="zh-CN"/>
        </w:rPr>
      </w:pPr>
      <w:r>
        <w:rPr>
          <w:rFonts w:hint="eastAsia"/>
          <w:b/>
          <w:bCs/>
          <w:highlight w:val="none"/>
          <w:lang w:val="en-US" w:eastAsia="zh-CN"/>
        </w:rPr>
        <w:t>备份软件License迁移</w:t>
      </w:r>
    </w:p>
    <w:p w14:paraId="6F0CD1EB">
      <w:pPr>
        <w:ind w:firstLine="480" w:firstLineChars="200"/>
        <w:rPr>
          <w:rFonts w:hint="eastAsia"/>
          <w:highlight w:val="none"/>
          <w:lang w:val="en-US" w:eastAsia="zh-CN"/>
        </w:rPr>
      </w:pPr>
      <w:r>
        <w:rPr>
          <w:rFonts w:hint="eastAsia"/>
          <w:highlight w:val="none"/>
          <w:lang w:val="en-US" w:eastAsia="zh-CN"/>
        </w:rPr>
        <w:t>1、根据现场网络拓扑和硬件架构，搭建满足客户需要的备份软件；</w:t>
      </w:r>
    </w:p>
    <w:p w14:paraId="18492773">
      <w:pPr>
        <w:ind w:firstLine="480" w:firstLineChars="200"/>
        <w:rPr>
          <w:rFonts w:hint="eastAsia"/>
          <w:highlight w:val="none"/>
          <w:lang w:val="en-US" w:eastAsia="zh-CN"/>
        </w:rPr>
      </w:pPr>
      <w:r>
        <w:rPr>
          <w:rFonts w:hint="eastAsia"/>
          <w:highlight w:val="none"/>
          <w:lang w:val="en-US" w:eastAsia="zh-CN"/>
        </w:rPr>
        <w:t>2、根据用户实际需要，配置相应软件策略，达到最优备份效果；</w:t>
      </w:r>
    </w:p>
    <w:p w14:paraId="4B2342A6">
      <w:pPr>
        <w:ind w:firstLine="480" w:firstLineChars="200"/>
        <w:rPr>
          <w:rFonts w:hint="eastAsia"/>
          <w:highlight w:val="none"/>
          <w:lang w:val="en-US" w:eastAsia="zh-CN"/>
        </w:rPr>
      </w:pPr>
      <w:r>
        <w:rPr>
          <w:rFonts w:hint="eastAsia"/>
          <w:highlight w:val="none"/>
          <w:lang w:val="en-US" w:eastAsia="zh-CN"/>
        </w:rPr>
        <w:t>3、记录相应的备份软件配置策略文档。</w:t>
      </w:r>
    </w:p>
    <w:p w14:paraId="69381D8F">
      <w:pPr>
        <w:rPr>
          <w:rFonts w:hint="eastAsia"/>
          <w:b/>
          <w:bCs/>
          <w:highlight w:val="none"/>
          <w:lang w:val="en-US" w:eastAsia="zh-CN"/>
        </w:rPr>
      </w:pPr>
      <w:r>
        <w:rPr>
          <w:rFonts w:hint="eastAsia"/>
          <w:b/>
          <w:bCs/>
          <w:highlight w:val="none"/>
          <w:lang w:val="en-US" w:eastAsia="zh-CN"/>
        </w:rPr>
        <w:t>逻辑恢复演练</w:t>
      </w:r>
    </w:p>
    <w:p w14:paraId="4F4D3AF8">
      <w:pPr>
        <w:ind w:firstLine="480" w:firstLineChars="200"/>
        <w:rPr>
          <w:rFonts w:hint="eastAsia"/>
          <w:highlight w:val="none"/>
          <w:lang w:val="en-US" w:eastAsia="zh-CN"/>
        </w:rPr>
      </w:pPr>
      <w:r>
        <w:rPr>
          <w:rFonts w:hint="eastAsia"/>
          <w:highlight w:val="none"/>
          <w:lang w:val="en-US" w:eastAsia="zh-CN"/>
        </w:rPr>
        <w:t>提供逻辑恢复演练应用场景、测试流程和相应脚本；选择相应的表进行恢复测试；</w:t>
      </w:r>
    </w:p>
    <w:p w14:paraId="6D9808FA">
      <w:pPr>
        <w:ind w:firstLine="480" w:firstLineChars="200"/>
        <w:rPr>
          <w:rFonts w:hint="eastAsia"/>
          <w:highlight w:val="none"/>
          <w:lang w:val="en-US" w:eastAsia="zh-CN"/>
        </w:rPr>
      </w:pPr>
      <w:r>
        <w:rPr>
          <w:rFonts w:hint="eastAsia"/>
          <w:highlight w:val="none"/>
          <w:lang w:val="en-US" w:eastAsia="zh-CN"/>
        </w:rPr>
        <w:t>校验备份数据逻辑恢复的结果是否正确；对恢复时间等参数进行记录和评估；</w:t>
      </w:r>
    </w:p>
    <w:p w14:paraId="07DA159D">
      <w:pPr>
        <w:ind w:firstLine="480" w:firstLineChars="200"/>
        <w:rPr>
          <w:rFonts w:hint="eastAsia"/>
          <w:highlight w:val="none"/>
          <w:lang w:val="en-US" w:eastAsia="zh-CN"/>
        </w:rPr>
      </w:pPr>
      <w:r>
        <w:rPr>
          <w:rFonts w:hint="eastAsia"/>
          <w:highlight w:val="none"/>
          <w:lang w:val="en-US" w:eastAsia="zh-CN"/>
        </w:rPr>
        <w:t>及时提交完整的数据逻辑恢复演练报告。</w:t>
      </w:r>
    </w:p>
    <w:p w14:paraId="5CDCDB33">
      <w:pPr>
        <w:rPr>
          <w:rFonts w:hint="eastAsia"/>
          <w:b/>
          <w:bCs/>
          <w:highlight w:val="none"/>
          <w:lang w:val="en-US" w:eastAsia="zh-CN"/>
        </w:rPr>
      </w:pPr>
      <w:r>
        <w:rPr>
          <w:rFonts w:hint="eastAsia"/>
          <w:b/>
          <w:bCs/>
          <w:highlight w:val="none"/>
          <w:lang w:val="en-US" w:eastAsia="zh-CN"/>
        </w:rPr>
        <w:t>物理恢复演练</w:t>
      </w:r>
    </w:p>
    <w:p w14:paraId="35B4C3E5">
      <w:pPr>
        <w:ind w:firstLine="480" w:firstLineChars="200"/>
        <w:rPr>
          <w:rFonts w:hint="eastAsia"/>
          <w:highlight w:val="none"/>
          <w:lang w:val="en-US" w:eastAsia="zh-CN"/>
        </w:rPr>
      </w:pPr>
      <w:r>
        <w:rPr>
          <w:rFonts w:hint="eastAsia"/>
          <w:highlight w:val="none"/>
          <w:lang w:val="en-US" w:eastAsia="zh-CN"/>
        </w:rPr>
        <w:t>提供物理恢复演练应用场景、测试流程和相应脚本；选择对应的数据库进行恢复测试；</w:t>
      </w:r>
    </w:p>
    <w:p w14:paraId="51C1A9AB">
      <w:pPr>
        <w:ind w:firstLine="480" w:firstLineChars="200"/>
        <w:rPr>
          <w:rFonts w:hint="eastAsia"/>
          <w:highlight w:val="none"/>
          <w:lang w:val="en-US" w:eastAsia="zh-CN"/>
        </w:rPr>
      </w:pPr>
      <w:r>
        <w:rPr>
          <w:rFonts w:hint="eastAsia"/>
          <w:highlight w:val="none"/>
          <w:lang w:val="en-US" w:eastAsia="zh-CN"/>
        </w:rPr>
        <w:t>对恢复的数据库进行数据校验，检查恢复是否成功；</w:t>
      </w:r>
    </w:p>
    <w:p w14:paraId="5CD44A72">
      <w:pPr>
        <w:ind w:firstLine="480" w:firstLineChars="200"/>
        <w:rPr>
          <w:rFonts w:hint="eastAsia"/>
          <w:highlight w:val="none"/>
          <w:lang w:val="en-US" w:eastAsia="zh-CN"/>
        </w:rPr>
      </w:pPr>
      <w:r>
        <w:rPr>
          <w:rFonts w:hint="eastAsia"/>
          <w:highlight w:val="none"/>
          <w:lang w:val="en-US" w:eastAsia="zh-CN"/>
        </w:rPr>
        <w:t>对恢复时间等参数进行记录和评估，作为今后应急恢复的参考；及时提交恢复演练报告。</w:t>
      </w:r>
    </w:p>
    <w:p w14:paraId="3FF455A9">
      <w:pPr>
        <w:rPr>
          <w:rFonts w:hint="eastAsia"/>
          <w:b/>
          <w:bCs/>
          <w:highlight w:val="none"/>
          <w:lang w:val="en-US" w:eastAsia="zh-CN"/>
        </w:rPr>
      </w:pPr>
      <w:r>
        <w:rPr>
          <w:rFonts w:hint="eastAsia"/>
          <w:b/>
          <w:bCs/>
          <w:highlight w:val="none"/>
          <w:lang w:val="en-US" w:eastAsia="zh-CN"/>
        </w:rPr>
        <w:t>本地切换接管演练</w:t>
      </w:r>
    </w:p>
    <w:p w14:paraId="398E0E9C">
      <w:pPr>
        <w:ind w:firstLine="480" w:firstLineChars="200"/>
        <w:rPr>
          <w:rFonts w:hint="eastAsia"/>
          <w:highlight w:val="none"/>
          <w:lang w:val="en-US" w:eastAsia="zh-CN"/>
        </w:rPr>
      </w:pPr>
      <w:r>
        <w:rPr>
          <w:rFonts w:hint="eastAsia"/>
          <w:highlight w:val="none"/>
          <w:lang w:val="en-US" w:eastAsia="zh-CN"/>
        </w:rPr>
        <w:t>模拟本地业务系统，如医保数据库、社保数据库等出现故障情况下，使用同步数据进行切换接管的操作过程；</w:t>
      </w:r>
    </w:p>
    <w:p w14:paraId="0A24CAFD">
      <w:pPr>
        <w:ind w:firstLine="480" w:firstLineChars="200"/>
        <w:rPr>
          <w:rFonts w:hint="eastAsia"/>
          <w:highlight w:val="none"/>
          <w:lang w:val="en-US" w:eastAsia="zh-CN"/>
        </w:rPr>
      </w:pPr>
      <w:r>
        <w:rPr>
          <w:rFonts w:hint="eastAsia"/>
          <w:highlight w:val="none"/>
          <w:lang w:val="en-US" w:eastAsia="zh-CN"/>
        </w:rPr>
        <w:t>记录本地切换操作过程文档。</w:t>
      </w:r>
    </w:p>
    <w:p w14:paraId="4DE0523B">
      <w:pPr>
        <w:rPr>
          <w:rFonts w:hint="eastAsia"/>
          <w:b/>
          <w:bCs/>
          <w:highlight w:val="none"/>
          <w:lang w:val="en-US" w:eastAsia="zh-CN"/>
        </w:rPr>
      </w:pPr>
      <w:r>
        <w:rPr>
          <w:rFonts w:hint="eastAsia"/>
          <w:b/>
          <w:bCs/>
          <w:highlight w:val="none"/>
          <w:lang w:val="en-US" w:eastAsia="zh-CN"/>
        </w:rPr>
        <w:t>异地切换接管演练</w:t>
      </w:r>
    </w:p>
    <w:p w14:paraId="576C851A">
      <w:pPr>
        <w:ind w:firstLine="480" w:firstLineChars="200"/>
        <w:rPr>
          <w:rFonts w:hint="eastAsia"/>
          <w:highlight w:val="none"/>
          <w:lang w:val="en-US" w:eastAsia="zh-CN"/>
        </w:rPr>
      </w:pPr>
      <w:r>
        <w:rPr>
          <w:rFonts w:hint="eastAsia"/>
          <w:highlight w:val="none"/>
          <w:lang w:val="en-US" w:eastAsia="zh-CN"/>
        </w:rPr>
        <w:t>模拟地市州局系统出现故障情况下，使用厅信息中心采集数据进行回写，恢复丢失的数据；</w:t>
      </w:r>
    </w:p>
    <w:p w14:paraId="3DA68FB0">
      <w:pPr>
        <w:ind w:firstLine="480" w:firstLineChars="200"/>
        <w:rPr>
          <w:rFonts w:hint="eastAsia"/>
          <w:highlight w:val="none"/>
          <w:lang w:val="en-US" w:eastAsia="zh-CN"/>
        </w:rPr>
      </w:pPr>
      <w:r>
        <w:rPr>
          <w:rFonts w:hint="eastAsia"/>
          <w:highlight w:val="none"/>
          <w:lang w:val="en-US" w:eastAsia="zh-CN"/>
        </w:rPr>
        <w:t>记录异地切换操作过程文档。</w:t>
      </w:r>
    </w:p>
    <w:p w14:paraId="2D86B035">
      <w:pPr>
        <w:rPr>
          <w:rFonts w:hint="eastAsia"/>
          <w:b/>
          <w:bCs/>
          <w:highlight w:val="none"/>
          <w:lang w:val="en-US" w:eastAsia="zh-CN"/>
        </w:rPr>
      </w:pPr>
      <w:r>
        <w:rPr>
          <w:rFonts w:hint="eastAsia"/>
          <w:b/>
          <w:bCs/>
          <w:highlight w:val="none"/>
          <w:lang w:val="en-US" w:eastAsia="zh-CN"/>
        </w:rPr>
        <w:t>灾备演练组织协助</w:t>
      </w:r>
    </w:p>
    <w:p w14:paraId="5D1379C8">
      <w:pPr>
        <w:ind w:firstLine="480" w:firstLineChars="200"/>
        <w:rPr>
          <w:rFonts w:hint="eastAsia"/>
          <w:highlight w:val="none"/>
          <w:lang w:val="en-US" w:eastAsia="zh-CN"/>
        </w:rPr>
      </w:pPr>
      <w:r>
        <w:rPr>
          <w:rFonts w:hint="eastAsia"/>
          <w:highlight w:val="none"/>
          <w:lang w:val="en-US" w:eastAsia="zh-CN"/>
        </w:rPr>
        <w:t>协助用户规划演练内容、参考依据、演练目标、演练流程、异常处理等，并提交演练报告。</w:t>
      </w:r>
    </w:p>
    <w:p w14:paraId="7EF76E80">
      <w:pPr>
        <w:rPr>
          <w:rFonts w:hint="eastAsia"/>
          <w:b/>
          <w:bCs/>
          <w:highlight w:val="none"/>
          <w:lang w:val="en-US" w:eastAsia="zh-CN"/>
        </w:rPr>
      </w:pPr>
      <w:r>
        <w:rPr>
          <w:rFonts w:hint="eastAsia"/>
          <w:b/>
          <w:bCs/>
          <w:highlight w:val="none"/>
          <w:lang w:val="en-US" w:eastAsia="zh-CN"/>
        </w:rPr>
        <w:t>软件版本升级服务</w:t>
      </w:r>
    </w:p>
    <w:p w14:paraId="5387F2DF">
      <w:pPr>
        <w:ind w:firstLine="480" w:firstLineChars="200"/>
        <w:rPr>
          <w:rFonts w:hint="eastAsia"/>
          <w:highlight w:val="none"/>
          <w:lang w:val="en-US" w:eastAsia="zh-CN"/>
        </w:rPr>
      </w:pPr>
      <w:r>
        <w:rPr>
          <w:rFonts w:hint="eastAsia"/>
          <w:highlight w:val="none"/>
          <w:lang w:val="en-US" w:eastAsia="zh-CN"/>
        </w:rPr>
        <w:t>如果迪思杰复制、备份软件升级，提供升级后的版本，并配合用户升级，</w:t>
      </w:r>
    </w:p>
    <w:p w14:paraId="5D5EB8DA">
      <w:pPr>
        <w:ind w:firstLine="480" w:firstLineChars="200"/>
        <w:rPr>
          <w:rFonts w:hint="eastAsia"/>
          <w:highlight w:val="none"/>
          <w:lang w:val="en-US" w:eastAsia="zh-CN"/>
        </w:rPr>
      </w:pPr>
      <w:r>
        <w:rPr>
          <w:rFonts w:hint="eastAsia"/>
          <w:highlight w:val="none"/>
          <w:lang w:val="en-US" w:eastAsia="zh-CN"/>
        </w:rPr>
        <w:t>确保数据前后连贯，不丢失数据，不影响业务；记录升级过程文档。</w:t>
      </w:r>
    </w:p>
    <w:p w14:paraId="2757D952">
      <w:pPr>
        <w:ind w:firstLine="480" w:firstLineChars="200"/>
        <w:rPr>
          <w:rFonts w:hint="eastAsia"/>
          <w:highlight w:val="none"/>
          <w:lang w:val="en-US" w:eastAsia="zh-CN"/>
        </w:rPr>
      </w:pPr>
      <w:r>
        <w:rPr>
          <w:rFonts w:hint="eastAsia"/>
          <w:highlight w:val="none"/>
          <w:lang w:val="en-US" w:eastAsia="zh-CN"/>
        </w:rPr>
        <w:t>环境升级更换服务</w:t>
      </w:r>
    </w:p>
    <w:p w14:paraId="590E0F0D">
      <w:pPr>
        <w:ind w:firstLine="480" w:firstLineChars="200"/>
        <w:rPr>
          <w:rFonts w:hint="eastAsia"/>
          <w:highlight w:val="none"/>
          <w:lang w:val="en-US" w:eastAsia="zh-CN"/>
        </w:rPr>
      </w:pPr>
      <w:r>
        <w:rPr>
          <w:rFonts w:hint="eastAsia"/>
          <w:highlight w:val="none"/>
          <w:lang w:val="en-US" w:eastAsia="zh-CN"/>
        </w:rPr>
        <w:t>当用户操作系统、数据库版本升级后，提供相应的升级后的软件模块，并进行升级和数据校验；</w:t>
      </w:r>
    </w:p>
    <w:p w14:paraId="233544EA">
      <w:pPr>
        <w:ind w:firstLine="480" w:firstLineChars="200"/>
        <w:rPr>
          <w:rFonts w:hint="eastAsia"/>
          <w:highlight w:val="none"/>
          <w:lang w:val="en-US" w:eastAsia="zh-CN"/>
        </w:rPr>
      </w:pPr>
      <w:r>
        <w:rPr>
          <w:rFonts w:hint="eastAsia"/>
          <w:highlight w:val="none"/>
          <w:lang w:val="en-US" w:eastAsia="zh-CN"/>
        </w:rPr>
        <w:t>记录更新过程文档。</w:t>
      </w:r>
    </w:p>
    <w:p w14:paraId="49718E6C">
      <w:pPr>
        <w:rPr>
          <w:rFonts w:hint="eastAsia"/>
          <w:b/>
          <w:bCs/>
          <w:highlight w:val="none"/>
          <w:lang w:val="en-US" w:eastAsia="zh-CN"/>
        </w:rPr>
      </w:pPr>
      <w:r>
        <w:rPr>
          <w:rFonts w:hint="eastAsia"/>
          <w:b/>
          <w:bCs/>
          <w:highlight w:val="none"/>
          <w:lang w:val="en-US" w:eastAsia="zh-CN"/>
        </w:rPr>
        <w:t>数据库系统维护</w:t>
      </w:r>
    </w:p>
    <w:p w14:paraId="1DFD83D6">
      <w:pPr>
        <w:ind w:firstLine="480" w:firstLineChars="200"/>
        <w:rPr>
          <w:rFonts w:hint="eastAsia"/>
          <w:highlight w:val="none"/>
          <w:lang w:val="en-US" w:eastAsia="zh-CN"/>
        </w:rPr>
      </w:pPr>
      <w:r>
        <w:rPr>
          <w:rFonts w:hint="eastAsia"/>
          <w:highlight w:val="none"/>
          <w:lang w:val="en-US" w:eastAsia="zh-CN"/>
        </w:rPr>
        <w:t>1、提供同步、备份软件相关数据库的日常运行监测，及时反馈数据库出现的问题，并配合用户方数据库服务商解决；</w:t>
      </w:r>
    </w:p>
    <w:p w14:paraId="160DEEC6">
      <w:pPr>
        <w:ind w:firstLine="480" w:firstLineChars="200"/>
        <w:rPr>
          <w:rFonts w:hint="eastAsia"/>
          <w:highlight w:val="none"/>
          <w:lang w:val="en-US" w:eastAsia="zh-CN"/>
        </w:rPr>
      </w:pPr>
      <w:r>
        <w:rPr>
          <w:rFonts w:hint="eastAsia"/>
          <w:highlight w:val="none"/>
          <w:lang w:val="en-US" w:eastAsia="zh-CN"/>
        </w:rPr>
        <w:t>2、记录数据库运行情况监测文档。</w:t>
      </w:r>
    </w:p>
    <w:p w14:paraId="79BC23B6">
      <w:pPr>
        <w:rPr>
          <w:rFonts w:hint="eastAsia"/>
          <w:b/>
          <w:bCs/>
          <w:highlight w:val="none"/>
          <w:lang w:val="en-US" w:eastAsia="zh-CN"/>
        </w:rPr>
      </w:pPr>
      <w:r>
        <w:rPr>
          <w:rFonts w:hint="eastAsia"/>
          <w:b/>
          <w:bCs/>
          <w:highlight w:val="none"/>
          <w:lang w:val="en-US" w:eastAsia="zh-CN"/>
        </w:rPr>
        <w:t>服务器维护</w:t>
      </w:r>
    </w:p>
    <w:p w14:paraId="65CAFAEA">
      <w:pPr>
        <w:ind w:firstLine="480" w:firstLineChars="200"/>
        <w:rPr>
          <w:rFonts w:hint="eastAsia"/>
          <w:highlight w:val="none"/>
          <w:lang w:val="en-US" w:eastAsia="zh-CN"/>
        </w:rPr>
      </w:pPr>
      <w:r>
        <w:rPr>
          <w:rFonts w:hint="eastAsia"/>
          <w:highlight w:val="none"/>
          <w:lang w:val="en-US" w:eastAsia="zh-CN"/>
        </w:rPr>
        <w:t>及时发现并反馈同步、备份软件相关服务器硬件及操作系统出现的问题，并配合用户方解决；</w:t>
      </w:r>
    </w:p>
    <w:p w14:paraId="3D0FDA0D">
      <w:pPr>
        <w:ind w:firstLine="480" w:firstLineChars="200"/>
        <w:rPr>
          <w:rFonts w:hint="eastAsia"/>
          <w:highlight w:val="none"/>
          <w:lang w:val="en-US" w:eastAsia="zh-CN"/>
        </w:rPr>
      </w:pPr>
      <w:r>
        <w:rPr>
          <w:rFonts w:hint="eastAsia"/>
          <w:highlight w:val="none"/>
          <w:lang w:val="en-US" w:eastAsia="zh-CN"/>
        </w:rPr>
        <w:t>记录服务器运行情况监测文档。</w:t>
      </w:r>
    </w:p>
    <w:p w14:paraId="68C037CA">
      <w:pPr>
        <w:rPr>
          <w:rFonts w:hint="eastAsia"/>
          <w:b/>
          <w:bCs/>
          <w:highlight w:val="none"/>
          <w:lang w:val="en-US" w:eastAsia="zh-CN"/>
        </w:rPr>
      </w:pPr>
      <w:r>
        <w:rPr>
          <w:rFonts w:hint="eastAsia"/>
          <w:b/>
          <w:bCs/>
          <w:highlight w:val="none"/>
          <w:lang w:val="en-US" w:eastAsia="zh-CN"/>
        </w:rPr>
        <w:t>重大活动值守</w:t>
      </w:r>
    </w:p>
    <w:p w14:paraId="72C5EB5E">
      <w:pPr>
        <w:ind w:firstLine="480" w:firstLineChars="200"/>
        <w:rPr>
          <w:rFonts w:hint="eastAsia"/>
          <w:highlight w:val="none"/>
          <w:lang w:val="en-US" w:eastAsia="zh-CN"/>
        </w:rPr>
      </w:pPr>
      <w:r>
        <w:rPr>
          <w:rFonts w:hint="eastAsia"/>
          <w:highlight w:val="none"/>
          <w:lang w:val="en-US" w:eastAsia="zh-CN"/>
        </w:rPr>
        <w:t>在重大节日期间，按照甲方安排做好现场值守工作，确保重大活动期间系统运行稳定。</w:t>
      </w:r>
    </w:p>
    <w:p w14:paraId="2FECDD3D">
      <w:pPr>
        <w:rPr>
          <w:rFonts w:hint="eastAsia"/>
          <w:b/>
          <w:bCs/>
          <w:highlight w:val="none"/>
          <w:lang w:val="en-US" w:eastAsia="zh-CN"/>
        </w:rPr>
      </w:pPr>
      <w:r>
        <w:rPr>
          <w:rFonts w:hint="eastAsia"/>
          <w:b/>
          <w:bCs/>
          <w:highlight w:val="none"/>
          <w:lang w:val="en-US" w:eastAsia="zh-CN"/>
        </w:rPr>
        <w:t>重大节日值守</w:t>
      </w:r>
    </w:p>
    <w:p w14:paraId="7D2F8385">
      <w:pPr>
        <w:ind w:firstLine="480" w:firstLineChars="200"/>
        <w:rPr>
          <w:rFonts w:hint="eastAsia"/>
          <w:highlight w:val="none"/>
          <w:lang w:val="en-US" w:eastAsia="zh-CN"/>
        </w:rPr>
      </w:pPr>
      <w:r>
        <w:rPr>
          <w:rFonts w:hint="eastAsia"/>
          <w:highlight w:val="none"/>
          <w:lang w:val="en-US" w:eastAsia="zh-CN"/>
        </w:rPr>
        <w:t>在春节、古尔邦节、国庆等重大节假日期间提供快速响应和技术支持，确保系统运行正常。</w:t>
      </w:r>
    </w:p>
    <w:p w14:paraId="33609EF6">
      <w:pPr>
        <w:rPr>
          <w:rFonts w:hint="eastAsia"/>
          <w:b/>
          <w:bCs/>
          <w:highlight w:val="none"/>
          <w:lang w:val="en-US" w:eastAsia="zh-CN"/>
        </w:rPr>
      </w:pPr>
      <w:r>
        <w:rPr>
          <w:rFonts w:hint="eastAsia"/>
          <w:b/>
          <w:bCs/>
          <w:highlight w:val="none"/>
          <w:lang w:val="en-US" w:eastAsia="zh-CN"/>
        </w:rPr>
        <w:t>重点时期值守</w:t>
      </w:r>
    </w:p>
    <w:p w14:paraId="0DBD1D1F">
      <w:pPr>
        <w:ind w:firstLine="480" w:firstLineChars="200"/>
        <w:rPr>
          <w:rFonts w:hint="eastAsia"/>
          <w:highlight w:val="none"/>
          <w:lang w:val="en-US" w:eastAsia="zh-CN"/>
        </w:rPr>
      </w:pPr>
      <w:r>
        <w:rPr>
          <w:rFonts w:hint="eastAsia"/>
          <w:highlight w:val="none"/>
          <w:lang w:val="en-US" w:eastAsia="zh-CN"/>
        </w:rPr>
        <w:t>在系统升级、新业务上线或者信息安全周等活动期间提供现场支持，确保人社业务系统稳定运行。</w:t>
      </w:r>
    </w:p>
    <w:p w14:paraId="2245DB39">
      <w:pPr>
        <w:ind w:firstLine="480" w:firstLineChars="200"/>
        <w:rPr>
          <w:rFonts w:hint="eastAsia"/>
          <w:highlight w:val="none"/>
          <w:lang w:val="en-US" w:eastAsia="zh-CN"/>
        </w:rPr>
      </w:pPr>
    </w:p>
    <w:p w14:paraId="4522415D">
      <w:pPr>
        <w:autoSpaceDE w:val="0"/>
        <w:autoSpaceDN w:val="0"/>
        <w:adjustRightInd w:val="0"/>
        <w:rPr>
          <w:rFonts w:hint="eastAsia" w:ascii="宋体" w:hAnsi="宋体" w:eastAsia="宋体" w:cs="宋体"/>
          <w:b/>
          <w:kern w:val="0"/>
          <w:sz w:val="28"/>
          <w:szCs w:val="28"/>
          <w:highlight w:val="none"/>
          <w:lang w:val="en-US" w:eastAsia="zh-CN"/>
        </w:rPr>
      </w:pPr>
      <w:r>
        <w:rPr>
          <w:rFonts w:hint="eastAsia" w:ascii="宋体" w:hAnsi="宋体" w:eastAsia="宋体" w:cs="宋体"/>
          <w:b/>
          <w:kern w:val="0"/>
          <w:sz w:val="28"/>
          <w:szCs w:val="28"/>
          <w:highlight w:val="none"/>
          <w:lang w:val="en-US" w:eastAsia="zh-CN"/>
        </w:rPr>
        <w:t>三、预期目标</w:t>
      </w:r>
    </w:p>
    <w:p w14:paraId="20105566">
      <w:pPr>
        <w:ind w:firstLine="480" w:firstLineChars="200"/>
        <w:rPr>
          <w:rFonts w:hint="eastAsia"/>
          <w:highlight w:val="none"/>
          <w:lang w:val="en-US" w:eastAsia="zh-CN"/>
        </w:rPr>
      </w:pPr>
      <w:r>
        <w:rPr>
          <w:rFonts w:hint="eastAsia"/>
          <w:highlight w:val="none"/>
          <w:lang w:val="en-US" w:eastAsia="zh-CN"/>
        </w:rPr>
        <w:t>遵循新疆人力资源和社会保障厅相关技术规范，通过网络系统支持自治区、市州、县（市、区）的多级数据库灾备，满足不同操作系统、数据库版本的异构容灾，保障数据交换平台的稳定。</w:t>
      </w:r>
    </w:p>
    <w:p w14:paraId="20945C6E">
      <w:pPr>
        <w:autoSpaceDE w:val="0"/>
        <w:autoSpaceDN w:val="0"/>
        <w:adjustRightInd w:val="0"/>
        <w:rPr>
          <w:rFonts w:hint="eastAsia" w:ascii="宋体" w:hAnsi="宋体" w:eastAsia="宋体" w:cs="宋体"/>
          <w:b/>
          <w:kern w:val="0"/>
          <w:sz w:val="28"/>
          <w:szCs w:val="28"/>
          <w:highlight w:val="none"/>
          <w:lang w:val="en-US" w:eastAsia="zh-CN"/>
        </w:rPr>
      </w:pPr>
      <w:r>
        <w:rPr>
          <w:rFonts w:hint="eastAsia" w:ascii="宋体" w:hAnsi="宋体" w:eastAsia="宋体" w:cs="宋体"/>
          <w:b/>
          <w:kern w:val="0"/>
          <w:sz w:val="28"/>
          <w:szCs w:val="28"/>
          <w:highlight w:val="none"/>
          <w:lang w:val="en-US" w:eastAsia="zh-CN"/>
        </w:rPr>
        <w:t>四、任务清单</w:t>
      </w:r>
    </w:p>
    <w:tbl>
      <w:tblPr>
        <w:tblStyle w:val="29"/>
        <w:tblpPr w:leftFromText="180" w:rightFromText="180" w:vertAnchor="text" w:horzAnchor="page" w:tblpX="788" w:tblpY="595"/>
        <w:tblOverlap w:val="never"/>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705"/>
        <w:gridCol w:w="1200"/>
        <w:gridCol w:w="4785"/>
        <w:gridCol w:w="990"/>
        <w:gridCol w:w="1470"/>
      </w:tblGrid>
      <w:tr w14:paraId="46A3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45" w:type="dxa"/>
            <w:shd w:val="clear" w:color="auto" w:fill="FFFFFF"/>
            <w:vAlign w:val="center"/>
          </w:tcPr>
          <w:p w14:paraId="007C4BDE">
            <w:pPr>
              <w:jc w:val="center"/>
              <w:rPr>
                <w:rFonts w:hint="eastAsia"/>
                <w:b/>
                <w:bCs/>
                <w:highlight w:val="none"/>
                <w:lang w:val="en-US" w:eastAsia="zh-CN"/>
              </w:rPr>
            </w:pPr>
            <w:r>
              <w:rPr>
                <w:rFonts w:hint="eastAsia"/>
                <w:b/>
                <w:bCs/>
                <w:highlight w:val="none"/>
                <w:lang w:val="en-US" w:eastAsia="zh-CN"/>
              </w:rPr>
              <w:t>系统任务</w:t>
            </w:r>
          </w:p>
        </w:tc>
        <w:tc>
          <w:tcPr>
            <w:tcW w:w="705" w:type="dxa"/>
            <w:shd w:val="clear" w:color="auto" w:fill="FFFFFF"/>
            <w:vAlign w:val="center"/>
          </w:tcPr>
          <w:p w14:paraId="71DCBEFA">
            <w:pPr>
              <w:jc w:val="center"/>
              <w:rPr>
                <w:rFonts w:hint="eastAsia"/>
                <w:b/>
                <w:bCs/>
                <w:highlight w:val="none"/>
                <w:lang w:val="en-US" w:eastAsia="zh-CN"/>
              </w:rPr>
            </w:pPr>
            <w:r>
              <w:rPr>
                <w:rFonts w:hint="eastAsia"/>
                <w:b/>
                <w:bCs/>
                <w:highlight w:val="none"/>
                <w:lang w:val="en-US" w:eastAsia="zh-CN"/>
              </w:rPr>
              <w:t>序号</w:t>
            </w:r>
          </w:p>
        </w:tc>
        <w:tc>
          <w:tcPr>
            <w:tcW w:w="1200" w:type="dxa"/>
            <w:shd w:val="clear" w:color="auto" w:fill="FFFFFF"/>
            <w:vAlign w:val="center"/>
          </w:tcPr>
          <w:p w14:paraId="62A70168">
            <w:pPr>
              <w:jc w:val="center"/>
              <w:rPr>
                <w:rFonts w:hint="eastAsia"/>
                <w:b/>
                <w:bCs/>
                <w:highlight w:val="none"/>
                <w:lang w:val="en-US" w:eastAsia="zh-CN"/>
              </w:rPr>
            </w:pPr>
            <w:r>
              <w:rPr>
                <w:rFonts w:hint="eastAsia"/>
                <w:b/>
                <w:bCs/>
                <w:highlight w:val="none"/>
                <w:lang w:val="en-US" w:eastAsia="zh-CN"/>
              </w:rPr>
              <w:t>任务名称</w:t>
            </w:r>
          </w:p>
        </w:tc>
        <w:tc>
          <w:tcPr>
            <w:tcW w:w="4785" w:type="dxa"/>
            <w:shd w:val="clear" w:color="auto" w:fill="FFFFFF"/>
            <w:vAlign w:val="center"/>
          </w:tcPr>
          <w:p w14:paraId="50C55C5E">
            <w:pPr>
              <w:jc w:val="center"/>
              <w:rPr>
                <w:rFonts w:hint="eastAsia"/>
                <w:b/>
                <w:bCs/>
                <w:highlight w:val="none"/>
                <w:lang w:val="en-US" w:eastAsia="zh-CN"/>
              </w:rPr>
            </w:pPr>
            <w:r>
              <w:rPr>
                <w:rFonts w:hint="eastAsia"/>
                <w:b/>
                <w:bCs/>
                <w:highlight w:val="none"/>
                <w:lang w:val="en-US" w:eastAsia="zh-CN"/>
              </w:rPr>
              <w:t>内容描述</w:t>
            </w:r>
          </w:p>
        </w:tc>
        <w:tc>
          <w:tcPr>
            <w:tcW w:w="990" w:type="dxa"/>
            <w:shd w:val="clear" w:color="auto" w:fill="FFFFFF"/>
            <w:vAlign w:val="center"/>
          </w:tcPr>
          <w:p w14:paraId="081D7FDD">
            <w:pPr>
              <w:jc w:val="center"/>
              <w:rPr>
                <w:rFonts w:hint="eastAsia"/>
                <w:b/>
                <w:bCs/>
                <w:highlight w:val="none"/>
                <w:lang w:val="en-US" w:eastAsia="zh-CN"/>
              </w:rPr>
            </w:pPr>
            <w:r>
              <w:rPr>
                <w:rFonts w:hint="eastAsia"/>
                <w:b/>
                <w:bCs/>
                <w:highlight w:val="none"/>
                <w:lang w:val="en-US" w:eastAsia="zh-CN"/>
              </w:rPr>
              <w:t>需人数</w:t>
            </w:r>
          </w:p>
        </w:tc>
        <w:tc>
          <w:tcPr>
            <w:tcW w:w="1470" w:type="dxa"/>
            <w:shd w:val="clear" w:color="auto" w:fill="FFFFFF"/>
            <w:vAlign w:val="center"/>
          </w:tcPr>
          <w:p w14:paraId="3121F48F">
            <w:pPr>
              <w:jc w:val="center"/>
              <w:rPr>
                <w:rFonts w:hint="eastAsia"/>
                <w:b/>
                <w:bCs/>
                <w:highlight w:val="none"/>
                <w:lang w:val="en-US" w:eastAsia="zh-CN"/>
              </w:rPr>
            </w:pPr>
            <w:r>
              <w:rPr>
                <w:rFonts w:hint="eastAsia"/>
                <w:b/>
                <w:bCs/>
                <w:highlight w:val="none"/>
                <w:lang w:val="en-US" w:eastAsia="zh-CN"/>
              </w:rPr>
              <w:t>工程师资质</w:t>
            </w:r>
          </w:p>
        </w:tc>
      </w:tr>
      <w:tr w14:paraId="1669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5905E8BF">
            <w:pPr>
              <w:jc w:val="center"/>
              <w:rPr>
                <w:rFonts w:hint="eastAsia"/>
                <w:highlight w:val="none"/>
                <w:lang w:val="en-US" w:eastAsia="zh-CN"/>
              </w:rPr>
            </w:pPr>
            <w:r>
              <w:rPr>
                <w:rFonts w:hint="eastAsia"/>
                <w:highlight w:val="none"/>
                <w:lang w:val="en-US" w:eastAsia="zh-CN"/>
              </w:rPr>
              <w:t>日常维护</w:t>
            </w:r>
          </w:p>
        </w:tc>
        <w:tc>
          <w:tcPr>
            <w:tcW w:w="705" w:type="dxa"/>
            <w:vAlign w:val="center"/>
          </w:tcPr>
          <w:p w14:paraId="7105956E">
            <w:pPr>
              <w:jc w:val="center"/>
              <w:rPr>
                <w:rFonts w:hint="eastAsia"/>
                <w:highlight w:val="none"/>
                <w:lang w:val="en-US" w:eastAsia="zh-CN"/>
              </w:rPr>
            </w:pPr>
            <w:r>
              <w:rPr>
                <w:rFonts w:hint="eastAsia"/>
                <w:highlight w:val="none"/>
                <w:lang w:val="en-US" w:eastAsia="zh-CN"/>
              </w:rPr>
              <w:t>1</w:t>
            </w:r>
          </w:p>
        </w:tc>
        <w:tc>
          <w:tcPr>
            <w:tcW w:w="1200" w:type="dxa"/>
            <w:vAlign w:val="center"/>
          </w:tcPr>
          <w:p w14:paraId="2F20EF41">
            <w:pPr>
              <w:jc w:val="center"/>
              <w:rPr>
                <w:rFonts w:hint="eastAsia"/>
                <w:highlight w:val="none"/>
                <w:lang w:val="en-US" w:eastAsia="zh-CN"/>
              </w:rPr>
            </w:pPr>
            <w:r>
              <w:rPr>
                <w:rFonts w:hint="eastAsia"/>
                <w:highlight w:val="none"/>
                <w:lang w:val="en-US" w:eastAsia="zh-CN"/>
              </w:rPr>
              <w:t>日常巡检</w:t>
            </w:r>
          </w:p>
        </w:tc>
        <w:tc>
          <w:tcPr>
            <w:tcW w:w="4785" w:type="dxa"/>
          </w:tcPr>
          <w:p w14:paraId="00CD4D93">
            <w:pPr>
              <w:ind w:firstLine="480" w:firstLineChars="200"/>
              <w:rPr>
                <w:rFonts w:hint="eastAsia"/>
                <w:highlight w:val="none"/>
                <w:lang w:val="en-US" w:eastAsia="zh-CN"/>
              </w:rPr>
            </w:pPr>
            <w:r>
              <w:rPr>
                <w:rFonts w:hint="eastAsia"/>
                <w:highlight w:val="none"/>
                <w:lang w:val="en-US" w:eastAsia="zh-CN"/>
              </w:rPr>
              <w:t>1、对厅里同步软件所有队列的源端、目标端的运行状态进行每天巡检监控（包括源端数据库是否正常，同步软件是否分析及正常发送数据，目标端数据库是否正常，同步软件是否正常接收及加载数据）；</w:t>
            </w:r>
          </w:p>
          <w:p w14:paraId="6ECC2FD8">
            <w:pPr>
              <w:ind w:firstLine="480" w:firstLineChars="200"/>
              <w:rPr>
                <w:rFonts w:hint="eastAsia"/>
                <w:highlight w:val="none"/>
                <w:lang w:val="en-US" w:eastAsia="zh-CN"/>
              </w:rPr>
            </w:pPr>
            <w:r>
              <w:rPr>
                <w:rFonts w:hint="eastAsia"/>
                <w:highlight w:val="none"/>
                <w:lang w:val="en-US" w:eastAsia="zh-CN"/>
              </w:rPr>
              <w:t>2、对厅信息数据备份软件所涉及的源端、备份端的备份状态进行每天监控（包括源端数据库是否正常，备份软件是否分析及发送备份数据，备份端数据库是否正常，备份软件是否正常接收及保存备份数据）；</w:t>
            </w:r>
          </w:p>
          <w:p w14:paraId="172E9732">
            <w:pPr>
              <w:ind w:firstLine="480" w:firstLineChars="200"/>
              <w:rPr>
                <w:rFonts w:hint="eastAsia"/>
                <w:highlight w:val="none"/>
                <w:lang w:val="en-US" w:eastAsia="zh-CN"/>
              </w:rPr>
            </w:pPr>
            <w:r>
              <w:rPr>
                <w:rFonts w:hint="eastAsia"/>
                <w:highlight w:val="none"/>
                <w:lang w:val="en-US" w:eastAsia="zh-CN"/>
              </w:rPr>
              <w:t>3、及时提交完整的日常监控记录文档。</w:t>
            </w:r>
          </w:p>
        </w:tc>
        <w:tc>
          <w:tcPr>
            <w:tcW w:w="990" w:type="dxa"/>
            <w:vAlign w:val="center"/>
          </w:tcPr>
          <w:p w14:paraId="47F823C1">
            <w:pPr>
              <w:jc w:val="center"/>
              <w:rPr>
                <w:rFonts w:hint="eastAsia"/>
                <w:highlight w:val="none"/>
                <w:lang w:val="en-US" w:eastAsia="zh-CN"/>
              </w:rPr>
            </w:pPr>
            <w:r>
              <w:rPr>
                <w:rFonts w:hint="eastAsia"/>
                <w:highlight w:val="none"/>
                <w:lang w:val="en-US" w:eastAsia="zh-CN"/>
              </w:rPr>
              <w:t>3</w:t>
            </w:r>
          </w:p>
        </w:tc>
        <w:tc>
          <w:tcPr>
            <w:tcW w:w="1470" w:type="dxa"/>
            <w:vAlign w:val="center"/>
          </w:tcPr>
          <w:p w14:paraId="55A3A19E">
            <w:pPr>
              <w:jc w:val="center"/>
              <w:rPr>
                <w:rFonts w:hint="eastAsia"/>
                <w:highlight w:val="none"/>
                <w:lang w:val="en-US" w:eastAsia="zh-CN"/>
              </w:rPr>
            </w:pPr>
            <w:r>
              <w:rPr>
                <w:rFonts w:hint="eastAsia"/>
                <w:highlight w:val="none"/>
                <w:lang w:val="en-US" w:eastAsia="zh-CN"/>
              </w:rPr>
              <w:t>中级</w:t>
            </w:r>
          </w:p>
        </w:tc>
      </w:tr>
      <w:tr w14:paraId="1BF4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51A0DCFB">
            <w:pPr>
              <w:ind w:firstLine="480" w:firstLineChars="200"/>
              <w:jc w:val="center"/>
              <w:rPr>
                <w:rFonts w:hint="eastAsia"/>
                <w:highlight w:val="none"/>
                <w:lang w:val="en-US" w:eastAsia="zh-CN"/>
              </w:rPr>
            </w:pPr>
          </w:p>
        </w:tc>
        <w:tc>
          <w:tcPr>
            <w:tcW w:w="705" w:type="dxa"/>
            <w:vAlign w:val="center"/>
          </w:tcPr>
          <w:p w14:paraId="05674B90">
            <w:pPr>
              <w:jc w:val="center"/>
              <w:rPr>
                <w:rFonts w:hint="eastAsia"/>
                <w:highlight w:val="none"/>
                <w:lang w:val="en-US" w:eastAsia="zh-CN"/>
              </w:rPr>
            </w:pPr>
            <w:r>
              <w:rPr>
                <w:rFonts w:hint="eastAsia"/>
                <w:highlight w:val="none"/>
                <w:lang w:val="en-US" w:eastAsia="zh-CN"/>
              </w:rPr>
              <w:t>2</w:t>
            </w:r>
          </w:p>
        </w:tc>
        <w:tc>
          <w:tcPr>
            <w:tcW w:w="1200" w:type="dxa"/>
            <w:vAlign w:val="center"/>
          </w:tcPr>
          <w:p w14:paraId="39913137">
            <w:pPr>
              <w:jc w:val="center"/>
              <w:rPr>
                <w:rFonts w:hint="eastAsia"/>
                <w:highlight w:val="none"/>
                <w:lang w:val="en-US" w:eastAsia="zh-CN"/>
              </w:rPr>
            </w:pPr>
            <w:r>
              <w:rPr>
                <w:rFonts w:hint="eastAsia"/>
                <w:highlight w:val="none"/>
                <w:lang w:val="en-US" w:eastAsia="zh-CN"/>
              </w:rPr>
              <w:t>软件问题处理</w:t>
            </w:r>
          </w:p>
        </w:tc>
        <w:tc>
          <w:tcPr>
            <w:tcW w:w="4785" w:type="dxa"/>
          </w:tcPr>
          <w:p w14:paraId="0572797C">
            <w:pPr>
              <w:ind w:firstLine="480" w:firstLineChars="200"/>
              <w:rPr>
                <w:rFonts w:hint="eastAsia"/>
                <w:highlight w:val="none"/>
                <w:lang w:val="en-US" w:eastAsia="zh-CN"/>
              </w:rPr>
            </w:pPr>
            <w:r>
              <w:rPr>
                <w:rFonts w:hint="eastAsia"/>
                <w:highlight w:val="none"/>
                <w:lang w:val="en-US" w:eastAsia="zh-CN"/>
              </w:rPr>
              <w:t>对未能实时同步加载的队列进行错误解决，保证实时同步数据有效性及一致性；</w:t>
            </w:r>
          </w:p>
          <w:p w14:paraId="00D5C736">
            <w:pPr>
              <w:ind w:firstLine="480" w:firstLineChars="200"/>
              <w:rPr>
                <w:rFonts w:hint="eastAsia"/>
                <w:highlight w:val="none"/>
                <w:lang w:val="en-US" w:eastAsia="zh-CN"/>
              </w:rPr>
            </w:pPr>
            <w:r>
              <w:rPr>
                <w:rFonts w:hint="eastAsia"/>
                <w:highlight w:val="none"/>
                <w:lang w:val="en-US" w:eastAsia="zh-CN"/>
              </w:rPr>
              <w:t>对未能备份的数据库进行安全检查，发现错误原因并予以解决；</w:t>
            </w:r>
          </w:p>
          <w:p w14:paraId="4044BE71">
            <w:pPr>
              <w:ind w:firstLine="480" w:firstLineChars="200"/>
              <w:rPr>
                <w:rFonts w:hint="eastAsia"/>
                <w:highlight w:val="none"/>
                <w:lang w:val="en-US" w:eastAsia="zh-CN"/>
              </w:rPr>
            </w:pPr>
            <w:r>
              <w:rPr>
                <w:rFonts w:hint="eastAsia"/>
                <w:highlight w:val="none"/>
                <w:lang w:val="en-US" w:eastAsia="zh-CN"/>
              </w:rPr>
              <w:t>调整软件相关策略，灵活满足客户的容灾需求；</w:t>
            </w:r>
          </w:p>
          <w:p w14:paraId="03A651F3">
            <w:pPr>
              <w:ind w:firstLine="480" w:firstLineChars="200"/>
              <w:rPr>
                <w:rFonts w:hint="eastAsia"/>
                <w:highlight w:val="none"/>
                <w:lang w:val="en-US" w:eastAsia="zh-CN"/>
              </w:rPr>
            </w:pPr>
            <w:r>
              <w:rPr>
                <w:rFonts w:hint="eastAsia"/>
                <w:highlight w:val="none"/>
                <w:lang w:val="en-US" w:eastAsia="zh-CN"/>
              </w:rPr>
              <w:t>bug处理：在软件运行过程中出现意外错误时，及时对软件进行相应修补；</w:t>
            </w:r>
          </w:p>
          <w:p w14:paraId="25F7F639">
            <w:pPr>
              <w:ind w:firstLine="480" w:firstLineChars="200"/>
              <w:rPr>
                <w:rFonts w:hint="eastAsia"/>
                <w:highlight w:val="none"/>
                <w:lang w:val="en-US" w:eastAsia="zh-CN"/>
              </w:rPr>
            </w:pPr>
            <w:r>
              <w:rPr>
                <w:rFonts w:hint="eastAsia"/>
                <w:highlight w:val="none"/>
                <w:lang w:val="en-US" w:eastAsia="zh-CN"/>
              </w:rPr>
              <w:t>根据用户需求及数据量和系统结构的变化，对同步软件、备份软件的参数进行调整，确保系统运行在最佳状态；源端和目标端数据库对象和数据比对；</w:t>
            </w:r>
          </w:p>
          <w:p w14:paraId="0D4EBCC2">
            <w:pPr>
              <w:ind w:firstLine="480" w:firstLineChars="200"/>
              <w:rPr>
                <w:rFonts w:hint="eastAsia"/>
                <w:highlight w:val="none"/>
                <w:lang w:val="en-US" w:eastAsia="zh-CN"/>
              </w:rPr>
            </w:pPr>
            <w:r>
              <w:rPr>
                <w:rFonts w:hint="eastAsia"/>
                <w:highlight w:val="none"/>
                <w:lang w:val="en-US" w:eastAsia="zh-CN"/>
              </w:rPr>
              <w:t>源端和目标端数据库对象和数据修复；报表库全表重复数据处理，全表主键和索引重建；及时提交完整的问题故障处理记录文档。</w:t>
            </w:r>
          </w:p>
        </w:tc>
        <w:tc>
          <w:tcPr>
            <w:tcW w:w="990" w:type="dxa"/>
            <w:vAlign w:val="center"/>
          </w:tcPr>
          <w:p w14:paraId="5187815D">
            <w:pPr>
              <w:jc w:val="center"/>
              <w:rPr>
                <w:rFonts w:hint="eastAsia"/>
                <w:highlight w:val="none"/>
                <w:lang w:val="en-US" w:eastAsia="zh-CN"/>
              </w:rPr>
            </w:pPr>
            <w:r>
              <w:rPr>
                <w:rFonts w:hint="eastAsia"/>
                <w:highlight w:val="none"/>
                <w:lang w:val="en-US" w:eastAsia="zh-CN"/>
              </w:rPr>
              <w:t>3</w:t>
            </w:r>
          </w:p>
        </w:tc>
        <w:tc>
          <w:tcPr>
            <w:tcW w:w="1470" w:type="dxa"/>
            <w:vAlign w:val="center"/>
          </w:tcPr>
          <w:p w14:paraId="3945C8C1">
            <w:pPr>
              <w:jc w:val="center"/>
              <w:rPr>
                <w:rFonts w:hint="eastAsia"/>
                <w:highlight w:val="none"/>
                <w:lang w:val="en-US" w:eastAsia="zh-CN"/>
              </w:rPr>
            </w:pPr>
            <w:r>
              <w:rPr>
                <w:rFonts w:hint="eastAsia"/>
                <w:highlight w:val="none"/>
                <w:lang w:val="en-US" w:eastAsia="zh-CN"/>
              </w:rPr>
              <w:t>中级</w:t>
            </w:r>
          </w:p>
        </w:tc>
      </w:tr>
      <w:tr w14:paraId="5D27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14ABB418">
            <w:pPr>
              <w:ind w:firstLine="480" w:firstLineChars="200"/>
              <w:jc w:val="center"/>
              <w:rPr>
                <w:rFonts w:hint="eastAsia"/>
                <w:highlight w:val="none"/>
                <w:lang w:val="en-US" w:eastAsia="zh-CN"/>
              </w:rPr>
            </w:pPr>
          </w:p>
        </w:tc>
        <w:tc>
          <w:tcPr>
            <w:tcW w:w="705" w:type="dxa"/>
            <w:vAlign w:val="center"/>
          </w:tcPr>
          <w:p w14:paraId="38685071">
            <w:pPr>
              <w:jc w:val="center"/>
              <w:rPr>
                <w:rFonts w:hint="eastAsia"/>
                <w:highlight w:val="none"/>
                <w:lang w:val="en-US" w:eastAsia="zh-CN"/>
              </w:rPr>
            </w:pPr>
            <w:r>
              <w:rPr>
                <w:rFonts w:hint="eastAsia"/>
                <w:highlight w:val="none"/>
                <w:lang w:val="en-US" w:eastAsia="zh-CN"/>
              </w:rPr>
              <w:t>3</w:t>
            </w:r>
          </w:p>
        </w:tc>
        <w:tc>
          <w:tcPr>
            <w:tcW w:w="1200" w:type="dxa"/>
          </w:tcPr>
          <w:p w14:paraId="1ECFC803">
            <w:pPr>
              <w:ind w:firstLine="480" w:firstLineChars="200"/>
              <w:jc w:val="center"/>
              <w:rPr>
                <w:rFonts w:hint="eastAsia"/>
                <w:highlight w:val="none"/>
                <w:lang w:val="en-US" w:eastAsia="zh-CN"/>
              </w:rPr>
            </w:pPr>
          </w:p>
          <w:p w14:paraId="7F23B6E0">
            <w:pPr>
              <w:ind w:firstLine="480" w:firstLineChars="200"/>
              <w:jc w:val="center"/>
              <w:rPr>
                <w:rFonts w:hint="eastAsia"/>
                <w:highlight w:val="none"/>
                <w:lang w:val="en-US" w:eastAsia="zh-CN"/>
              </w:rPr>
            </w:pPr>
          </w:p>
          <w:p w14:paraId="3A9336DC">
            <w:pPr>
              <w:ind w:firstLine="480" w:firstLineChars="200"/>
              <w:jc w:val="center"/>
              <w:rPr>
                <w:rFonts w:hint="eastAsia"/>
                <w:highlight w:val="none"/>
                <w:lang w:val="en-US" w:eastAsia="zh-CN"/>
              </w:rPr>
            </w:pPr>
          </w:p>
          <w:p w14:paraId="0EB34CBA">
            <w:pPr>
              <w:ind w:firstLine="480" w:firstLineChars="200"/>
              <w:jc w:val="center"/>
              <w:rPr>
                <w:rFonts w:hint="eastAsia"/>
                <w:highlight w:val="none"/>
                <w:lang w:val="en-US" w:eastAsia="zh-CN"/>
              </w:rPr>
            </w:pPr>
          </w:p>
          <w:p w14:paraId="5DB8B92F">
            <w:pPr>
              <w:jc w:val="center"/>
              <w:rPr>
                <w:rFonts w:hint="eastAsia"/>
                <w:highlight w:val="none"/>
                <w:lang w:val="en-US" w:eastAsia="zh-CN"/>
              </w:rPr>
            </w:pPr>
            <w:r>
              <w:rPr>
                <w:rFonts w:hint="eastAsia"/>
                <w:highlight w:val="none"/>
                <w:lang w:val="en-US" w:eastAsia="zh-CN"/>
              </w:rPr>
              <w:t>深度巡检</w:t>
            </w:r>
          </w:p>
        </w:tc>
        <w:tc>
          <w:tcPr>
            <w:tcW w:w="4785" w:type="dxa"/>
          </w:tcPr>
          <w:p w14:paraId="11E7C749">
            <w:pPr>
              <w:ind w:firstLine="480" w:firstLineChars="200"/>
              <w:rPr>
                <w:rFonts w:hint="eastAsia"/>
                <w:highlight w:val="none"/>
                <w:lang w:val="en-US" w:eastAsia="zh-CN"/>
              </w:rPr>
            </w:pPr>
            <w:r>
              <w:rPr>
                <w:rFonts w:hint="eastAsia"/>
                <w:highlight w:val="none"/>
                <w:lang w:val="en-US" w:eastAsia="zh-CN"/>
              </w:rPr>
              <w:t>针对同步软件的高端策略配置、数据转换配置等进行检查和校验；</w:t>
            </w:r>
          </w:p>
          <w:p w14:paraId="69E1AB91">
            <w:pPr>
              <w:ind w:firstLine="480" w:firstLineChars="200"/>
              <w:rPr>
                <w:rFonts w:hint="eastAsia"/>
                <w:highlight w:val="none"/>
                <w:lang w:val="en-US" w:eastAsia="zh-CN"/>
              </w:rPr>
            </w:pPr>
            <w:r>
              <w:rPr>
                <w:rFonts w:hint="eastAsia"/>
                <w:highlight w:val="none"/>
                <w:lang w:val="en-US" w:eastAsia="zh-CN"/>
              </w:rPr>
              <w:t>配置备份高级参数，配置线程数、内存大小，确保备份软件效率最高；</w:t>
            </w:r>
          </w:p>
          <w:p w14:paraId="0678E5F7">
            <w:pPr>
              <w:ind w:firstLine="480" w:firstLineChars="200"/>
              <w:rPr>
                <w:rFonts w:hint="eastAsia"/>
                <w:highlight w:val="none"/>
                <w:lang w:val="en-US" w:eastAsia="zh-CN"/>
              </w:rPr>
            </w:pPr>
            <w:r>
              <w:rPr>
                <w:rFonts w:hint="eastAsia"/>
                <w:highlight w:val="none"/>
                <w:lang w:val="en-US" w:eastAsia="zh-CN"/>
              </w:rPr>
              <w:t>同步软件两端数据库进行严格数据比对，保证目标端与源端的数据一致性；</w:t>
            </w:r>
          </w:p>
          <w:p w14:paraId="4ECBCE02">
            <w:pPr>
              <w:ind w:firstLine="480" w:firstLineChars="200"/>
              <w:rPr>
                <w:rFonts w:hint="eastAsia"/>
                <w:highlight w:val="none"/>
                <w:lang w:val="en-US" w:eastAsia="zh-CN"/>
              </w:rPr>
            </w:pPr>
            <w:r>
              <w:rPr>
                <w:rFonts w:hint="eastAsia"/>
                <w:highlight w:val="none"/>
                <w:lang w:val="en-US" w:eastAsia="zh-CN"/>
              </w:rPr>
              <w:t>及时提交完整的巡检报告和隐患排查报告。</w:t>
            </w:r>
          </w:p>
          <w:p w14:paraId="599C435D">
            <w:pPr>
              <w:ind w:firstLine="480" w:firstLineChars="200"/>
              <w:rPr>
                <w:rFonts w:hint="eastAsia"/>
                <w:highlight w:val="none"/>
                <w:lang w:val="en-US" w:eastAsia="zh-CN"/>
              </w:rPr>
            </w:pPr>
            <w:r>
              <w:rPr>
                <w:rFonts w:hint="eastAsia"/>
                <w:highlight w:val="none"/>
                <w:lang w:val="en-US" w:eastAsia="zh-CN"/>
              </w:rPr>
              <w:t>调整同步软件参数，对可能导致数据丢失的DDL操作，如Truncate、drop排除同步操作。</w:t>
            </w:r>
          </w:p>
        </w:tc>
        <w:tc>
          <w:tcPr>
            <w:tcW w:w="990" w:type="dxa"/>
            <w:vAlign w:val="center"/>
          </w:tcPr>
          <w:p w14:paraId="7ACCFAAB">
            <w:pPr>
              <w:jc w:val="center"/>
              <w:rPr>
                <w:rFonts w:hint="eastAsia"/>
                <w:highlight w:val="none"/>
                <w:lang w:val="en-US" w:eastAsia="zh-CN"/>
              </w:rPr>
            </w:pPr>
            <w:r>
              <w:rPr>
                <w:rFonts w:hint="eastAsia"/>
                <w:highlight w:val="none"/>
                <w:lang w:val="en-US" w:eastAsia="zh-CN"/>
              </w:rPr>
              <w:t>3</w:t>
            </w:r>
          </w:p>
        </w:tc>
        <w:tc>
          <w:tcPr>
            <w:tcW w:w="1470" w:type="dxa"/>
            <w:vAlign w:val="center"/>
          </w:tcPr>
          <w:p w14:paraId="50FE84E0">
            <w:pPr>
              <w:jc w:val="center"/>
              <w:rPr>
                <w:rFonts w:hint="eastAsia"/>
                <w:highlight w:val="none"/>
                <w:lang w:val="en-US" w:eastAsia="zh-CN"/>
              </w:rPr>
            </w:pPr>
            <w:r>
              <w:rPr>
                <w:rFonts w:hint="eastAsia"/>
                <w:highlight w:val="none"/>
                <w:lang w:val="en-US" w:eastAsia="zh-CN"/>
              </w:rPr>
              <w:t>中级</w:t>
            </w:r>
          </w:p>
        </w:tc>
      </w:tr>
      <w:tr w14:paraId="058A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0438E05F">
            <w:pPr>
              <w:ind w:firstLine="480" w:firstLineChars="200"/>
              <w:jc w:val="center"/>
              <w:rPr>
                <w:rFonts w:hint="eastAsia"/>
                <w:highlight w:val="none"/>
                <w:lang w:val="en-US" w:eastAsia="zh-CN"/>
              </w:rPr>
            </w:pPr>
          </w:p>
        </w:tc>
        <w:tc>
          <w:tcPr>
            <w:tcW w:w="705" w:type="dxa"/>
            <w:vAlign w:val="center"/>
          </w:tcPr>
          <w:p w14:paraId="405F2BA7">
            <w:pPr>
              <w:jc w:val="center"/>
              <w:rPr>
                <w:rFonts w:hint="eastAsia"/>
                <w:highlight w:val="none"/>
                <w:lang w:val="en-US" w:eastAsia="zh-CN"/>
              </w:rPr>
            </w:pPr>
            <w:r>
              <w:rPr>
                <w:rFonts w:hint="eastAsia"/>
                <w:highlight w:val="none"/>
                <w:lang w:val="en-US" w:eastAsia="zh-CN"/>
              </w:rPr>
              <w:t>4</w:t>
            </w:r>
          </w:p>
        </w:tc>
        <w:tc>
          <w:tcPr>
            <w:tcW w:w="1200" w:type="dxa"/>
          </w:tcPr>
          <w:p w14:paraId="3BC9B4CC">
            <w:pPr>
              <w:jc w:val="center"/>
              <w:rPr>
                <w:rFonts w:hint="eastAsia"/>
                <w:highlight w:val="none"/>
                <w:lang w:val="en-US" w:eastAsia="zh-CN"/>
              </w:rPr>
            </w:pPr>
            <w:r>
              <w:rPr>
                <w:rFonts w:hint="eastAsia"/>
                <w:highlight w:val="none"/>
                <w:lang w:val="en-US" w:eastAsia="zh-CN"/>
              </w:rPr>
              <w:t>软件咨询服务</w:t>
            </w:r>
          </w:p>
        </w:tc>
        <w:tc>
          <w:tcPr>
            <w:tcW w:w="4785" w:type="dxa"/>
          </w:tcPr>
          <w:p w14:paraId="0DCCD9E3">
            <w:pPr>
              <w:ind w:firstLine="480" w:firstLineChars="200"/>
              <w:rPr>
                <w:rFonts w:hint="eastAsia"/>
                <w:highlight w:val="none"/>
                <w:lang w:val="en-US" w:eastAsia="zh-CN"/>
              </w:rPr>
            </w:pPr>
            <w:r>
              <w:rPr>
                <w:rFonts w:hint="eastAsia"/>
                <w:highlight w:val="none"/>
                <w:lang w:val="en-US" w:eastAsia="zh-CN"/>
              </w:rPr>
              <w:t>面向客户在使用过程中出现的关于同步、备份软件的所有技术问题咨询；</w:t>
            </w:r>
          </w:p>
          <w:p w14:paraId="07B9340E">
            <w:pPr>
              <w:ind w:firstLine="480" w:firstLineChars="200"/>
              <w:rPr>
                <w:rFonts w:hint="eastAsia"/>
                <w:highlight w:val="none"/>
                <w:lang w:val="en-US" w:eastAsia="zh-CN"/>
              </w:rPr>
            </w:pPr>
            <w:r>
              <w:rPr>
                <w:rFonts w:hint="eastAsia"/>
                <w:highlight w:val="none"/>
                <w:lang w:val="en-US" w:eastAsia="zh-CN"/>
              </w:rPr>
              <w:t>建立咨询服务工作成果支撑文档。</w:t>
            </w:r>
          </w:p>
        </w:tc>
        <w:tc>
          <w:tcPr>
            <w:tcW w:w="990" w:type="dxa"/>
            <w:vAlign w:val="center"/>
          </w:tcPr>
          <w:p w14:paraId="45E1709F">
            <w:pPr>
              <w:ind w:firstLine="480" w:firstLineChars="200"/>
              <w:jc w:val="center"/>
              <w:rPr>
                <w:rFonts w:hint="eastAsia"/>
                <w:highlight w:val="none"/>
                <w:lang w:val="en-US" w:eastAsia="zh-CN"/>
              </w:rPr>
            </w:pPr>
          </w:p>
        </w:tc>
        <w:tc>
          <w:tcPr>
            <w:tcW w:w="1470" w:type="dxa"/>
            <w:vAlign w:val="center"/>
          </w:tcPr>
          <w:p w14:paraId="2EC7C273">
            <w:pPr>
              <w:ind w:firstLine="480" w:firstLineChars="200"/>
              <w:jc w:val="center"/>
              <w:rPr>
                <w:rFonts w:hint="eastAsia"/>
                <w:highlight w:val="none"/>
                <w:lang w:val="en-US" w:eastAsia="zh-CN"/>
              </w:rPr>
            </w:pPr>
          </w:p>
        </w:tc>
      </w:tr>
      <w:tr w14:paraId="7121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3BC844D6">
            <w:pPr>
              <w:ind w:firstLine="480" w:firstLineChars="200"/>
              <w:jc w:val="center"/>
              <w:rPr>
                <w:rFonts w:hint="eastAsia"/>
                <w:highlight w:val="none"/>
                <w:lang w:val="en-US" w:eastAsia="zh-CN"/>
              </w:rPr>
            </w:pPr>
          </w:p>
        </w:tc>
        <w:tc>
          <w:tcPr>
            <w:tcW w:w="705" w:type="dxa"/>
            <w:vAlign w:val="center"/>
          </w:tcPr>
          <w:p w14:paraId="7B3FAC46">
            <w:pPr>
              <w:jc w:val="center"/>
              <w:rPr>
                <w:rFonts w:hint="eastAsia"/>
                <w:highlight w:val="none"/>
                <w:lang w:val="en-US" w:eastAsia="zh-CN"/>
              </w:rPr>
            </w:pPr>
            <w:r>
              <w:rPr>
                <w:rFonts w:hint="eastAsia"/>
                <w:highlight w:val="none"/>
                <w:lang w:val="en-US" w:eastAsia="zh-CN"/>
              </w:rPr>
              <w:t>5</w:t>
            </w:r>
          </w:p>
        </w:tc>
        <w:tc>
          <w:tcPr>
            <w:tcW w:w="1200" w:type="dxa"/>
          </w:tcPr>
          <w:p w14:paraId="5CE49FF5">
            <w:pPr>
              <w:ind w:firstLine="480" w:firstLineChars="200"/>
              <w:jc w:val="center"/>
              <w:rPr>
                <w:rFonts w:hint="eastAsia"/>
                <w:highlight w:val="none"/>
                <w:lang w:val="en-US" w:eastAsia="zh-CN"/>
              </w:rPr>
            </w:pPr>
          </w:p>
          <w:p w14:paraId="0DAFBD4E">
            <w:pPr>
              <w:jc w:val="center"/>
              <w:rPr>
                <w:rFonts w:hint="eastAsia"/>
                <w:highlight w:val="none"/>
                <w:lang w:val="en-US" w:eastAsia="zh-CN"/>
              </w:rPr>
            </w:pPr>
          </w:p>
          <w:p w14:paraId="6A47A3E6">
            <w:pPr>
              <w:jc w:val="center"/>
              <w:rPr>
                <w:rFonts w:hint="eastAsia"/>
                <w:highlight w:val="none"/>
                <w:lang w:val="en-US" w:eastAsia="zh-CN"/>
              </w:rPr>
            </w:pPr>
            <w:r>
              <w:rPr>
                <w:rFonts w:hint="eastAsia"/>
                <w:highlight w:val="none"/>
                <w:lang w:val="en-US" w:eastAsia="zh-CN"/>
              </w:rPr>
              <w:t>软件培训</w:t>
            </w:r>
          </w:p>
        </w:tc>
        <w:tc>
          <w:tcPr>
            <w:tcW w:w="4785" w:type="dxa"/>
          </w:tcPr>
          <w:p w14:paraId="24E98143">
            <w:pPr>
              <w:ind w:firstLine="480" w:firstLineChars="200"/>
              <w:rPr>
                <w:rFonts w:hint="eastAsia"/>
                <w:highlight w:val="none"/>
                <w:lang w:val="en-US" w:eastAsia="zh-CN"/>
              </w:rPr>
            </w:pPr>
            <w:r>
              <w:rPr>
                <w:rFonts w:hint="eastAsia"/>
                <w:highlight w:val="none"/>
                <w:lang w:val="en-US" w:eastAsia="zh-CN"/>
              </w:rPr>
              <w:t>在服务期间内进行多次数据库复制、备份产品培训，以便用户熟悉软件基本操作及特性。</w:t>
            </w:r>
          </w:p>
          <w:p w14:paraId="26ADE77A">
            <w:pPr>
              <w:ind w:firstLine="480" w:firstLineChars="200"/>
              <w:rPr>
                <w:rFonts w:hint="eastAsia"/>
                <w:highlight w:val="none"/>
                <w:lang w:val="en-US" w:eastAsia="zh-CN"/>
              </w:rPr>
            </w:pPr>
            <w:r>
              <w:rPr>
                <w:rFonts w:hint="eastAsia"/>
                <w:highlight w:val="none"/>
                <w:lang w:val="en-US" w:eastAsia="zh-CN"/>
              </w:rPr>
              <w:t>及时提交完整的用户培训文档。</w:t>
            </w:r>
          </w:p>
        </w:tc>
        <w:tc>
          <w:tcPr>
            <w:tcW w:w="990" w:type="dxa"/>
            <w:vAlign w:val="center"/>
          </w:tcPr>
          <w:p w14:paraId="7AA41F5F">
            <w:pPr>
              <w:ind w:firstLine="480" w:firstLineChars="200"/>
              <w:jc w:val="center"/>
              <w:rPr>
                <w:rFonts w:hint="eastAsia"/>
                <w:highlight w:val="none"/>
                <w:lang w:val="en-US" w:eastAsia="zh-CN"/>
              </w:rPr>
            </w:pPr>
          </w:p>
        </w:tc>
        <w:tc>
          <w:tcPr>
            <w:tcW w:w="1470" w:type="dxa"/>
            <w:vAlign w:val="center"/>
          </w:tcPr>
          <w:p w14:paraId="5EC7EE22">
            <w:pPr>
              <w:ind w:firstLine="480" w:firstLineChars="200"/>
              <w:jc w:val="center"/>
              <w:rPr>
                <w:rFonts w:hint="eastAsia"/>
                <w:highlight w:val="none"/>
                <w:lang w:val="en-US" w:eastAsia="zh-CN"/>
              </w:rPr>
            </w:pPr>
          </w:p>
        </w:tc>
      </w:tr>
      <w:tr w14:paraId="1D2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6877D662">
            <w:pPr>
              <w:ind w:firstLine="480" w:firstLineChars="200"/>
              <w:jc w:val="center"/>
              <w:rPr>
                <w:rFonts w:hint="eastAsia"/>
                <w:highlight w:val="none"/>
                <w:lang w:val="en-US" w:eastAsia="zh-CN"/>
              </w:rPr>
            </w:pPr>
          </w:p>
        </w:tc>
        <w:tc>
          <w:tcPr>
            <w:tcW w:w="705" w:type="dxa"/>
            <w:vAlign w:val="center"/>
          </w:tcPr>
          <w:p w14:paraId="4A2E5F8B">
            <w:pPr>
              <w:jc w:val="center"/>
              <w:rPr>
                <w:rFonts w:hint="eastAsia"/>
                <w:highlight w:val="none"/>
                <w:lang w:val="en-US" w:eastAsia="zh-CN"/>
              </w:rPr>
            </w:pPr>
            <w:r>
              <w:rPr>
                <w:rFonts w:hint="eastAsia"/>
                <w:highlight w:val="none"/>
                <w:lang w:val="en-US" w:eastAsia="zh-CN"/>
              </w:rPr>
              <w:t>6</w:t>
            </w:r>
          </w:p>
        </w:tc>
        <w:tc>
          <w:tcPr>
            <w:tcW w:w="1200" w:type="dxa"/>
          </w:tcPr>
          <w:p w14:paraId="0A50686C">
            <w:pPr>
              <w:jc w:val="center"/>
              <w:rPr>
                <w:rFonts w:hint="eastAsia"/>
                <w:highlight w:val="none"/>
                <w:lang w:val="en-US" w:eastAsia="zh-CN"/>
              </w:rPr>
            </w:pPr>
            <w:r>
              <w:rPr>
                <w:rFonts w:hint="eastAsia"/>
                <w:highlight w:val="none"/>
                <w:lang w:val="en-US" w:eastAsia="zh-CN"/>
              </w:rPr>
              <w:t>数据库优化</w:t>
            </w:r>
          </w:p>
        </w:tc>
        <w:tc>
          <w:tcPr>
            <w:tcW w:w="4785" w:type="dxa"/>
          </w:tcPr>
          <w:p w14:paraId="3CF8AF76">
            <w:pPr>
              <w:ind w:firstLine="480" w:firstLineChars="200"/>
              <w:rPr>
                <w:rFonts w:hint="eastAsia"/>
                <w:highlight w:val="none"/>
                <w:lang w:val="en-US" w:eastAsia="zh-CN"/>
              </w:rPr>
            </w:pPr>
            <w:r>
              <w:rPr>
                <w:rFonts w:hint="eastAsia"/>
                <w:highlight w:val="none"/>
                <w:lang w:val="en-US" w:eastAsia="zh-CN"/>
              </w:rPr>
              <w:t>及时发现运行问题并调整数据库软件参数，达到优化效果，提升用户使用满意度。</w:t>
            </w:r>
          </w:p>
        </w:tc>
        <w:tc>
          <w:tcPr>
            <w:tcW w:w="990" w:type="dxa"/>
            <w:vAlign w:val="center"/>
          </w:tcPr>
          <w:p w14:paraId="6F829E7F">
            <w:pPr>
              <w:ind w:firstLine="480" w:firstLineChars="200"/>
              <w:jc w:val="center"/>
              <w:rPr>
                <w:rFonts w:hint="eastAsia"/>
                <w:highlight w:val="none"/>
                <w:lang w:val="en-US" w:eastAsia="zh-CN"/>
              </w:rPr>
            </w:pPr>
          </w:p>
        </w:tc>
        <w:tc>
          <w:tcPr>
            <w:tcW w:w="1470" w:type="dxa"/>
            <w:vAlign w:val="center"/>
          </w:tcPr>
          <w:p w14:paraId="2709E09E">
            <w:pPr>
              <w:ind w:firstLine="480" w:firstLineChars="200"/>
              <w:jc w:val="center"/>
              <w:rPr>
                <w:rFonts w:hint="eastAsia"/>
                <w:highlight w:val="none"/>
                <w:lang w:val="en-US" w:eastAsia="zh-CN"/>
              </w:rPr>
            </w:pPr>
          </w:p>
        </w:tc>
      </w:tr>
      <w:tr w14:paraId="37D4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0ED0444F">
            <w:pPr>
              <w:jc w:val="center"/>
              <w:rPr>
                <w:rFonts w:hint="eastAsia"/>
                <w:highlight w:val="none"/>
                <w:lang w:val="en-US" w:eastAsia="zh-CN"/>
              </w:rPr>
            </w:pPr>
            <w:r>
              <w:rPr>
                <w:rFonts w:hint="eastAsia"/>
                <w:highlight w:val="none"/>
                <w:lang w:val="en-US" w:eastAsia="zh-CN"/>
              </w:rPr>
              <w:t>故障恢复服务</w:t>
            </w:r>
          </w:p>
        </w:tc>
        <w:tc>
          <w:tcPr>
            <w:tcW w:w="705" w:type="dxa"/>
            <w:vAlign w:val="center"/>
          </w:tcPr>
          <w:p w14:paraId="68B62A18">
            <w:pPr>
              <w:jc w:val="center"/>
              <w:rPr>
                <w:rFonts w:hint="eastAsia"/>
                <w:highlight w:val="none"/>
                <w:lang w:val="en-US" w:eastAsia="zh-CN"/>
              </w:rPr>
            </w:pPr>
            <w:r>
              <w:rPr>
                <w:rFonts w:hint="eastAsia"/>
                <w:highlight w:val="none"/>
                <w:lang w:val="en-US" w:eastAsia="zh-CN"/>
              </w:rPr>
              <w:t>1</w:t>
            </w:r>
          </w:p>
        </w:tc>
        <w:tc>
          <w:tcPr>
            <w:tcW w:w="1200" w:type="dxa"/>
          </w:tcPr>
          <w:p w14:paraId="273F192E">
            <w:pPr>
              <w:jc w:val="center"/>
              <w:rPr>
                <w:rFonts w:hint="eastAsia"/>
                <w:highlight w:val="none"/>
                <w:lang w:val="en-US" w:eastAsia="zh-CN"/>
              </w:rPr>
            </w:pPr>
            <w:r>
              <w:rPr>
                <w:rFonts w:hint="eastAsia"/>
                <w:highlight w:val="none"/>
                <w:lang w:val="en-US" w:eastAsia="zh-CN"/>
              </w:rPr>
              <w:t>数据恢复服务</w:t>
            </w:r>
          </w:p>
        </w:tc>
        <w:tc>
          <w:tcPr>
            <w:tcW w:w="4785" w:type="dxa"/>
          </w:tcPr>
          <w:p w14:paraId="4C77B553">
            <w:pPr>
              <w:ind w:firstLine="480" w:firstLineChars="200"/>
              <w:rPr>
                <w:rFonts w:hint="eastAsia"/>
                <w:highlight w:val="none"/>
                <w:lang w:val="en-US" w:eastAsia="zh-CN"/>
              </w:rPr>
            </w:pPr>
            <w:r>
              <w:rPr>
                <w:rFonts w:hint="eastAsia"/>
                <w:highlight w:val="none"/>
                <w:lang w:val="en-US" w:eastAsia="zh-CN"/>
              </w:rPr>
              <w:t>在数据库系统/存储或者服务器出现故障后，通过备份软件恢复备份数据，直至系统恢复正常。</w:t>
            </w:r>
          </w:p>
        </w:tc>
        <w:tc>
          <w:tcPr>
            <w:tcW w:w="990" w:type="dxa"/>
            <w:vAlign w:val="center"/>
          </w:tcPr>
          <w:p w14:paraId="0BAD6558">
            <w:pPr>
              <w:jc w:val="center"/>
              <w:rPr>
                <w:rFonts w:hint="eastAsia"/>
                <w:highlight w:val="none"/>
                <w:lang w:val="en-US" w:eastAsia="zh-CN"/>
              </w:rPr>
            </w:pPr>
            <w:r>
              <w:rPr>
                <w:rFonts w:hint="eastAsia"/>
                <w:highlight w:val="none"/>
                <w:lang w:val="en-US" w:eastAsia="zh-CN"/>
              </w:rPr>
              <w:t>3</w:t>
            </w:r>
          </w:p>
        </w:tc>
        <w:tc>
          <w:tcPr>
            <w:tcW w:w="1470" w:type="dxa"/>
            <w:vAlign w:val="center"/>
          </w:tcPr>
          <w:p w14:paraId="177380B2">
            <w:pPr>
              <w:jc w:val="center"/>
              <w:rPr>
                <w:rFonts w:hint="eastAsia"/>
                <w:highlight w:val="none"/>
                <w:lang w:val="en-US" w:eastAsia="zh-CN"/>
              </w:rPr>
            </w:pPr>
            <w:r>
              <w:rPr>
                <w:rFonts w:hint="eastAsia"/>
                <w:highlight w:val="none"/>
                <w:lang w:val="en-US" w:eastAsia="zh-CN"/>
              </w:rPr>
              <w:t>中级</w:t>
            </w:r>
          </w:p>
        </w:tc>
      </w:tr>
      <w:tr w14:paraId="4EB2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1CE69CEB">
            <w:pPr>
              <w:ind w:firstLine="480" w:firstLineChars="200"/>
              <w:jc w:val="center"/>
              <w:rPr>
                <w:rFonts w:hint="eastAsia"/>
                <w:highlight w:val="none"/>
                <w:lang w:val="en-US" w:eastAsia="zh-CN"/>
              </w:rPr>
            </w:pPr>
          </w:p>
        </w:tc>
        <w:tc>
          <w:tcPr>
            <w:tcW w:w="705" w:type="dxa"/>
            <w:vAlign w:val="center"/>
          </w:tcPr>
          <w:p w14:paraId="14D9A318">
            <w:pPr>
              <w:jc w:val="center"/>
              <w:rPr>
                <w:rFonts w:hint="eastAsia"/>
                <w:highlight w:val="none"/>
                <w:lang w:val="en-US" w:eastAsia="zh-CN"/>
              </w:rPr>
            </w:pPr>
            <w:r>
              <w:rPr>
                <w:rFonts w:hint="eastAsia"/>
                <w:highlight w:val="none"/>
                <w:lang w:val="en-US" w:eastAsia="zh-CN"/>
              </w:rPr>
              <w:t>2</w:t>
            </w:r>
          </w:p>
        </w:tc>
        <w:tc>
          <w:tcPr>
            <w:tcW w:w="1200" w:type="dxa"/>
          </w:tcPr>
          <w:p w14:paraId="64478C70">
            <w:pPr>
              <w:jc w:val="center"/>
              <w:rPr>
                <w:rFonts w:hint="eastAsia"/>
                <w:highlight w:val="none"/>
                <w:lang w:val="en-US" w:eastAsia="zh-CN"/>
              </w:rPr>
            </w:pPr>
            <w:r>
              <w:rPr>
                <w:rFonts w:hint="eastAsia"/>
                <w:highlight w:val="none"/>
                <w:lang w:val="en-US" w:eastAsia="zh-CN"/>
              </w:rPr>
              <w:t>地市数据恢复协助</w:t>
            </w:r>
          </w:p>
        </w:tc>
        <w:tc>
          <w:tcPr>
            <w:tcW w:w="4785" w:type="dxa"/>
          </w:tcPr>
          <w:p w14:paraId="55D0F20B">
            <w:pPr>
              <w:ind w:firstLine="480" w:firstLineChars="200"/>
              <w:rPr>
                <w:rFonts w:hint="eastAsia"/>
                <w:highlight w:val="none"/>
                <w:lang w:val="en-US" w:eastAsia="zh-CN"/>
              </w:rPr>
            </w:pPr>
            <w:r>
              <w:rPr>
                <w:rFonts w:hint="eastAsia"/>
                <w:highlight w:val="none"/>
                <w:lang w:val="en-US" w:eastAsia="zh-CN"/>
              </w:rPr>
              <w:t>在地市局数据出现故障，无法恢复时，通过厅信息中心实时采集的数据进行回写，协助恢复地市局数据。</w:t>
            </w:r>
          </w:p>
        </w:tc>
        <w:tc>
          <w:tcPr>
            <w:tcW w:w="990" w:type="dxa"/>
            <w:vAlign w:val="center"/>
          </w:tcPr>
          <w:p w14:paraId="439850BF">
            <w:pPr>
              <w:jc w:val="center"/>
              <w:rPr>
                <w:rFonts w:hint="eastAsia"/>
                <w:highlight w:val="none"/>
                <w:lang w:val="en-US" w:eastAsia="zh-CN"/>
              </w:rPr>
            </w:pPr>
            <w:r>
              <w:rPr>
                <w:rFonts w:hint="eastAsia"/>
                <w:highlight w:val="none"/>
                <w:lang w:val="en-US" w:eastAsia="zh-CN"/>
              </w:rPr>
              <w:t>3</w:t>
            </w:r>
          </w:p>
        </w:tc>
        <w:tc>
          <w:tcPr>
            <w:tcW w:w="1470" w:type="dxa"/>
            <w:vAlign w:val="center"/>
          </w:tcPr>
          <w:p w14:paraId="2BF27D21">
            <w:pPr>
              <w:jc w:val="center"/>
              <w:rPr>
                <w:rFonts w:hint="eastAsia"/>
                <w:highlight w:val="none"/>
                <w:lang w:val="en-US" w:eastAsia="zh-CN"/>
              </w:rPr>
            </w:pPr>
            <w:r>
              <w:rPr>
                <w:rFonts w:hint="eastAsia"/>
                <w:highlight w:val="none"/>
                <w:lang w:val="en-US" w:eastAsia="zh-CN"/>
              </w:rPr>
              <w:t>中级</w:t>
            </w:r>
          </w:p>
        </w:tc>
      </w:tr>
      <w:tr w14:paraId="3063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3A2833C5">
            <w:pPr>
              <w:ind w:firstLine="480" w:firstLineChars="200"/>
              <w:jc w:val="center"/>
              <w:rPr>
                <w:rFonts w:hint="eastAsia"/>
                <w:highlight w:val="none"/>
                <w:lang w:val="en-US" w:eastAsia="zh-CN"/>
              </w:rPr>
            </w:pPr>
          </w:p>
        </w:tc>
        <w:tc>
          <w:tcPr>
            <w:tcW w:w="705" w:type="dxa"/>
            <w:vAlign w:val="center"/>
          </w:tcPr>
          <w:p w14:paraId="432B6042">
            <w:pPr>
              <w:jc w:val="center"/>
              <w:rPr>
                <w:rFonts w:hint="eastAsia"/>
                <w:highlight w:val="none"/>
                <w:lang w:val="en-US" w:eastAsia="zh-CN"/>
              </w:rPr>
            </w:pPr>
            <w:r>
              <w:rPr>
                <w:rFonts w:hint="eastAsia"/>
                <w:highlight w:val="none"/>
                <w:lang w:val="en-US" w:eastAsia="zh-CN"/>
              </w:rPr>
              <w:t>3</w:t>
            </w:r>
          </w:p>
        </w:tc>
        <w:tc>
          <w:tcPr>
            <w:tcW w:w="1200" w:type="dxa"/>
          </w:tcPr>
          <w:p w14:paraId="0567D3EA">
            <w:pPr>
              <w:jc w:val="center"/>
              <w:rPr>
                <w:rFonts w:hint="eastAsia"/>
                <w:highlight w:val="none"/>
                <w:lang w:val="en-US" w:eastAsia="zh-CN"/>
              </w:rPr>
            </w:pPr>
            <w:r>
              <w:rPr>
                <w:rFonts w:hint="eastAsia"/>
                <w:highlight w:val="none"/>
                <w:lang w:val="en-US" w:eastAsia="zh-CN"/>
              </w:rPr>
              <w:t>数据快照回写</w:t>
            </w:r>
          </w:p>
        </w:tc>
        <w:tc>
          <w:tcPr>
            <w:tcW w:w="4785" w:type="dxa"/>
          </w:tcPr>
          <w:p w14:paraId="3AE1E279">
            <w:pPr>
              <w:ind w:firstLine="480" w:firstLineChars="200"/>
              <w:rPr>
                <w:rFonts w:hint="eastAsia"/>
                <w:highlight w:val="none"/>
                <w:lang w:val="en-US" w:eastAsia="zh-CN"/>
              </w:rPr>
            </w:pPr>
            <w:r>
              <w:rPr>
                <w:rFonts w:hint="eastAsia"/>
                <w:highlight w:val="none"/>
                <w:lang w:val="en-US" w:eastAsia="zh-CN"/>
              </w:rPr>
              <w:t>在发生逻辑错误导致数据混乱的情况下，通过备份软件的快照回退方式修复混乱的业务数据。</w:t>
            </w:r>
          </w:p>
        </w:tc>
        <w:tc>
          <w:tcPr>
            <w:tcW w:w="990" w:type="dxa"/>
            <w:vAlign w:val="center"/>
          </w:tcPr>
          <w:p w14:paraId="59F141F2">
            <w:pPr>
              <w:jc w:val="center"/>
              <w:rPr>
                <w:rFonts w:hint="eastAsia"/>
                <w:highlight w:val="none"/>
                <w:lang w:val="en-US" w:eastAsia="zh-CN"/>
              </w:rPr>
            </w:pPr>
            <w:r>
              <w:rPr>
                <w:rFonts w:hint="eastAsia"/>
                <w:highlight w:val="none"/>
                <w:lang w:val="en-US" w:eastAsia="zh-CN"/>
              </w:rPr>
              <w:t>3</w:t>
            </w:r>
          </w:p>
        </w:tc>
        <w:tc>
          <w:tcPr>
            <w:tcW w:w="1470" w:type="dxa"/>
            <w:vAlign w:val="center"/>
          </w:tcPr>
          <w:p w14:paraId="4097F645">
            <w:pPr>
              <w:jc w:val="center"/>
              <w:rPr>
                <w:rFonts w:hint="eastAsia"/>
                <w:highlight w:val="none"/>
                <w:lang w:val="en-US" w:eastAsia="zh-CN"/>
              </w:rPr>
            </w:pPr>
            <w:r>
              <w:rPr>
                <w:rFonts w:hint="eastAsia"/>
                <w:highlight w:val="none"/>
                <w:lang w:val="en-US" w:eastAsia="zh-CN"/>
              </w:rPr>
              <w:t>中级</w:t>
            </w:r>
          </w:p>
        </w:tc>
      </w:tr>
      <w:tr w14:paraId="35EB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59615C2B">
            <w:pPr>
              <w:jc w:val="center"/>
              <w:rPr>
                <w:rFonts w:hint="eastAsia"/>
                <w:highlight w:val="none"/>
                <w:lang w:val="en-US" w:eastAsia="zh-CN"/>
              </w:rPr>
            </w:pPr>
            <w:r>
              <w:rPr>
                <w:rFonts w:hint="eastAsia"/>
                <w:highlight w:val="none"/>
                <w:lang w:val="en-US" w:eastAsia="zh-CN"/>
              </w:rPr>
              <w:t>License迁移服务</w:t>
            </w:r>
          </w:p>
        </w:tc>
        <w:tc>
          <w:tcPr>
            <w:tcW w:w="705" w:type="dxa"/>
            <w:vAlign w:val="center"/>
          </w:tcPr>
          <w:p w14:paraId="58205BDA">
            <w:pPr>
              <w:jc w:val="center"/>
              <w:rPr>
                <w:rFonts w:hint="eastAsia"/>
                <w:highlight w:val="none"/>
                <w:lang w:val="en-US" w:eastAsia="zh-CN"/>
              </w:rPr>
            </w:pPr>
            <w:r>
              <w:rPr>
                <w:rFonts w:hint="eastAsia"/>
                <w:highlight w:val="none"/>
                <w:lang w:val="en-US" w:eastAsia="zh-CN"/>
              </w:rPr>
              <w:t>1</w:t>
            </w:r>
          </w:p>
        </w:tc>
        <w:tc>
          <w:tcPr>
            <w:tcW w:w="1200" w:type="dxa"/>
            <w:vAlign w:val="center"/>
          </w:tcPr>
          <w:p w14:paraId="476DBF3F">
            <w:pPr>
              <w:jc w:val="center"/>
              <w:rPr>
                <w:rFonts w:hint="eastAsia"/>
                <w:highlight w:val="none"/>
                <w:lang w:val="en-US" w:eastAsia="zh-CN"/>
              </w:rPr>
            </w:pPr>
            <w:r>
              <w:rPr>
                <w:rFonts w:hint="eastAsia"/>
                <w:highlight w:val="none"/>
                <w:lang w:val="en-US" w:eastAsia="zh-CN"/>
              </w:rPr>
              <w:t>新环境搭建</w:t>
            </w:r>
          </w:p>
        </w:tc>
        <w:tc>
          <w:tcPr>
            <w:tcW w:w="4785" w:type="dxa"/>
          </w:tcPr>
          <w:p w14:paraId="5CC9A16B">
            <w:pPr>
              <w:ind w:firstLine="480" w:firstLineChars="200"/>
              <w:rPr>
                <w:rFonts w:hint="eastAsia"/>
                <w:highlight w:val="none"/>
                <w:lang w:val="en-US" w:eastAsia="zh-CN"/>
              </w:rPr>
            </w:pPr>
            <w:r>
              <w:rPr>
                <w:rFonts w:hint="eastAsia"/>
                <w:highlight w:val="none"/>
                <w:lang w:val="en-US" w:eastAsia="zh-CN"/>
              </w:rPr>
              <w:t>安装新投产服务器操作系统；</w:t>
            </w:r>
          </w:p>
          <w:p w14:paraId="65D271F5">
            <w:pPr>
              <w:ind w:firstLine="480" w:firstLineChars="200"/>
              <w:rPr>
                <w:rFonts w:hint="eastAsia"/>
                <w:highlight w:val="none"/>
                <w:lang w:val="en-US" w:eastAsia="zh-CN"/>
              </w:rPr>
            </w:pPr>
            <w:r>
              <w:rPr>
                <w:rFonts w:hint="eastAsia"/>
                <w:highlight w:val="none"/>
                <w:lang w:val="en-US" w:eastAsia="zh-CN"/>
              </w:rPr>
              <w:t>安装新投产数据库软件并配置相应可同步环境；</w:t>
            </w:r>
          </w:p>
          <w:p w14:paraId="61B1FFF1">
            <w:pPr>
              <w:ind w:firstLine="480" w:firstLineChars="200"/>
              <w:rPr>
                <w:rFonts w:hint="eastAsia"/>
                <w:highlight w:val="none"/>
                <w:lang w:val="en-US" w:eastAsia="zh-CN"/>
              </w:rPr>
            </w:pPr>
            <w:r>
              <w:rPr>
                <w:rFonts w:hint="eastAsia"/>
                <w:highlight w:val="none"/>
                <w:lang w:val="en-US" w:eastAsia="zh-CN"/>
              </w:rPr>
              <w:t>安装相应版本备份或同步软件。</w:t>
            </w:r>
          </w:p>
        </w:tc>
        <w:tc>
          <w:tcPr>
            <w:tcW w:w="990" w:type="dxa"/>
            <w:vAlign w:val="center"/>
          </w:tcPr>
          <w:p w14:paraId="4AD006DD">
            <w:pPr>
              <w:jc w:val="center"/>
              <w:rPr>
                <w:rFonts w:hint="eastAsia"/>
                <w:highlight w:val="none"/>
                <w:lang w:val="en-US" w:eastAsia="zh-CN"/>
              </w:rPr>
            </w:pPr>
            <w:r>
              <w:rPr>
                <w:rFonts w:hint="eastAsia"/>
                <w:highlight w:val="none"/>
                <w:lang w:val="en-US" w:eastAsia="zh-CN"/>
              </w:rPr>
              <w:t>3</w:t>
            </w:r>
          </w:p>
        </w:tc>
        <w:tc>
          <w:tcPr>
            <w:tcW w:w="1470" w:type="dxa"/>
            <w:vAlign w:val="center"/>
          </w:tcPr>
          <w:p w14:paraId="76574819">
            <w:pPr>
              <w:jc w:val="center"/>
              <w:rPr>
                <w:rFonts w:hint="eastAsia"/>
                <w:highlight w:val="none"/>
                <w:lang w:val="en-US" w:eastAsia="zh-CN"/>
              </w:rPr>
            </w:pPr>
            <w:r>
              <w:rPr>
                <w:rFonts w:hint="eastAsia"/>
                <w:highlight w:val="none"/>
                <w:lang w:val="en-US" w:eastAsia="zh-CN"/>
              </w:rPr>
              <w:t>中级</w:t>
            </w:r>
          </w:p>
        </w:tc>
      </w:tr>
      <w:tr w14:paraId="4C4D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282F8C1B">
            <w:pPr>
              <w:ind w:firstLine="480" w:firstLineChars="200"/>
              <w:jc w:val="center"/>
              <w:rPr>
                <w:rFonts w:hint="eastAsia"/>
                <w:highlight w:val="none"/>
                <w:lang w:val="en-US" w:eastAsia="zh-CN"/>
              </w:rPr>
            </w:pPr>
          </w:p>
        </w:tc>
        <w:tc>
          <w:tcPr>
            <w:tcW w:w="705" w:type="dxa"/>
            <w:vAlign w:val="center"/>
          </w:tcPr>
          <w:p w14:paraId="013933A6">
            <w:pPr>
              <w:jc w:val="center"/>
              <w:rPr>
                <w:rFonts w:hint="eastAsia"/>
                <w:highlight w:val="none"/>
                <w:lang w:val="en-US" w:eastAsia="zh-CN"/>
              </w:rPr>
            </w:pPr>
            <w:r>
              <w:rPr>
                <w:rFonts w:hint="eastAsia"/>
                <w:highlight w:val="none"/>
                <w:lang w:val="en-US" w:eastAsia="zh-CN"/>
              </w:rPr>
              <w:t>2</w:t>
            </w:r>
          </w:p>
        </w:tc>
        <w:tc>
          <w:tcPr>
            <w:tcW w:w="1200" w:type="dxa"/>
            <w:vAlign w:val="center"/>
          </w:tcPr>
          <w:p w14:paraId="4BA9A0AE">
            <w:pPr>
              <w:jc w:val="center"/>
              <w:rPr>
                <w:rFonts w:hint="eastAsia"/>
                <w:highlight w:val="none"/>
                <w:lang w:val="en-US" w:eastAsia="zh-CN"/>
              </w:rPr>
            </w:pPr>
            <w:r>
              <w:rPr>
                <w:rFonts w:hint="eastAsia"/>
                <w:highlight w:val="none"/>
                <w:lang w:val="en-US" w:eastAsia="zh-CN"/>
              </w:rPr>
              <w:t>复制软件License迁移</w:t>
            </w:r>
          </w:p>
        </w:tc>
        <w:tc>
          <w:tcPr>
            <w:tcW w:w="4785" w:type="dxa"/>
          </w:tcPr>
          <w:p w14:paraId="7362CF6C">
            <w:pPr>
              <w:ind w:firstLine="480" w:firstLineChars="200"/>
              <w:rPr>
                <w:rFonts w:hint="eastAsia"/>
                <w:highlight w:val="none"/>
                <w:lang w:val="en-US" w:eastAsia="zh-CN"/>
              </w:rPr>
            </w:pPr>
            <w:r>
              <w:rPr>
                <w:rFonts w:hint="eastAsia"/>
                <w:highlight w:val="none"/>
                <w:lang w:val="en-US" w:eastAsia="zh-CN"/>
              </w:rPr>
              <w:t>根据现场网络拓扑和硬件架构，配置满足客户需要的容灾软件参数；</w:t>
            </w:r>
          </w:p>
          <w:p w14:paraId="1D4E5BDE">
            <w:pPr>
              <w:ind w:firstLine="480" w:firstLineChars="200"/>
              <w:rPr>
                <w:rFonts w:hint="eastAsia"/>
                <w:highlight w:val="none"/>
                <w:lang w:val="en-US" w:eastAsia="zh-CN"/>
              </w:rPr>
            </w:pPr>
            <w:r>
              <w:rPr>
                <w:rFonts w:hint="eastAsia"/>
                <w:highlight w:val="none"/>
                <w:lang w:val="en-US" w:eastAsia="zh-CN"/>
              </w:rPr>
              <w:t>进行数据重新初始化；</w:t>
            </w:r>
          </w:p>
          <w:p w14:paraId="02D22D86">
            <w:pPr>
              <w:ind w:firstLine="480" w:firstLineChars="200"/>
              <w:rPr>
                <w:rFonts w:hint="eastAsia"/>
                <w:highlight w:val="none"/>
                <w:lang w:val="en-US" w:eastAsia="zh-CN"/>
              </w:rPr>
            </w:pPr>
            <w:r>
              <w:rPr>
                <w:rFonts w:hint="eastAsia"/>
                <w:highlight w:val="none"/>
                <w:lang w:val="en-US" w:eastAsia="zh-CN"/>
              </w:rPr>
              <w:t>根据用户实际需要，配置相应软件策略，达到最优同步效果。</w:t>
            </w:r>
          </w:p>
        </w:tc>
        <w:tc>
          <w:tcPr>
            <w:tcW w:w="990" w:type="dxa"/>
            <w:vAlign w:val="center"/>
          </w:tcPr>
          <w:p w14:paraId="4AEFE1B2">
            <w:pPr>
              <w:jc w:val="center"/>
              <w:rPr>
                <w:rFonts w:hint="eastAsia"/>
                <w:highlight w:val="none"/>
                <w:lang w:val="en-US" w:eastAsia="zh-CN"/>
              </w:rPr>
            </w:pPr>
            <w:r>
              <w:rPr>
                <w:rFonts w:hint="eastAsia"/>
                <w:highlight w:val="none"/>
                <w:lang w:val="en-US" w:eastAsia="zh-CN"/>
              </w:rPr>
              <w:t>3</w:t>
            </w:r>
          </w:p>
        </w:tc>
        <w:tc>
          <w:tcPr>
            <w:tcW w:w="1470" w:type="dxa"/>
            <w:vAlign w:val="center"/>
          </w:tcPr>
          <w:p w14:paraId="424CE212">
            <w:pPr>
              <w:jc w:val="center"/>
              <w:rPr>
                <w:rFonts w:hint="eastAsia"/>
                <w:highlight w:val="none"/>
                <w:lang w:val="en-US" w:eastAsia="zh-CN"/>
              </w:rPr>
            </w:pPr>
            <w:r>
              <w:rPr>
                <w:rFonts w:hint="eastAsia"/>
                <w:highlight w:val="none"/>
                <w:lang w:val="en-US" w:eastAsia="zh-CN"/>
              </w:rPr>
              <w:t>中级</w:t>
            </w:r>
          </w:p>
        </w:tc>
      </w:tr>
      <w:tr w14:paraId="4817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7AA05ED9">
            <w:pPr>
              <w:ind w:firstLine="480" w:firstLineChars="200"/>
              <w:jc w:val="center"/>
              <w:rPr>
                <w:rFonts w:hint="eastAsia"/>
                <w:highlight w:val="none"/>
                <w:lang w:val="en-US" w:eastAsia="zh-CN"/>
              </w:rPr>
            </w:pPr>
          </w:p>
        </w:tc>
        <w:tc>
          <w:tcPr>
            <w:tcW w:w="705" w:type="dxa"/>
            <w:vAlign w:val="center"/>
          </w:tcPr>
          <w:p w14:paraId="473CB256">
            <w:pPr>
              <w:jc w:val="center"/>
              <w:rPr>
                <w:rFonts w:hint="eastAsia"/>
                <w:highlight w:val="none"/>
                <w:lang w:val="en-US" w:eastAsia="zh-CN"/>
              </w:rPr>
            </w:pPr>
            <w:r>
              <w:rPr>
                <w:rFonts w:hint="eastAsia"/>
                <w:highlight w:val="none"/>
                <w:lang w:val="en-US" w:eastAsia="zh-CN"/>
              </w:rPr>
              <w:t>3</w:t>
            </w:r>
          </w:p>
        </w:tc>
        <w:tc>
          <w:tcPr>
            <w:tcW w:w="1200" w:type="dxa"/>
          </w:tcPr>
          <w:p w14:paraId="4A1A11AB">
            <w:pPr>
              <w:jc w:val="center"/>
              <w:rPr>
                <w:rFonts w:hint="eastAsia"/>
                <w:highlight w:val="none"/>
                <w:lang w:val="en-US" w:eastAsia="zh-CN"/>
              </w:rPr>
            </w:pPr>
          </w:p>
          <w:p w14:paraId="253A2767">
            <w:pPr>
              <w:jc w:val="center"/>
              <w:rPr>
                <w:rFonts w:hint="eastAsia"/>
                <w:highlight w:val="none"/>
                <w:lang w:val="en-US" w:eastAsia="zh-CN"/>
              </w:rPr>
            </w:pPr>
            <w:r>
              <w:rPr>
                <w:rFonts w:hint="eastAsia"/>
                <w:highlight w:val="none"/>
                <w:lang w:val="en-US" w:eastAsia="zh-CN"/>
              </w:rPr>
              <w:t>备份软件License迁移</w:t>
            </w:r>
          </w:p>
        </w:tc>
        <w:tc>
          <w:tcPr>
            <w:tcW w:w="4785" w:type="dxa"/>
          </w:tcPr>
          <w:p w14:paraId="47FE6740">
            <w:pPr>
              <w:ind w:firstLine="480" w:firstLineChars="200"/>
              <w:rPr>
                <w:rFonts w:hint="eastAsia"/>
                <w:highlight w:val="none"/>
                <w:lang w:val="en-US" w:eastAsia="zh-CN"/>
              </w:rPr>
            </w:pPr>
            <w:r>
              <w:rPr>
                <w:rFonts w:hint="eastAsia"/>
                <w:highlight w:val="none"/>
                <w:lang w:val="en-US" w:eastAsia="zh-CN"/>
              </w:rPr>
              <w:t>1、根据现场网络拓扑和硬件架构，重新部署备份软件相关模块。</w:t>
            </w:r>
          </w:p>
          <w:p w14:paraId="784DC012">
            <w:pPr>
              <w:ind w:firstLine="480" w:firstLineChars="200"/>
              <w:rPr>
                <w:rFonts w:hint="eastAsia"/>
                <w:highlight w:val="none"/>
                <w:lang w:val="en-US" w:eastAsia="zh-CN"/>
              </w:rPr>
            </w:pPr>
            <w:r>
              <w:rPr>
                <w:rFonts w:hint="eastAsia"/>
                <w:highlight w:val="none"/>
                <w:lang w:val="en-US" w:eastAsia="zh-CN"/>
              </w:rPr>
              <w:t>2、对数据进行重新备份；</w:t>
            </w:r>
          </w:p>
          <w:p w14:paraId="3AFC8A73">
            <w:pPr>
              <w:ind w:firstLine="480" w:firstLineChars="200"/>
              <w:rPr>
                <w:rFonts w:hint="eastAsia"/>
                <w:highlight w:val="none"/>
                <w:lang w:val="en-US" w:eastAsia="zh-CN"/>
              </w:rPr>
            </w:pPr>
            <w:r>
              <w:rPr>
                <w:rFonts w:hint="eastAsia"/>
                <w:highlight w:val="none"/>
                <w:lang w:val="en-US" w:eastAsia="zh-CN"/>
              </w:rPr>
              <w:t>3、根据用户实际需要，调整备份策略，达到最优备份效果。</w:t>
            </w:r>
          </w:p>
        </w:tc>
        <w:tc>
          <w:tcPr>
            <w:tcW w:w="990" w:type="dxa"/>
            <w:vAlign w:val="center"/>
          </w:tcPr>
          <w:p w14:paraId="0F9D5339">
            <w:pPr>
              <w:jc w:val="center"/>
              <w:rPr>
                <w:rFonts w:hint="eastAsia"/>
                <w:highlight w:val="none"/>
                <w:lang w:val="en-US" w:eastAsia="zh-CN"/>
              </w:rPr>
            </w:pPr>
            <w:r>
              <w:rPr>
                <w:rFonts w:hint="eastAsia"/>
                <w:highlight w:val="none"/>
                <w:lang w:val="en-US" w:eastAsia="zh-CN"/>
              </w:rPr>
              <w:t>3</w:t>
            </w:r>
          </w:p>
        </w:tc>
        <w:tc>
          <w:tcPr>
            <w:tcW w:w="1470" w:type="dxa"/>
            <w:vAlign w:val="center"/>
          </w:tcPr>
          <w:p w14:paraId="10B0F2E3">
            <w:pPr>
              <w:jc w:val="center"/>
              <w:rPr>
                <w:rFonts w:hint="eastAsia"/>
                <w:highlight w:val="none"/>
                <w:lang w:val="en-US" w:eastAsia="zh-CN"/>
              </w:rPr>
            </w:pPr>
            <w:r>
              <w:rPr>
                <w:rFonts w:hint="eastAsia"/>
                <w:highlight w:val="none"/>
                <w:lang w:val="en-US" w:eastAsia="zh-CN"/>
              </w:rPr>
              <w:t>中级</w:t>
            </w:r>
          </w:p>
        </w:tc>
      </w:tr>
      <w:tr w14:paraId="38B2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245" w:type="dxa"/>
            <w:vMerge w:val="restart"/>
            <w:vAlign w:val="center"/>
          </w:tcPr>
          <w:p w14:paraId="78601E17">
            <w:pPr>
              <w:jc w:val="center"/>
              <w:rPr>
                <w:rFonts w:hint="eastAsia"/>
                <w:highlight w:val="none"/>
                <w:lang w:val="en-US" w:eastAsia="zh-CN"/>
              </w:rPr>
            </w:pPr>
            <w:r>
              <w:rPr>
                <w:rFonts w:hint="eastAsia"/>
                <w:highlight w:val="none"/>
                <w:lang w:val="en-US" w:eastAsia="zh-CN"/>
              </w:rPr>
              <w:t>灾备演练服务</w:t>
            </w:r>
          </w:p>
        </w:tc>
        <w:tc>
          <w:tcPr>
            <w:tcW w:w="705" w:type="dxa"/>
            <w:vAlign w:val="center"/>
          </w:tcPr>
          <w:p w14:paraId="61546C55">
            <w:pPr>
              <w:jc w:val="center"/>
              <w:rPr>
                <w:rFonts w:hint="eastAsia"/>
                <w:highlight w:val="none"/>
                <w:lang w:val="en-US" w:eastAsia="zh-CN"/>
              </w:rPr>
            </w:pPr>
            <w:r>
              <w:rPr>
                <w:rFonts w:hint="eastAsia"/>
                <w:highlight w:val="none"/>
                <w:lang w:val="en-US" w:eastAsia="zh-CN"/>
              </w:rPr>
              <w:t>1</w:t>
            </w:r>
          </w:p>
        </w:tc>
        <w:tc>
          <w:tcPr>
            <w:tcW w:w="1200" w:type="dxa"/>
          </w:tcPr>
          <w:p w14:paraId="48B855FC">
            <w:pPr>
              <w:jc w:val="center"/>
              <w:rPr>
                <w:rFonts w:hint="eastAsia"/>
                <w:highlight w:val="none"/>
                <w:lang w:val="en-US" w:eastAsia="zh-CN"/>
              </w:rPr>
            </w:pPr>
            <w:r>
              <w:rPr>
                <w:rFonts w:hint="eastAsia"/>
                <w:highlight w:val="none"/>
                <w:lang w:val="en-US" w:eastAsia="zh-CN"/>
              </w:rPr>
              <w:t>逻辑恢复演练</w:t>
            </w:r>
          </w:p>
        </w:tc>
        <w:tc>
          <w:tcPr>
            <w:tcW w:w="4785" w:type="dxa"/>
          </w:tcPr>
          <w:p w14:paraId="0C4A6FD8">
            <w:pPr>
              <w:ind w:firstLine="480" w:firstLineChars="200"/>
              <w:rPr>
                <w:rFonts w:hint="eastAsia"/>
                <w:highlight w:val="none"/>
                <w:lang w:val="en-US" w:eastAsia="zh-CN"/>
              </w:rPr>
            </w:pPr>
            <w:r>
              <w:rPr>
                <w:rFonts w:hint="eastAsia"/>
                <w:highlight w:val="none"/>
                <w:lang w:val="en-US" w:eastAsia="zh-CN"/>
              </w:rPr>
              <w:t>演练从备份数据中直接恢复单独的表、用户或者其他对象。提供应用场景，恢复方案及操作流程、脚本等。</w:t>
            </w:r>
          </w:p>
        </w:tc>
        <w:tc>
          <w:tcPr>
            <w:tcW w:w="990" w:type="dxa"/>
            <w:vAlign w:val="center"/>
          </w:tcPr>
          <w:p w14:paraId="5294AA1C">
            <w:pPr>
              <w:ind w:firstLine="480" w:firstLineChars="200"/>
              <w:jc w:val="center"/>
              <w:rPr>
                <w:rFonts w:hint="eastAsia"/>
                <w:highlight w:val="none"/>
                <w:lang w:val="en-US" w:eastAsia="zh-CN"/>
              </w:rPr>
            </w:pPr>
          </w:p>
        </w:tc>
        <w:tc>
          <w:tcPr>
            <w:tcW w:w="1470" w:type="dxa"/>
            <w:vAlign w:val="center"/>
          </w:tcPr>
          <w:p w14:paraId="47CBBC11">
            <w:pPr>
              <w:ind w:firstLine="480" w:firstLineChars="200"/>
              <w:jc w:val="center"/>
              <w:rPr>
                <w:rFonts w:hint="eastAsia"/>
                <w:highlight w:val="none"/>
                <w:lang w:val="en-US" w:eastAsia="zh-CN"/>
              </w:rPr>
            </w:pPr>
          </w:p>
        </w:tc>
      </w:tr>
      <w:tr w14:paraId="252C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vAlign w:val="center"/>
          </w:tcPr>
          <w:p w14:paraId="0AA8554F">
            <w:pPr>
              <w:ind w:firstLine="480" w:firstLineChars="200"/>
              <w:jc w:val="center"/>
              <w:rPr>
                <w:rFonts w:hint="eastAsia"/>
                <w:highlight w:val="none"/>
                <w:lang w:val="en-US" w:eastAsia="zh-CN"/>
              </w:rPr>
            </w:pPr>
          </w:p>
        </w:tc>
        <w:tc>
          <w:tcPr>
            <w:tcW w:w="705" w:type="dxa"/>
            <w:vAlign w:val="center"/>
          </w:tcPr>
          <w:p w14:paraId="42207F5C">
            <w:pPr>
              <w:jc w:val="center"/>
              <w:rPr>
                <w:rFonts w:hint="eastAsia"/>
                <w:highlight w:val="none"/>
                <w:lang w:val="en-US" w:eastAsia="zh-CN"/>
              </w:rPr>
            </w:pPr>
            <w:r>
              <w:rPr>
                <w:rFonts w:hint="eastAsia"/>
                <w:highlight w:val="none"/>
                <w:lang w:val="en-US" w:eastAsia="zh-CN"/>
              </w:rPr>
              <w:t>2</w:t>
            </w:r>
          </w:p>
        </w:tc>
        <w:tc>
          <w:tcPr>
            <w:tcW w:w="1200" w:type="dxa"/>
            <w:vAlign w:val="center"/>
          </w:tcPr>
          <w:p w14:paraId="6DB8B35A">
            <w:pPr>
              <w:jc w:val="center"/>
              <w:rPr>
                <w:rFonts w:hint="eastAsia"/>
                <w:highlight w:val="none"/>
                <w:lang w:val="en-US" w:eastAsia="zh-CN"/>
              </w:rPr>
            </w:pPr>
            <w:r>
              <w:rPr>
                <w:rFonts w:hint="eastAsia"/>
                <w:highlight w:val="none"/>
                <w:lang w:val="en-US" w:eastAsia="zh-CN"/>
              </w:rPr>
              <w:t>物理恢复演练</w:t>
            </w:r>
          </w:p>
        </w:tc>
        <w:tc>
          <w:tcPr>
            <w:tcW w:w="4785" w:type="dxa"/>
            <w:vAlign w:val="center"/>
          </w:tcPr>
          <w:p w14:paraId="0B8FC6C4">
            <w:pPr>
              <w:ind w:firstLine="480" w:firstLineChars="200"/>
              <w:rPr>
                <w:rFonts w:hint="eastAsia"/>
                <w:highlight w:val="none"/>
                <w:lang w:val="en-US" w:eastAsia="zh-CN"/>
              </w:rPr>
            </w:pPr>
            <w:r>
              <w:rPr>
                <w:rFonts w:hint="eastAsia"/>
                <w:highlight w:val="none"/>
                <w:lang w:val="en-US" w:eastAsia="zh-CN"/>
              </w:rPr>
              <w:t>演练从备份数据中直接恢复整个数据库或者部分表空间。提供应用场景，恢复方案及操作流程、脚本等。</w:t>
            </w:r>
          </w:p>
        </w:tc>
        <w:tc>
          <w:tcPr>
            <w:tcW w:w="990" w:type="dxa"/>
            <w:vAlign w:val="center"/>
          </w:tcPr>
          <w:p w14:paraId="477FEDDA">
            <w:pPr>
              <w:ind w:firstLine="480" w:firstLineChars="200"/>
              <w:jc w:val="center"/>
              <w:rPr>
                <w:rFonts w:hint="eastAsia"/>
                <w:highlight w:val="none"/>
                <w:lang w:val="en-US" w:eastAsia="zh-CN"/>
              </w:rPr>
            </w:pPr>
          </w:p>
        </w:tc>
        <w:tc>
          <w:tcPr>
            <w:tcW w:w="1470" w:type="dxa"/>
            <w:vAlign w:val="center"/>
          </w:tcPr>
          <w:p w14:paraId="4B38894E">
            <w:pPr>
              <w:ind w:firstLine="480" w:firstLineChars="200"/>
              <w:jc w:val="center"/>
              <w:rPr>
                <w:rFonts w:hint="eastAsia"/>
                <w:highlight w:val="none"/>
                <w:lang w:val="en-US" w:eastAsia="zh-CN"/>
              </w:rPr>
            </w:pPr>
          </w:p>
        </w:tc>
      </w:tr>
      <w:tr w14:paraId="0959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245" w:type="dxa"/>
            <w:vMerge w:val="continue"/>
            <w:vAlign w:val="center"/>
          </w:tcPr>
          <w:p w14:paraId="213F4E48">
            <w:pPr>
              <w:ind w:firstLine="480" w:firstLineChars="200"/>
              <w:jc w:val="center"/>
              <w:rPr>
                <w:rFonts w:hint="eastAsia"/>
                <w:highlight w:val="none"/>
                <w:lang w:val="en-US" w:eastAsia="zh-CN"/>
              </w:rPr>
            </w:pPr>
          </w:p>
        </w:tc>
        <w:tc>
          <w:tcPr>
            <w:tcW w:w="705" w:type="dxa"/>
            <w:vAlign w:val="center"/>
          </w:tcPr>
          <w:p w14:paraId="2BA1E8C0">
            <w:pPr>
              <w:jc w:val="center"/>
              <w:rPr>
                <w:rFonts w:hint="eastAsia"/>
                <w:highlight w:val="none"/>
                <w:lang w:val="en-US" w:eastAsia="zh-CN"/>
              </w:rPr>
            </w:pPr>
            <w:r>
              <w:rPr>
                <w:rFonts w:hint="eastAsia"/>
                <w:highlight w:val="none"/>
                <w:lang w:val="en-US" w:eastAsia="zh-CN"/>
              </w:rPr>
              <w:t>3</w:t>
            </w:r>
          </w:p>
        </w:tc>
        <w:tc>
          <w:tcPr>
            <w:tcW w:w="1200" w:type="dxa"/>
            <w:vAlign w:val="center"/>
          </w:tcPr>
          <w:p w14:paraId="4D9404D0">
            <w:pPr>
              <w:jc w:val="center"/>
              <w:rPr>
                <w:rFonts w:hint="eastAsia"/>
                <w:highlight w:val="none"/>
                <w:lang w:val="en-US" w:eastAsia="zh-CN"/>
              </w:rPr>
            </w:pPr>
            <w:r>
              <w:rPr>
                <w:rFonts w:hint="eastAsia"/>
                <w:highlight w:val="none"/>
                <w:lang w:val="en-US" w:eastAsia="zh-CN"/>
              </w:rPr>
              <w:t>本地切换接管演练</w:t>
            </w:r>
          </w:p>
        </w:tc>
        <w:tc>
          <w:tcPr>
            <w:tcW w:w="4785" w:type="dxa"/>
            <w:vAlign w:val="center"/>
          </w:tcPr>
          <w:p w14:paraId="1472B69F">
            <w:pPr>
              <w:ind w:firstLine="480" w:firstLineChars="200"/>
              <w:rPr>
                <w:rFonts w:hint="eastAsia"/>
                <w:highlight w:val="none"/>
                <w:lang w:val="en-US" w:eastAsia="zh-CN"/>
              </w:rPr>
            </w:pPr>
            <w:r>
              <w:rPr>
                <w:rFonts w:hint="eastAsia"/>
                <w:highlight w:val="none"/>
                <w:lang w:val="en-US" w:eastAsia="zh-CN"/>
              </w:rPr>
              <w:t>演练在本地社保、医保、新农保等系统出现故障后，如何将业务切换到本地镜像系统，提供切换过程及操作步骤。</w:t>
            </w:r>
          </w:p>
        </w:tc>
        <w:tc>
          <w:tcPr>
            <w:tcW w:w="990" w:type="dxa"/>
            <w:vAlign w:val="center"/>
          </w:tcPr>
          <w:p w14:paraId="3A07F339">
            <w:pPr>
              <w:ind w:firstLine="480" w:firstLineChars="200"/>
              <w:jc w:val="center"/>
              <w:rPr>
                <w:rFonts w:hint="eastAsia"/>
                <w:highlight w:val="none"/>
                <w:lang w:val="en-US" w:eastAsia="zh-CN"/>
              </w:rPr>
            </w:pPr>
          </w:p>
        </w:tc>
        <w:tc>
          <w:tcPr>
            <w:tcW w:w="1470" w:type="dxa"/>
            <w:vAlign w:val="center"/>
          </w:tcPr>
          <w:p w14:paraId="5D7358AA">
            <w:pPr>
              <w:ind w:firstLine="480" w:firstLineChars="200"/>
              <w:jc w:val="center"/>
              <w:rPr>
                <w:rFonts w:hint="eastAsia"/>
                <w:highlight w:val="none"/>
                <w:lang w:val="en-US" w:eastAsia="zh-CN"/>
              </w:rPr>
            </w:pPr>
          </w:p>
        </w:tc>
      </w:tr>
      <w:tr w14:paraId="7CCE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245" w:type="dxa"/>
            <w:vMerge w:val="continue"/>
            <w:vAlign w:val="center"/>
          </w:tcPr>
          <w:p w14:paraId="0FFA5DA2">
            <w:pPr>
              <w:ind w:firstLine="480" w:firstLineChars="200"/>
              <w:jc w:val="center"/>
              <w:rPr>
                <w:rFonts w:hint="eastAsia"/>
                <w:highlight w:val="none"/>
                <w:lang w:val="en-US" w:eastAsia="zh-CN"/>
              </w:rPr>
            </w:pPr>
          </w:p>
        </w:tc>
        <w:tc>
          <w:tcPr>
            <w:tcW w:w="705" w:type="dxa"/>
            <w:vAlign w:val="center"/>
          </w:tcPr>
          <w:p w14:paraId="0C289B86">
            <w:pPr>
              <w:jc w:val="center"/>
              <w:rPr>
                <w:rFonts w:hint="eastAsia"/>
                <w:highlight w:val="none"/>
                <w:lang w:val="en-US" w:eastAsia="zh-CN"/>
              </w:rPr>
            </w:pPr>
            <w:r>
              <w:rPr>
                <w:rFonts w:hint="eastAsia"/>
                <w:highlight w:val="none"/>
                <w:lang w:val="en-US" w:eastAsia="zh-CN"/>
              </w:rPr>
              <w:t>4</w:t>
            </w:r>
          </w:p>
        </w:tc>
        <w:tc>
          <w:tcPr>
            <w:tcW w:w="1200" w:type="dxa"/>
            <w:vAlign w:val="center"/>
          </w:tcPr>
          <w:p w14:paraId="31F639F1">
            <w:pPr>
              <w:jc w:val="center"/>
              <w:rPr>
                <w:rFonts w:hint="eastAsia"/>
                <w:highlight w:val="none"/>
                <w:lang w:val="en-US" w:eastAsia="zh-CN"/>
              </w:rPr>
            </w:pPr>
            <w:r>
              <w:rPr>
                <w:rFonts w:hint="eastAsia"/>
                <w:highlight w:val="none"/>
                <w:lang w:val="en-US" w:eastAsia="zh-CN"/>
              </w:rPr>
              <w:t>异地切换接管演练</w:t>
            </w:r>
          </w:p>
        </w:tc>
        <w:tc>
          <w:tcPr>
            <w:tcW w:w="4785" w:type="dxa"/>
            <w:vAlign w:val="center"/>
          </w:tcPr>
          <w:p w14:paraId="116208A5">
            <w:pPr>
              <w:ind w:firstLine="480" w:firstLineChars="200"/>
              <w:rPr>
                <w:rFonts w:hint="eastAsia"/>
                <w:highlight w:val="none"/>
                <w:lang w:val="en-US" w:eastAsia="zh-CN"/>
              </w:rPr>
            </w:pPr>
            <w:r>
              <w:rPr>
                <w:rFonts w:hint="eastAsia"/>
                <w:highlight w:val="none"/>
                <w:lang w:val="en-US" w:eastAsia="zh-CN"/>
              </w:rPr>
              <w:t>在地市州人社局业务系统故障后，通过厅信息中心采集的数据实现数据回放或者接管部分业务。</w:t>
            </w:r>
          </w:p>
        </w:tc>
        <w:tc>
          <w:tcPr>
            <w:tcW w:w="990" w:type="dxa"/>
            <w:vAlign w:val="center"/>
          </w:tcPr>
          <w:p w14:paraId="11B2F2A6">
            <w:pPr>
              <w:ind w:firstLine="480" w:firstLineChars="200"/>
              <w:jc w:val="center"/>
              <w:rPr>
                <w:rFonts w:hint="eastAsia"/>
                <w:highlight w:val="none"/>
                <w:lang w:val="en-US" w:eastAsia="zh-CN"/>
              </w:rPr>
            </w:pPr>
          </w:p>
        </w:tc>
        <w:tc>
          <w:tcPr>
            <w:tcW w:w="1470" w:type="dxa"/>
            <w:vAlign w:val="center"/>
          </w:tcPr>
          <w:p w14:paraId="58C4B6A6">
            <w:pPr>
              <w:ind w:firstLine="480" w:firstLineChars="200"/>
              <w:jc w:val="center"/>
              <w:rPr>
                <w:rFonts w:hint="eastAsia"/>
                <w:highlight w:val="none"/>
                <w:lang w:val="en-US" w:eastAsia="zh-CN"/>
              </w:rPr>
            </w:pPr>
          </w:p>
        </w:tc>
      </w:tr>
      <w:tr w14:paraId="2F5B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45" w:type="dxa"/>
            <w:vMerge w:val="continue"/>
            <w:vAlign w:val="center"/>
          </w:tcPr>
          <w:p w14:paraId="0C6C78E7">
            <w:pPr>
              <w:ind w:firstLine="480" w:firstLineChars="200"/>
              <w:jc w:val="center"/>
              <w:rPr>
                <w:rFonts w:hint="eastAsia"/>
                <w:highlight w:val="none"/>
                <w:lang w:val="en-US" w:eastAsia="zh-CN"/>
              </w:rPr>
            </w:pPr>
          </w:p>
        </w:tc>
        <w:tc>
          <w:tcPr>
            <w:tcW w:w="705" w:type="dxa"/>
            <w:vAlign w:val="center"/>
          </w:tcPr>
          <w:p w14:paraId="2C66FC2B">
            <w:pPr>
              <w:jc w:val="center"/>
              <w:rPr>
                <w:rFonts w:hint="eastAsia"/>
                <w:highlight w:val="none"/>
                <w:lang w:val="en-US" w:eastAsia="zh-CN"/>
              </w:rPr>
            </w:pPr>
            <w:r>
              <w:rPr>
                <w:rFonts w:hint="eastAsia"/>
                <w:highlight w:val="none"/>
                <w:lang w:val="en-US" w:eastAsia="zh-CN"/>
              </w:rPr>
              <w:t>5</w:t>
            </w:r>
          </w:p>
        </w:tc>
        <w:tc>
          <w:tcPr>
            <w:tcW w:w="1200" w:type="dxa"/>
          </w:tcPr>
          <w:p w14:paraId="656B3261">
            <w:pPr>
              <w:jc w:val="center"/>
              <w:rPr>
                <w:rFonts w:hint="eastAsia"/>
                <w:highlight w:val="none"/>
                <w:lang w:val="en-US" w:eastAsia="zh-CN"/>
              </w:rPr>
            </w:pPr>
            <w:r>
              <w:rPr>
                <w:rFonts w:hint="eastAsia"/>
                <w:highlight w:val="none"/>
                <w:lang w:val="en-US" w:eastAsia="zh-CN"/>
              </w:rPr>
              <w:t>灾备演练协助组织</w:t>
            </w:r>
          </w:p>
        </w:tc>
        <w:tc>
          <w:tcPr>
            <w:tcW w:w="4785" w:type="dxa"/>
          </w:tcPr>
          <w:p w14:paraId="46A317A2">
            <w:pPr>
              <w:ind w:firstLine="480" w:firstLineChars="200"/>
              <w:rPr>
                <w:rFonts w:hint="eastAsia"/>
                <w:highlight w:val="none"/>
                <w:lang w:val="en-US" w:eastAsia="zh-CN"/>
              </w:rPr>
            </w:pPr>
            <w:r>
              <w:rPr>
                <w:rFonts w:hint="eastAsia"/>
                <w:highlight w:val="none"/>
                <w:lang w:val="en-US" w:eastAsia="zh-CN"/>
              </w:rPr>
              <w:t>每年执行2次灾备演练，分别为备份恢复和业务接管。协助组织演练过程，与相应的应用厂商协调沟通。</w:t>
            </w:r>
          </w:p>
        </w:tc>
        <w:tc>
          <w:tcPr>
            <w:tcW w:w="990" w:type="dxa"/>
            <w:vAlign w:val="center"/>
          </w:tcPr>
          <w:p w14:paraId="0EABAEB8">
            <w:pPr>
              <w:ind w:firstLine="480" w:firstLineChars="200"/>
              <w:jc w:val="center"/>
              <w:rPr>
                <w:rFonts w:hint="eastAsia"/>
                <w:highlight w:val="none"/>
                <w:lang w:val="en-US" w:eastAsia="zh-CN"/>
              </w:rPr>
            </w:pPr>
          </w:p>
        </w:tc>
        <w:tc>
          <w:tcPr>
            <w:tcW w:w="1470" w:type="dxa"/>
            <w:vAlign w:val="center"/>
          </w:tcPr>
          <w:p w14:paraId="57268B48">
            <w:pPr>
              <w:ind w:firstLine="480" w:firstLineChars="200"/>
              <w:jc w:val="center"/>
              <w:rPr>
                <w:rFonts w:hint="eastAsia"/>
                <w:highlight w:val="none"/>
                <w:lang w:val="en-US" w:eastAsia="zh-CN"/>
              </w:rPr>
            </w:pPr>
          </w:p>
        </w:tc>
      </w:tr>
      <w:tr w14:paraId="70E9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45" w:type="dxa"/>
            <w:vMerge w:val="restart"/>
            <w:vAlign w:val="center"/>
          </w:tcPr>
          <w:p w14:paraId="418DA53E">
            <w:pPr>
              <w:jc w:val="center"/>
              <w:rPr>
                <w:rFonts w:hint="eastAsia"/>
                <w:highlight w:val="none"/>
                <w:lang w:val="en-US" w:eastAsia="zh-CN"/>
              </w:rPr>
            </w:pPr>
            <w:r>
              <w:rPr>
                <w:rFonts w:hint="eastAsia"/>
                <w:highlight w:val="none"/>
                <w:lang w:val="en-US" w:eastAsia="zh-CN"/>
              </w:rPr>
              <w:t>软件升级服务</w:t>
            </w:r>
          </w:p>
        </w:tc>
        <w:tc>
          <w:tcPr>
            <w:tcW w:w="705" w:type="dxa"/>
            <w:vAlign w:val="center"/>
          </w:tcPr>
          <w:p w14:paraId="62FA3BFF">
            <w:pPr>
              <w:jc w:val="center"/>
              <w:rPr>
                <w:rFonts w:hint="eastAsia"/>
                <w:highlight w:val="none"/>
                <w:lang w:val="en-US" w:eastAsia="zh-CN"/>
              </w:rPr>
            </w:pPr>
            <w:r>
              <w:rPr>
                <w:rFonts w:hint="eastAsia"/>
                <w:highlight w:val="none"/>
                <w:lang w:val="en-US" w:eastAsia="zh-CN"/>
              </w:rPr>
              <w:t>1</w:t>
            </w:r>
          </w:p>
        </w:tc>
        <w:tc>
          <w:tcPr>
            <w:tcW w:w="1200" w:type="dxa"/>
          </w:tcPr>
          <w:p w14:paraId="08DD7886">
            <w:pPr>
              <w:jc w:val="center"/>
              <w:rPr>
                <w:rFonts w:hint="eastAsia"/>
                <w:highlight w:val="none"/>
                <w:lang w:val="en-US" w:eastAsia="zh-CN"/>
              </w:rPr>
            </w:pPr>
            <w:r>
              <w:rPr>
                <w:rFonts w:hint="eastAsia"/>
                <w:highlight w:val="none"/>
                <w:lang w:val="en-US" w:eastAsia="zh-CN"/>
              </w:rPr>
              <w:t>软件版本升级</w:t>
            </w:r>
          </w:p>
        </w:tc>
        <w:tc>
          <w:tcPr>
            <w:tcW w:w="4785" w:type="dxa"/>
          </w:tcPr>
          <w:p w14:paraId="5FB3056F">
            <w:pPr>
              <w:ind w:firstLine="480" w:firstLineChars="200"/>
              <w:rPr>
                <w:rFonts w:hint="eastAsia"/>
                <w:highlight w:val="none"/>
                <w:lang w:val="en-US" w:eastAsia="zh-CN"/>
              </w:rPr>
            </w:pPr>
            <w:r>
              <w:rPr>
                <w:rFonts w:hint="eastAsia"/>
                <w:highlight w:val="none"/>
                <w:lang w:val="en-US" w:eastAsia="zh-CN"/>
              </w:rPr>
              <w:t>在复制、备份软件升级之后，提供用户升级版本，配合进行现场升级服务。</w:t>
            </w:r>
          </w:p>
        </w:tc>
        <w:tc>
          <w:tcPr>
            <w:tcW w:w="990" w:type="dxa"/>
            <w:vAlign w:val="center"/>
          </w:tcPr>
          <w:p w14:paraId="4E75ADFB">
            <w:pPr>
              <w:ind w:firstLine="480" w:firstLineChars="200"/>
              <w:jc w:val="center"/>
              <w:rPr>
                <w:rFonts w:hint="eastAsia"/>
                <w:highlight w:val="none"/>
                <w:lang w:val="en-US" w:eastAsia="zh-CN"/>
              </w:rPr>
            </w:pPr>
          </w:p>
        </w:tc>
        <w:tc>
          <w:tcPr>
            <w:tcW w:w="1470" w:type="dxa"/>
            <w:vAlign w:val="center"/>
          </w:tcPr>
          <w:p w14:paraId="37374731">
            <w:pPr>
              <w:ind w:firstLine="480" w:firstLineChars="200"/>
              <w:jc w:val="center"/>
              <w:rPr>
                <w:rFonts w:hint="eastAsia"/>
                <w:highlight w:val="none"/>
                <w:lang w:val="en-US" w:eastAsia="zh-CN"/>
              </w:rPr>
            </w:pPr>
          </w:p>
        </w:tc>
      </w:tr>
      <w:tr w14:paraId="3AA6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45" w:type="dxa"/>
            <w:vMerge w:val="continue"/>
            <w:vAlign w:val="center"/>
          </w:tcPr>
          <w:p w14:paraId="53510844">
            <w:pPr>
              <w:ind w:firstLine="480" w:firstLineChars="200"/>
              <w:jc w:val="center"/>
              <w:rPr>
                <w:rFonts w:hint="eastAsia"/>
                <w:highlight w:val="none"/>
                <w:lang w:val="en-US" w:eastAsia="zh-CN"/>
              </w:rPr>
            </w:pPr>
          </w:p>
        </w:tc>
        <w:tc>
          <w:tcPr>
            <w:tcW w:w="705" w:type="dxa"/>
            <w:vAlign w:val="center"/>
          </w:tcPr>
          <w:p w14:paraId="16D4DDA6">
            <w:pPr>
              <w:jc w:val="center"/>
              <w:rPr>
                <w:rFonts w:hint="eastAsia"/>
                <w:highlight w:val="none"/>
                <w:lang w:val="en-US" w:eastAsia="zh-CN"/>
              </w:rPr>
            </w:pPr>
            <w:r>
              <w:rPr>
                <w:rFonts w:hint="eastAsia"/>
                <w:highlight w:val="none"/>
                <w:lang w:val="en-US" w:eastAsia="zh-CN"/>
              </w:rPr>
              <w:t>2</w:t>
            </w:r>
          </w:p>
        </w:tc>
        <w:tc>
          <w:tcPr>
            <w:tcW w:w="1200" w:type="dxa"/>
          </w:tcPr>
          <w:p w14:paraId="679329C7">
            <w:pPr>
              <w:jc w:val="center"/>
              <w:rPr>
                <w:rFonts w:hint="eastAsia"/>
                <w:highlight w:val="none"/>
                <w:lang w:val="en-US" w:eastAsia="zh-CN"/>
              </w:rPr>
            </w:pPr>
            <w:r>
              <w:rPr>
                <w:rFonts w:hint="eastAsia"/>
                <w:highlight w:val="none"/>
                <w:lang w:val="en-US" w:eastAsia="zh-CN"/>
              </w:rPr>
              <w:t>环境升级更换</w:t>
            </w:r>
          </w:p>
        </w:tc>
        <w:tc>
          <w:tcPr>
            <w:tcW w:w="4785" w:type="dxa"/>
          </w:tcPr>
          <w:p w14:paraId="7D321BD1">
            <w:pPr>
              <w:ind w:firstLine="480" w:firstLineChars="200"/>
              <w:rPr>
                <w:rFonts w:hint="eastAsia"/>
                <w:highlight w:val="none"/>
                <w:lang w:val="en-US" w:eastAsia="zh-CN"/>
              </w:rPr>
            </w:pPr>
            <w:r>
              <w:rPr>
                <w:rFonts w:hint="eastAsia"/>
                <w:highlight w:val="none"/>
                <w:lang w:val="en-US" w:eastAsia="zh-CN"/>
              </w:rPr>
              <w:t>在用户环境，如操作系统、数据库等版本升级后，提供对应升级版本的相关软件模块，并进行软件模块更换。</w:t>
            </w:r>
          </w:p>
        </w:tc>
        <w:tc>
          <w:tcPr>
            <w:tcW w:w="990" w:type="dxa"/>
            <w:vAlign w:val="center"/>
          </w:tcPr>
          <w:p w14:paraId="03FB4915">
            <w:pPr>
              <w:ind w:firstLine="480" w:firstLineChars="200"/>
              <w:jc w:val="center"/>
              <w:rPr>
                <w:rFonts w:hint="eastAsia"/>
                <w:highlight w:val="none"/>
                <w:lang w:val="en-US" w:eastAsia="zh-CN"/>
              </w:rPr>
            </w:pPr>
          </w:p>
        </w:tc>
        <w:tc>
          <w:tcPr>
            <w:tcW w:w="1470" w:type="dxa"/>
            <w:vAlign w:val="center"/>
          </w:tcPr>
          <w:p w14:paraId="2D19CB5C">
            <w:pPr>
              <w:ind w:firstLine="480" w:firstLineChars="200"/>
              <w:jc w:val="center"/>
              <w:rPr>
                <w:rFonts w:hint="eastAsia"/>
                <w:highlight w:val="none"/>
                <w:lang w:val="en-US" w:eastAsia="zh-CN"/>
              </w:rPr>
            </w:pPr>
          </w:p>
        </w:tc>
      </w:tr>
      <w:tr w14:paraId="744D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245" w:type="dxa"/>
            <w:vMerge w:val="restart"/>
            <w:vAlign w:val="center"/>
          </w:tcPr>
          <w:p w14:paraId="21236003">
            <w:pPr>
              <w:jc w:val="center"/>
              <w:rPr>
                <w:rFonts w:hint="eastAsia"/>
                <w:highlight w:val="none"/>
                <w:lang w:val="en-US" w:eastAsia="zh-CN"/>
              </w:rPr>
            </w:pPr>
            <w:r>
              <w:rPr>
                <w:rFonts w:hint="eastAsia"/>
                <w:highlight w:val="none"/>
                <w:lang w:val="en-US" w:eastAsia="zh-CN"/>
              </w:rPr>
              <w:t>数据运行环境协助</w:t>
            </w:r>
          </w:p>
        </w:tc>
        <w:tc>
          <w:tcPr>
            <w:tcW w:w="705" w:type="dxa"/>
            <w:vAlign w:val="center"/>
          </w:tcPr>
          <w:p w14:paraId="3552A560">
            <w:pPr>
              <w:jc w:val="center"/>
              <w:rPr>
                <w:rFonts w:hint="eastAsia"/>
                <w:highlight w:val="none"/>
                <w:lang w:val="en-US" w:eastAsia="zh-CN"/>
              </w:rPr>
            </w:pPr>
            <w:r>
              <w:rPr>
                <w:rFonts w:hint="eastAsia"/>
                <w:highlight w:val="none"/>
                <w:lang w:val="en-US" w:eastAsia="zh-CN"/>
              </w:rPr>
              <w:t>1</w:t>
            </w:r>
          </w:p>
        </w:tc>
        <w:tc>
          <w:tcPr>
            <w:tcW w:w="1200" w:type="dxa"/>
          </w:tcPr>
          <w:p w14:paraId="1083D410">
            <w:pPr>
              <w:jc w:val="center"/>
              <w:rPr>
                <w:rFonts w:hint="eastAsia"/>
                <w:highlight w:val="none"/>
                <w:lang w:val="en-US" w:eastAsia="zh-CN"/>
              </w:rPr>
            </w:pPr>
            <w:r>
              <w:rPr>
                <w:rFonts w:hint="eastAsia"/>
                <w:highlight w:val="none"/>
                <w:lang w:val="en-US" w:eastAsia="zh-CN"/>
              </w:rPr>
              <w:t>数据库系统维护</w:t>
            </w:r>
          </w:p>
        </w:tc>
        <w:tc>
          <w:tcPr>
            <w:tcW w:w="4785" w:type="dxa"/>
          </w:tcPr>
          <w:p w14:paraId="4510DEA9">
            <w:pPr>
              <w:ind w:firstLine="480" w:firstLineChars="200"/>
              <w:rPr>
                <w:rFonts w:hint="eastAsia"/>
                <w:highlight w:val="none"/>
                <w:lang w:val="en-US" w:eastAsia="zh-CN"/>
              </w:rPr>
            </w:pPr>
            <w:r>
              <w:rPr>
                <w:rFonts w:hint="eastAsia"/>
                <w:highlight w:val="none"/>
                <w:lang w:val="en-US" w:eastAsia="zh-CN"/>
              </w:rPr>
              <w:t>提供同步、备份软件相关数据库的日常运行监测，及时反馈数据库出现的问题，并配合用户方数据库服务商解决。</w:t>
            </w:r>
          </w:p>
        </w:tc>
        <w:tc>
          <w:tcPr>
            <w:tcW w:w="990" w:type="dxa"/>
            <w:vAlign w:val="center"/>
          </w:tcPr>
          <w:p w14:paraId="4300DADC">
            <w:pPr>
              <w:jc w:val="center"/>
              <w:rPr>
                <w:rFonts w:hint="eastAsia"/>
                <w:highlight w:val="none"/>
                <w:lang w:val="en-US" w:eastAsia="zh-CN"/>
              </w:rPr>
            </w:pPr>
            <w:r>
              <w:rPr>
                <w:rFonts w:hint="eastAsia"/>
                <w:highlight w:val="none"/>
                <w:lang w:val="en-US" w:eastAsia="zh-CN"/>
              </w:rPr>
              <w:t>3</w:t>
            </w:r>
          </w:p>
        </w:tc>
        <w:tc>
          <w:tcPr>
            <w:tcW w:w="1470" w:type="dxa"/>
            <w:vAlign w:val="center"/>
          </w:tcPr>
          <w:p w14:paraId="7B024E5E">
            <w:pPr>
              <w:jc w:val="center"/>
              <w:rPr>
                <w:rFonts w:hint="eastAsia"/>
                <w:highlight w:val="none"/>
                <w:lang w:val="en-US" w:eastAsia="zh-CN"/>
              </w:rPr>
            </w:pPr>
            <w:r>
              <w:rPr>
                <w:rFonts w:hint="eastAsia"/>
                <w:highlight w:val="none"/>
                <w:lang w:val="en-US" w:eastAsia="zh-CN"/>
              </w:rPr>
              <w:t>中级</w:t>
            </w:r>
          </w:p>
        </w:tc>
      </w:tr>
      <w:tr w14:paraId="268C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22CE1D3A">
            <w:pPr>
              <w:ind w:firstLine="480" w:firstLineChars="200"/>
              <w:jc w:val="center"/>
              <w:rPr>
                <w:rFonts w:hint="eastAsia"/>
                <w:highlight w:val="none"/>
                <w:lang w:val="en-US" w:eastAsia="zh-CN"/>
              </w:rPr>
            </w:pPr>
          </w:p>
        </w:tc>
        <w:tc>
          <w:tcPr>
            <w:tcW w:w="705" w:type="dxa"/>
            <w:vAlign w:val="center"/>
          </w:tcPr>
          <w:p w14:paraId="0790E5AA">
            <w:pPr>
              <w:jc w:val="center"/>
              <w:rPr>
                <w:rFonts w:hint="eastAsia"/>
                <w:highlight w:val="none"/>
                <w:lang w:val="en-US" w:eastAsia="zh-CN"/>
              </w:rPr>
            </w:pPr>
            <w:r>
              <w:rPr>
                <w:rFonts w:hint="eastAsia"/>
                <w:highlight w:val="none"/>
                <w:lang w:val="en-US" w:eastAsia="zh-CN"/>
              </w:rPr>
              <w:t>2</w:t>
            </w:r>
          </w:p>
        </w:tc>
        <w:tc>
          <w:tcPr>
            <w:tcW w:w="1200" w:type="dxa"/>
          </w:tcPr>
          <w:p w14:paraId="6863C0BB">
            <w:pPr>
              <w:jc w:val="center"/>
              <w:rPr>
                <w:rFonts w:hint="eastAsia"/>
                <w:highlight w:val="none"/>
                <w:lang w:val="en-US" w:eastAsia="zh-CN"/>
              </w:rPr>
            </w:pPr>
            <w:r>
              <w:rPr>
                <w:rFonts w:hint="eastAsia"/>
                <w:highlight w:val="none"/>
                <w:lang w:val="en-US" w:eastAsia="zh-CN"/>
              </w:rPr>
              <w:t>服务器维护</w:t>
            </w:r>
          </w:p>
        </w:tc>
        <w:tc>
          <w:tcPr>
            <w:tcW w:w="4785" w:type="dxa"/>
          </w:tcPr>
          <w:p w14:paraId="3D76ACFB">
            <w:pPr>
              <w:ind w:firstLine="480" w:firstLineChars="200"/>
              <w:rPr>
                <w:rFonts w:hint="eastAsia"/>
                <w:highlight w:val="none"/>
                <w:lang w:val="en-US" w:eastAsia="zh-CN"/>
              </w:rPr>
            </w:pPr>
            <w:r>
              <w:rPr>
                <w:rFonts w:hint="eastAsia"/>
                <w:highlight w:val="none"/>
                <w:lang w:val="en-US" w:eastAsia="zh-CN"/>
              </w:rPr>
              <w:t>及时发现并反馈同步、备份软件相关服务器硬件及操作系统出现的问题，并配合用户方解决。</w:t>
            </w:r>
          </w:p>
        </w:tc>
        <w:tc>
          <w:tcPr>
            <w:tcW w:w="990" w:type="dxa"/>
            <w:vAlign w:val="center"/>
          </w:tcPr>
          <w:p w14:paraId="17FDD97D">
            <w:pPr>
              <w:jc w:val="center"/>
              <w:rPr>
                <w:rFonts w:hint="eastAsia"/>
                <w:highlight w:val="none"/>
                <w:lang w:val="en-US" w:eastAsia="zh-CN"/>
              </w:rPr>
            </w:pPr>
            <w:r>
              <w:rPr>
                <w:rFonts w:hint="eastAsia"/>
                <w:highlight w:val="none"/>
                <w:lang w:val="en-US" w:eastAsia="zh-CN"/>
              </w:rPr>
              <w:t>3</w:t>
            </w:r>
          </w:p>
        </w:tc>
        <w:tc>
          <w:tcPr>
            <w:tcW w:w="1470" w:type="dxa"/>
            <w:vAlign w:val="center"/>
          </w:tcPr>
          <w:p w14:paraId="5CF389FD">
            <w:pPr>
              <w:jc w:val="center"/>
              <w:rPr>
                <w:rFonts w:hint="eastAsia"/>
                <w:highlight w:val="none"/>
                <w:lang w:val="en-US" w:eastAsia="zh-CN"/>
              </w:rPr>
            </w:pPr>
            <w:r>
              <w:rPr>
                <w:rFonts w:hint="eastAsia"/>
                <w:highlight w:val="none"/>
                <w:lang w:val="en-US" w:eastAsia="zh-CN"/>
              </w:rPr>
              <w:t>中级</w:t>
            </w:r>
          </w:p>
        </w:tc>
      </w:tr>
      <w:tr w14:paraId="7C17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0DC8687F">
            <w:pPr>
              <w:jc w:val="center"/>
              <w:rPr>
                <w:rFonts w:hint="eastAsia"/>
                <w:highlight w:val="none"/>
                <w:lang w:val="en-US" w:eastAsia="zh-CN"/>
              </w:rPr>
            </w:pPr>
            <w:r>
              <w:rPr>
                <w:rFonts w:hint="eastAsia"/>
                <w:highlight w:val="none"/>
                <w:lang w:val="en-US" w:eastAsia="zh-CN"/>
              </w:rPr>
              <w:t>重保服务</w:t>
            </w:r>
          </w:p>
        </w:tc>
        <w:tc>
          <w:tcPr>
            <w:tcW w:w="705" w:type="dxa"/>
            <w:vAlign w:val="center"/>
          </w:tcPr>
          <w:p w14:paraId="2CBCC9D5">
            <w:pPr>
              <w:jc w:val="center"/>
              <w:rPr>
                <w:rFonts w:hint="eastAsia"/>
                <w:highlight w:val="none"/>
                <w:lang w:val="en-US" w:eastAsia="zh-CN"/>
              </w:rPr>
            </w:pPr>
            <w:r>
              <w:rPr>
                <w:rFonts w:hint="eastAsia"/>
                <w:highlight w:val="none"/>
                <w:lang w:val="en-US" w:eastAsia="zh-CN"/>
              </w:rPr>
              <w:t>1</w:t>
            </w:r>
          </w:p>
        </w:tc>
        <w:tc>
          <w:tcPr>
            <w:tcW w:w="1200" w:type="dxa"/>
          </w:tcPr>
          <w:p w14:paraId="0F17243C">
            <w:pPr>
              <w:jc w:val="center"/>
              <w:rPr>
                <w:rFonts w:hint="eastAsia"/>
                <w:highlight w:val="none"/>
                <w:lang w:val="en-US" w:eastAsia="zh-CN"/>
              </w:rPr>
            </w:pPr>
            <w:r>
              <w:rPr>
                <w:rFonts w:hint="eastAsia"/>
                <w:highlight w:val="none"/>
                <w:lang w:val="en-US" w:eastAsia="zh-CN"/>
              </w:rPr>
              <w:t>重大活动值守</w:t>
            </w:r>
          </w:p>
        </w:tc>
        <w:tc>
          <w:tcPr>
            <w:tcW w:w="4785" w:type="dxa"/>
          </w:tcPr>
          <w:p w14:paraId="3758C157">
            <w:pPr>
              <w:ind w:firstLine="480" w:firstLineChars="200"/>
              <w:rPr>
                <w:rFonts w:hint="eastAsia"/>
                <w:highlight w:val="none"/>
                <w:lang w:val="en-US" w:eastAsia="zh-CN"/>
              </w:rPr>
            </w:pPr>
            <w:r>
              <w:rPr>
                <w:rFonts w:hint="eastAsia"/>
                <w:highlight w:val="none"/>
                <w:lang w:val="en-US" w:eastAsia="zh-CN"/>
              </w:rPr>
              <w:t>在召开自治区两会、全国两会、欧亚博览会等期间在现场值守，确保重大活动期间系统运行稳定。</w:t>
            </w:r>
          </w:p>
        </w:tc>
        <w:tc>
          <w:tcPr>
            <w:tcW w:w="990" w:type="dxa"/>
            <w:vAlign w:val="center"/>
          </w:tcPr>
          <w:p w14:paraId="0F5A0C2D">
            <w:pPr>
              <w:jc w:val="center"/>
              <w:rPr>
                <w:rFonts w:hint="eastAsia"/>
                <w:highlight w:val="none"/>
                <w:lang w:val="en-US" w:eastAsia="zh-CN"/>
              </w:rPr>
            </w:pPr>
            <w:r>
              <w:rPr>
                <w:rFonts w:hint="eastAsia"/>
                <w:highlight w:val="none"/>
                <w:lang w:val="en-US" w:eastAsia="zh-CN"/>
              </w:rPr>
              <w:t>3</w:t>
            </w:r>
          </w:p>
        </w:tc>
        <w:tc>
          <w:tcPr>
            <w:tcW w:w="1470" w:type="dxa"/>
            <w:vAlign w:val="center"/>
          </w:tcPr>
          <w:p w14:paraId="57E2148C">
            <w:pPr>
              <w:jc w:val="center"/>
              <w:rPr>
                <w:rFonts w:hint="eastAsia"/>
                <w:highlight w:val="none"/>
                <w:lang w:val="en-US" w:eastAsia="zh-CN"/>
              </w:rPr>
            </w:pPr>
            <w:r>
              <w:rPr>
                <w:rFonts w:hint="eastAsia"/>
                <w:highlight w:val="none"/>
                <w:lang w:val="en-US" w:eastAsia="zh-CN"/>
              </w:rPr>
              <w:t>中级</w:t>
            </w:r>
          </w:p>
        </w:tc>
      </w:tr>
      <w:tr w14:paraId="76C5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0D58FB84">
            <w:pPr>
              <w:ind w:firstLine="480" w:firstLineChars="200"/>
              <w:rPr>
                <w:rFonts w:hint="eastAsia"/>
                <w:highlight w:val="none"/>
                <w:lang w:val="en-US" w:eastAsia="zh-CN"/>
              </w:rPr>
            </w:pPr>
          </w:p>
        </w:tc>
        <w:tc>
          <w:tcPr>
            <w:tcW w:w="705" w:type="dxa"/>
            <w:vAlign w:val="center"/>
          </w:tcPr>
          <w:p w14:paraId="644F2DBE">
            <w:pPr>
              <w:jc w:val="center"/>
              <w:rPr>
                <w:rFonts w:hint="eastAsia"/>
                <w:highlight w:val="none"/>
                <w:lang w:val="en-US" w:eastAsia="zh-CN"/>
              </w:rPr>
            </w:pPr>
            <w:r>
              <w:rPr>
                <w:rFonts w:hint="eastAsia"/>
                <w:highlight w:val="none"/>
                <w:lang w:val="en-US" w:eastAsia="zh-CN"/>
              </w:rPr>
              <w:t>2</w:t>
            </w:r>
          </w:p>
        </w:tc>
        <w:tc>
          <w:tcPr>
            <w:tcW w:w="1200" w:type="dxa"/>
          </w:tcPr>
          <w:p w14:paraId="569CF11F">
            <w:pPr>
              <w:jc w:val="center"/>
              <w:rPr>
                <w:rFonts w:hint="eastAsia"/>
                <w:highlight w:val="none"/>
                <w:lang w:val="en-US" w:eastAsia="zh-CN"/>
              </w:rPr>
            </w:pPr>
            <w:r>
              <w:rPr>
                <w:rFonts w:hint="eastAsia"/>
                <w:highlight w:val="none"/>
                <w:lang w:val="en-US" w:eastAsia="zh-CN"/>
              </w:rPr>
              <w:t>重大节日值守</w:t>
            </w:r>
          </w:p>
        </w:tc>
        <w:tc>
          <w:tcPr>
            <w:tcW w:w="4785" w:type="dxa"/>
          </w:tcPr>
          <w:p w14:paraId="0AB04E1C">
            <w:pPr>
              <w:ind w:firstLine="480" w:firstLineChars="200"/>
              <w:rPr>
                <w:rFonts w:hint="eastAsia"/>
                <w:highlight w:val="none"/>
                <w:lang w:val="en-US" w:eastAsia="zh-CN"/>
              </w:rPr>
            </w:pPr>
            <w:r>
              <w:rPr>
                <w:rFonts w:hint="eastAsia"/>
                <w:highlight w:val="none"/>
                <w:lang w:val="en-US" w:eastAsia="zh-CN"/>
              </w:rPr>
              <w:t>在春节、古尔邦节、国庆等重大节假日期间提供快速响应和技术支持，确保系统运行正常。</w:t>
            </w:r>
          </w:p>
        </w:tc>
        <w:tc>
          <w:tcPr>
            <w:tcW w:w="990" w:type="dxa"/>
            <w:vAlign w:val="center"/>
          </w:tcPr>
          <w:p w14:paraId="4E655AC9">
            <w:pPr>
              <w:jc w:val="center"/>
              <w:rPr>
                <w:rFonts w:hint="eastAsia"/>
                <w:highlight w:val="none"/>
                <w:lang w:val="en-US" w:eastAsia="zh-CN"/>
              </w:rPr>
            </w:pPr>
            <w:r>
              <w:rPr>
                <w:rFonts w:hint="eastAsia"/>
                <w:highlight w:val="none"/>
                <w:lang w:val="en-US" w:eastAsia="zh-CN"/>
              </w:rPr>
              <w:t>3</w:t>
            </w:r>
          </w:p>
        </w:tc>
        <w:tc>
          <w:tcPr>
            <w:tcW w:w="1470" w:type="dxa"/>
            <w:vAlign w:val="center"/>
          </w:tcPr>
          <w:p w14:paraId="141971CA">
            <w:pPr>
              <w:jc w:val="center"/>
              <w:rPr>
                <w:rFonts w:hint="eastAsia"/>
                <w:highlight w:val="none"/>
                <w:lang w:val="en-US" w:eastAsia="zh-CN"/>
              </w:rPr>
            </w:pPr>
            <w:r>
              <w:rPr>
                <w:rFonts w:hint="eastAsia"/>
                <w:highlight w:val="none"/>
                <w:lang w:val="en-US" w:eastAsia="zh-CN"/>
              </w:rPr>
              <w:t>中级</w:t>
            </w:r>
          </w:p>
        </w:tc>
      </w:tr>
      <w:tr w14:paraId="1468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vAlign w:val="center"/>
          </w:tcPr>
          <w:p w14:paraId="6553D68E">
            <w:pPr>
              <w:ind w:firstLine="480" w:firstLineChars="200"/>
              <w:rPr>
                <w:rFonts w:hint="eastAsia"/>
                <w:highlight w:val="none"/>
                <w:lang w:val="en-US" w:eastAsia="zh-CN"/>
              </w:rPr>
            </w:pPr>
          </w:p>
        </w:tc>
        <w:tc>
          <w:tcPr>
            <w:tcW w:w="705" w:type="dxa"/>
            <w:vAlign w:val="center"/>
          </w:tcPr>
          <w:p w14:paraId="5B20C9A6">
            <w:pPr>
              <w:jc w:val="center"/>
              <w:rPr>
                <w:rFonts w:hint="eastAsia"/>
                <w:highlight w:val="none"/>
                <w:lang w:val="en-US" w:eastAsia="zh-CN"/>
              </w:rPr>
            </w:pPr>
            <w:r>
              <w:rPr>
                <w:rFonts w:hint="eastAsia"/>
                <w:highlight w:val="none"/>
                <w:lang w:val="en-US" w:eastAsia="zh-CN"/>
              </w:rPr>
              <w:t>3</w:t>
            </w:r>
          </w:p>
        </w:tc>
        <w:tc>
          <w:tcPr>
            <w:tcW w:w="1200" w:type="dxa"/>
          </w:tcPr>
          <w:p w14:paraId="0F10EB85">
            <w:pPr>
              <w:jc w:val="center"/>
              <w:rPr>
                <w:rFonts w:hint="eastAsia"/>
                <w:highlight w:val="none"/>
                <w:lang w:val="en-US" w:eastAsia="zh-CN"/>
              </w:rPr>
            </w:pPr>
            <w:r>
              <w:rPr>
                <w:rFonts w:hint="eastAsia"/>
                <w:highlight w:val="none"/>
                <w:lang w:val="en-US" w:eastAsia="zh-CN"/>
              </w:rPr>
              <w:t>重点时期值守</w:t>
            </w:r>
          </w:p>
        </w:tc>
        <w:tc>
          <w:tcPr>
            <w:tcW w:w="4785" w:type="dxa"/>
          </w:tcPr>
          <w:p w14:paraId="63CD5F8B">
            <w:pPr>
              <w:ind w:firstLine="480" w:firstLineChars="200"/>
              <w:rPr>
                <w:rFonts w:hint="eastAsia"/>
                <w:highlight w:val="none"/>
                <w:lang w:val="en-US" w:eastAsia="zh-CN"/>
              </w:rPr>
            </w:pPr>
            <w:r>
              <w:rPr>
                <w:rFonts w:hint="eastAsia"/>
                <w:highlight w:val="none"/>
                <w:lang w:val="en-US" w:eastAsia="zh-CN"/>
              </w:rPr>
              <w:t>在系统升级、新业务上线或者信息安全周等活动期间提供现场支持，确保人社业务系统稳定运行。</w:t>
            </w:r>
          </w:p>
        </w:tc>
        <w:tc>
          <w:tcPr>
            <w:tcW w:w="990" w:type="dxa"/>
            <w:vAlign w:val="center"/>
          </w:tcPr>
          <w:p w14:paraId="22136C8E">
            <w:pPr>
              <w:jc w:val="center"/>
              <w:rPr>
                <w:rFonts w:hint="eastAsia"/>
                <w:highlight w:val="none"/>
                <w:lang w:val="en-US" w:eastAsia="zh-CN"/>
              </w:rPr>
            </w:pPr>
            <w:r>
              <w:rPr>
                <w:rFonts w:hint="eastAsia"/>
                <w:highlight w:val="none"/>
                <w:lang w:val="en-US" w:eastAsia="zh-CN"/>
              </w:rPr>
              <w:t>3</w:t>
            </w:r>
          </w:p>
        </w:tc>
        <w:tc>
          <w:tcPr>
            <w:tcW w:w="1470" w:type="dxa"/>
            <w:vAlign w:val="center"/>
          </w:tcPr>
          <w:p w14:paraId="688EE88B">
            <w:pPr>
              <w:jc w:val="center"/>
              <w:rPr>
                <w:rFonts w:hint="eastAsia"/>
                <w:highlight w:val="none"/>
                <w:lang w:val="en-US" w:eastAsia="zh-CN"/>
              </w:rPr>
            </w:pPr>
            <w:r>
              <w:rPr>
                <w:rFonts w:hint="eastAsia"/>
                <w:highlight w:val="none"/>
                <w:lang w:val="en-US" w:eastAsia="zh-CN"/>
              </w:rPr>
              <w:t>中级</w:t>
            </w:r>
          </w:p>
        </w:tc>
      </w:tr>
    </w:tbl>
    <w:p w14:paraId="5B596A0D">
      <w:pPr>
        <w:ind w:firstLine="480" w:firstLineChars="200"/>
        <w:rPr>
          <w:rFonts w:hint="eastAsia"/>
          <w:highlight w:val="none"/>
          <w:lang w:val="en-US" w:eastAsia="zh-CN"/>
        </w:rPr>
      </w:pPr>
    </w:p>
    <w:p w14:paraId="162F13DE">
      <w:pPr>
        <w:ind w:firstLine="480" w:firstLineChars="200"/>
        <w:rPr>
          <w:rFonts w:hint="eastAsia"/>
          <w:highlight w:val="none"/>
          <w:lang w:val="en-US" w:eastAsia="zh-CN"/>
        </w:rPr>
        <w:sectPr>
          <w:pgSz w:w="11907" w:h="16840"/>
          <w:pgMar w:top="1474" w:right="1814" w:bottom="1474" w:left="1814" w:header="851" w:footer="851" w:gutter="0"/>
          <w:cols w:space="720" w:num="1"/>
          <w:docGrid w:linePitch="462" w:charSpace="0"/>
        </w:sectPr>
      </w:pPr>
    </w:p>
    <w:p w14:paraId="28FA2165">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r>
        <w:rPr>
          <w:rFonts w:hint="eastAsia" w:ascii="宋体" w:hAnsi="宋体" w:eastAsia="宋体" w:cs="宋体"/>
          <w:b/>
          <w:bCs/>
          <w:i w:val="0"/>
          <w:iCs w:val="0"/>
          <w:color w:val="auto"/>
          <w:kern w:val="44"/>
          <w:sz w:val="36"/>
          <w:szCs w:val="36"/>
          <w:highlight w:val="none"/>
          <w:lang w:val="en-US" w:eastAsia="zh-CN" w:bidi="ar-SA"/>
        </w:rPr>
        <w:t>第四章 评审方法及标准</w:t>
      </w:r>
      <w:bookmarkEnd w:id="428"/>
    </w:p>
    <w:p w14:paraId="3C2D8384">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444" w:name="_Toc1665"/>
      <w:r>
        <w:rPr>
          <w:rFonts w:hint="eastAsia"/>
          <w:i w:val="0"/>
          <w:iCs w:val="0"/>
          <w:color w:val="auto"/>
          <w:sz w:val="28"/>
          <w:szCs w:val="28"/>
          <w:highlight w:val="none"/>
          <w:lang w:val="en-US" w:eastAsia="zh-CN"/>
        </w:rPr>
        <w:t>一、</w:t>
      </w:r>
      <w:r>
        <w:rPr>
          <w:rFonts w:hint="eastAsia"/>
          <w:i w:val="0"/>
          <w:iCs w:val="0"/>
          <w:color w:val="auto"/>
          <w:sz w:val="28"/>
          <w:szCs w:val="28"/>
          <w:highlight w:val="none"/>
          <w:lang w:val="zh-CN" w:eastAsia="zh-CN"/>
        </w:rPr>
        <w:t>评审方法</w:t>
      </w:r>
      <w:bookmarkEnd w:id="444"/>
    </w:p>
    <w:p w14:paraId="53640E9C">
      <w:pPr>
        <w:pStyle w:val="35"/>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本项目采用综合评分法。综合评分法是指经磋商确定最终采购需求和提交最后报价</w:t>
      </w:r>
      <w:r>
        <w:rPr>
          <w:rFonts w:hint="eastAsia"/>
          <w:b/>
          <w:bCs/>
          <w:i w:val="0"/>
          <w:iCs w:val="0"/>
          <w:color w:val="auto"/>
          <w:szCs w:val="24"/>
          <w:highlight w:val="none"/>
          <w:lang w:val="zh-CN"/>
        </w:rPr>
        <w:t>（因落实政府采购政策进行价格调整的，以调整后的价格计算）</w:t>
      </w:r>
      <w:r>
        <w:rPr>
          <w:rFonts w:hint="eastAsia"/>
          <w:i w:val="0"/>
          <w:iCs w:val="0"/>
          <w:color w:val="auto"/>
          <w:highlight w:val="none"/>
        </w:rPr>
        <w:t>的供应商的响应文件满足磋商文件全部实质性要求且按评审因素的量化指标评审得分最高的供应商为成交候选供应商的评审方法。</w:t>
      </w:r>
    </w:p>
    <w:p w14:paraId="2E5B7BB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445" w:name="_Toc27740"/>
      <w:r>
        <w:rPr>
          <w:rFonts w:hint="eastAsia"/>
          <w:i w:val="0"/>
          <w:iCs w:val="0"/>
          <w:color w:val="auto"/>
          <w:sz w:val="28"/>
          <w:szCs w:val="28"/>
          <w:highlight w:val="none"/>
          <w:lang w:val="en-US" w:eastAsia="zh-CN"/>
        </w:rPr>
        <w:t>二、</w:t>
      </w:r>
      <w:r>
        <w:rPr>
          <w:rFonts w:hint="eastAsia"/>
          <w:i w:val="0"/>
          <w:iCs w:val="0"/>
          <w:color w:val="auto"/>
          <w:sz w:val="28"/>
          <w:szCs w:val="28"/>
          <w:highlight w:val="none"/>
          <w:lang w:val="zh-CN" w:eastAsia="zh-CN"/>
        </w:rPr>
        <w:t>评审程序</w:t>
      </w:r>
      <w:bookmarkEnd w:id="445"/>
    </w:p>
    <w:p w14:paraId="25412360">
      <w:pPr>
        <w:pStyle w:val="5"/>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46" w:name="_Toc16996"/>
      <w:bookmarkStart w:id="447" w:name="_Toc163493634"/>
      <w:r>
        <w:rPr>
          <w:rFonts w:hint="eastAsia" w:ascii="宋体" w:hAnsi="宋体" w:eastAsia="宋体" w:cs="宋体"/>
          <w:b/>
          <w:bCs/>
          <w:i w:val="0"/>
          <w:iCs w:val="0"/>
          <w:color w:val="auto"/>
          <w:kern w:val="2"/>
          <w:sz w:val="24"/>
          <w:szCs w:val="24"/>
          <w:highlight w:val="none"/>
          <w:lang w:val="zh-CN" w:eastAsia="zh-CN" w:bidi="ar-SA"/>
        </w:rPr>
        <w:t>（一）资格审查和符合性审查</w:t>
      </w:r>
      <w:bookmarkEnd w:id="446"/>
      <w:bookmarkEnd w:id="447"/>
    </w:p>
    <w:p w14:paraId="64549C54">
      <w:pPr>
        <w:pageBreakBefore w:val="0"/>
        <w:tabs>
          <w:tab w:val="left" w:pos="312"/>
        </w:tabs>
        <w:kinsoku/>
        <w:wordWrap w:val="0"/>
        <w:overflowPunct/>
        <w:topLinePunct w:val="0"/>
        <w:autoSpaceDE/>
        <w:autoSpaceDN/>
        <w:bidi w:val="0"/>
        <w:adjustRightInd w:val="0"/>
        <w:snapToGrid w:val="0"/>
        <w:spacing w:line="440" w:lineRule="exact"/>
        <w:ind w:firstLine="480" w:firstLineChars="200"/>
        <w:textAlignment w:val="auto"/>
        <w:rPr>
          <w:rFonts w:hint="eastAsia"/>
          <w:i w:val="0"/>
          <w:iCs w:val="0"/>
          <w:color w:val="auto"/>
          <w:highlight w:val="none"/>
          <w:lang w:val="zh-CN"/>
        </w:rPr>
      </w:pPr>
      <w:r>
        <w:rPr>
          <w:rFonts w:hint="eastAsia"/>
          <w:i w:val="0"/>
          <w:iCs w:val="0"/>
          <w:color w:val="auto"/>
          <w:szCs w:val="24"/>
          <w:highlight w:val="none"/>
        </w:rPr>
        <w:t>1</w:t>
      </w:r>
      <w:r>
        <w:rPr>
          <w:i w:val="0"/>
          <w:iCs w:val="0"/>
          <w:color w:val="auto"/>
          <w:szCs w:val="24"/>
          <w:highlight w:val="none"/>
        </w:rPr>
        <w:t>.</w:t>
      </w:r>
      <w:r>
        <w:rPr>
          <w:rFonts w:hint="eastAsia"/>
          <w:i w:val="0"/>
          <w:iCs w:val="0"/>
          <w:color w:val="auto"/>
          <w:szCs w:val="24"/>
          <w:highlight w:val="none"/>
        </w:rPr>
        <w:t>磋商小组</w:t>
      </w:r>
      <w:r>
        <w:rPr>
          <w:rFonts w:hint="eastAsia" w:cs="宋体"/>
          <w:i w:val="0"/>
          <w:iCs w:val="0"/>
          <w:color w:val="auto"/>
          <w:highlight w:val="none"/>
        </w:rPr>
        <w:t>根据磋商文件规定的供应商资格条件、评</w:t>
      </w:r>
      <w:r>
        <w:rPr>
          <w:rFonts w:hint="eastAsia" w:cs="宋体"/>
          <w:i w:val="0"/>
          <w:iCs w:val="0"/>
          <w:color w:val="auto"/>
          <w:highlight w:val="none"/>
          <w:lang w:val="en-US" w:eastAsia="zh-CN"/>
        </w:rPr>
        <w:t>审</w:t>
      </w:r>
      <w:r>
        <w:rPr>
          <w:rFonts w:hint="eastAsia" w:cs="宋体"/>
          <w:i w:val="0"/>
          <w:iCs w:val="0"/>
          <w:color w:val="auto"/>
          <w:highlight w:val="none"/>
        </w:rPr>
        <w:t>成交的标准等事项，对供应商的响应文件进行评审。资格审查和符合性审查不符合磋商文件要求的响应文件，按</w:t>
      </w:r>
      <w:r>
        <w:rPr>
          <w:rFonts w:hint="eastAsia" w:cs="宋体"/>
          <w:b/>
          <w:bCs/>
          <w:i w:val="0"/>
          <w:iCs w:val="0"/>
          <w:color w:val="auto"/>
          <w:highlight w:val="none"/>
        </w:rPr>
        <w:t>无效文件</w:t>
      </w:r>
      <w:r>
        <w:rPr>
          <w:rFonts w:hint="eastAsia" w:cs="宋体"/>
          <w:i w:val="0"/>
          <w:iCs w:val="0"/>
          <w:color w:val="auto"/>
          <w:highlight w:val="none"/>
        </w:rPr>
        <w:t>处理，不进入磋商，并告知有关供应商</w:t>
      </w:r>
      <w:r>
        <w:rPr>
          <w:rFonts w:hint="eastAsia"/>
          <w:i w:val="0"/>
          <w:iCs w:val="0"/>
          <w:color w:val="auto"/>
          <w:highlight w:val="none"/>
          <w:lang w:val="zh-CN"/>
        </w:rPr>
        <w:t>。</w:t>
      </w:r>
    </w:p>
    <w:p w14:paraId="24AD4304">
      <w:pPr>
        <w:pStyle w:val="35"/>
        <w:pageBreakBefore w:val="0"/>
        <w:kinsoku/>
        <w:overflowPunct/>
        <w:topLinePunct w:val="0"/>
        <w:autoSpaceDE/>
        <w:autoSpaceDN/>
        <w:bidi w:val="0"/>
        <w:spacing w:line="440" w:lineRule="exact"/>
        <w:ind w:firstLine="480"/>
        <w:textAlignment w:val="auto"/>
        <w:rPr>
          <w:rFonts w:hint="eastAsia"/>
          <w:i w:val="0"/>
          <w:iCs w:val="0"/>
          <w:color w:val="auto"/>
          <w:highlight w:val="none"/>
        </w:rPr>
      </w:pPr>
      <w:r>
        <w:rPr>
          <w:rFonts w:hint="eastAsia"/>
          <w:i w:val="0"/>
          <w:iCs w:val="0"/>
          <w:color w:val="auto"/>
          <w:highlight w:val="none"/>
        </w:rPr>
        <w:t>2.</w:t>
      </w:r>
      <w:r>
        <w:rPr>
          <w:rFonts w:hint="eastAsia"/>
          <w:i w:val="0"/>
          <w:iCs w:val="0"/>
          <w:highlight w:val="none"/>
          <w:lang w:val="en-US" w:eastAsia="zh-CN"/>
        </w:rPr>
        <w:t>通过</w:t>
      </w:r>
      <w:r>
        <w:rPr>
          <w:rFonts w:hint="eastAsia" w:cs="宋体"/>
          <w:i w:val="0"/>
          <w:iCs w:val="0"/>
          <w:highlight w:val="none"/>
        </w:rPr>
        <w:t>资格性审查和符合性审查</w:t>
      </w:r>
      <w:r>
        <w:rPr>
          <w:rFonts w:hint="eastAsia" w:cs="宋体"/>
          <w:i w:val="0"/>
          <w:iCs w:val="0"/>
          <w:highlight w:val="none"/>
          <w:lang w:val="en-US" w:eastAsia="zh-CN"/>
        </w:rPr>
        <w:t>的</w:t>
      </w:r>
      <w:r>
        <w:rPr>
          <w:rFonts w:hint="eastAsia"/>
          <w:i w:val="0"/>
          <w:iCs w:val="0"/>
          <w:color w:val="auto"/>
          <w:highlight w:val="none"/>
        </w:rPr>
        <w:t>有效</w:t>
      </w:r>
      <w:r>
        <w:rPr>
          <w:rFonts w:hint="eastAsia"/>
          <w:i w:val="0"/>
          <w:iCs w:val="0"/>
          <w:color w:val="auto"/>
          <w:highlight w:val="none"/>
          <w:lang w:eastAsia="zh-CN"/>
        </w:rPr>
        <w:t>供应商</w:t>
      </w:r>
      <w:r>
        <w:rPr>
          <w:rFonts w:hint="eastAsia"/>
          <w:i w:val="0"/>
          <w:iCs w:val="0"/>
          <w:color w:val="auto"/>
          <w:highlight w:val="none"/>
        </w:rPr>
        <w:t>不足3家的应当终止竞争性磋商采购活动，发布项目终止公告并说明原因，重新开展采购活动。</w:t>
      </w:r>
    </w:p>
    <w:p w14:paraId="2BB3FE29">
      <w:pPr>
        <w:pStyle w:val="35"/>
        <w:pageBreakBefore w:val="0"/>
        <w:kinsoku/>
        <w:overflowPunct/>
        <w:topLinePunct w:val="0"/>
        <w:autoSpaceDE/>
        <w:autoSpaceDN/>
        <w:bidi w:val="0"/>
        <w:spacing w:line="440" w:lineRule="exact"/>
        <w:ind w:firstLine="480"/>
        <w:textAlignment w:val="auto"/>
        <w:rPr>
          <w:rFonts w:hint="default" w:eastAsia="宋体"/>
          <w:i w:val="0"/>
          <w:iCs w:val="0"/>
          <w:color w:val="auto"/>
          <w:highlight w:val="none"/>
          <w:lang w:val="en-US" w:eastAsia="zh-CN"/>
        </w:rPr>
      </w:pPr>
      <w:r>
        <w:rPr>
          <w:rFonts w:hint="eastAsia"/>
          <w:i w:val="0"/>
          <w:iCs w:val="0"/>
          <w:color w:val="auto"/>
          <w:highlight w:val="none"/>
          <w:lang w:val="en-US" w:eastAsia="zh-CN"/>
        </w:rPr>
        <w:t>3.根据《财政部关于政府采购竞争性磋商采购方式管理暂行办法有关问题的补充通知》的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80155A">
      <w:pPr>
        <w:pStyle w:val="5"/>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48" w:name="_Toc13167"/>
      <w:bookmarkStart w:id="449" w:name="_Toc163493635"/>
      <w:bookmarkStart w:id="450" w:name="_Hlk158124046"/>
      <w:bookmarkStart w:id="451" w:name="_Toc102116048"/>
      <w:bookmarkStart w:id="452" w:name="_Toc102056244"/>
      <w:bookmarkStart w:id="453" w:name="_Toc102116178"/>
      <w:bookmarkStart w:id="454" w:name="_Toc102114946"/>
      <w:bookmarkStart w:id="455" w:name="_Toc102057744"/>
      <w:bookmarkStart w:id="456" w:name="_Toc102119879"/>
      <w:r>
        <w:rPr>
          <w:rFonts w:hint="eastAsia" w:ascii="宋体" w:hAnsi="宋体" w:eastAsia="宋体" w:cs="宋体"/>
          <w:b/>
          <w:bCs/>
          <w:i w:val="0"/>
          <w:iCs w:val="0"/>
          <w:color w:val="auto"/>
          <w:kern w:val="2"/>
          <w:sz w:val="24"/>
          <w:szCs w:val="24"/>
          <w:highlight w:val="none"/>
          <w:lang w:val="en-US" w:eastAsia="zh-CN" w:bidi="ar-SA"/>
        </w:rPr>
        <w:t>（二）</w:t>
      </w:r>
      <w:r>
        <w:rPr>
          <w:rFonts w:hint="eastAsia" w:ascii="宋体" w:hAnsi="宋体" w:eastAsia="宋体" w:cs="宋体"/>
          <w:b/>
          <w:bCs/>
          <w:i w:val="0"/>
          <w:iCs w:val="0"/>
          <w:color w:val="auto"/>
          <w:kern w:val="2"/>
          <w:sz w:val="24"/>
          <w:szCs w:val="24"/>
          <w:highlight w:val="none"/>
          <w:lang w:val="zh-CN" w:eastAsia="zh-CN" w:bidi="ar-SA"/>
        </w:rPr>
        <w:t>响应文件澄清</w:t>
      </w:r>
      <w:bookmarkEnd w:id="448"/>
      <w:bookmarkEnd w:id="449"/>
    </w:p>
    <w:p w14:paraId="4E589A43">
      <w:pPr>
        <w:pStyle w:val="35"/>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33E43">
      <w:pPr>
        <w:pStyle w:val="35"/>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ascii="宋体" w:hAnsi="宋体" w:eastAsia="宋体"/>
          <w:i w:val="0"/>
          <w:iCs w:val="0"/>
          <w:color w:val="auto"/>
          <w:highlight w:val="none"/>
          <w:lang w:val="en-US" w:eastAsia="zh-CN"/>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450"/>
    <w:p w14:paraId="27E4E052">
      <w:pPr>
        <w:pStyle w:val="5"/>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57" w:name="_Toc10518"/>
      <w:bookmarkStart w:id="458" w:name="_Toc163493636"/>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zh-CN" w:eastAsia="zh-CN" w:bidi="ar-SA"/>
        </w:rPr>
        <w:t>磋商程序</w:t>
      </w:r>
      <w:bookmarkEnd w:id="457"/>
      <w:bookmarkEnd w:id="458"/>
    </w:p>
    <w:p w14:paraId="3B21DF86">
      <w:pPr>
        <w:pStyle w:val="35"/>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磋商小组应当依据磋商文件规定的程序、评</w:t>
      </w:r>
      <w:r>
        <w:rPr>
          <w:rFonts w:hint="eastAsia"/>
          <w:i w:val="0"/>
          <w:iCs w:val="0"/>
          <w:color w:val="auto"/>
          <w:highlight w:val="none"/>
          <w:lang w:val="en-US" w:eastAsia="zh-CN"/>
        </w:rPr>
        <w:t>审</w:t>
      </w:r>
      <w:r>
        <w:rPr>
          <w:rFonts w:hint="eastAsia"/>
          <w:i w:val="0"/>
          <w:iCs w:val="0"/>
          <w:color w:val="auto"/>
          <w:highlight w:val="none"/>
        </w:rPr>
        <w:t>成交的标准等事项与</w:t>
      </w:r>
      <w:r>
        <w:rPr>
          <w:rFonts w:hint="eastAsia" w:cs="Helvetica"/>
          <w:i w:val="0"/>
          <w:iCs w:val="0"/>
          <w:color w:val="auto"/>
          <w:szCs w:val="24"/>
          <w:highlight w:val="none"/>
          <w:lang w:val="zh-CN"/>
        </w:rPr>
        <w:t>实质性</w:t>
      </w:r>
      <w:r>
        <w:rPr>
          <w:rFonts w:hint="eastAsia"/>
          <w:i w:val="0"/>
          <w:iCs w:val="0"/>
          <w:color w:val="auto"/>
          <w:highlight w:val="none"/>
        </w:rPr>
        <w:t>响应磋商文件要求的供应商</w:t>
      </w:r>
      <w:r>
        <w:rPr>
          <w:i w:val="0"/>
          <w:iCs w:val="0"/>
          <w:color w:val="auto"/>
          <w:highlight w:val="none"/>
        </w:rPr>
        <w:t>进行</w:t>
      </w:r>
      <w:r>
        <w:rPr>
          <w:rFonts w:hint="eastAsia"/>
          <w:i w:val="0"/>
          <w:iCs w:val="0"/>
          <w:color w:val="auto"/>
          <w:highlight w:val="none"/>
        </w:rPr>
        <w:t>磋商。</w:t>
      </w:r>
    </w:p>
    <w:p w14:paraId="410355B6">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1.第一轮磋商</w:t>
      </w:r>
    </w:p>
    <w:p w14:paraId="3A166FAD">
      <w:pPr>
        <w:pStyle w:val="35"/>
        <w:pageBreakBefore w:val="0"/>
        <w:kinsoku/>
        <w:overflowPunct/>
        <w:topLinePunct w:val="0"/>
        <w:autoSpaceDE/>
        <w:autoSpaceDN/>
        <w:bidi w:val="0"/>
        <w:spacing w:line="440" w:lineRule="exact"/>
        <w:ind w:firstLine="480"/>
        <w:textAlignment w:val="auto"/>
        <w:rPr>
          <w:rFonts w:cs="宋体"/>
          <w:i w:val="0"/>
          <w:iCs w:val="0"/>
          <w:color w:val="auto"/>
          <w:szCs w:val="24"/>
          <w:highlight w:val="none"/>
        </w:rPr>
      </w:pPr>
      <w:r>
        <w:rPr>
          <w:rFonts w:hint="eastAsia"/>
          <w:i w:val="0"/>
          <w:iCs w:val="0"/>
          <w:color w:val="auto"/>
          <w:highlight w:val="none"/>
          <w:lang w:val="zh-CN"/>
        </w:rPr>
        <w:t>1</w:t>
      </w:r>
      <w:r>
        <w:rPr>
          <w:i w:val="0"/>
          <w:iCs w:val="0"/>
          <w:color w:val="auto"/>
          <w:highlight w:val="none"/>
          <w:lang w:val="zh-CN"/>
        </w:rPr>
        <w:t>.1</w:t>
      </w:r>
      <w:r>
        <w:rPr>
          <w:rFonts w:hint="eastAsia"/>
          <w:i w:val="0"/>
          <w:iCs w:val="0"/>
          <w:color w:val="auto"/>
          <w:highlight w:val="none"/>
          <w:lang w:val="zh-CN"/>
        </w:rPr>
        <w:t>磋商小组将按照系统随机的顺序决定供应商的磋商顺序，并集中与单一供应商分别进行磋商</w:t>
      </w:r>
      <w:r>
        <w:rPr>
          <w:rFonts w:hint="eastAsia" w:cs="宋体"/>
          <w:i w:val="0"/>
          <w:iCs w:val="0"/>
          <w:color w:val="auto"/>
          <w:szCs w:val="24"/>
          <w:highlight w:val="none"/>
        </w:rPr>
        <w:t>。</w:t>
      </w:r>
    </w:p>
    <w:p w14:paraId="77949909">
      <w:pPr>
        <w:pStyle w:val="35"/>
        <w:pageBreakBefore w:val="0"/>
        <w:kinsoku/>
        <w:overflowPunct/>
        <w:topLinePunct w:val="0"/>
        <w:autoSpaceDE/>
        <w:autoSpaceDN/>
        <w:bidi w:val="0"/>
        <w:spacing w:line="440" w:lineRule="exact"/>
        <w:ind w:firstLine="480"/>
        <w:textAlignment w:val="auto"/>
        <w:rPr>
          <w:rFonts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.2</w:t>
      </w:r>
      <w:r>
        <w:rPr>
          <w:rFonts w:hint="eastAsia" w:cs="宋体"/>
          <w:i w:val="0"/>
          <w:iCs w:val="0"/>
          <w:color w:val="auto"/>
          <w:szCs w:val="24"/>
          <w:highlight w:val="none"/>
        </w:rPr>
        <w:t>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4B5E37B4">
      <w:pPr>
        <w:pStyle w:val="35"/>
        <w:pageBreakBefore w:val="0"/>
        <w:kinsoku/>
        <w:overflowPunct/>
        <w:topLinePunct w:val="0"/>
        <w:autoSpaceDE/>
        <w:autoSpaceDN/>
        <w:bidi w:val="0"/>
        <w:spacing w:line="440" w:lineRule="exact"/>
        <w:ind w:firstLine="480"/>
        <w:textAlignment w:val="auto"/>
        <w:rPr>
          <w:rFonts w:hint="eastAsia" w:eastAsia="宋体" w:cs="宋体"/>
          <w:i w:val="0"/>
          <w:iCs w:val="0"/>
          <w:color w:val="auto"/>
          <w:szCs w:val="24"/>
          <w:highlight w:val="none"/>
          <w:lang w:eastAsia="zh-CN"/>
        </w:rPr>
      </w:pPr>
      <w:r>
        <w:rPr>
          <w:rFonts w:hint="eastAsia" w:cs="宋体"/>
          <w:i w:val="0"/>
          <w:iCs w:val="0"/>
          <w:color w:val="auto"/>
          <w:szCs w:val="24"/>
          <w:highlight w:val="none"/>
        </w:rPr>
        <w:t>1</w:t>
      </w:r>
      <w:r>
        <w:rPr>
          <w:rFonts w:cs="宋体"/>
          <w:i w:val="0"/>
          <w:iCs w:val="0"/>
          <w:color w:val="auto"/>
          <w:szCs w:val="24"/>
          <w:highlight w:val="none"/>
        </w:rPr>
        <w:t>.3</w:t>
      </w:r>
      <w:r>
        <w:rPr>
          <w:rFonts w:hint="eastAsia" w:cs="宋体"/>
          <w:i w:val="0"/>
          <w:iCs w:val="0"/>
          <w:color w:val="auto"/>
          <w:szCs w:val="24"/>
          <w:highlight w:val="none"/>
        </w:rPr>
        <w:t>磋商过程中，磋商小组可以根据磋商文件和磋商情况实质性变动采购需求中的技术、服务要求以及合同草案条款，但不得变动磋商文件中的其他内容。实质性变动的内容，须经采购人代表确认。</w:t>
      </w:r>
    </w:p>
    <w:p w14:paraId="79187789">
      <w:pPr>
        <w:pStyle w:val="35"/>
        <w:pageBreakBefore w:val="0"/>
        <w:kinsoku/>
        <w:overflowPunct/>
        <w:topLinePunct w:val="0"/>
        <w:autoSpaceDE/>
        <w:autoSpaceDN/>
        <w:bidi w:val="0"/>
        <w:spacing w:line="440" w:lineRule="exact"/>
        <w:ind w:firstLine="480"/>
        <w:textAlignment w:val="auto"/>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.4</w:t>
      </w:r>
      <w:r>
        <w:rPr>
          <w:rFonts w:hint="eastAsia" w:cs="宋体"/>
          <w:i w:val="0"/>
          <w:iCs w:val="0"/>
          <w:color w:val="auto"/>
          <w:szCs w:val="24"/>
          <w:highlight w:val="none"/>
        </w:rPr>
        <w:t>对磋商文件作出的实质性变动的内容是磋商文件的有效组成部分。磋商小组应将磋商文件的变动情况以书面</w:t>
      </w:r>
      <w:r>
        <w:rPr>
          <w:rFonts w:hint="eastAsia" w:cs="宋体"/>
          <w:i w:val="0"/>
          <w:iCs w:val="0"/>
          <w:color w:val="auto"/>
          <w:szCs w:val="24"/>
          <w:highlight w:val="none"/>
          <w:lang w:val="en-US" w:eastAsia="zh-CN"/>
        </w:rPr>
        <w:t>形</w:t>
      </w:r>
      <w:r>
        <w:rPr>
          <w:rFonts w:hint="eastAsia" w:cs="宋体"/>
          <w:i w:val="0"/>
          <w:iCs w:val="0"/>
          <w:color w:val="auto"/>
          <w:szCs w:val="24"/>
          <w:highlight w:val="none"/>
        </w:rPr>
        <w:t>式通知所有参加磋商的供应商。</w:t>
      </w:r>
    </w:p>
    <w:p w14:paraId="708F2F98">
      <w:pPr>
        <w:pStyle w:val="35"/>
        <w:pageBreakBefore w:val="0"/>
        <w:kinsoku/>
        <w:overflowPunct/>
        <w:topLinePunct w:val="0"/>
        <w:autoSpaceDE/>
        <w:autoSpaceDN/>
        <w:bidi w:val="0"/>
        <w:spacing w:line="440" w:lineRule="exact"/>
        <w:ind w:firstLine="480"/>
        <w:textAlignment w:val="auto"/>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.5</w:t>
      </w:r>
      <w:r>
        <w:rPr>
          <w:rFonts w:hint="eastAsia" w:cs="宋体"/>
          <w:i w:val="0"/>
          <w:iCs w:val="0"/>
          <w:color w:val="auto"/>
          <w:szCs w:val="24"/>
          <w:highlight w:val="none"/>
        </w:rPr>
        <w:t>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296A5BF1">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2.多轮磋商</w:t>
      </w:r>
    </w:p>
    <w:p w14:paraId="320277BA">
      <w:pPr>
        <w:pStyle w:val="35"/>
        <w:pageBreakBefore w:val="0"/>
        <w:kinsoku/>
        <w:overflowPunct/>
        <w:topLinePunct w:val="0"/>
        <w:autoSpaceDE/>
        <w:autoSpaceDN/>
        <w:bidi w:val="0"/>
        <w:spacing w:line="440" w:lineRule="exact"/>
        <w:ind w:firstLine="480"/>
        <w:textAlignment w:val="auto"/>
        <w:rPr>
          <w:i w:val="0"/>
          <w:iCs w:val="0"/>
          <w:color w:val="auto"/>
          <w:highlight w:val="none"/>
        </w:rPr>
      </w:pPr>
      <w:r>
        <w:rPr>
          <w:i w:val="0"/>
          <w:iCs w:val="0"/>
          <w:color w:val="auto"/>
          <w:highlight w:val="none"/>
        </w:rPr>
        <w:t>2.1</w:t>
      </w:r>
      <w:r>
        <w:rPr>
          <w:rFonts w:hint="eastAsia"/>
          <w:i w:val="0"/>
          <w:iCs w:val="0"/>
          <w:color w:val="auto"/>
          <w:highlight w:val="none"/>
        </w:rPr>
        <w:t>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7990D9D0">
      <w:pPr>
        <w:pStyle w:val="35"/>
        <w:pageBreakBefore w:val="0"/>
        <w:kinsoku/>
        <w:overflowPunct/>
        <w:topLinePunct w:val="0"/>
        <w:autoSpaceDE/>
        <w:autoSpaceDN/>
        <w:bidi w:val="0"/>
        <w:spacing w:line="440" w:lineRule="exact"/>
        <w:ind w:firstLine="480"/>
        <w:textAlignment w:val="auto"/>
        <w:rPr>
          <w:i w:val="0"/>
          <w:iCs w:val="0"/>
          <w:color w:val="auto"/>
          <w:sz w:val="28"/>
          <w:highlight w:val="none"/>
        </w:rPr>
      </w:pPr>
      <w:r>
        <w:rPr>
          <w:rFonts w:hint="eastAsia"/>
          <w:i w:val="0"/>
          <w:iCs w:val="0"/>
          <w:color w:val="auto"/>
          <w:highlight w:val="none"/>
        </w:rPr>
        <w:t>2</w:t>
      </w:r>
      <w:r>
        <w:rPr>
          <w:i w:val="0"/>
          <w:iCs w:val="0"/>
          <w:color w:val="auto"/>
          <w:highlight w:val="none"/>
        </w:rPr>
        <w:t>.3</w:t>
      </w:r>
      <w:r>
        <w:rPr>
          <w:rFonts w:hint="eastAsia"/>
          <w:i w:val="0"/>
          <w:iCs w:val="0"/>
          <w:color w:val="auto"/>
          <w:highlight w:val="none"/>
        </w:rPr>
        <w:t>磋商程序同第一轮磋商。</w:t>
      </w:r>
    </w:p>
    <w:p w14:paraId="47413248">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3.最后报价</w:t>
      </w:r>
    </w:p>
    <w:p w14:paraId="2AED22E8">
      <w:pPr>
        <w:pStyle w:val="35"/>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3</w:t>
      </w:r>
      <w:r>
        <w:rPr>
          <w:i w:val="0"/>
          <w:iCs w:val="0"/>
          <w:color w:val="auto"/>
          <w:highlight w:val="none"/>
        </w:rPr>
        <w:t>.1</w:t>
      </w:r>
      <w:r>
        <w:rPr>
          <w:rFonts w:hint="eastAsia"/>
          <w:i w:val="0"/>
          <w:iCs w:val="0"/>
          <w:color w:val="auto"/>
          <w:highlight w:val="none"/>
        </w:rPr>
        <w:t>磋商文件中能够详细列明采购标的的技术、服务要求的，磋商结束后，磋商小组应当要求所有</w:t>
      </w:r>
      <w:r>
        <w:rPr>
          <w:rFonts w:hint="eastAsia"/>
          <w:i w:val="0"/>
          <w:iCs w:val="0"/>
          <w:color w:val="auto"/>
          <w:highlight w:val="none"/>
          <w:lang w:val="en-US" w:eastAsia="zh-CN"/>
        </w:rPr>
        <w:t>实质性响应</w:t>
      </w:r>
      <w:r>
        <w:rPr>
          <w:rFonts w:hint="eastAsia"/>
          <w:i w:val="0"/>
          <w:iCs w:val="0"/>
          <w:color w:val="auto"/>
          <w:highlight w:val="none"/>
        </w:rPr>
        <w:t>的供应商，在规定时间内，以书面的方式经授权代表签字（或加盖公章）后提交最后报价，提交最后报价的供应商不得少于3家</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w:t>
      </w:r>
    </w:p>
    <w:p w14:paraId="5C393493">
      <w:pPr>
        <w:pStyle w:val="35"/>
        <w:pageBreakBefore w:val="0"/>
        <w:kinsoku/>
        <w:overflowPunct/>
        <w:topLinePunct w:val="0"/>
        <w:autoSpaceDE/>
        <w:autoSpaceDN/>
        <w:bidi w:val="0"/>
        <w:spacing w:line="440" w:lineRule="exact"/>
        <w:ind w:firstLine="480"/>
        <w:textAlignment w:val="auto"/>
        <w:rPr>
          <w:rFonts w:hint="eastAsia"/>
          <w:i w:val="0"/>
          <w:iCs w:val="0"/>
          <w:color w:val="auto"/>
          <w:highlight w:val="none"/>
        </w:rPr>
      </w:pPr>
      <w:r>
        <w:rPr>
          <w:i w:val="0"/>
          <w:iCs w:val="0"/>
          <w:color w:val="auto"/>
          <w:highlight w:val="none"/>
        </w:rPr>
        <w:t>3.2</w:t>
      </w:r>
      <w:r>
        <w:rPr>
          <w:rFonts w:hint="eastAsia"/>
          <w:i w:val="0"/>
          <w:iCs w:val="0"/>
          <w:color w:val="auto"/>
          <w:highlight w:val="none"/>
        </w:rPr>
        <w:t>磋商文件中不能详细列明采购标的的技术、服务要求，需经磋商由供应商提供最</w:t>
      </w:r>
      <w:r>
        <w:rPr>
          <w:rFonts w:hint="eastAsia"/>
          <w:i w:val="0"/>
          <w:iCs w:val="0"/>
          <w:color w:val="auto"/>
          <w:highlight w:val="none"/>
          <w:lang w:val="en-US" w:eastAsia="zh-CN"/>
        </w:rPr>
        <w:t>终</w:t>
      </w:r>
      <w:r>
        <w:rPr>
          <w:rFonts w:hint="eastAsia"/>
          <w:i w:val="0"/>
          <w:iCs w:val="0"/>
          <w:color w:val="auto"/>
          <w:highlight w:val="none"/>
        </w:rPr>
        <w:t>设计方案或解决方案的，磋商结束后，磋商小组应当按照少数服从多数的原则投票推荐3家以上供应商的设计方案或者解决方案，并要求其在规定时间内提交最后报价。</w:t>
      </w:r>
    </w:p>
    <w:p w14:paraId="50FAF062">
      <w:pPr>
        <w:pStyle w:val="35"/>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rPr>
      </w:pPr>
      <w:r>
        <w:rPr>
          <w:i w:val="0"/>
          <w:iCs w:val="0"/>
          <w:color w:val="auto"/>
          <w:highlight w:val="none"/>
        </w:rPr>
        <w:t>3.</w:t>
      </w:r>
      <w:r>
        <w:rPr>
          <w:rFonts w:hint="eastAsia"/>
          <w:i w:val="0"/>
          <w:iCs w:val="0"/>
          <w:color w:val="auto"/>
          <w:highlight w:val="none"/>
          <w:lang w:val="en-US" w:eastAsia="zh-CN"/>
        </w:rPr>
        <w:t>3</w:t>
      </w:r>
      <w:r>
        <w:rPr>
          <w:rFonts w:hint="eastAsia"/>
          <w:i w:val="0"/>
          <w:iCs w:val="0"/>
          <w:color w:val="auto"/>
          <w:highlight w:val="none"/>
        </w:rPr>
        <w:t>最后报价是供应商响应文件的有效组成部分。逾时不提交的，视同退出</w:t>
      </w:r>
      <w:r>
        <w:rPr>
          <w:rFonts w:hint="eastAsia" w:ascii="宋体" w:hAnsi="宋体" w:eastAsia="宋体"/>
          <w:i w:val="0"/>
          <w:iCs w:val="0"/>
          <w:color w:val="auto"/>
          <w:highlight w:val="none"/>
        </w:rPr>
        <w:t>磋商。</w:t>
      </w:r>
    </w:p>
    <w:p w14:paraId="14751A39">
      <w:pPr>
        <w:pStyle w:val="35"/>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最后</w:t>
      </w:r>
      <w:r>
        <w:rPr>
          <w:rFonts w:ascii="宋体" w:hAnsi="宋体" w:eastAsia="宋体"/>
          <w:i w:val="0"/>
          <w:iCs w:val="0"/>
          <w:color w:val="auto"/>
          <w:highlight w:val="none"/>
          <w:lang w:val="zh-CN"/>
        </w:rPr>
        <w:t>报价出现</w:t>
      </w:r>
      <w:r>
        <w:rPr>
          <w:rFonts w:hint="eastAsia" w:ascii="宋体" w:hAnsi="宋体" w:eastAsia="宋体"/>
          <w:i w:val="0"/>
          <w:iCs w:val="0"/>
          <w:color w:val="auto"/>
          <w:highlight w:val="none"/>
          <w:lang w:val="zh-CN"/>
        </w:rPr>
        <w:t>前后不一致的</w:t>
      </w:r>
      <w:r>
        <w:rPr>
          <w:rFonts w:ascii="宋体" w:hAnsi="宋体" w:eastAsia="宋体"/>
          <w:i w:val="0"/>
          <w:iCs w:val="0"/>
          <w:color w:val="auto"/>
          <w:highlight w:val="none"/>
          <w:lang w:val="zh-CN"/>
        </w:rPr>
        <w:t>，按照下列规定修正：</w:t>
      </w:r>
    </w:p>
    <w:p w14:paraId="7FF06AF5">
      <w:pPr>
        <w:pStyle w:val="35"/>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（1）</w:t>
      </w:r>
      <w:r>
        <w:rPr>
          <w:rFonts w:ascii="宋体" w:hAnsi="宋体" w:eastAsia="宋体"/>
          <w:i w:val="0"/>
          <w:iCs w:val="0"/>
          <w:color w:val="auto"/>
          <w:highlight w:val="none"/>
          <w:lang w:val="zh-CN"/>
        </w:rPr>
        <w:t>大写金额和小写金额不一致的，以大写金额为准</w:t>
      </w:r>
      <w:r>
        <w:rPr>
          <w:rFonts w:hint="eastAsia" w:ascii="宋体" w:hAnsi="宋体" w:eastAsia="宋体"/>
          <w:i w:val="0"/>
          <w:iCs w:val="0"/>
          <w:color w:val="auto"/>
          <w:highlight w:val="none"/>
          <w:lang w:val="zh-CN"/>
        </w:rPr>
        <w:t>；</w:t>
      </w:r>
    </w:p>
    <w:p w14:paraId="7677FB88">
      <w:pPr>
        <w:pStyle w:val="35"/>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（2）</w:t>
      </w:r>
      <w:r>
        <w:rPr>
          <w:rFonts w:ascii="宋体" w:hAnsi="宋体" w:eastAsia="宋体"/>
          <w:i w:val="0"/>
          <w:iCs w:val="0"/>
          <w:color w:val="auto"/>
          <w:highlight w:val="none"/>
          <w:lang w:val="zh-CN"/>
        </w:rPr>
        <w:t>单价金额</w:t>
      </w:r>
      <w:r>
        <w:rPr>
          <w:rFonts w:ascii="宋体" w:hAnsi="宋体" w:eastAsia="宋体"/>
          <w:i w:val="0"/>
          <w:iCs w:val="0"/>
          <w:color w:val="auto"/>
          <w:highlight w:val="none"/>
        </w:rPr>
        <w:t>小数点</w:t>
      </w:r>
      <w:r>
        <w:rPr>
          <w:rFonts w:ascii="宋体" w:hAnsi="宋体" w:eastAsia="宋体"/>
          <w:i w:val="0"/>
          <w:iCs w:val="0"/>
          <w:color w:val="auto"/>
          <w:highlight w:val="none"/>
          <w:lang w:val="zh-CN"/>
        </w:rPr>
        <w:t>或百分比有明显错位的，以</w:t>
      </w:r>
      <w:r>
        <w:rPr>
          <w:rFonts w:hint="eastAsia" w:ascii="宋体" w:hAnsi="宋体" w:eastAsia="宋体"/>
          <w:i w:val="0"/>
          <w:iCs w:val="0"/>
          <w:color w:val="auto"/>
          <w:highlight w:val="none"/>
          <w:lang w:val="zh-CN"/>
        </w:rPr>
        <w:t>最后报价表</w:t>
      </w:r>
      <w:r>
        <w:rPr>
          <w:rFonts w:ascii="宋体" w:hAnsi="宋体" w:eastAsia="宋体"/>
          <w:i w:val="0"/>
          <w:iCs w:val="0"/>
          <w:color w:val="auto"/>
          <w:highlight w:val="none"/>
          <w:lang w:val="zh-CN"/>
        </w:rPr>
        <w:t>的总价为准，并修改单价</w:t>
      </w:r>
      <w:r>
        <w:rPr>
          <w:rFonts w:hint="eastAsia" w:ascii="宋体" w:hAnsi="宋体" w:eastAsia="宋体"/>
          <w:i w:val="0"/>
          <w:iCs w:val="0"/>
          <w:color w:val="auto"/>
          <w:highlight w:val="none"/>
          <w:lang w:val="zh-CN"/>
        </w:rPr>
        <w:t>；</w:t>
      </w:r>
    </w:p>
    <w:p w14:paraId="3F18F6F4">
      <w:pPr>
        <w:pStyle w:val="35"/>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（3）</w:t>
      </w:r>
      <w:r>
        <w:rPr>
          <w:rFonts w:ascii="宋体" w:hAnsi="宋体" w:eastAsia="宋体"/>
          <w:i w:val="0"/>
          <w:iCs w:val="0"/>
          <w:color w:val="auto"/>
          <w:highlight w:val="none"/>
          <w:lang w:val="zh-CN"/>
        </w:rPr>
        <w:t>总价金额与按单价汇总金额不一致的，以单价金额计算结果为准</w:t>
      </w:r>
      <w:r>
        <w:rPr>
          <w:rFonts w:hint="eastAsia" w:ascii="宋体" w:hAnsi="宋体" w:eastAsia="宋体"/>
          <w:i w:val="0"/>
          <w:iCs w:val="0"/>
          <w:color w:val="auto"/>
          <w:highlight w:val="none"/>
          <w:lang w:val="zh-CN"/>
        </w:rPr>
        <w:t>；</w:t>
      </w:r>
    </w:p>
    <w:p w14:paraId="1000B355">
      <w:pPr>
        <w:pStyle w:val="35"/>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（4）</w:t>
      </w:r>
      <w:r>
        <w:rPr>
          <w:rFonts w:ascii="宋体" w:hAnsi="宋体" w:eastAsia="宋体"/>
          <w:i w:val="0"/>
          <w:iCs w:val="0"/>
          <w:color w:val="auto"/>
          <w:highlight w:val="none"/>
          <w:lang w:val="zh-CN"/>
        </w:rPr>
        <w:t>同时出现</w:t>
      </w:r>
      <w:r>
        <w:rPr>
          <w:rFonts w:ascii="宋体" w:hAnsi="宋体" w:eastAsia="宋体"/>
          <w:i w:val="0"/>
          <w:iCs w:val="0"/>
          <w:color w:val="auto"/>
          <w:highlight w:val="none"/>
        </w:rPr>
        <w:t>两种</w:t>
      </w:r>
      <w:r>
        <w:rPr>
          <w:rFonts w:ascii="宋体" w:hAnsi="宋体" w:eastAsia="宋体"/>
          <w:i w:val="0"/>
          <w:iCs w:val="0"/>
          <w:color w:val="auto"/>
          <w:highlight w:val="none"/>
          <w:lang w:val="zh-CN"/>
        </w:rPr>
        <w:t>以上不一致的，按照前款规定的顺序修正</w:t>
      </w:r>
      <w:r>
        <w:rPr>
          <w:rFonts w:hint="eastAsia" w:ascii="宋体" w:hAnsi="宋体" w:eastAsia="宋体"/>
          <w:i w:val="0"/>
          <w:iCs w:val="0"/>
          <w:color w:val="auto"/>
          <w:highlight w:val="none"/>
          <w:lang w:val="zh-CN"/>
        </w:rPr>
        <w:t>；</w:t>
      </w:r>
    </w:p>
    <w:p w14:paraId="119BB152">
      <w:pPr>
        <w:pStyle w:val="35"/>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rPr>
      </w:pPr>
      <w:r>
        <w:rPr>
          <w:rFonts w:hint="eastAsia" w:ascii="宋体" w:hAnsi="宋体" w:eastAsia="宋体"/>
          <w:i w:val="0"/>
          <w:iCs w:val="0"/>
          <w:color w:val="auto"/>
          <w:highlight w:val="none"/>
          <w:lang w:val="zh-CN"/>
        </w:rPr>
        <w:t>（5）</w:t>
      </w:r>
      <w:r>
        <w:rPr>
          <w:rFonts w:ascii="宋体" w:hAnsi="宋体" w:eastAsia="宋体"/>
          <w:i w:val="0"/>
          <w:iCs w:val="0"/>
          <w:color w:val="auto"/>
          <w:highlight w:val="none"/>
          <w:lang w:val="zh-CN"/>
        </w:rPr>
        <w:t>修正后的报价</w:t>
      </w:r>
      <w:r>
        <w:rPr>
          <w:rFonts w:hint="eastAsia" w:ascii="宋体" w:hAnsi="宋体" w:eastAsia="宋体"/>
          <w:i w:val="0"/>
          <w:iCs w:val="0"/>
          <w:color w:val="auto"/>
          <w:highlight w:val="none"/>
          <w:lang w:val="zh-CN"/>
        </w:rPr>
        <w:t>应通过书面方式</w:t>
      </w:r>
      <w:r>
        <w:rPr>
          <w:rFonts w:ascii="宋体" w:hAnsi="宋体" w:eastAsia="宋体"/>
          <w:i w:val="0"/>
          <w:iCs w:val="0"/>
          <w:color w:val="auto"/>
          <w:highlight w:val="none"/>
          <w:lang w:val="zh-CN"/>
        </w:rPr>
        <w:t>通知</w:t>
      </w:r>
      <w:r>
        <w:rPr>
          <w:rFonts w:hint="eastAsia" w:ascii="宋体" w:hAnsi="宋体" w:eastAsia="宋体"/>
          <w:i w:val="0"/>
          <w:iCs w:val="0"/>
          <w:color w:val="auto"/>
          <w:highlight w:val="none"/>
          <w:lang w:val="zh-CN"/>
        </w:rPr>
        <w:t>供应商，由</w:t>
      </w:r>
      <w:r>
        <w:rPr>
          <w:rFonts w:ascii="宋体" w:hAnsi="宋体" w:eastAsia="宋体"/>
          <w:i w:val="0"/>
          <w:iCs w:val="0"/>
          <w:color w:val="auto"/>
          <w:highlight w:val="none"/>
          <w:lang w:val="zh-CN"/>
        </w:rPr>
        <w:t>供应商</w:t>
      </w:r>
      <w:r>
        <w:rPr>
          <w:rFonts w:hint="eastAsia" w:ascii="宋体" w:hAnsi="宋体" w:eastAsia="宋体"/>
          <w:i w:val="0"/>
          <w:iCs w:val="0"/>
          <w:color w:val="auto"/>
          <w:highlight w:val="none"/>
          <w:lang w:val="zh-CN"/>
        </w:rPr>
        <w:t>授权代表签字（或加盖公章）</w:t>
      </w:r>
      <w:r>
        <w:rPr>
          <w:rFonts w:ascii="宋体" w:hAnsi="宋体" w:eastAsia="宋体"/>
          <w:i w:val="0"/>
          <w:iCs w:val="0"/>
          <w:color w:val="auto"/>
          <w:highlight w:val="none"/>
          <w:lang w:val="zh-CN"/>
        </w:rPr>
        <w:t>确认后产生约束力，供应商不确认的，</w:t>
      </w:r>
      <w:r>
        <w:rPr>
          <w:rFonts w:hint="eastAsia" w:ascii="宋体" w:hAnsi="宋体" w:eastAsia="宋体"/>
          <w:i w:val="0"/>
          <w:iCs w:val="0"/>
          <w:color w:val="auto"/>
          <w:highlight w:val="none"/>
          <w:lang w:val="zh-CN"/>
        </w:rPr>
        <w:t>按照</w:t>
      </w:r>
      <w:r>
        <w:rPr>
          <w:rFonts w:ascii="宋体" w:hAnsi="宋体" w:eastAsia="宋体"/>
          <w:i w:val="0"/>
          <w:iCs w:val="0"/>
          <w:color w:val="auto"/>
          <w:highlight w:val="none"/>
          <w:lang w:val="zh-CN"/>
        </w:rPr>
        <w:t>无效</w:t>
      </w:r>
      <w:r>
        <w:rPr>
          <w:rFonts w:hint="eastAsia" w:ascii="宋体" w:hAnsi="宋体" w:eastAsia="宋体"/>
          <w:i w:val="0"/>
          <w:iCs w:val="0"/>
          <w:color w:val="auto"/>
          <w:highlight w:val="none"/>
          <w:lang w:val="zh-CN"/>
        </w:rPr>
        <w:t>响应处理</w:t>
      </w:r>
      <w:r>
        <w:rPr>
          <w:rFonts w:ascii="宋体" w:hAnsi="宋体" w:eastAsia="宋体"/>
          <w:i w:val="0"/>
          <w:iCs w:val="0"/>
          <w:color w:val="auto"/>
          <w:highlight w:val="none"/>
          <w:lang w:val="zh-CN"/>
        </w:rPr>
        <w:t>。</w:t>
      </w:r>
    </w:p>
    <w:p w14:paraId="492B1BCC">
      <w:pPr>
        <w:pageBreakBefore w:val="0"/>
        <w:tabs>
          <w:tab w:val="left" w:pos="993"/>
        </w:tabs>
        <w:kinsoku/>
        <w:wordWrap w:val="0"/>
        <w:overflowPunct/>
        <w:topLinePunct w:val="0"/>
        <w:autoSpaceDE/>
        <w:autoSpaceDN/>
        <w:bidi w:val="0"/>
        <w:adjustRightInd w:val="0"/>
        <w:snapToGrid w:val="0"/>
        <w:spacing w:line="440" w:lineRule="exact"/>
        <w:ind w:firstLine="480" w:firstLineChars="200"/>
        <w:textAlignment w:val="auto"/>
        <w:rPr>
          <w:i w:val="0"/>
          <w:iCs w:val="0"/>
          <w:color w:val="auto"/>
          <w:highlight w:val="none"/>
        </w:rPr>
      </w:pPr>
      <w:r>
        <w:rPr>
          <w:rFonts w:hint="eastAsia" w:ascii="宋体" w:hAnsi="宋体" w:eastAsia="宋体"/>
          <w:i w:val="0"/>
          <w:iCs w:val="0"/>
          <w:color w:val="auto"/>
          <w:highlight w:val="none"/>
          <w:lang w:val="en-US" w:eastAsia="zh-CN"/>
        </w:rPr>
        <w:t>3.4已提交响应文件的供应商，在提交最后报价之前，可以根据磋商情况退出磋商，退出磋商供应商的磋商保证金</w:t>
      </w:r>
      <w:r>
        <w:rPr>
          <w:rFonts w:hint="eastAsia"/>
          <w:i w:val="0"/>
          <w:iCs w:val="0"/>
          <w:color w:val="auto"/>
          <w:highlight w:val="none"/>
          <w:lang w:val="en-US" w:eastAsia="zh-CN"/>
        </w:rPr>
        <w:t>可予以</w:t>
      </w:r>
      <w:r>
        <w:rPr>
          <w:rFonts w:hint="eastAsia" w:ascii="宋体" w:hAnsi="宋体" w:eastAsia="宋体"/>
          <w:i w:val="0"/>
          <w:iCs w:val="0"/>
          <w:color w:val="auto"/>
          <w:highlight w:val="none"/>
          <w:lang w:val="en-US" w:eastAsia="zh-CN"/>
        </w:rPr>
        <w:t>退还</w:t>
      </w:r>
      <w:r>
        <w:rPr>
          <w:i w:val="0"/>
          <w:iCs w:val="0"/>
          <w:color w:val="auto"/>
          <w:szCs w:val="24"/>
          <w:highlight w:val="none"/>
          <w:lang w:val="zh-CN"/>
        </w:rPr>
        <w:t>。</w:t>
      </w:r>
    </w:p>
    <w:p w14:paraId="37D01FAF">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59" w:name="_Toc102057745"/>
      <w:bookmarkStart w:id="460" w:name="_Toc102119880"/>
      <w:bookmarkStart w:id="461" w:name="_Toc102116179"/>
      <w:bookmarkStart w:id="462" w:name="_Toc102056245"/>
      <w:bookmarkStart w:id="463" w:name="_Toc102116049"/>
      <w:bookmarkStart w:id="464" w:name="_Toc102114947"/>
      <w:r>
        <w:rPr>
          <w:rFonts w:hint="eastAsia" w:ascii="宋体" w:hAnsi="宋体" w:eastAsia="宋体" w:cs="宋体"/>
          <w:b/>
          <w:bCs/>
          <w:i w:val="0"/>
          <w:iCs w:val="0"/>
          <w:color w:val="auto"/>
          <w:kern w:val="2"/>
          <w:sz w:val="24"/>
          <w:szCs w:val="24"/>
          <w:highlight w:val="none"/>
          <w:lang w:val="en-US" w:eastAsia="zh-CN" w:bidi="ar-SA"/>
        </w:rPr>
        <w:t>4.商务技术评审</w:t>
      </w:r>
    </w:p>
    <w:p w14:paraId="04DD6A02">
      <w:pPr>
        <w:pStyle w:val="35"/>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4</w:t>
      </w:r>
      <w:r>
        <w:rPr>
          <w:i w:val="0"/>
          <w:iCs w:val="0"/>
          <w:color w:val="auto"/>
          <w:highlight w:val="none"/>
          <w:lang w:val="zh-CN"/>
        </w:rPr>
        <w:t>.1</w:t>
      </w:r>
      <w:r>
        <w:rPr>
          <w:rFonts w:hint="eastAsia"/>
          <w:i w:val="0"/>
          <w:iCs w:val="0"/>
          <w:color w:val="auto"/>
          <w:highlight w:val="none"/>
          <w:lang w:val="zh-CN"/>
        </w:rPr>
        <w:t>经磋商确定最终采购需求和提交最后报价的供应商后，由磋商小组采用综合评分法对提交最后报价的供应商的响应文件和最后报价进行综合评分。</w:t>
      </w:r>
    </w:p>
    <w:bookmarkEnd w:id="451"/>
    <w:bookmarkEnd w:id="452"/>
    <w:bookmarkEnd w:id="453"/>
    <w:bookmarkEnd w:id="454"/>
    <w:bookmarkEnd w:id="455"/>
    <w:bookmarkEnd w:id="456"/>
    <w:bookmarkEnd w:id="459"/>
    <w:bookmarkEnd w:id="460"/>
    <w:bookmarkEnd w:id="461"/>
    <w:bookmarkEnd w:id="462"/>
    <w:bookmarkEnd w:id="463"/>
    <w:bookmarkEnd w:id="464"/>
    <w:p w14:paraId="11B2A599">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65" w:name="_Toc102057747"/>
      <w:bookmarkStart w:id="466" w:name="_Toc102116051"/>
      <w:bookmarkStart w:id="467" w:name="_Toc102119882"/>
      <w:bookmarkStart w:id="468" w:name="_Toc102056247"/>
      <w:bookmarkStart w:id="469" w:name="_Toc102114949"/>
      <w:bookmarkStart w:id="470" w:name="_Toc102116181"/>
      <w:r>
        <w:rPr>
          <w:rFonts w:hint="eastAsia" w:ascii="宋体" w:hAnsi="宋体" w:eastAsia="宋体" w:cs="宋体"/>
          <w:b/>
          <w:bCs/>
          <w:i w:val="0"/>
          <w:iCs w:val="0"/>
          <w:color w:val="auto"/>
          <w:kern w:val="2"/>
          <w:sz w:val="24"/>
          <w:szCs w:val="24"/>
          <w:highlight w:val="none"/>
          <w:lang w:val="en-US" w:eastAsia="zh-CN" w:bidi="ar-SA"/>
        </w:rPr>
        <w:t>5.报价评</w:t>
      </w:r>
      <w:bookmarkEnd w:id="465"/>
      <w:bookmarkEnd w:id="466"/>
      <w:bookmarkEnd w:id="467"/>
      <w:bookmarkEnd w:id="468"/>
      <w:bookmarkEnd w:id="469"/>
      <w:bookmarkEnd w:id="470"/>
      <w:r>
        <w:rPr>
          <w:rFonts w:hint="eastAsia" w:ascii="宋体" w:hAnsi="宋体" w:eastAsia="宋体" w:cs="宋体"/>
          <w:b/>
          <w:bCs/>
          <w:i w:val="0"/>
          <w:iCs w:val="0"/>
          <w:color w:val="auto"/>
          <w:kern w:val="2"/>
          <w:sz w:val="24"/>
          <w:szCs w:val="24"/>
          <w:highlight w:val="none"/>
          <w:lang w:val="en-US" w:eastAsia="zh-CN" w:bidi="ar-SA"/>
        </w:rPr>
        <w:t>审</w:t>
      </w:r>
    </w:p>
    <w:p w14:paraId="4F87D81F">
      <w:pPr>
        <w:pStyle w:val="35"/>
        <w:pageBreakBefore w:val="0"/>
        <w:kinsoku/>
        <w:overflowPunct/>
        <w:topLinePunct w:val="0"/>
        <w:autoSpaceDE/>
        <w:autoSpaceDN/>
        <w:bidi w:val="0"/>
        <w:spacing w:line="440" w:lineRule="exact"/>
        <w:ind w:firstLine="480"/>
        <w:textAlignment w:val="auto"/>
        <w:rPr>
          <w:bCs/>
          <w:i w:val="0"/>
          <w:iCs w:val="0"/>
          <w:color w:val="auto"/>
          <w:szCs w:val="21"/>
          <w:highlight w:val="none"/>
          <w:lang w:val="zh-CN"/>
        </w:rPr>
      </w:pPr>
      <w:r>
        <w:rPr>
          <w:rFonts w:hint="eastAsia"/>
          <w:i w:val="0"/>
          <w:iCs w:val="0"/>
          <w:color w:val="auto"/>
          <w:highlight w:val="none"/>
          <w:lang w:val="zh-CN"/>
        </w:rPr>
        <w:t>5</w:t>
      </w:r>
      <w:r>
        <w:rPr>
          <w:i w:val="0"/>
          <w:iCs w:val="0"/>
          <w:color w:val="auto"/>
          <w:highlight w:val="none"/>
          <w:lang w:val="zh-CN"/>
        </w:rPr>
        <w:t>.1</w:t>
      </w:r>
      <w:r>
        <w:rPr>
          <w:rFonts w:hint="eastAsia"/>
          <w:i w:val="0"/>
          <w:iCs w:val="0"/>
          <w:color w:val="auto"/>
          <w:highlight w:val="none"/>
          <w:lang w:val="zh-CN"/>
        </w:rPr>
        <w:t>报价合理性说明：磋商</w:t>
      </w:r>
      <w:r>
        <w:rPr>
          <w:i w:val="0"/>
          <w:iCs w:val="0"/>
          <w:color w:val="auto"/>
          <w:highlight w:val="none"/>
          <w:lang w:val="zh-CN"/>
        </w:rPr>
        <w:t>小组认为供应商的</w:t>
      </w:r>
      <w:r>
        <w:rPr>
          <w:rFonts w:hint="eastAsia"/>
          <w:i w:val="0"/>
          <w:iCs w:val="0"/>
          <w:color w:val="auto"/>
          <w:highlight w:val="none"/>
          <w:lang w:val="zh-CN"/>
        </w:rPr>
        <w:t>最后</w:t>
      </w:r>
      <w:r>
        <w:rPr>
          <w:i w:val="0"/>
          <w:iCs w:val="0"/>
          <w:color w:val="auto"/>
          <w:highlight w:val="none"/>
          <w:lang w:val="zh-CN"/>
        </w:rPr>
        <w:t>报价明显低于其他供应商</w:t>
      </w:r>
      <w:r>
        <w:rPr>
          <w:rFonts w:hint="eastAsia"/>
          <w:i w:val="0"/>
          <w:iCs w:val="0"/>
          <w:color w:val="auto"/>
          <w:highlight w:val="none"/>
          <w:lang w:val="zh-CN"/>
        </w:rPr>
        <w:t>最后</w:t>
      </w:r>
      <w:r>
        <w:rPr>
          <w:i w:val="0"/>
          <w:iCs w:val="0"/>
          <w:color w:val="auto"/>
          <w:highlight w:val="none"/>
          <w:lang w:val="zh-CN"/>
        </w:rPr>
        <w:t>报价，有可能影响</w:t>
      </w:r>
      <w:r>
        <w:rPr>
          <w:rFonts w:hint="eastAsia"/>
          <w:i w:val="0"/>
          <w:iCs w:val="0"/>
          <w:color w:val="auto"/>
          <w:highlight w:val="none"/>
          <w:lang w:val="en-US" w:eastAsia="zh-CN"/>
        </w:rPr>
        <w:t>服务</w:t>
      </w:r>
      <w:r>
        <w:rPr>
          <w:i w:val="0"/>
          <w:iCs w:val="0"/>
          <w:color w:val="auto"/>
          <w:highlight w:val="none"/>
          <w:lang w:val="zh-CN"/>
        </w:rPr>
        <w:t>质量或者不能诚信履约的，应当要求其</w:t>
      </w:r>
      <w:r>
        <w:rPr>
          <w:rFonts w:hint="eastAsia"/>
          <w:i w:val="0"/>
          <w:iCs w:val="0"/>
          <w:color w:val="auto"/>
          <w:highlight w:val="none"/>
          <w:lang w:val="zh-CN"/>
        </w:rPr>
        <w:t>在</w:t>
      </w:r>
      <w:r>
        <w:rPr>
          <w:i w:val="0"/>
          <w:iCs w:val="0"/>
          <w:color w:val="auto"/>
          <w:highlight w:val="none"/>
          <w:lang w:val="zh-CN"/>
        </w:rPr>
        <w:t>合理的时间内提供说明，必要时提交相关证明材料；供应商不能证明其</w:t>
      </w:r>
      <w:r>
        <w:rPr>
          <w:rFonts w:hint="eastAsia"/>
          <w:i w:val="0"/>
          <w:iCs w:val="0"/>
          <w:color w:val="auto"/>
          <w:highlight w:val="none"/>
          <w:lang w:val="zh-CN"/>
        </w:rPr>
        <w:t>最后</w:t>
      </w:r>
      <w:r>
        <w:rPr>
          <w:i w:val="0"/>
          <w:iCs w:val="0"/>
          <w:color w:val="auto"/>
          <w:highlight w:val="none"/>
          <w:lang w:val="zh-CN"/>
        </w:rPr>
        <w:t>报价合理性的，</w:t>
      </w:r>
      <w:r>
        <w:rPr>
          <w:rFonts w:hint="eastAsia"/>
          <w:i w:val="0"/>
          <w:iCs w:val="0"/>
          <w:color w:val="auto"/>
          <w:highlight w:val="none"/>
          <w:lang w:val="zh-CN"/>
        </w:rPr>
        <w:t>磋商</w:t>
      </w:r>
      <w:r>
        <w:rPr>
          <w:i w:val="0"/>
          <w:iCs w:val="0"/>
          <w:color w:val="auto"/>
          <w:highlight w:val="none"/>
          <w:lang w:val="zh-CN"/>
        </w:rPr>
        <w:t>小组</w:t>
      </w:r>
      <w:r>
        <w:rPr>
          <w:rFonts w:hint="eastAsia"/>
          <w:i w:val="0"/>
          <w:iCs w:val="0"/>
          <w:color w:val="auto"/>
          <w:highlight w:val="none"/>
          <w:lang w:val="zh-CN"/>
        </w:rPr>
        <w:t>应当将其作</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i w:val="0"/>
          <w:iCs w:val="0"/>
          <w:color w:val="auto"/>
          <w:highlight w:val="none"/>
          <w:lang w:val="zh-CN"/>
        </w:rPr>
        <w:t>。</w:t>
      </w:r>
    </w:p>
    <w:p w14:paraId="1B3E8B52">
      <w:pPr>
        <w:pStyle w:val="35"/>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5.1.1供应商应根据答疑内容在规定的时间内提供说明和成本清单等相关证明材料，磋商小组认定相关证明材料对此报价的说明或者证明材料可以佐证此报价的服务质量和具有诚信履约能力，予以通过审查；</w:t>
      </w:r>
    </w:p>
    <w:p w14:paraId="61371D00">
      <w:pPr>
        <w:pStyle w:val="35"/>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5.1.2供应商提供的说明或者证明材料必须按照国家财务会计制度的规定要求，逐项就供应商提供的货物和服务的主营业务成本、税收及附加、销售费用、管理费用、财务费用等成本构成事项详细陈述，并由法定代表人或者其授权代表签字确认并加盖公章；</w:t>
      </w:r>
    </w:p>
    <w:p w14:paraId="3E3AF71F">
      <w:pPr>
        <w:pStyle w:val="35"/>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5.1.3供应商不能合理说明或者不能提供相关证明材料的，由磋商小组认定该供应商以低于成本报价竞标，有可能影响服务质量或者不能诚信履约，应当</w:t>
      </w:r>
      <w:r>
        <w:rPr>
          <w:rFonts w:hint="eastAsia"/>
          <w:i w:val="0"/>
          <w:iCs w:val="0"/>
          <w:color w:val="auto"/>
          <w:highlight w:val="none"/>
          <w:lang w:val="zh-CN"/>
        </w:rPr>
        <w:t>将其作为</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rFonts w:hint="eastAsia" w:ascii="宋体" w:hAnsi="宋体" w:eastAsia="宋体"/>
          <w:i w:val="0"/>
          <w:iCs w:val="0"/>
          <w:color w:val="auto"/>
          <w:highlight w:val="none"/>
          <w:lang w:val="en-US" w:eastAsia="zh-CN"/>
        </w:rPr>
        <w:t>；</w:t>
      </w:r>
    </w:p>
    <w:p w14:paraId="013572CE">
      <w:pPr>
        <w:pStyle w:val="35"/>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zh-CN"/>
        </w:rPr>
      </w:pPr>
      <w:r>
        <w:rPr>
          <w:rFonts w:hint="eastAsia" w:ascii="宋体" w:hAnsi="宋体" w:eastAsia="宋体"/>
          <w:i w:val="0"/>
          <w:iCs w:val="0"/>
          <w:color w:val="auto"/>
          <w:highlight w:val="none"/>
          <w:lang w:val="en-US" w:eastAsia="zh-CN"/>
        </w:rPr>
        <w:t>5.1.4供应商也可以有预见性地准备好上述要求的书面说明和相关证明材料并加盖公章。</w:t>
      </w:r>
    </w:p>
    <w:p w14:paraId="1784FDBF">
      <w:pPr>
        <w:pStyle w:val="35"/>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5</w:t>
      </w:r>
      <w:r>
        <w:rPr>
          <w:i w:val="0"/>
          <w:iCs w:val="0"/>
          <w:color w:val="auto"/>
          <w:highlight w:val="none"/>
          <w:lang w:val="zh-CN"/>
        </w:rPr>
        <w:t>.2</w:t>
      </w:r>
      <w:r>
        <w:rPr>
          <w:rFonts w:hint="eastAsia"/>
          <w:i w:val="0"/>
          <w:iCs w:val="0"/>
          <w:color w:val="auto"/>
          <w:highlight w:val="none"/>
          <w:lang w:val="zh-CN"/>
        </w:rPr>
        <w:t>价格扣除：</w:t>
      </w:r>
      <w:r>
        <w:rPr>
          <w:i w:val="0"/>
          <w:iCs w:val="0"/>
          <w:color w:val="auto"/>
          <w:highlight w:val="none"/>
          <w:lang w:val="zh-CN"/>
        </w:rPr>
        <w:t xml:space="preserve"> </w:t>
      </w:r>
    </w:p>
    <w:p w14:paraId="1F4B5526">
      <w:pPr>
        <w:pStyle w:val="35"/>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（1）</w:t>
      </w:r>
      <w:r>
        <w:rPr>
          <w:rFonts w:hint="eastAsia"/>
          <w:i w:val="0"/>
          <w:iCs w:val="0"/>
          <w:color w:val="auto"/>
          <w:highlight w:val="none"/>
        </w:rPr>
        <w:t>非专门面向中小企业的采购项目或采购包，对符合规定的小微企业（监狱企业、残疾人福利性单位、联合体各方均为小微企业的联合体、符合小微企业划分标准的个体工商户视同小微企业）报价按照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对小微企业中的监狱企业、残疾人福利性单位、采购产品纳入创新产品应用示范推荐目录内企业、采购产品获得节能产品或环境标志产品认证证书的企业报价按照本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供应商须知前附表”中的规定扣除，用扣除后的价格计算评审基准价。</w:t>
      </w:r>
    </w:p>
    <w:p w14:paraId="72014FEF">
      <w:pPr>
        <w:pStyle w:val="35"/>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（2）</w:t>
      </w:r>
      <w:r>
        <w:rPr>
          <w:rFonts w:hint="eastAsia"/>
          <w:i w:val="0"/>
          <w:iCs w:val="0"/>
          <w:color w:val="auto"/>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A495953">
      <w:pPr>
        <w:pStyle w:val="35"/>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（3）组成联合体或者接受分包的小微企业与联合体内其他企业、分包企业</w:t>
      </w:r>
      <w:r>
        <w:rPr>
          <w:rFonts w:hint="default" w:ascii="宋体" w:hAnsi="宋体" w:eastAsia="宋体" w:cstheme="minorBidi"/>
          <w:i w:val="0"/>
          <w:iCs w:val="0"/>
          <w:color w:val="auto"/>
          <w:kern w:val="2"/>
          <w:sz w:val="24"/>
          <w:szCs w:val="22"/>
          <w:highlight w:val="none"/>
          <w:lang w:val="en-US" w:eastAsia="zh-CN" w:bidi="ar-SA"/>
        </w:rPr>
        <w:t>之间存在直接控股、管理关系的，不享受价格扣除优惠政策。</w:t>
      </w:r>
    </w:p>
    <w:p w14:paraId="60984AA9">
      <w:pPr>
        <w:pStyle w:val="35"/>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4</w:t>
      </w:r>
      <w:r>
        <w:rPr>
          <w:rFonts w:ascii="宋体" w:hAnsi="宋体" w:eastAsia="宋体" w:cstheme="minorBidi"/>
          <w:i w:val="0"/>
          <w:iCs w:val="0"/>
          <w:color w:val="auto"/>
          <w:kern w:val="2"/>
          <w:sz w:val="24"/>
          <w:szCs w:val="22"/>
          <w:highlight w:val="none"/>
          <w:lang w:val="en-US" w:eastAsia="zh-CN" w:bidi="ar-SA"/>
        </w:rPr>
        <w:t>）价格扣除比例对小型企业和微型企业同等对待，不作区分。</w:t>
      </w:r>
    </w:p>
    <w:p w14:paraId="19B743D0">
      <w:pPr>
        <w:pStyle w:val="35"/>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hint="eastAsia"/>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5</w:t>
      </w:r>
      <w:r>
        <w:rPr>
          <w:rFonts w:ascii="宋体" w:hAnsi="宋体" w:eastAsia="宋体" w:cstheme="minorBidi"/>
          <w:i w:val="0"/>
          <w:iCs w:val="0"/>
          <w:color w:val="auto"/>
          <w:kern w:val="2"/>
          <w:sz w:val="24"/>
          <w:szCs w:val="22"/>
          <w:highlight w:val="none"/>
          <w:lang w:val="en-US" w:eastAsia="zh-CN" w:bidi="ar-SA"/>
        </w:rPr>
        <w:t>）</w:t>
      </w:r>
      <w:r>
        <w:rPr>
          <w:rFonts w:hint="eastAsia"/>
          <w:i w:val="0"/>
          <w:iCs w:val="0"/>
          <w:color w:val="auto"/>
          <w:highlight w:val="none"/>
        </w:rPr>
        <w:t>专门面向中小企业、预留部分采购份额面向中小企业采购的项目或采购包，评审时不再进行价格扣除。</w:t>
      </w:r>
    </w:p>
    <w:p w14:paraId="45EC7F77">
      <w:pPr>
        <w:pStyle w:val="35"/>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i w:val="0"/>
          <w:iCs w:val="0"/>
          <w:color w:val="auto"/>
          <w:highlight w:val="none"/>
        </w:rPr>
      </w:pPr>
      <w:r>
        <w:rPr>
          <w:rFonts w:hint="eastAsia"/>
          <w:i w:val="0"/>
          <w:iCs w:val="0"/>
          <w:color w:val="auto"/>
          <w:highlight w:val="none"/>
          <w:lang w:eastAsia="zh-CN"/>
        </w:rPr>
        <w:t>（</w:t>
      </w:r>
      <w:r>
        <w:rPr>
          <w:rFonts w:hint="eastAsia"/>
          <w:i w:val="0"/>
          <w:iCs w:val="0"/>
          <w:color w:val="auto"/>
          <w:highlight w:val="none"/>
          <w:lang w:val="en-US" w:eastAsia="zh-CN"/>
        </w:rPr>
        <w:t>6）若供应商同时属于小型或微型企业、监狱企业、残疾人福利性单位 中的两种及以上，将不重复享受小微企业价格扣减的优惠政策。</w:t>
      </w:r>
    </w:p>
    <w:p w14:paraId="2AF70487">
      <w:pPr>
        <w:pStyle w:val="35"/>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i w:val="0"/>
          <w:iCs w:val="0"/>
          <w:color w:val="auto"/>
          <w:highlight w:val="none"/>
          <w:lang w:val="zh-CN"/>
        </w:rPr>
        <w:t>5.3价格分采用</w:t>
      </w:r>
      <w:r>
        <w:rPr>
          <w:i w:val="0"/>
          <w:iCs w:val="0"/>
          <w:color w:val="auto"/>
          <w:szCs w:val="24"/>
          <w:highlight w:val="none"/>
          <w:lang w:val="zh-CN"/>
        </w:rPr>
        <w:t>低价</w:t>
      </w:r>
      <w:r>
        <w:rPr>
          <w:i w:val="0"/>
          <w:iCs w:val="0"/>
          <w:color w:val="auto"/>
          <w:highlight w:val="none"/>
          <w:lang w:val="zh-CN"/>
        </w:rPr>
        <w:t>优先法计算，</w:t>
      </w:r>
      <w:r>
        <w:rPr>
          <w:rFonts w:hint="eastAsia"/>
          <w:i w:val="0"/>
          <w:iCs w:val="0"/>
          <w:color w:val="auto"/>
          <w:highlight w:val="none"/>
          <w:lang w:val="zh-CN"/>
        </w:rPr>
        <w:t>即满足磋商文件要求且最后报价最低的供应商的价格为磋商基准价，其价格分为满分。其他供应商的价格分统一按照下列公式计算：</w:t>
      </w:r>
    </w:p>
    <w:p w14:paraId="461A7491">
      <w:pPr>
        <w:pStyle w:val="35"/>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磋商报价得分=（磋商基准价/最后磋商报价）×</w:t>
      </w:r>
      <w:r>
        <w:rPr>
          <w:rFonts w:hint="eastAsia"/>
          <w:i w:val="0"/>
          <w:iCs w:val="0"/>
          <w:color w:val="auto"/>
          <w:highlight w:val="none"/>
        </w:rPr>
        <w:t>价格分值</w:t>
      </w:r>
    </w:p>
    <w:p w14:paraId="72A4C42D">
      <w:pPr>
        <w:pStyle w:val="35"/>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项目评审过程中，不得去掉最后报价中的最高报价和最低报价。</w:t>
      </w:r>
      <w:r>
        <w:rPr>
          <w:i w:val="0"/>
          <w:iCs w:val="0"/>
          <w:color w:val="auto"/>
          <w:highlight w:val="none"/>
          <w:lang w:val="zh-CN"/>
        </w:rPr>
        <w:t>计算方法详见本章“三、</w:t>
      </w:r>
      <w:r>
        <w:rPr>
          <w:rFonts w:hint="eastAsia"/>
          <w:i w:val="0"/>
          <w:iCs w:val="0"/>
          <w:color w:val="auto"/>
          <w:highlight w:val="none"/>
          <w:lang w:val="zh-CN"/>
        </w:rPr>
        <w:t>评审</w:t>
      </w:r>
      <w:r>
        <w:rPr>
          <w:i w:val="0"/>
          <w:iCs w:val="0"/>
          <w:color w:val="auto"/>
          <w:highlight w:val="none"/>
          <w:lang w:val="zh-CN"/>
        </w:rPr>
        <w:t>标准”中的具体计算公式。</w:t>
      </w:r>
    </w:p>
    <w:p w14:paraId="576E9827">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71" w:name="_Toc102119884"/>
      <w:bookmarkStart w:id="472" w:name="_Toc102116053"/>
      <w:bookmarkStart w:id="473" w:name="_Toc102057749"/>
      <w:bookmarkStart w:id="474" w:name="_Toc102116183"/>
      <w:bookmarkStart w:id="475" w:name="_Toc102056249"/>
      <w:bookmarkStart w:id="476" w:name="_Toc102114951"/>
      <w:bookmarkStart w:id="477" w:name="_Toc102057750"/>
      <w:bookmarkStart w:id="478" w:name="_Toc102116184"/>
      <w:bookmarkStart w:id="479" w:name="_Toc102056250"/>
      <w:bookmarkStart w:id="480" w:name="_Toc102119885"/>
      <w:bookmarkStart w:id="481" w:name="_Toc102114952"/>
      <w:bookmarkStart w:id="482" w:name="_Toc102116054"/>
      <w:r>
        <w:rPr>
          <w:rFonts w:hint="eastAsia" w:ascii="宋体" w:hAnsi="宋体" w:eastAsia="宋体" w:cs="宋体"/>
          <w:b/>
          <w:bCs/>
          <w:i w:val="0"/>
          <w:iCs w:val="0"/>
          <w:color w:val="auto"/>
          <w:kern w:val="2"/>
          <w:sz w:val="24"/>
          <w:szCs w:val="24"/>
          <w:highlight w:val="none"/>
          <w:lang w:val="en-US" w:eastAsia="zh-CN" w:bidi="ar-SA"/>
        </w:rPr>
        <w:t>6.计分办法</w:t>
      </w:r>
      <w:bookmarkEnd w:id="471"/>
      <w:bookmarkEnd w:id="472"/>
      <w:bookmarkEnd w:id="473"/>
      <w:bookmarkEnd w:id="474"/>
      <w:bookmarkEnd w:id="475"/>
      <w:bookmarkEnd w:id="476"/>
      <w:r>
        <w:rPr>
          <w:rFonts w:hint="eastAsia" w:ascii="宋体" w:hAnsi="宋体" w:eastAsia="宋体" w:cs="宋体"/>
          <w:b/>
          <w:bCs/>
          <w:i w:val="0"/>
          <w:iCs w:val="0"/>
          <w:color w:val="auto"/>
          <w:kern w:val="2"/>
          <w:sz w:val="24"/>
          <w:szCs w:val="24"/>
          <w:highlight w:val="none"/>
          <w:lang w:val="en-US" w:eastAsia="zh-CN" w:bidi="ar-SA"/>
        </w:rPr>
        <w:t>及复核</w:t>
      </w:r>
    </w:p>
    <w:p w14:paraId="0956E193">
      <w:pPr>
        <w:pStyle w:val="35"/>
        <w:pageBreakBefore w:val="0"/>
        <w:kinsoku/>
        <w:overflowPunct/>
        <w:topLinePunct w:val="0"/>
        <w:autoSpaceDE/>
        <w:autoSpaceDN/>
        <w:bidi w:val="0"/>
        <w:spacing w:line="440" w:lineRule="exact"/>
        <w:ind w:firstLine="480"/>
        <w:textAlignment w:val="auto"/>
        <w:rPr>
          <w:i w:val="0"/>
          <w:iCs w:val="0"/>
          <w:color w:val="auto"/>
          <w:kern w:val="0"/>
          <w:highlight w:val="none"/>
          <w:lang w:val="zh-CN"/>
        </w:rPr>
      </w:pPr>
      <w:r>
        <w:rPr>
          <w:rFonts w:hint="eastAsia"/>
          <w:i w:val="0"/>
          <w:iCs w:val="0"/>
          <w:color w:val="auto"/>
          <w:highlight w:val="none"/>
          <w:lang w:val="zh-CN"/>
        </w:rPr>
        <w:t>6</w:t>
      </w:r>
      <w:r>
        <w:rPr>
          <w:i w:val="0"/>
          <w:iCs w:val="0"/>
          <w:color w:val="auto"/>
          <w:highlight w:val="none"/>
          <w:lang w:val="zh-CN"/>
        </w:rPr>
        <w:t>.1</w:t>
      </w:r>
      <w:r>
        <w:rPr>
          <w:rFonts w:hint="eastAsia"/>
          <w:i w:val="0"/>
          <w:iCs w:val="0"/>
          <w:color w:val="auto"/>
          <w:highlight w:val="none"/>
          <w:lang w:val="zh-CN"/>
        </w:rPr>
        <w:t>评审过程中，各项分值一般精确到小数点后两位，评审得分应当为商务评分、技术评分、报价评分之和。磋商小组各成员应当汇总每个供应商的得分。</w:t>
      </w:r>
    </w:p>
    <w:p w14:paraId="7D7F6459">
      <w:pPr>
        <w:pStyle w:val="35"/>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.2</w:t>
      </w:r>
      <w:r>
        <w:rPr>
          <w:rFonts w:hint="eastAsia"/>
          <w:i w:val="0"/>
          <w:iCs w:val="0"/>
          <w:color w:val="auto"/>
          <w:highlight w:val="none"/>
          <w:lang w:val="zh-CN"/>
        </w:rPr>
        <w:t>评审结果汇总完成后，采购代理机构应当对评审结果进行复核。经复核发现存在以下情形之一的，磋商小组应当当场修改评审结果，并在评审报告中记载：</w:t>
      </w:r>
    </w:p>
    <w:p w14:paraId="51E15D43">
      <w:pPr>
        <w:pStyle w:val="35"/>
        <w:pageBreakBefore w:val="0"/>
        <w:kinsoku/>
        <w:overflowPunct/>
        <w:topLinePunct w:val="0"/>
        <w:autoSpaceDE/>
        <w:autoSpaceDN/>
        <w:bidi w:val="0"/>
        <w:spacing w:line="440" w:lineRule="exact"/>
        <w:ind w:firstLine="480"/>
        <w:textAlignment w:val="auto"/>
        <w:rPr>
          <w:rFonts w:cs="Times New Roman"/>
          <w:i w:val="0"/>
          <w:iCs w:val="0"/>
          <w:color w:val="auto"/>
          <w:szCs w:val="20"/>
          <w:highlight w:val="none"/>
          <w:lang w:val="zh-CN"/>
        </w:rPr>
      </w:pPr>
      <w:r>
        <w:rPr>
          <w:rFonts w:hint="eastAsia"/>
          <w:i w:val="0"/>
          <w:iCs w:val="0"/>
          <w:color w:val="auto"/>
          <w:highlight w:val="none"/>
          <w:lang w:val="zh-CN"/>
        </w:rPr>
        <w:t>（1）</w:t>
      </w:r>
      <w:r>
        <w:rPr>
          <w:rFonts w:hint="eastAsia"/>
          <w:i w:val="0"/>
          <w:iCs w:val="0"/>
          <w:color w:val="auto"/>
          <w:highlight w:val="none"/>
          <w:lang w:val="zh-CN" w:eastAsia="zh-CN"/>
        </w:rPr>
        <w:t>资格性检查认定错误</w:t>
      </w:r>
      <w:r>
        <w:rPr>
          <w:rFonts w:hint="eastAsia"/>
          <w:i w:val="0"/>
          <w:iCs w:val="0"/>
          <w:color w:val="auto"/>
          <w:highlight w:val="none"/>
          <w:lang w:val="zh-CN"/>
        </w:rPr>
        <w:t xml:space="preserve">的； </w:t>
      </w:r>
    </w:p>
    <w:p w14:paraId="74DEA290">
      <w:pPr>
        <w:pStyle w:val="35"/>
        <w:pageBreakBefore w:val="0"/>
        <w:kinsoku/>
        <w:overflowPunct/>
        <w:topLinePunct w:val="0"/>
        <w:autoSpaceDE/>
        <w:autoSpaceDN/>
        <w:bidi w:val="0"/>
        <w:spacing w:line="440" w:lineRule="exact"/>
        <w:ind w:firstLine="480"/>
        <w:textAlignment w:val="auto"/>
        <w:rPr>
          <w:rFonts w:cs="Times New Roman"/>
          <w:i w:val="0"/>
          <w:iCs w:val="0"/>
          <w:color w:val="auto"/>
          <w:szCs w:val="20"/>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2</w:t>
      </w:r>
      <w:r>
        <w:rPr>
          <w:rFonts w:hint="eastAsia"/>
          <w:i w:val="0"/>
          <w:iCs w:val="0"/>
          <w:color w:val="auto"/>
          <w:highlight w:val="none"/>
          <w:lang w:val="zh-CN"/>
        </w:rPr>
        <w:t xml:space="preserve">）分值汇总计算错误的； </w:t>
      </w:r>
    </w:p>
    <w:p w14:paraId="72F62B6F">
      <w:pPr>
        <w:pStyle w:val="35"/>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3</w:t>
      </w:r>
      <w:r>
        <w:rPr>
          <w:rFonts w:hint="eastAsia"/>
          <w:i w:val="0"/>
          <w:iCs w:val="0"/>
          <w:color w:val="auto"/>
          <w:highlight w:val="none"/>
          <w:lang w:val="zh-CN"/>
        </w:rPr>
        <w:t>）分项评分超出评分标准范围的；</w:t>
      </w:r>
    </w:p>
    <w:p w14:paraId="102EAA79">
      <w:pPr>
        <w:pStyle w:val="35"/>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4</w:t>
      </w:r>
      <w:r>
        <w:rPr>
          <w:rFonts w:hint="eastAsia"/>
          <w:i w:val="0"/>
          <w:iCs w:val="0"/>
          <w:color w:val="auto"/>
          <w:highlight w:val="none"/>
          <w:lang w:val="zh-CN"/>
        </w:rPr>
        <w:t>）</w:t>
      </w:r>
      <w:r>
        <w:rPr>
          <w:rFonts w:hint="eastAsia" w:cs="Helvetica"/>
          <w:i w:val="0"/>
          <w:iCs w:val="0"/>
          <w:color w:val="auto"/>
          <w:szCs w:val="24"/>
          <w:highlight w:val="none"/>
          <w:lang w:val="zh-CN"/>
        </w:rPr>
        <w:t>磋商小组</w:t>
      </w:r>
      <w:r>
        <w:rPr>
          <w:rFonts w:hint="eastAsia"/>
          <w:i w:val="0"/>
          <w:iCs w:val="0"/>
          <w:color w:val="auto"/>
          <w:highlight w:val="none"/>
          <w:lang w:val="zh-CN"/>
        </w:rPr>
        <w:t>成员对客观</w:t>
      </w:r>
      <w:r>
        <w:rPr>
          <w:rFonts w:hint="eastAsia"/>
          <w:i w:val="0"/>
          <w:iCs w:val="0"/>
          <w:color w:val="auto"/>
          <w:highlight w:val="none"/>
          <w:lang w:val="en-US" w:eastAsia="zh-CN"/>
        </w:rPr>
        <w:t>分</w:t>
      </w:r>
      <w:r>
        <w:rPr>
          <w:rFonts w:hint="eastAsia"/>
          <w:i w:val="0"/>
          <w:iCs w:val="0"/>
          <w:color w:val="auto"/>
          <w:highlight w:val="none"/>
          <w:lang w:val="zh-CN"/>
        </w:rPr>
        <w:t>评分不一致的；</w:t>
      </w:r>
    </w:p>
    <w:p w14:paraId="1E569905">
      <w:pPr>
        <w:pStyle w:val="35"/>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5</w:t>
      </w:r>
      <w:r>
        <w:rPr>
          <w:rFonts w:hint="eastAsia"/>
          <w:i w:val="0"/>
          <w:iCs w:val="0"/>
          <w:color w:val="auto"/>
          <w:highlight w:val="none"/>
          <w:lang w:val="zh-CN"/>
        </w:rPr>
        <w:t>）经</w:t>
      </w:r>
      <w:r>
        <w:rPr>
          <w:rFonts w:hint="eastAsia" w:cs="Helvetica"/>
          <w:i w:val="0"/>
          <w:iCs w:val="0"/>
          <w:color w:val="auto"/>
          <w:szCs w:val="24"/>
          <w:highlight w:val="none"/>
          <w:lang w:val="zh-CN"/>
        </w:rPr>
        <w:t>磋商小组</w:t>
      </w:r>
      <w:r>
        <w:rPr>
          <w:rFonts w:hint="eastAsia" w:cs="Helvetica"/>
          <w:i w:val="0"/>
          <w:iCs w:val="0"/>
          <w:color w:val="auto"/>
          <w:szCs w:val="24"/>
          <w:highlight w:val="none"/>
          <w:lang w:val="en-US" w:eastAsia="zh-CN"/>
        </w:rPr>
        <w:t>一致</w:t>
      </w:r>
      <w:r>
        <w:rPr>
          <w:rFonts w:hint="eastAsia"/>
          <w:i w:val="0"/>
          <w:iCs w:val="0"/>
          <w:color w:val="auto"/>
          <w:highlight w:val="none"/>
          <w:lang w:val="zh-CN"/>
        </w:rPr>
        <w:t>认定评分畸高、畸低的。</w:t>
      </w:r>
    </w:p>
    <w:p w14:paraId="6C6015B1">
      <w:pPr>
        <w:pStyle w:val="35"/>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.3</w:t>
      </w:r>
      <w:r>
        <w:rPr>
          <w:rFonts w:hint="eastAsia"/>
          <w:i w:val="0"/>
          <w:iCs w:val="0"/>
          <w:color w:val="auto"/>
          <w:highlight w:val="none"/>
          <w:lang w:val="zh-CN"/>
        </w:rPr>
        <w:t>各供应商的最终得分为磋商小组所有成员对各供应商评审得分汇总后的算术平均值。</w:t>
      </w:r>
    </w:p>
    <w:p w14:paraId="0EFF5F9B">
      <w:pPr>
        <w:pStyle w:val="35"/>
        <w:pageBreakBefore w:val="0"/>
        <w:kinsoku/>
        <w:overflowPunct/>
        <w:topLinePunct w:val="0"/>
        <w:autoSpaceDE/>
        <w:autoSpaceDN/>
        <w:bidi w:val="0"/>
        <w:spacing w:line="440" w:lineRule="exact"/>
        <w:ind w:firstLine="480"/>
        <w:textAlignment w:val="auto"/>
        <w:rPr>
          <w:rFonts w:hint="eastAsia"/>
          <w:i w:val="0"/>
          <w:iCs w:val="0"/>
          <w:color w:val="auto"/>
          <w:highlight w:val="none"/>
          <w:lang w:val="en-US" w:eastAsia="zh-CN"/>
        </w:rPr>
      </w:pPr>
      <w:r>
        <w:rPr>
          <w:rFonts w:hint="eastAsia"/>
          <w:i w:val="0"/>
          <w:iCs w:val="0"/>
          <w:color w:val="auto"/>
          <w:highlight w:val="none"/>
          <w:lang w:val="en-US" w:eastAsia="zh-CN"/>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A5AB6DE">
      <w:pPr>
        <w:pStyle w:val="35"/>
        <w:pageBreakBefore w:val="0"/>
        <w:kinsoku/>
        <w:overflowPunct/>
        <w:topLinePunct w:val="0"/>
        <w:autoSpaceDE/>
        <w:autoSpaceDN/>
        <w:bidi w:val="0"/>
        <w:spacing w:line="440" w:lineRule="exact"/>
        <w:ind w:firstLine="480"/>
        <w:textAlignment w:val="auto"/>
        <w:rPr>
          <w:rFonts w:hint="eastAsia"/>
          <w:i w:val="0"/>
          <w:iCs w:val="0"/>
          <w:color w:val="auto"/>
          <w:highlight w:val="none"/>
          <w:lang w:val="en-US" w:eastAsia="zh-CN"/>
        </w:rPr>
      </w:pPr>
      <w:r>
        <w:rPr>
          <w:rFonts w:hint="eastAsia"/>
          <w:i w:val="0"/>
          <w:iCs w:val="0"/>
          <w:color w:val="auto"/>
          <w:highlight w:val="none"/>
          <w:lang w:val="en-US" w:eastAsia="zh-CN"/>
        </w:rPr>
        <w:t>6.5采购人或者采购代理机构不得通过对样品进行检测、对供应商进行考察等方式改变评审结果。</w:t>
      </w:r>
    </w:p>
    <w:p w14:paraId="1F8EBB86">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7.评审报告</w:t>
      </w:r>
      <w:bookmarkEnd w:id="477"/>
      <w:bookmarkEnd w:id="478"/>
      <w:bookmarkEnd w:id="479"/>
      <w:bookmarkEnd w:id="480"/>
      <w:bookmarkEnd w:id="481"/>
      <w:bookmarkEnd w:id="482"/>
    </w:p>
    <w:p w14:paraId="3341BC5C">
      <w:pPr>
        <w:pStyle w:val="35"/>
        <w:pageBreakBefore w:val="0"/>
        <w:kinsoku/>
        <w:overflowPunct/>
        <w:topLinePunct w:val="0"/>
        <w:autoSpaceDE/>
        <w:autoSpaceDN/>
        <w:bidi w:val="0"/>
        <w:spacing w:line="440" w:lineRule="exact"/>
        <w:ind w:firstLine="480"/>
        <w:textAlignment w:val="auto"/>
        <w:rPr>
          <w:rFonts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.1</w:t>
      </w:r>
      <w:r>
        <w:rPr>
          <w:rFonts w:hint="eastAsia" w:cs="Helvetica"/>
          <w:i w:val="0"/>
          <w:iCs w:val="0"/>
          <w:color w:val="auto"/>
          <w:szCs w:val="24"/>
          <w:highlight w:val="none"/>
          <w:lang w:val="zh-CN"/>
        </w:rPr>
        <w:t>磋商小组</w:t>
      </w:r>
      <w:r>
        <w:rPr>
          <w:rFonts w:hint="eastAsia"/>
          <w:i w:val="0"/>
          <w:iCs w:val="0"/>
          <w:color w:val="auto"/>
          <w:highlight w:val="none"/>
        </w:rPr>
        <w:t>从质量和服务均能满足磋商文件实质性要求的供应商中，按照</w:t>
      </w:r>
      <w:r>
        <w:rPr>
          <w:rFonts w:hint="eastAsia"/>
          <w:i w:val="0"/>
          <w:iCs w:val="0"/>
          <w:color w:val="auto"/>
          <w:highlight w:val="none"/>
          <w:lang w:val="en-US" w:eastAsia="zh-CN"/>
        </w:rPr>
        <w:t>评审</w:t>
      </w:r>
      <w:r>
        <w:rPr>
          <w:rFonts w:hint="eastAsia"/>
          <w:i w:val="0"/>
          <w:iCs w:val="0"/>
          <w:color w:val="auto"/>
          <w:highlight w:val="none"/>
        </w:rPr>
        <w:t>得分由高到低的顺序推荐3名</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以上</w:t>
      </w:r>
      <w:r>
        <w:rPr>
          <w:rFonts w:hint="eastAsia" w:cs="Helvetica"/>
          <w:i w:val="0"/>
          <w:iCs w:val="0"/>
          <w:color w:val="auto"/>
          <w:szCs w:val="24"/>
          <w:highlight w:val="none"/>
          <w:lang w:val="zh-CN"/>
        </w:rPr>
        <w:t>成交</w:t>
      </w:r>
      <w:r>
        <w:rPr>
          <w:rFonts w:hint="eastAsia"/>
          <w:i w:val="0"/>
          <w:iCs w:val="0"/>
          <w:color w:val="auto"/>
          <w:highlight w:val="none"/>
        </w:rPr>
        <w:t>候选供应商。评审得</w:t>
      </w:r>
      <w:r>
        <w:rPr>
          <w:i w:val="0"/>
          <w:iCs w:val="0"/>
          <w:color w:val="auto"/>
          <w:highlight w:val="none"/>
        </w:rPr>
        <w:t>分相同的，</w:t>
      </w:r>
      <w:r>
        <w:rPr>
          <w:rFonts w:hint="eastAsia" w:cs="Helvetica"/>
          <w:i w:val="0"/>
          <w:iCs w:val="0"/>
          <w:color w:val="auto"/>
          <w:szCs w:val="24"/>
          <w:highlight w:val="none"/>
          <w:lang w:val="zh-CN"/>
        </w:rPr>
        <w:t>磋商小组</w:t>
      </w:r>
      <w:r>
        <w:rPr>
          <w:rFonts w:hint="eastAsia"/>
          <w:i w:val="0"/>
          <w:iCs w:val="0"/>
          <w:color w:val="auto"/>
          <w:highlight w:val="none"/>
        </w:rPr>
        <w:t>按照最后报价由低到高的顺序</w:t>
      </w:r>
      <w:r>
        <w:rPr>
          <w:i w:val="0"/>
          <w:iCs w:val="0"/>
          <w:color w:val="auto"/>
          <w:highlight w:val="none"/>
        </w:rPr>
        <w:t>推荐</w:t>
      </w:r>
      <w:r>
        <w:rPr>
          <w:rFonts w:hint="eastAsia"/>
          <w:i w:val="0"/>
          <w:iCs w:val="0"/>
          <w:color w:val="auto"/>
          <w:highlight w:val="none"/>
        </w:rPr>
        <w:t>；</w:t>
      </w:r>
      <w:r>
        <w:rPr>
          <w:rFonts w:hint="eastAsia"/>
          <w:i w:val="0"/>
          <w:iCs w:val="0"/>
          <w:color w:val="auto"/>
          <w:highlight w:val="none"/>
          <w:lang w:val="en-US" w:eastAsia="zh-CN"/>
        </w:rPr>
        <w:t>评审</w:t>
      </w:r>
      <w:r>
        <w:rPr>
          <w:rFonts w:hint="eastAsia"/>
          <w:i w:val="0"/>
          <w:iCs w:val="0"/>
          <w:color w:val="auto"/>
          <w:highlight w:val="none"/>
        </w:rPr>
        <w:t>得分且最后报价相同的，按</w:t>
      </w:r>
      <w:r>
        <w:rPr>
          <w:rFonts w:hint="eastAsia"/>
          <w:i w:val="0"/>
          <w:iCs w:val="0"/>
          <w:color w:val="auto"/>
          <w:highlight w:val="none"/>
          <w:lang w:val="en-US" w:eastAsia="zh-CN"/>
        </w:rPr>
        <w:t>照</w:t>
      </w:r>
      <w:r>
        <w:rPr>
          <w:rFonts w:hint="eastAsia"/>
          <w:i w:val="0"/>
          <w:iCs w:val="0"/>
          <w:color w:val="auto"/>
          <w:highlight w:val="none"/>
        </w:rPr>
        <w:t>技术</w:t>
      </w:r>
      <w:r>
        <w:rPr>
          <w:rFonts w:hint="eastAsia"/>
          <w:i w:val="0"/>
          <w:iCs w:val="0"/>
          <w:color w:val="auto"/>
          <w:highlight w:val="none"/>
          <w:lang w:val="en-US" w:eastAsia="zh-CN"/>
        </w:rPr>
        <w:t>指标</w:t>
      </w:r>
      <w:r>
        <w:rPr>
          <w:rFonts w:hint="eastAsia"/>
          <w:i w:val="0"/>
          <w:iCs w:val="0"/>
          <w:color w:val="auto"/>
          <w:highlight w:val="none"/>
        </w:rPr>
        <w:t>优劣顺序推荐</w:t>
      </w:r>
      <w:r>
        <w:rPr>
          <w:rFonts w:hint="eastAsia" w:cs="Helvetica"/>
          <w:i w:val="0"/>
          <w:iCs w:val="0"/>
          <w:color w:val="auto"/>
          <w:szCs w:val="24"/>
          <w:highlight w:val="none"/>
          <w:lang w:val="zh-CN"/>
        </w:rPr>
        <w:t>。响应文件满足磋商文件全部实质性要求且评审得分</w:t>
      </w:r>
      <w:r>
        <w:rPr>
          <w:rFonts w:cs="Helvetica"/>
          <w:i w:val="0"/>
          <w:iCs w:val="0"/>
          <w:color w:val="auto"/>
          <w:szCs w:val="24"/>
          <w:highlight w:val="none"/>
          <w:lang w:val="zh-CN"/>
        </w:rPr>
        <w:t>最高</w:t>
      </w:r>
      <w:r>
        <w:rPr>
          <w:rFonts w:hint="eastAsia" w:cs="Helvetica"/>
          <w:i w:val="0"/>
          <w:iCs w:val="0"/>
          <w:color w:val="auto"/>
          <w:szCs w:val="24"/>
          <w:highlight w:val="none"/>
          <w:lang w:val="zh-CN"/>
        </w:rPr>
        <w:t>的供应商为排名第一的成交候选供应商。</w:t>
      </w:r>
      <w:r>
        <w:rPr>
          <w:rFonts w:hint="eastAsia"/>
          <w:i w:val="0"/>
          <w:iCs w:val="0"/>
          <w:color w:val="auto"/>
          <w:highlight w:val="none"/>
        </w:rPr>
        <w:t>磋商小组依据评审结果</w:t>
      </w:r>
      <w:r>
        <w:rPr>
          <w:rFonts w:hint="eastAsia"/>
          <w:i w:val="0"/>
          <w:iCs w:val="0"/>
          <w:color w:val="auto"/>
          <w:highlight w:val="none"/>
          <w:lang w:eastAsia="zh-CN"/>
        </w:rPr>
        <w:t>形成评审报告</w:t>
      </w:r>
      <w:r>
        <w:rPr>
          <w:rFonts w:hint="eastAsia" w:ascii="宋体" w:hAnsi="宋体" w:eastAsia="宋体"/>
          <w:i w:val="0"/>
          <w:iCs w:val="0"/>
          <w:color w:val="auto"/>
          <w:highlight w:val="none"/>
          <w:lang w:eastAsia="zh-CN"/>
        </w:rPr>
        <w:t>。</w:t>
      </w:r>
    </w:p>
    <w:p w14:paraId="17318A62">
      <w:pPr>
        <w:pStyle w:val="35"/>
        <w:pageBreakBefore w:val="0"/>
        <w:kinsoku/>
        <w:overflowPunct/>
        <w:topLinePunct w:val="0"/>
        <w:autoSpaceDE/>
        <w:autoSpaceDN/>
        <w:bidi w:val="0"/>
        <w:spacing w:line="440" w:lineRule="exact"/>
        <w:ind w:firstLine="480"/>
        <w:textAlignment w:val="auto"/>
        <w:rPr>
          <w:rFonts w:hint="eastAsia"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w:t>
      </w:r>
      <w:r>
        <w:rPr>
          <w:rFonts w:hint="eastAsia" w:cs="Helvetica"/>
          <w:i w:val="0"/>
          <w:iCs w:val="0"/>
          <w:color w:val="auto"/>
          <w:szCs w:val="24"/>
          <w:highlight w:val="none"/>
          <w:lang w:val="en-US" w:eastAsia="zh-CN"/>
        </w:rPr>
        <w:t>2</w:t>
      </w:r>
      <w:r>
        <w:rPr>
          <w:rFonts w:hint="eastAsia"/>
          <w:i w:val="0"/>
          <w:iCs w:val="0"/>
          <w:color w:val="auto"/>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cs="Helvetica"/>
          <w:i w:val="0"/>
          <w:iCs w:val="0"/>
          <w:color w:val="auto"/>
          <w:szCs w:val="24"/>
          <w:highlight w:val="none"/>
          <w:lang w:val="zh-CN"/>
        </w:rPr>
        <w:t>。</w:t>
      </w:r>
    </w:p>
    <w:p w14:paraId="25913F09">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8.响应无效的情形</w:t>
      </w:r>
    </w:p>
    <w:p w14:paraId="21B88F58">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cstheme="minorBidi"/>
          <w:i w:val="0"/>
          <w:iCs w:val="0"/>
          <w:color w:val="auto"/>
          <w:kern w:val="2"/>
          <w:sz w:val="24"/>
          <w:szCs w:val="22"/>
          <w:highlight w:val="none"/>
          <w:lang w:val="en-US" w:eastAsia="zh-CN" w:bidi="ar-SA"/>
        </w:rPr>
      </w:pPr>
      <w:r>
        <w:rPr>
          <w:rFonts w:hint="eastAsia" w:cstheme="minorBidi"/>
          <w:i w:val="0"/>
          <w:iCs w:val="0"/>
          <w:color w:val="auto"/>
          <w:kern w:val="2"/>
          <w:sz w:val="24"/>
          <w:szCs w:val="22"/>
          <w:highlight w:val="none"/>
          <w:lang w:val="en-US" w:eastAsia="zh-CN" w:bidi="ar-SA"/>
        </w:rPr>
        <w:t>8.1</w:t>
      </w:r>
      <w:r>
        <w:rPr>
          <w:rFonts w:hint="eastAsia" w:ascii="宋体" w:hAnsi="宋体" w:eastAsia="宋体" w:cs="宋体"/>
          <w:b w:val="0"/>
          <w:bCs w:val="0"/>
          <w:i w:val="0"/>
          <w:iCs w:val="0"/>
          <w:color w:val="auto"/>
          <w:sz w:val="24"/>
          <w:szCs w:val="24"/>
          <w:highlight w:val="none"/>
        </w:rPr>
        <w:t>供应商存在下列情况之一的，</w:t>
      </w:r>
      <w:r>
        <w:rPr>
          <w:rFonts w:hint="eastAsia" w:cs="宋体"/>
          <w:b w:val="0"/>
          <w:bCs w:val="0"/>
          <w:i w:val="0"/>
          <w:iCs w:val="0"/>
          <w:color w:val="auto"/>
          <w:sz w:val="24"/>
          <w:szCs w:val="24"/>
          <w:highlight w:val="none"/>
          <w:lang w:val="en-US" w:eastAsia="zh-CN"/>
        </w:rPr>
        <w:t>其</w:t>
      </w:r>
      <w:r>
        <w:rPr>
          <w:rFonts w:hint="eastAsia"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val="0"/>
          <w:bCs w:val="0"/>
          <w:i w:val="0"/>
          <w:iCs w:val="0"/>
          <w:color w:val="auto"/>
          <w:sz w:val="24"/>
          <w:szCs w:val="24"/>
          <w:highlight w:val="none"/>
        </w:rPr>
        <w:t>：</w:t>
      </w:r>
    </w:p>
    <w:p w14:paraId="702D1A6A">
      <w:pPr>
        <w:pStyle w:val="57"/>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不同供应商的响应文件由同一单位或者个人编制；</w:t>
      </w:r>
    </w:p>
    <w:p w14:paraId="2B2A7ABE">
      <w:pPr>
        <w:pStyle w:val="57"/>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不同供应商委托同一单位或者个人办理</w:t>
      </w:r>
      <w:r>
        <w:rPr>
          <w:rFonts w:hint="eastAsia" w:ascii="宋体" w:hAnsi="宋体" w:eastAsia="宋体" w:cs="宋体"/>
          <w:b w:val="0"/>
          <w:bCs w:val="0"/>
          <w:i w:val="0"/>
          <w:iCs w:val="0"/>
          <w:color w:val="auto"/>
          <w:sz w:val="24"/>
          <w:szCs w:val="24"/>
          <w:highlight w:val="none"/>
          <w:lang w:val="en-US" w:eastAsia="zh-CN"/>
        </w:rPr>
        <w:t>磋商响应</w:t>
      </w:r>
      <w:r>
        <w:rPr>
          <w:rFonts w:hint="eastAsia" w:ascii="宋体" w:hAnsi="宋体" w:eastAsia="宋体" w:cs="宋体"/>
          <w:b w:val="0"/>
          <w:bCs w:val="0"/>
          <w:i w:val="0"/>
          <w:iCs w:val="0"/>
          <w:color w:val="auto"/>
          <w:sz w:val="24"/>
          <w:szCs w:val="24"/>
          <w:highlight w:val="none"/>
        </w:rPr>
        <w:t>事宜；</w:t>
      </w:r>
    </w:p>
    <w:p w14:paraId="4EE2FB0A">
      <w:pPr>
        <w:pStyle w:val="57"/>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不同供应商的响应文件载明的项目管理成员或者联系人员为同一人；</w:t>
      </w:r>
    </w:p>
    <w:p w14:paraId="53A78381">
      <w:pPr>
        <w:pStyle w:val="57"/>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不同供应商的响应文件异常一致或者</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报价呈规律性差异；</w:t>
      </w:r>
    </w:p>
    <w:p w14:paraId="60D5A539">
      <w:pPr>
        <w:pStyle w:val="57"/>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不同供应商的响应文件相互混装；</w:t>
      </w:r>
    </w:p>
    <w:p w14:paraId="2FF50D83">
      <w:pPr>
        <w:pStyle w:val="57"/>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不同供应商的磋商保证金从同一单位或者个人的账户转出</w:t>
      </w:r>
      <w:r>
        <w:rPr>
          <w:rFonts w:hint="eastAsia" w:ascii="宋体" w:hAnsi="宋体" w:eastAsia="宋体" w:cs="宋体"/>
          <w:b w:val="0"/>
          <w:bCs w:val="0"/>
          <w:i w:val="0"/>
          <w:iCs w:val="0"/>
          <w:color w:val="auto"/>
          <w:sz w:val="24"/>
          <w:szCs w:val="24"/>
          <w:highlight w:val="none"/>
          <w:lang w:val="en-US" w:eastAsia="zh-CN"/>
        </w:rPr>
        <w:t>；</w:t>
      </w:r>
    </w:p>
    <w:p w14:paraId="1C3AF755">
      <w:pPr>
        <w:pStyle w:val="35"/>
        <w:pageBreakBefore w:val="0"/>
        <w:kinsoku/>
        <w:overflowPunct/>
        <w:topLinePunct w:val="0"/>
        <w:autoSpaceDE/>
        <w:autoSpaceDN/>
        <w:bidi w:val="0"/>
        <w:spacing w:line="440" w:lineRule="exact"/>
        <w:textAlignment w:val="auto"/>
        <w:rPr>
          <w:rFonts w:hint="eastAsia"/>
          <w:i w:val="0"/>
          <w:iCs w:val="0"/>
          <w:color w:val="auto"/>
          <w:highlight w:val="none"/>
          <w:lang w:val="en-US" w:eastAsia="zh-CN"/>
        </w:rPr>
      </w:pPr>
      <w:r>
        <w:rPr>
          <w:rFonts w:hint="eastAsia"/>
          <w:i w:val="0"/>
          <w:iCs w:val="0"/>
          <w:color w:val="auto"/>
          <w:highlight w:val="none"/>
          <w:lang w:val="en-US" w:eastAsia="zh-CN"/>
        </w:rPr>
        <w:t>（7）</w:t>
      </w:r>
      <w:r>
        <w:rPr>
          <w:rFonts w:hint="eastAsia"/>
          <w:i w:val="0"/>
          <w:iCs w:val="0"/>
          <w:color w:val="auto"/>
          <w:highlight w:val="none"/>
          <w:lang w:val="zh-CN" w:eastAsia="zh-CN"/>
        </w:rPr>
        <w:t>不同</w:t>
      </w:r>
      <w:r>
        <w:rPr>
          <w:rFonts w:hint="eastAsia"/>
          <w:i w:val="0"/>
          <w:iCs w:val="0"/>
          <w:color w:val="auto"/>
          <w:highlight w:val="none"/>
          <w:lang w:val="en-US" w:eastAsia="zh-CN"/>
        </w:rPr>
        <w:t>供应商</w:t>
      </w:r>
      <w:r>
        <w:rPr>
          <w:rFonts w:hint="eastAsia"/>
          <w:i w:val="0"/>
          <w:iCs w:val="0"/>
          <w:color w:val="auto"/>
          <w:highlight w:val="none"/>
          <w:lang w:val="zh-CN" w:eastAsia="zh-CN"/>
        </w:rPr>
        <w:t>使用同一电脑（机器特征值一致：如MAC地址等）或使用同一电子密钥，编制或上传电子</w:t>
      </w:r>
      <w:r>
        <w:rPr>
          <w:rFonts w:hint="eastAsia"/>
          <w:i w:val="0"/>
          <w:iCs w:val="0"/>
          <w:color w:val="auto"/>
          <w:highlight w:val="none"/>
          <w:lang w:val="en-US" w:eastAsia="zh-CN"/>
        </w:rPr>
        <w:t>响应</w:t>
      </w:r>
      <w:r>
        <w:rPr>
          <w:rFonts w:hint="eastAsia"/>
          <w:i w:val="0"/>
          <w:iCs w:val="0"/>
          <w:color w:val="auto"/>
          <w:highlight w:val="none"/>
          <w:lang w:val="zh-CN" w:eastAsia="zh-CN"/>
        </w:rPr>
        <w:t>文件</w:t>
      </w:r>
      <w:r>
        <w:rPr>
          <w:rFonts w:hint="eastAsia"/>
          <w:i w:val="0"/>
          <w:iCs w:val="0"/>
          <w:color w:val="auto"/>
          <w:highlight w:val="none"/>
          <w:lang w:val="en-US" w:eastAsia="zh-CN"/>
        </w:rPr>
        <w:t>；</w:t>
      </w:r>
    </w:p>
    <w:p w14:paraId="29DA958A">
      <w:pPr>
        <w:pStyle w:val="35"/>
        <w:pageBreakBefore w:val="0"/>
        <w:kinsoku/>
        <w:overflowPunct/>
        <w:topLinePunct w:val="0"/>
        <w:autoSpaceDE/>
        <w:autoSpaceDN/>
        <w:bidi w:val="0"/>
        <w:spacing w:line="440" w:lineRule="exact"/>
        <w:textAlignment w:val="auto"/>
        <w:rPr>
          <w:rFonts w:hint="eastAsia"/>
          <w:i w:val="0"/>
          <w:iCs w:val="0"/>
          <w:color w:val="auto"/>
          <w:highlight w:val="none"/>
          <w:lang w:val="en-US" w:eastAsia="zh-CN"/>
        </w:rPr>
      </w:pPr>
      <w:r>
        <w:rPr>
          <w:rFonts w:hint="eastAsia"/>
          <w:i w:val="0"/>
          <w:iCs w:val="0"/>
          <w:color w:val="auto"/>
          <w:highlight w:val="none"/>
          <w:lang w:val="en-US" w:eastAsia="zh-CN"/>
        </w:rPr>
        <w:t>（8）法律、法规、规章和竞争性磋商文件规定的其他响应无效的情形。</w:t>
      </w:r>
    </w:p>
    <w:p w14:paraId="51CFEB2F">
      <w:pPr>
        <w:pStyle w:val="57"/>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小组应当审查</w:t>
      </w:r>
      <w:r>
        <w:rPr>
          <w:rFonts w:hint="eastAsia" w:ascii="宋体" w:hAnsi="宋体" w:eastAsia="宋体" w:cs="宋体"/>
          <w:b w:val="0"/>
          <w:bCs w:val="0"/>
          <w:i w:val="0"/>
          <w:iCs w:val="0"/>
          <w:color w:val="auto"/>
          <w:sz w:val="24"/>
          <w:szCs w:val="24"/>
          <w:highlight w:val="none"/>
          <w:lang w:val="en-US" w:eastAsia="zh-CN"/>
        </w:rPr>
        <w:t>所有供应商的</w:t>
      </w:r>
      <w:r>
        <w:rPr>
          <w:rFonts w:hint="eastAsia" w:ascii="宋体" w:hAnsi="宋体" w:eastAsia="宋体" w:cs="宋体"/>
          <w:b w:val="0"/>
          <w:bCs w:val="0"/>
          <w:i w:val="0"/>
          <w:iCs w:val="0"/>
          <w:color w:val="auto"/>
          <w:sz w:val="24"/>
          <w:szCs w:val="24"/>
          <w:highlight w:val="none"/>
        </w:rPr>
        <w:t>响应文件是否对竞争性磋商文件提出的所有实质性要求和条件做出响应。未能在实质上响应的</w:t>
      </w: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5DBCA20D">
      <w:pPr>
        <w:pStyle w:val="35"/>
        <w:pageBreakBefore w:val="0"/>
        <w:kinsoku/>
        <w:overflowPunct/>
        <w:topLinePunct w:val="0"/>
        <w:autoSpaceDE/>
        <w:autoSpaceDN/>
        <w:bidi w:val="0"/>
        <w:spacing w:line="440" w:lineRule="exact"/>
        <w:ind w:firstLine="480"/>
        <w:textAlignment w:val="auto"/>
        <w:rPr>
          <w:rFonts w:hint="eastAsia" w:cs="Helvetica"/>
          <w:i w:val="0"/>
          <w:iCs w:val="0"/>
          <w:color w:val="auto"/>
          <w:szCs w:val="24"/>
          <w:highlight w:val="none"/>
          <w:lang w:val="zh-CN"/>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 xml:space="preserve"> 供应商不得误导、干扰</w:t>
      </w:r>
      <w:r>
        <w:rPr>
          <w:rFonts w:hint="eastAsia" w:ascii="宋体" w:hAnsi="宋体" w:eastAsia="宋体" w:cs="宋体"/>
          <w:b w:val="0"/>
          <w:bCs w:val="0"/>
          <w:i w:val="0"/>
          <w:iCs w:val="0"/>
          <w:color w:val="auto"/>
          <w:sz w:val="24"/>
          <w:szCs w:val="24"/>
          <w:highlight w:val="none"/>
          <w:lang w:val="en-US" w:eastAsia="zh-CN"/>
        </w:rPr>
        <w:t>磋商小组</w:t>
      </w:r>
      <w:r>
        <w:rPr>
          <w:rFonts w:hint="eastAsia" w:ascii="宋体" w:hAnsi="宋体" w:eastAsia="宋体" w:cs="宋体"/>
          <w:b w:val="0"/>
          <w:bCs w:val="0"/>
          <w:i w:val="0"/>
          <w:iCs w:val="0"/>
          <w:color w:val="auto"/>
          <w:sz w:val="24"/>
          <w:szCs w:val="24"/>
          <w:highlight w:val="none"/>
        </w:rPr>
        <w:t>的评审活动，否则其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054A61A3">
      <w:pPr>
        <w:pStyle w:val="2"/>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83" w:name="_Toc102114920"/>
      <w:bookmarkStart w:id="484" w:name="_Toc102057718"/>
      <w:bookmarkStart w:id="485" w:name="_Toc102116022"/>
      <w:bookmarkStart w:id="486" w:name="_Toc102119853"/>
      <w:bookmarkStart w:id="487" w:name="_Toc102056218"/>
      <w:bookmarkStart w:id="488" w:name="_Toc102116152"/>
      <w:r>
        <w:rPr>
          <w:rFonts w:hint="eastAsia" w:ascii="宋体" w:hAnsi="宋体" w:eastAsia="宋体" w:cs="宋体"/>
          <w:b/>
          <w:bCs/>
          <w:i w:val="0"/>
          <w:iCs w:val="0"/>
          <w:color w:val="auto"/>
          <w:kern w:val="2"/>
          <w:sz w:val="24"/>
          <w:szCs w:val="24"/>
          <w:highlight w:val="none"/>
          <w:lang w:val="en-US" w:eastAsia="zh-CN" w:bidi="ar-SA"/>
        </w:rPr>
        <w:t>9.停止评审的情形</w:t>
      </w:r>
      <w:bookmarkEnd w:id="483"/>
      <w:bookmarkEnd w:id="484"/>
      <w:bookmarkEnd w:id="485"/>
      <w:bookmarkEnd w:id="486"/>
      <w:bookmarkEnd w:id="487"/>
      <w:bookmarkEnd w:id="488"/>
    </w:p>
    <w:p w14:paraId="58A3D9D5">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en-US" w:eastAsia="zh-CN" w:bidi="ar-SA"/>
        </w:rPr>
        <w:t>9</w:t>
      </w:r>
      <w:r>
        <w:rPr>
          <w:rFonts w:hint="eastAsia" w:ascii="宋体" w:hAnsi="宋体" w:eastAsia="宋体" w:cstheme="minorBidi"/>
          <w:i w:val="0"/>
          <w:iCs w:val="0"/>
          <w:color w:val="auto"/>
          <w:kern w:val="2"/>
          <w:sz w:val="24"/>
          <w:szCs w:val="22"/>
          <w:highlight w:val="none"/>
          <w:lang w:val="zh-CN" w:eastAsia="zh-CN" w:bidi="ar-SA"/>
        </w:rPr>
        <w:t>.1</w:t>
      </w:r>
      <w:r>
        <w:rPr>
          <w:rFonts w:hint="eastAsia" w:ascii="宋体" w:hAnsi="宋体" w:eastAsia="宋体" w:cstheme="minorBidi"/>
          <w:i w:val="0"/>
          <w:iCs w:val="0"/>
          <w:color w:val="auto"/>
          <w:kern w:val="2"/>
          <w:sz w:val="24"/>
          <w:szCs w:val="22"/>
          <w:highlight w:val="none"/>
          <w:lang w:val="en-US" w:eastAsia="zh-CN" w:bidi="ar-SA"/>
        </w:rPr>
        <w:t>磋商小组在评审过程中发现供应商有行贿、提供虚假材料或者串通等违法行为的，应当及时向财政部门报告。</w:t>
      </w:r>
    </w:p>
    <w:p w14:paraId="51B564B3">
      <w:pPr>
        <w:pStyle w:val="35"/>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en-US" w:eastAsia="zh-CN"/>
        </w:rPr>
        <w:t>9.2</w:t>
      </w:r>
      <w:r>
        <w:rPr>
          <w:rFonts w:hint="eastAsia"/>
          <w:i w:val="0"/>
          <w:iCs w:val="0"/>
          <w:color w:val="auto"/>
          <w:highlight w:val="none"/>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72A0944C">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default"/>
          <w:i w:val="0"/>
          <w:iCs w:val="0"/>
          <w:color w:val="auto"/>
          <w:sz w:val="28"/>
          <w:szCs w:val="28"/>
          <w:highlight w:val="none"/>
          <w:lang w:val="en-US" w:eastAsia="zh-CN"/>
        </w:rPr>
      </w:pPr>
      <w:bookmarkStart w:id="489" w:name="_Toc18235"/>
      <w:r>
        <w:rPr>
          <w:rFonts w:hint="eastAsia"/>
          <w:i w:val="0"/>
          <w:iCs w:val="0"/>
          <w:color w:val="auto"/>
          <w:sz w:val="28"/>
          <w:szCs w:val="28"/>
          <w:highlight w:val="none"/>
          <w:lang w:val="en-US" w:eastAsia="zh-CN"/>
        </w:rPr>
        <w:t>三、</w:t>
      </w:r>
      <w:r>
        <w:rPr>
          <w:rFonts w:hint="eastAsia"/>
          <w:i w:val="0"/>
          <w:iCs w:val="0"/>
          <w:color w:val="auto"/>
          <w:sz w:val="28"/>
          <w:szCs w:val="28"/>
          <w:highlight w:val="none"/>
          <w:lang w:val="zh-CN" w:eastAsia="zh-CN"/>
        </w:rPr>
        <w:t>评审</w:t>
      </w:r>
      <w:r>
        <w:rPr>
          <w:rFonts w:hint="eastAsia"/>
          <w:i w:val="0"/>
          <w:iCs w:val="0"/>
          <w:color w:val="auto"/>
          <w:sz w:val="28"/>
          <w:szCs w:val="28"/>
          <w:highlight w:val="none"/>
          <w:lang w:val="en-US" w:eastAsia="zh-CN"/>
        </w:rPr>
        <w:t>其他要求</w:t>
      </w:r>
      <w:bookmarkEnd w:id="489"/>
    </w:p>
    <w:p w14:paraId="3B9B7B2C">
      <w:pPr>
        <w:pStyle w:val="35"/>
        <w:keepNext w:val="0"/>
        <w:keepLines w:val="0"/>
        <w:pageBreakBefore w:val="0"/>
        <w:widowControl w:val="0"/>
        <w:kinsoku/>
        <w:overflowPunct/>
        <w:topLinePunct w:val="0"/>
        <w:autoSpaceDE/>
        <w:autoSpaceDN/>
        <w:bidi w:val="0"/>
        <w:adjustRightInd/>
        <w:snapToGrid/>
        <w:spacing w:line="440" w:lineRule="exact"/>
        <w:ind w:firstLine="480" w:firstLineChars="0"/>
        <w:textAlignment w:val="auto"/>
        <w:rPr>
          <w:rFonts w:hint="eastAsia"/>
          <w:i w:val="0"/>
          <w:iCs w:val="0"/>
          <w:color w:val="auto"/>
          <w:highlight w:val="none"/>
          <w:shd w:val="clear" w:color="auto" w:fill="FFFFFF" w:themeFill="background1"/>
          <w:lang w:val="en-US" w:eastAsia="zh-CN"/>
        </w:rPr>
      </w:pPr>
      <w:r>
        <w:rPr>
          <w:rFonts w:hint="eastAsia"/>
          <w:i w:val="0"/>
          <w:iCs w:val="0"/>
          <w:color w:val="auto"/>
          <w:highlight w:val="none"/>
          <w:shd w:val="clear" w:color="auto" w:fill="FFFFFF" w:themeFill="background1"/>
          <w:lang w:val="zh-CN" w:eastAsia="zh-CN"/>
        </w:rPr>
        <w:t>【</w:t>
      </w:r>
      <w:r>
        <w:rPr>
          <w:rFonts w:hint="eastAsia"/>
          <w:i w:val="0"/>
          <w:iCs w:val="0"/>
          <w:color w:val="auto"/>
          <w:highlight w:val="none"/>
          <w:shd w:val="clear" w:color="auto" w:fill="FFFFFF" w:themeFill="background1"/>
          <w:lang w:val="en-US" w:eastAsia="zh-CN"/>
        </w:rPr>
        <w:t>可根据项目的情况增加上述内容中未包含的要求</w:t>
      </w:r>
      <w:r>
        <w:rPr>
          <w:rFonts w:hint="eastAsia"/>
          <w:i w:val="0"/>
          <w:iCs w:val="0"/>
          <w:color w:val="auto"/>
          <w:highlight w:val="none"/>
          <w:shd w:val="clear" w:color="auto" w:fill="FFFFFF" w:themeFill="background1"/>
          <w:lang w:val="zh-CN" w:eastAsia="zh-CN"/>
        </w:rPr>
        <w:t>】</w:t>
      </w:r>
    </w:p>
    <w:p w14:paraId="137D6C01">
      <w:pPr>
        <w:pStyle w:val="4"/>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76EAAD71">
      <w:pPr>
        <w:pStyle w:val="4"/>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312FECB4">
      <w:pPr>
        <w:pStyle w:val="4"/>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7DAD1ED7">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490" w:name="_Toc9008"/>
      <w:r>
        <w:rPr>
          <w:rFonts w:hint="eastAsia"/>
          <w:i w:val="0"/>
          <w:iCs w:val="0"/>
          <w:color w:val="auto"/>
          <w:sz w:val="28"/>
          <w:szCs w:val="28"/>
          <w:highlight w:val="none"/>
          <w:lang w:val="en-US" w:eastAsia="zh-CN"/>
        </w:rPr>
        <w:t>四、</w:t>
      </w:r>
      <w:r>
        <w:rPr>
          <w:rFonts w:hint="eastAsia"/>
          <w:i w:val="0"/>
          <w:iCs w:val="0"/>
          <w:color w:val="auto"/>
          <w:sz w:val="28"/>
          <w:szCs w:val="28"/>
          <w:highlight w:val="none"/>
          <w:lang w:val="zh-CN" w:eastAsia="zh-CN"/>
        </w:rPr>
        <w:t>评审标准</w:t>
      </w:r>
      <w:bookmarkEnd w:id="490"/>
    </w:p>
    <w:p w14:paraId="79FEBCCF">
      <w:pPr>
        <w:pStyle w:val="5"/>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91" w:name="_Toc163493638"/>
      <w:bookmarkStart w:id="492" w:name="_Toc4370"/>
      <w:r>
        <w:rPr>
          <w:rFonts w:hint="eastAsia" w:ascii="宋体" w:hAnsi="宋体" w:eastAsia="宋体" w:cs="宋体"/>
          <w:b/>
          <w:bCs/>
          <w:i w:val="0"/>
          <w:iCs w:val="0"/>
          <w:color w:val="auto"/>
          <w:kern w:val="2"/>
          <w:sz w:val="24"/>
          <w:szCs w:val="24"/>
          <w:highlight w:val="none"/>
          <w:lang w:val="en-US" w:eastAsia="zh-CN" w:bidi="ar-SA"/>
        </w:rPr>
        <w:t>（一）</w:t>
      </w:r>
      <w:r>
        <w:rPr>
          <w:rFonts w:hint="eastAsia" w:ascii="宋体" w:hAnsi="宋体" w:eastAsia="宋体" w:cs="宋体"/>
          <w:b/>
          <w:bCs/>
          <w:i w:val="0"/>
          <w:iCs w:val="0"/>
          <w:color w:val="auto"/>
          <w:kern w:val="2"/>
          <w:sz w:val="24"/>
          <w:szCs w:val="24"/>
          <w:highlight w:val="none"/>
          <w:lang w:val="zh-CN" w:eastAsia="zh-CN" w:bidi="ar-SA"/>
        </w:rPr>
        <w:t>资格审查表</w:t>
      </w:r>
      <w:bookmarkEnd w:id="491"/>
      <w:bookmarkEnd w:id="492"/>
    </w:p>
    <w:tbl>
      <w:tblPr>
        <w:tblStyle w:val="29"/>
        <w:tblW w:w="10455" w:type="dxa"/>
        <w:tblInd w:w="-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235"/>
        <w:gridCol w:w="6204"/>
        <w:gridCol w:w="606"/>
        <w:gridCol w:w="435"/>
        <w:gridCol w:w="390"/>
      </w:tblGrid>
      <w:tr w14:paraId="488B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85" w:type="dxa"/>
            <w:vMerge w:val="restart"/>
            <w:noWrap w:val="0"/>
            <w:vAlign w:val="center"/>
          </w:tcPr>
          <w:p w14:paraId="25BA5661">
            <w:pPr>
              <w:spacing w:line="360" w:lineRule="auto"/>
              <w:jc w:val="center"/>
              <w:rPr>
                <w:rFonts w:hint="eastAsia" w:ascii="宋体" w:hAnsi="宋体" w:cs="仿宋"/>
                <w:b/>
                <w:spacing w:val="-2"/>
                <w:sz w:val="24"/>
              </w:rPr>
            </w:pPr>
            <w:bookmarkStart w:id="493" w:name="_Toc156490348"/>
            <w:r>
              <w:rPr>
                <w:rFonts w:hint="eastAsia" w:ascii="宋体" w:hAnsi="宋体" w:cs="仿宋"/>
                <w:b/>
                <w:spacing w:val="-2"/>
                <w:sz w:val="24"/>
              </w:rPr>
              <w:t>序号</w:t>
            </w:r>
          </w:p>
        </w:tc>
        <w:tc>
          <w:tcPr>
            <w:tcW w:w="2235" w:type="dxa"/>
            <w:vMerge w:val="restart"/>
            <w:noWrap w:val="0"/>
            <w:vAlign w:val="center"/>
          </w:tcPr>
          <w:p w14:paraId="1F60459C">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6204" w:type="dxa"/>
            <w:vMerge w:val="restart"/>
            <w:noWrap w:val="0"/>
            <w:vAlign w:val="center"/>
          </w:tcPr>
          <w:p w14:paraId="68159111">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431" w:type="dxa"/>
            <w:gridSpan w:val="3"/>
            <w:noWrap w:val="0"/>
            <w:vAlign w:val="bottom"/>
          </w:tcPr>
          <w:p w14:paraId="405A68D6">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27E5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85" w:type="dxa"/>
            <w:vMerge w:val="continue"/>
            <w:noWrap w:val="0"/>
            <w:vAlign w:val="bottom"/>
          </w:tcPr>
          <w:p w14:paraId="771A7EB0">
            <w:pPr>
              <w:spacing w:line="360" w:lineRule="auto"/>
              <w:jc w:val="center"/>
              <w:rPr>
                <w:rFonts w:hint="eastAsia" w:ascii="宋体" w:hAnsi="宋体" w:cs="仿宋"/>
                <w:b/>
                <w:spacing w:val="-2"/>
                <w:sz w:val="24"/>
              </w:rPr>
            </w:pPr>
          </w:p>
        </w:tc>
        <w:tc>
          <w:tcPr>
            <w:tcW w:w="2235" w:type="dxa"/>
            <w:vMerge w:val="continue"/>
            <w:noWrap w:val="0"/>
            <w:vAlign w:val="bottom"/>
          </w:tcPr>
          <w:p w14:paraId="2F65DDA9">
            <w:pPr>
              <w:spacing w:line="360" w:lineRule="auto"/>
              <w:jc w:val="center"/>
              <w:rPr>
                <w:rFonts w:hint="eastAsia" w:ascii="宋体" w:hAnsi="宋体" w:cs="仿宋"/>
                <w:b/>
                <w:spacing w:val="-2"/>
                <w:sz w:val="24"/>
              </w:rPr>
            </w:pPr>
          </w:p>
        </w:tc>
        <w:tc>
          <w:tcPr>
            <w:tcW w:w="6204" w:type="dxa"/>
            <w:vMerge w:val="continue"/>
            <w:noWrap w:val="0"/>
            <w:vAlign w:val="bottom"/>
          </w:tcPr>
          <w:p w14:paraId="083CF0C9">
            <w:pPr>
              <w:spacing w:line="360" w:lineRule="auto"/>
              <w:jc w:val="center"/>
              <w:rPr>
                <w:rFonts w:hint="eastAsia" w:ascii="宋体" w:hAnsi="宋体" w:cs="仿宋"/>
                <w:b/>
                <w:spacing w:val="-2"/>
                <w:sz w:val="24"/>
              </w:rPr>
            </w:pPr>
          </w:p>
        </w:tc>
        <w:tc>
          <w:tcPr>
            <w:tcW w:w="606" w:type="dxa"/>
            <w:noWrap w:val="0"/>
            <w:vAlign w:val="bottom"/>
          </w:tcPr>
          <w:p w14:paraId="0E220532">
            <w:pPr>
              <w:spacing w:line="360" w:lineRule="auto"/>
              <w:jc w:val="center"/>
              <w:rPr>
                <w:rFonts w:hint="eastAsia" w:ascii="宋体" w:hAnsi="宋体" w:cs="仿宋"/>
                <w:b/>
                <w:spacing w:val="-2"/>
                <w:sz w:val="24"/>
              </w:rPr>
            </w:pPr>
          </w:p>
        </w:tc>
        <w:tc>
          <w:tcPr>
            <w:tcW w:w="435" w:type="dxa"/>
            <w:noWrap w:val="0"/>
            <w:vAlign w:val="top"/>
          </w:tcPr>
          <w:p w14:paraId="29852A39">
            <w:pPr>
              <w:spacing w:line="360" w:lineRule="auto"/>
              <w:jc w:val="center"/>
              <w:rPr>
                <w:rFonts w:hint="eastAsia" w:ascii="宋体" w:hAnsi="宋体" w:cs="仿宋"/>
                <w:b/>
                <w:spacing w:val="-2"/>
                <w:sz w:val="24"/>
              </w:rPr>
            </w:pPr>
          </w:p>
        </w:tc>
        <w:tc>
          <w:tcPr>
            <w:tcW w:w="390" w:type="dxa"/>
            <w:noWrap w:val="0"/>
            <w:vAlign w:val="top"/>
          </w:tcPr>
          <w:p w14:paraId="0A4B895B">
            <w:pPr>
              <w:spacing w:line="360" w:lineRule="auto"/>
              <w:jc w:val="center"/>
              <w:rPr>
                <w:rFonts w:hint="eastAsia" w:ascii="宋体" w:hAnsi="宋体" w:cs="仿宋"/>
                <w:b/>
                <w:spacing w:val="-2"/>
                <w:sz w:val="24"/>
              </w:rPr>
            </w:pPr>
          </w:p>
        </w:tc>
      </w:tr>
      <w:tr w14:paraId="297E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noWrap w:val="0"/>
            <w:vAlign w:val="center"/>
          </w:tcPr>
          <w:p w14:paraId="14C0C32C">
            <w:pPr>
              <w:spacing w:line="360" w:lineRule="auto"/>
              <w:jc w:val="center"/>
              <w:rPr>
                <w:rFonts w:hint="eastAsia" w:ascii="宋体" w:hAnsi="宋体" w:cs="仿宋"/>
                <w:spacing w:val="-2"/>
                <w:sz w:val="24"/>
              </w:rPr>
            </w:pPr>
            <w:r>
              <w:rPr>
                <w:rFonts w:hint="eastAsia" w:ascii="宋体" w:hAnsi="宋体" w:cs="仿宋"/>
                <w:spacing w:val="-2"/>
                <w:sz w:val="24"/>
              </w:rPr>
              <w:t>1</w:t>
            </w:r>
          </w:p>
        </w:tc>
        <w:tc>
          <w:tcPr>
            <w:tcW w:w="2235" w:type="dxa"/>
            <w:noWrap w:val="0"/>
            <w:vAlign w:val="center"/>
          </w:tcPr>
          <w:p w14:paraId="7BB3AAA2">
            <w:pPr>
              <w:spacing w:line="360" w:lineRule="auto"/>
              <w:jc w:val="center"/>
              <w:rPr>
                <w:rFonts w:hint="eastAsia" w:ascii="宋体" w:hAnsi="宋体" w:cs="仿宋"/>
                <w:spacing w:val="-2"/>
                <w:sz w:val="24"/>
              </w:rPr>
            </w:pPr>
            <w:r>
              <w:rPr>
                <w:rFonts w:ascii="宋体" w:hAnsi="宋体" w:cs="仿宋"/>
                <w:sz w:val="24"/>
              </w:rPr>
              <w:t>营业执照等证明</w:t>
            </w:r>
          </w:p>
        </w:tc>
        <w:tc>
          <w:tcPr>
            <w:tcW w:w="6204" w:type="dxa"/>
            <w:noWrap w:val="0"/>
            <w:vAlign w:val="top"/>
          </w:tcPr>
          <w:p w14:paraId="66A56943">
            <w:pPr>
              <w:spacing w:line="360" w:lineRule="auto"/>
              <w:jc w:val="left"/>
              <w:rPr>
                <w:rFonts w:hint="eastAsia" w:ascii="宋体" w:hAnsi="宋体" w:cs="仿宋"/>
                <w:spacing w:val="-2"/>
                <w:sz w:val="24"/>
              </w:rPr>
            </w:pPr>
            <w:r>
              <w:rPr>
                <w:rFonts w:hint="eastAsia" w:ascii="宋体" w:hAnsi="宋体" w:cs="仿宋"/>
                <w:spacing w:val="-2"/>
                <w:sz w:val="24"/>
                <w:lang w:val="en-US" w:eastAsia="zh-CN"/>
              </w:rPr>
              <w:t>投标人为企业（包括合伙企业）的，应提供有效的“营业执照”；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投标人为事业单位的，应供有效的“事业单位法人证书”；</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投标人是非企业机构的，应供有效的“执业许可证”、“登记证书”等证明文件；</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投标人是个体工商户的，应供有效的“个体工商户营业执照”；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投标人是自然人的，应供有效的自然人身份证明。</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分支机构参加投标的，应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606" w:type="dxa"/>
            <w:noWrap w:val="0"/>
            <w:vAlign w:val="top"/>
          </w:tcPr>
          <w:p w14:paraId="7FA5116B">
            <w:pPr>
              <w:spacing w:line="360" w:lineRule="auto"/>
              <w:jc w:val="left"/>
              <w:rPr>
                <w:rFonts w:hint="eastAsia" w:ascii="宋体" w:hAnsi="宋体" w:cs="仿宋"/>
                <w:spacing w:val="-2"/>
                <w:sz w:val="24"/>
              </w:rPr>
            </w:pPr>
          </w:p>
        </w:tc>
        <w:tc>
          <w:tcPr>
            <w:tcW w:w="435" w:type="dxa"/>
            <w:noWrap w:val="0"/>
            <w:vAlign w:val="top"/>
          </w:tcPr>
          <w:p w14:paraId="57FBE00B">
            <w:pPr>
              <w:spacing w:line="360" w:lineRule="auto"/>
              <w:jc w:val="left"/>
              <w:rPr>
                <w:rFonts w:hint="eastAsia" w:ascii="宋体" w:hAnsi="宋体" w:cs="仿宋"/>
                <w:spacing w:val="-2"/>
                <w:sz w:val="24"/>
              </w:rPr>
            </w:pPr>
          </w:p>
        </w:tc>
        <w:tc>
          <w:tcPr>
            <w:tcW w:w="390" w:type="dxa"/>
            <w:noWrap w:val="0"/>
            <w:vAlign w:val="top"/>
          </w:tcPr>
          <w:p w14:paraId="2C7677FE">
            <w:pPr>
              <w:spacing w:line="360" w:lineRule="auto"/>
              <w:jc w:val="left"/>
              <w:rPr>
                <w:rFonts w:hint="eastAsia" w:ascii="宋体" w:hAnsi="宋体" w:cs="仿宋"/>
                <w:spacing w:val="-2"/>
                <w:sz w:val="24"/>
              </w:rPr>
            </w:pPr>
          </w:p>
        </w:tc>
      </w:tr>
      <w:tr w14:paraId="356D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585" w:type="dxa"/>
            <w:noWrap w:val="0"/>
            <w:vAlign w:val="center"/>
          </w:tcPr>
          <w:p w14:paraId="50341869">
            <w:pPr>
              <w:spacing w:line="360" w:lineRule="auto"/>
              <w:jc w:val="center"/>
              <w:rPr>
                <w:rFonts w:hint="eastAsia" w:ascii="宋体" w:hAnsi="宋体" w:cs="仿宋"/>
                <w:spacing w:val="-2"/>
                <w:sz w:val="24"/>
              </w:rPr>
            </w:pPr>
            <w:r>
              <w:rPr>
                <w:rFonts w:hint="eastAsia" w:ascii="宋体" w:hAnsi="宋体" w:cs="仿宋"/>
                <w:spacing w:val="-2"/>
                <w:sz w:val="24"/>
              </w:rPr>
              <w:t>2</w:t>
            </w:r>
          </w:p>
        </w:tc>
        <w:tc>
          <w:tcPr>
            <w:tcW w:w="2235" w:type="dxa"/>
            <w:noWrap w:val="0"/>
            <w:vAlign w:val="center"/>
          </w:tcPr>
          <w:p w14:paraId="799F7420">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6204" w:type="dxa"/>
            <w:noWrap w:val="0"/>
            <w:vAlign w:val="top"/>
          </w:tcPr>
          <w:p w14:paraId="36D4E828">
            <w:pPr>
              <w:spacing w:line="360" w:lineRule="auto"/>
              <w:jc w:val="left"/>
              <w:rPr>
                <w:rFonts w:ascii="宋体" w:hAnsi="宋体" w:cs="仿宋"/>
                <w:spacing w:val="-2"/>
                <w:sz w:val="24"/>
              </w:rPr>
            </w:pPr>
            <w:r>
              <w:rPr>
                <w:rFonts w:hint="eastAsia" w:ascii="宋体" w:hAnsi="宋体" w:cs="仿宋"/>
                <w:spacing w:val="-2"/>
                <w:sz w:val="24"/>
              </w:rPr>
              <w:t>（1）</w:t>
            </w:r>
            <w:r>
              <w:rPr>
                <w:rFonts w:ascii="宋体" w:hAnsi="宋体" w:cs="仿宋"/>
                <w:spacing w:val="-2"/>
                <w:sz w:val="24"/>
              </w:rPr>
              <w:t>按</w:t>
            </w:r>
            <w:r>
              <w:rPr>
                <w:rFonts w:hint="eastAsia" w:ascii="宋体" w:hAnsi="宋体" w:cs="仿宋"/>
                <w:spacing w:val="-2"/>
                <w:sz w:val="24"/>
                <w:lang w:val="en-US" w:eastAsia="zh-CN"/>
              </w:rPr>
              <w:t>招标</w:t>
            </w:r>
            <w:r>
              <w:rPr>
                <w:rFonts w:ascii="宋体" w:hAnsi="宋体" w:cs="仿宋"/>
                <w:spacing w:val="-2"/>
                <w:sz w:val="24"/>
              </w:rPr>
              <w:t>文件规定的格式填写、签署和盖章；</w:t>
            </w:r>
          </w:p>
          <w:p w14:paraId="3CD27199">
            <w:pPr>
              <w:spacing w:line="360" w:lineRule="auto"/>
              <w:jc w:val="left"/>
              <w:rPr>
                <w:rFonts w:hint="eastAsia" w:ascii="宋体" w:hAnsi="宋体" w:cs="仿宋"/>
                <w:spacing w:val="-2"/>
                <w:sz w:val="24"/>
              </w:rPr>
            </w:pPr>
            <w:r>
              <w:rPr>
                <w:rFonts w:hint="eastAsia" w:ascii="宋体" w:hAnsi="宋体" w:cs="仿宋"/>
                <w:spacing w:val="-2"/>
                <w:sz w:val="24"/>
              </w:rPr>
              <w:t>（2）法定代表人身份证明书附完整的</w:t>
            </w:r>
            <w:r>
              <w:rPr>
                <w:rFonts w:ascii="宋体" w:hAnsi="宋体" w:cs="仿宋"/>
                <w:spacing w:val="-2"/>
                <w:sz w:val="24"/>
              </w:rPr>
              <w:t>法定代表人身份证复印件</w:t>
            </w:r>
            <w:r>
              <w:rPr>
                <w:rFonts w:hint="eastAsia" w:ascii="宋体" w:hAnsi="宋体" w:cs="仿宋"/>
                <w:spacing w:val="-2"/>
                <w:sz w:val="24"/>
              </w:rPr>
              <w:t>，并</w:t>
            </w:r>
            <w:r>
              <w:rPr>
                <w:rFonts w:ascii="宋体" w:hAnsi="宋体" w:cs="仿宋"/>
                <w:spacing w:val="-2"/>
                <w:sz w:val="24"/>
              </w:rPr>
              <w:t>加盖公章</w:t>
            </w:r>
            <w:r>
              <w:rPr>
                <w:rFonts w:hint="eastAsia" w:ascii="宋体" w:hAnsi="宋体" w:cs="仿宋"/>
                <w:spacing w:val="-2"/>
                <w:sz w:val="24"/>
              </w:rPr>
              <w:t>；</w:t>
            </w:r>
          </w:p>
          <w:p w14:paraId="40ACA96C">
            <w:pPr>
              <w:spacing w:line="360" w:lineRule="auto"/>
              <w:jc w:val="left"/>
              <w:rPr>
                <w:rFonts w:hint="eastAsia" w:ascii="宋体" w:hAnsi="宋体" w:cs="仿宋"/>
                <w:spacing w:val="-2"/>
                <w:sz w:val="24"/>
              </w:rPr>
            </w:pPr>
            <w:r>
              <w:rPr>
                <w:rFonts w:hint="eastAsia" w:ascii="宋体" w:hAnsi="宋体" w:cs="仿宋"/>
                <w:spacing w:val="-2"/>
                <w:sz w:val="24"/>
              </w:rPr>
              <w:t>（3）法定代表人授权委托书</w:t>
            </w:r>
            <w:r>
              <w:rPr>
                <w:rFonts w:ascii="宋体" w:hAnsi="宋体" w:cs="仿宋"/>
                <w:spacing w:val="-2"/>
                <w:sz w:val="24"/>
              </w:rPr>
              <w:t>附完整的法定代表人身份证复印件、被授权人身份证复印件，</w:t>
            </w:r>
            <w:r>
              <w:rPr>
                <w:rFonts w:hint="eastAsia" w:ascii="宋体" w:hAnsi="宋体" w:cs="仿宋"/>
                <w:spacing w:val="-2"/>
                <w:sz w:val="24"/>
              </w:rPr>
              <w:t>并</w:t>
            </w:r>
            <w:r>
              <w:rPr>
                <w:rFonts w:ascii="宋体" w:hAnsi="宋体" w:cs="仿宋"/>
                <w:spacing w:val="-2"/>
                <w:sz w:val="24"/>
              </w:rPr>
              <w:t>加盖公章；</w:t>
            </w:r>
          </w:p>
        </w:tc>
        <w:tc>
          <w:tcPr>
            <w:tcW w:w="606" w:type="dxa"/>
            <w:noWrap w:val="0"/>
            <w:vAlign w:val="top"/>
          </w:tcPr>
          <w:p w14:paraId="71CCDF16">
            <w:pPr>
              <w:spacing w:line="360" w:lineRule="auto"/>
              <w:jc w:val="left"/>
              <w:rPr>
                <w:rFonts w:hint="eastAsia" w:ascii="宋体" w:hAnsi="宋体" w:cs="仿宋"/>
                <w:spacing w:val="-2"/>
                <w:sz w:val="24"/>
              </w:rPr>
            </w:pPr>
          </w:p>
        </w:tc>
        <w:tc>
          <w:tcPr>
            <w:tcW w:w="435" w:type="dxa"/>
            <w:noWrap w:val="0"/>
            <w:vAlign w:val="top"/>
          </w:tcPr>
          <w:p w14:paraId="11F466B1">
            <w:pPr>
              <w:spacing w:line="360" w:lineRule="auto"/>
              <w:jc w:val="left"/>
              <w:rPr>
                <w:rFonts w:hint="eastAsia" w:ascii="宋体" w:hAnsi="宋体" w:cs="仿宋"/>
                <w:spacing w:val="-2"/>
                <w:sz w:val="24"/>
              </w:rPr>
            </w:pPr>
          </w:p>
        </w:tc>
        <w:tc>
          <w:tcPr>
            <w:tcW w:w="390" w:type="dxa"/>
            <w:noWrap w:val="0"/>
            <w:vAlign w:val="top"/>
          </w:tcPr>
          <w:p w14:paraId="740C9DFA">
            <w:pPr>
              <w:spacing w:line="360" w:lineRule="auto"/>
              <w:jc w:val="left"/>
              <w:rPr>
                <w:rFonts w:hint="eastAsia" w:ascii="宋体" w:hAnsi="宋体" w:cs="仿宋"/>
                <w:spacing w:val="-2"/>
                <w:sz w:val="24"/>
              </w:rPr>
            </w:pPr>
          </w:p>
        </w:tc>
      </w:tr>
      <w:tr w14:paraId="4B3B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85" w:type="dxa"/>
            <w:noWrap w:val="0"/>
            <w:vAlign w:val="center"/>
          </w:tcPr>
          <w:p w14:paraId="6C05BFBD">
            <w:pPr>
              <w:spacing w:line="360" w:lineRule="auto"/>
              <w:jc w:val="center"/>
              <w:rPr>
                <w:rFonts w:hint="eastAsia" w:ascii="宋体" w:hAnsi="宋体" w:cs="仿宋"/>
                <w:spacing w:val="-2"/>
                <w:sz w:val="24"/>
              </w:rPr>
            </w:pPr>
            <w:r>
              <w:rPr>
                <w:rFonts w:hint="eastAsia" w:ascii="宋体" w:hAnsi="宋体" w:cs="仿宋"/>
                <w:spacing w:val="-2"/>
                <w:sz w:val="24"/>
              </w:rPr>
              <w:t>3</w:t>
            </w:r>
          </w:p>
        </w:tc>
        <w:tc>
          <w:tcPr>
            <w:tcW w:w="2235" w:type="dxa"/>
            <w:noWrap w:val="0"/>
            <w:vAlign w:val="center"/>
          </w:tcPr>
          <w:p w14:paraId="6FD3B444">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6204" w:type="dxa"/>
            <w:noWrap w:val="0"/>
            <w:vAlign w:val="top"/>
          </w:tcPr>
          <w:p w14:paraId="15BEA7B2">
            <w:pPr>
              <w:spacing w:line="360" w:lineRule="auto"/>
              <w:jc w:val="left"/>
              <w:rPr>
                <w:rFonts w:ascii="宋体" w:hAnsi="宋体" w:cs="仿宋"/>
                <w:spacing w:val="-2"/>
                <w:sz w:val="24"/>
              </w:rPr>
            </w:pPr>
            <w:r>
              <w:rPr>
                <w:rFonts w:ascii="宋体" w:hAnsi="宋体" w:cs="仿宋"/>
                <w:spacing w:val="-2"/>
                <w:sz w:val="24"/>
              </w:rPr>
              <w:t>（1）提供</w:t>
            </w:r>
            <w:r>
              <w:rPr>
                <w:rFonts w:hint="eastAsia" w:ascii="宋体" w:hAnsi="宋体" w:cs="宋体"/>
                <w:sz w:val="24"/>
                <w:lang w:eastAsia="zh-CN"/>
              </w:rPr>
              <w:t>202</w:t>
            </w:r>
            <w:r>
              <w:rPr>
                <w:rFonts w:hint="eastAsia" w:cs="宋体"/>
                <w:sz w:val="24"/>
                <w:lang w:val="en-US" w:eastAsia="zh-CN"/>
              </w:rPr>
              <w:t>3</w:t>
            </w:r>
            <w:r>
              <w:rPr>
                <w:rFonts w:hint="eastAsia" w:ascii="宋体" w:hAnsi="宋体" w:cs="宋体"/>
                <w:sz w:val="24"/>
                <w:lang w:eastAsia="zh-CN"/>
              </w:rPr>
              <w:t>年度</w:t>
            </w:r>
            <w:r>
              <w:rPr>
                <w:rFonts w:hint="eastAsia" w:cs="宋体"/>
                <w:sz w:val="24"/>
                <w:lang w:val="en-US" w:eastAsia="zh-CN"/>
              </w:rPr>
              <w:t>或2024年</w:t>
            </w:r>
            <w:r>
              <w:rPr>
                <w:rFonts w:hint="eastAsia" w:ascii="宋体" w:hAnsi="宋体" w:cs="宋体"/>
                <w:sz w:val="24"/>
                <w:lang w:eastAsia="zh-CN"/>
              </w:rPr>
              <w:t>至今任意一年的财务</w:t>
            </w:r>
            <w:r>
              <w:rPr>
                <w:rFonts w:hint="eastAsia" w:cs="宋体"/>
                <w:sz w:val="24"/>
                <w:lang w:val="en-US" w:eastAsia="zh-CN"/>
              </w:rPr>
              <w:t>审计</w:t>
            </w:r>
            <w:r>
              <w:rPr>
                <w:rFonts w:hint="eastAsia" w:ascii="宋体" w:hAnsi="宋体" w:cs="宋体"/>
                <w:sz w:val="24"/>
                <w:lang w:eastAsia="zh-CN"/>
              </w:rPr>
              <w:t>报告或财务报表或银行出具的资信证明</w:t>
            </w:r>
            <w:r>
              <w:rPr>
                <w:rFonts w:hint="eastAsia" w:ascii="宋体" w:hAnsi="宋体" w:cs="仿宋"/>
                <w:spacing w:val="-2"/>
                <w:sz w:val="24"/>
              </w:rPr>
              <w:t>；</w:t>
            </w:r>
          </w:p>
          <w:p w14:paraId="4D568E9E">
            <w:pPr>
              <w:spacing w:line="360" w:lineRule="auto"/>
              <w:jc w:val="left"/>
              <w:rPr>
                <w:rFonts w:hint="eastAsia" w:ascii="宋体" w:hAnsi="宋体" w:cs="仿宋"/>
                <w:spacing w:val="-2"/>
                <w:sz w:val="24"/>
              </w:rPr>
            </w:pPr>
            <w:r>
              <w:rPr>
                <w:rFonts w:ascii="宋体" w:hAnsi="宋体" w:cs="仿宋"/>
                <w:spacing w:val="-2"/>
                <w:sz w:val="24"/>
              </w:rPr>
              <w:t>（2）复印件加盖</w:t>
            </w:r>
            <w:r>
              <w:rPr>
                <w:rFonts w:hint="eastAsia" w:ascii="宋体" w:hAnsi="宋体" w:cs="仿宋"/>
                <w:spacing w:val="-2"/>
                <w:sz w:val="24"/>
              </w:rPr>
              <w:t>投标人</w:t>
            </w:r>
            <w:r>
              <w:rPr>
                <w:rFonts w:ascii="宋体" w:hAnsi="宋体" w:cs="仿宋"/>
                <w:spacing w:val="-2"/>
                <w:sz w:val="24"/>
              </w:rPr>
              <w:t xml:space="preserve">公章； </w:t>
            </w:r>
          </w:p>
        </w:tc>
        <w:tc>
          <w:tcPr>
            <w:tcW w:w="606" w:type="dxa"/>
            <w:noWrap w:val="0"/>
            <w:vAlign w:val="top"/>
          </w:tcPr>
          <w:p w14:paraId="1572F068">
            <w:pPr>
              <w:spacing w:line="360" w:lineRule="auto"/>
              <w:jc w:val="left"/>
              <w:rPr>
                <w:rFonts w:hint="eastAsia" w:ascii="宋体" w:hAnsi="宋体" w:cs="仿宋"/>
                <w:spacing w:val="-2"/>
                <w:sz w:val="24"/>
              </w:rPr>
            </w:pPr>
          </w:p>
        </w:tc>
        <w:tc>
          <w:tcPr>
            <w:tcW w:w="435" w:type="dxa"/>
            <w:noWrap w:val="0"/>
            <w:vAlign w:val="top"/>
          </w:tcPr>
          <w:p w14:paraId="7014463C">
            <w:pPr>
              <w:spacing w:line="360" w:lineRule="auto"/>
              <w:jc w:val="left"/>
              <w:rPr>
                <w:rFonts w:hint="eastAsia" w:ascii="宋体" w:hAnsi="宋体" w:cs="仿宋"/>
                <w:spacing w:val="-2"/>
                <w:sz w:val="24"/>
              </w:rPr>
            </w:pPr>
          </w:p>
        </w:tc>
        <w:tc>
          <w:tcPr>
            <w:tcW w:w="390" w:type="dxa"/>
            <w:noWrap w:val="0"/>
            <w:vAlign w:val="top"/>
          </w:tcPr>
          <w:p w14:paraId="3D561BC2">
            <w:pPr>
              <w:spacing w:line="360" w:lineRule="auto"/>
              <w:jc w:val="left"/>
              <w:rPr>
                <w:rFonts w:hint="eastAsia" w:ascii="宋体" w:hAnsi="宋体" w:cs="仿宋"/>
                <w:spacing w:val="-2"/>
                <w:sz w:val="24"/>
              </w:rPr>
            </w:pPr>
          </w:p>
        </w:tc>
      </w:tr>
      <w:tr w14:paraId="6252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85" w:type="dxa"/>
            <w:noWrap w:val="0"/>
            <w:vAlign w:val="center"/>
          </w:tcPr>
          <w:p w14:paraId="227A7C0E">
            <w:pPr>
              <w:spacing w:line="360" w:lineRule="auto"/>
              <w:jc w:val="center"/>
              <w:rPr>
                <w:rFonts w:hint="eastAsia" w:ascii="宋体" w:hAnsi="宋体" w:cs="仿宋"/>
                <w:spacing w:val="-2"/>
                <w:sz w:val="24"/>
              </w:rPr>
            </w:pPr>
            <w:r>
              <w:rPr>
                <w:rFonts w:hint="eastAsia" w:ascii="宋体" w:hAnsi="宋体" w:cs="仿宋"/>
                <w:spacing w:val="-2"/>
                <w:sz w:val="24"/>
              </w:rPr>
              <w:t>4</w:t>
            </w:r>
          </w:p>
        </w:tc>
        <w:tc>
          <w:tcPr>
            <w:tcW w:w="2235" w:type="dxa"/>
            <w:noWrap w:val="0"/>
            <w:vAlign w:val="center"/>
          </w:tcPr>
          <w:p w14:paraId="4BDDB831">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6204" w:type="dxa"/>
            <w:noWrap w:val="0"/>
            <w:vAlign w:val="center"/>
          </w:tcPr>
          <w:p w14:paraId="41784BA8">
            <w:pPr>
              <w:spacing w:line="360" w:lineRule="auto"/>
              <w:jc w:val="left"/>
              <w:rPr>
                <w:rFonts w:hint="eastAsia" w:ascii="宋体" w:hAnsi="宋体" w:cs="仿宋"/>
                <w:spacing w:val="-2"/>
                <w:sz w:val="24"/>
              </w:rPr>
            </w:pPr>
            <w:r>
              <w:rPr>
                <w:rFonts w:hint="eastAsia" w:ascii="宋体" w:hAnsi="宋体" w:cs="仿宋"/>
                <w:spacing w:val="-2"/>
                <w:sz w:val="24"/>
              </w:rPr>
              <w:t>提供了可充分满足履行合同所需设备和专业技术能力的承诺（格式自拟）</w:t>
            </w:r>
          </w:p>
        </w:tc>
        <w:tc>
          <w:tcPr>
            <w:tcW w:w="606" w:type="dxa"/>
            <w:noWrap w:val="0"/>
            <w:vAlign w:val="top"/>
          </w:tcPr>
          <w:p w14:paraId="605B611A">
            <w:pPr>
              <w:spacing w:line="360" w:lineRule="auto"/>
              <w:jc w:val="left"/>
              <w:rPr>
                <w:rFonts w:hint="eastAsia" w:ascii="宋体" w:hAnsi="宋体" w:cs="仿宋"/>
                <w:spacing w:val="-2"/>
                <w:sz w:val="24"/>
              </w:rPr>
            </w:pPr>
          </w:p>
        </w:tc>
        <w:tc>
          <w:tcPr>
            <w:tcW w:w="435" w:type="dxa"/>
            <w:noWrap w:val="0"/>
            <w:vAlign w:val="top"/>
          </w:tcPr>
          <w:p w14:paraId="6D515E6C">
            <w:pPr>
              <w:spacing w:line="360" w:lineRule="auto"/>
              <w:jc w:val="left"/>
              <w:rPr>
                <w:rFonts w:hint="eastAsia" w:ascii="宋体" w:hAnsi="宋体" w:cs="仿宋"/>
                <w:spacing w:val="-2"/>
                <w:sz w:val="24"/>
              </w:rPr>
            </w:pPr>
          </w:p>
        </w:tc>
        <w:tc>
          <w:tcPr>
            <w:tcW w:w="390" w:type="dxa"/>
            <w:noWrap w:val="0"/>
            <w:vAlign w:val="top"/>
          </w:tcPr>
          <w:p w14:paraId="7E4C52B2">
            <w:pPr>
              <w:spacing w:line="360" w:lineRule="auto"/>
              <w:jc w:val="left"/>
              <w:rPr>
                <w:rFonts w:hint="eastAsia" w:ascii="宋体" w:hAnsi="宋体" w:cs="仿宋"/>
                <w:spacing w:val="-2"/>
                <w:sz w:val="24"/>
              </w:rPr>
            </w:pPr>
          </w:p>
        </w:tc>
      </w:tr>
      <w:tr w14:paraId="4578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noWrap w:val="0"/>
            <w:vAlign w:val="center"/>
          </w:tcPr>
          <w:p w14:paraId="7933BF6B">
            <w:pPr>
              <w:spacing w:line="360" w:lineRule="auto"/>
              <w:jc w:val="center"/>
              <w:rPr>
                <w:rFonts w:hint="eastAsia" w:ascii="宋体" w:hAnsi="宋体" w:cs="仿宋"/>
                <w:spacing w:val="-2"/>
                <w:sz w:val="24"/>
              </w:rPr>
            </w:pPr>
            <w:r>
              <w:rPr>
                <w:rFonts w:hint="eastAsia" w:ascii="宋体" w:hAnsi="宋体" w:cs="仿宋"/>
                <w:spacing w:val="-2"/>
                <w:sz w:val="24"/>
              </w:rPr>
              <w:t>5</w:t>
            </w:r>
          </w:p>
        </w:tc>
        <w:tc>
          <w:tcPr>
            <w:tcW w:w="2235" w:type="dxa"/>
            <w:noWrap w:val="0"/>
            <w:vAlign w:val="center"/>
          </w:tcPr>
          <w:p w14:paraId="30CBC19C">
            <w:pPr>
              <w:spacing w:line="360" w:lineRule="auto"/>
              <w:jc w:val="center"/>
              <w:rPr>
                <w:rFonts w:hint="eastAsia" w:ascii="宋体" w:hAnsi="宋体" w:cs="仿宋"/>
                <w:sz w:val="24"/>
              </w:rPr>
            </w:pPr>
            <w:r>
              <w:rPr>
                <w:rFonts w:hint="eastAsia" w:ascii="宋体" w:hAnsi="宋体" w:cs="仿宋"/>
                <w:sz w:val="24"/>
              </w:rPr>
              <w:t>有依法缴纳税收和社会保障资金的良好记录</w:t>
            </w:r>
          </w:p>
        </w:tc>
        <w:tc>
          <w:tcPr>
            <w:tcW w:w="6204" w:type="dxa"/>
            <w:noWrap w:val="0"/>
            <w:vAlign w:val="top"/>
          </w:tcPr>
          <w:p w14:paraId="58AE71C7">
            <w:pPr>
              <w:spacing w:line="360" w:lineRule="auto"/>
              <w:jc w:val="left"/>
              <w:rPr>
                <w:rFonts w:hint="eastAsia" w:ascii="宋体" w:hAnsi="宋体" w:cs="仿宋"/>
                <w:spacing w:val="-2"/>
                <w:sz w:val="24"/>
              </w:rPr>
            </w:pPr>
            <w:r>
              <w:rPr>
                <w:rFonts w:hint="eastAsia" w:ascii="宋体" w:hAnsi="宋体" w:cs="仿宋"/>
                <w:spacing w:val="-2"/>
                <w:sz w:val="24"/>
              </w:rPr>
              <w:t>（1）提供开标前</w:t>
            </w:r>
            <w:r>
              <w:rPr>
                <w:rFonts w:hint="eastAsia" w:ascii="宋体" w:hAnsi="宋体" w:cs="仿宋"/>
                <w:spacing w:val="-2"/>
                <w:sz w:val="24"/>
                <w:lang w:eastAsia="zh-CN"/>
              </w:rPr>
              <w:t>六</w:t>
            </w:r>
            <w:r>
              <w:rPr>
                <w:rFonts w:hint="eastAsia" w:ascii="宋体" w:hAnsi="宋体" w:cs="仿宋"/>
                <w:spacing w:val="-2"/>
                <w:sz w:val="24"/>
              </w:rPr>
              <w:t>个月</w:t>
            </w:r>
            <w:r>
              <w:rPr>
                <w:rFonts w:hint="eastAsia" w:cs="仿宋"/>
                <w:spacing w:val="-2"/>
                <w:sz w:val="24"/>
                <w:lang w:val="en-US" w:eastAsia="zh-CN"/>
              </w:rPr>
              <w:t>内任意一个月</w:t>
            </w:r>
            <w:r>
              <w:rPr>
                <w:rFonts w:hint="eastAsia" w:ascii="宋体" w:hAnsi="宋体" w:cs="仿宋"/>
                <w:spacing w:val="-2"/>
                <w:sz w:val="24"/>
                <w:lang w:eastAsia="zh-CN"/>
              </w:rPr>
              <w:t>的</w:t>
            </w:r>
            <w:r>
              <w:rPr>
                <w:rFonts w:hint="eastAsia" w:ascii="宋体" w:hAnsi="宋体" w:cs="仿宋"/>
                <w:spacing w:val="-2"/>
                <w:sz w:val="24"/>
              </w:rPr>
              <w:t>依法缴纳税收证明，证明材料可以是缴费的银行单据等复印件并加盖公章或免缴纳证明；</w:t>
            </w:r>
          </w:p>
          <w:p w14:paraId="76DD4245">
            <w:pPr>
              <w:spacing w:line="360" w:lineRule="auto"/>
              <w:jc w:val="left"/>
              <w:rPr>
                <w:rFonts w:hint="eastAsia" w:eastAsia="仿宋"/>
              </w:rPr>
            </w:pPr>
            <w:r>
              <w:rPr>
                <w:rFonts w:hint="eastAsia" w:ascii="宋体" w:hAnsi="宋体" w:cs="仿宋"/>
                <w:spacing w:val="-2"/>
                <w:sz w:val="24"/>
              </w:rPr>
              <w:t>（2）提供开标前</w:t>
            </w:r>
            <w:r>
              <w:rPr>
                <w:rFonts w:hint="eastAsia" w:ascii="宋体" w:hAnsi="宋体" w:cs="仿宋"/>
                <w:spacing w:val="-2"/>
                <w:sz w:val="24"/>
                <w:lang w:eastAsia="zh-CN"/>
              </w:rPr>
              <w:t>六</w:t>
            </w:r>
            <w:r>
              <w:rPr>
                <w:rFonts w:hint="eastAsia" w:ascii="宋体" w:hAnsi="宋体" w:cs="仿宋"/>
                <w:spacing w:val="-2"/>
                <w:sz w:val="24"/>
              </w:rPr>
              <w:t>个月</w:t>
            </w:r>
            <w:r>
              <w:rPr>
                <w:rFonts w:hint="eastAsia" w:cs="仿宋"/>
                <w:spacing w:val="-2"/>
                <w:sz w:val="24"/>
                <w:lang w:val="en-US" w:eastAsia="zh-CN"/>
              </w:rPr>
              <w:t>内任意一个月</w:t>
            </w:r>
            <w:r>
              <w:rPr>
                <w:rFonts w:hint="eastAsia" w:ascii="宋体" w:hAnsi="宋体" w:cs="仿宋"/>
                <w:spacing w:val="-2"/>
                <w:sz w:val="24"/>
                <w:lang w:eastAsia="zh-CN"/>
              </w:rPr>
              <w:t>的</w:t>
            </w:r>
            <w:r>
              <w:rPr>
                <w:rFonts w:hint="eastAsia" w:ascii="宋体" w:hAnsi="宋体" w:cs="仿宋"/>
                <w:spacing w:val="-2"/>
                <w:sz w:val="24"/>
              </w:rPr>
              <w:t>依法缴纳社保证明，证明材料可以是缴费的银行单据或社保机构开具的证明等复印件并加盖公章或免缴纳证明。</w:t>
            </w:r>
          </w:p>
        </w:tc>
        <w:tc>
          <w:tcPr>
            <w:tcW w:w="606" w:type="dxa"/>
            <w:noWrap w:val="0"/>
            <w:vAlign w:val="top"/>
          </w:tcPr>
          <w:p w14:paraId="266C723F">
            <w:pPr>
              <w:spacing w:line="360" w:lineRule="auto"/>
              <w:jc w:val="left"/>
              <w:rPr>
                <w:rFonts w:hint="eastAsia" w:ascii="宋体" w:hAnsi="宋体" w:cs="仿宋"/>
                <w:spacing w:val="-2"/>
                <w:sz w:val="24"/>
              </w:rPr>
            </w:pPr>
          </w:p>
        </w:tc>
        <w:tc>
          <w:tcPr>
            <w:tcW w:w="435" w:type="dxa"/>
            <w:noWrap w:val="0"/>
            <w:vAlign w:val="top"/>
          </w:tcPr>
          <w:p w14:paraId="49703C08">
            <w:pPr>
              <w:spacing w:line="360" w:lineRule="auto"/>
              <w:jc w:val="left"/>
              <w:rPr>
                <w:rFonts w:hint="eastAsia" w:ascii="宋体" w:hAnsi="宋体" w:cs="仿宋"/>
                <w:spacing w:val="-2"/>
                <w:sz w:val="24"/>
              </w:rPr>
            </w:pPr>
          </w:p>
        </w:tc>
        <w:tc>
          <w:tcPr>
            <w:tcW w:w="390" w:type="dxa"/>
            <w:noWrap w:val="0"/>
            <w:vAlign w:val="top"/>
          </w:tcPr>
          <w:p w14:paraId="3535196C">
            <w:pPr>
              <w:spacing w:line="360" w:lineRule="auto"/>
              <w:jc w:val="left"/>
              <w:rPr>
                <w:rFonts w:hint="eastAsia" w:ascii="宋体" w:hAnsi="宋体" w:cs="仿宋"/>
                <w:spacing w:val="-2"/>
                <w:sz w:val="24"/>
              </w:rPr>
            </w:pPr>
          </w:p>
        </w:tc>
      </w:tr>
      <w:tr w14:paraId="356C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noWrap w:val="0"/>
            <w:vAlign w:val="center"/>
          </w:tcPr>
          <w:p w14:paraId="090E8A4F">
            <w:pPr>
              <w:spacing w:line="360" w:lineRule="auto"/>
              <w:jc w:val="center"/>
              <w:rPr>
                <w:rFonts w:hint="eastAsia" w:ascii="宋体" w:hAnsi="宋体" w:cs="仿宋" w:eastAsiaTheme="minorEastAsia"/>
                <w:spacing w:val="-2"/>
                <w:sz w:val="24"/>
                <w:lang w:val="en-US" w:eastAsia="zh-CN"/>
              </w:rPr>
            </w:pPr>
            <w:r>
              <w:rPr>
                <w:rFonts w:hint="eastAsia" w:ascii="宋体" w:hAnsi="宋体" w:cs="仿宋"/>
                <w:spacing w:val="-2"/>
                <w:sz w:val="24"/>
                <w:lang w:val="en-US" w:eastAsia="zh-CN"/>
              </w:rPr>
              <w:t>6</w:t>
            </w:r>
          </w:p>
        </w:tc>
        <w:tc>
          <w:tcPr>
            <w:tcW w:w="2235" w:type="dxa"/>
            <w:noWrap w:val="0"/>
            <w:vAlign w:val="center"/>
          </w:tcPr>
          <w:p w14:paraId="6C0C6CAD">
            <w:pPr>
              <w:spacing w:line="360" w:lineRule="auto"/>
              <w:jc w:val="center"/>
              <w:rPr>
                <w:rFonts w:hint="eastAsia" w:ascii="宋体" w:hAnsi="宋体" w:cs="仿宋"/>
                <w:sz w:val="24"/>
              </w:rPr>
            </w:pPr>
            <w:r>
              <w:rPr>
                <w:rFonts w:hint="eastAsia"/>
                <w:sz w:val="24"/>
                <w:szCs w:val="32"/>
              </w:rPr>
              <w:t>反商业贿赂承诺</w:t>
            </w:r>
          </w:p>
        </w:tc>
        <w:tc>
          <w:tcPr>
            <w:tcW w:w="6204" w:type="dxa"/>
            <w:noWrap w:val="0"/>
            <w:vAlign w:val="top"/>
          </w:tcPr>
          <w:p w14:paraId="015DFB31">
            <w:pPr>
              <w:spacing w:line="360" w:lineRule="auto"/>
              <w:jc w:val="left"/>
              <w:rPr>
                <w:rFonts w:hint="eastAsia" w:ascii="宋体" w:hAnsi="宋体" w:cs="仿宋" w:eastAsiaTheme="minorEastAsia"/>
                <w:spacing w:val="-2"/>
                <w:sz w:val="24"/>
                <w:lang w:eastAsia="zh-CN"/>
              </w:rPr>
            </w:pPr>
            <w:r>
              <w:rPr>
                <w:rFonts w:hint="eastAsia"/>
                <w:sz w:val="24"/>
                <w:szCs w:val="32"/>
              </w:rPr>
              <w:t>提供针对本次项目《反商业贿赂承诺书》</w:t>
            </w:r>
            <w:r>
              <w:rPr>
                <w:rFonts w:hint="eastAsia"/>
                <w:sz w:val="24"/>
                <w:szCs w:val="32"/>
                <w:lang w:eastAsia="zh-CN"/>
              </w:rPr>
              <w:t>。</w:t>
            </w:r>
            <w:r>
              <w:rPr>
                <w:rFonts w:hint="eastAsia" w:ascii="宋体" w:hAnsi="宋体" w:cs="仿宋"/>
                <w:spacing w:val="-2"/>
                <w:sz w:val="24"/>
              </w:rPr>
              <w:t>（格式自拟）</w:t>
            </w:r>
          </w:p>
        </w:tc>
        <w:tc>
          <w:tcPr>
            <w:tcW w:w="606" w:type="dxa"/>
            <w:noWrap w:val="0"/>
            <w:vAlign w:val="top"/>
          </w:tcPr>
          <w:p w14:paraId="60D68FAC">
            <w:pPr>
              <w:spacing w:line="360" w:lineRule="auto"/>
              <w:jc w:val="left"/>
              <w:rPr>
                <w:rFonts w:hint="eastAsia" w:ascii="宋体" w:hAnsi="宋体" w:cs="仿宋"/>
                <w:spacing w:val="-2"/>
                <w:sz w:val="24"/>
              </w:rPr>
            </w:pPr>
          </w:p>
        </w:tc>
        <w:tc>
          <w:tcPr>
            <w:tcW w:w="435" w:type="dxa"/>
            <w:noWrap w:val="0"/>
            <w:vAlign w:val="top"/>
          </w:tcPr>
          <w:p w14:paraId="703CE05D">
            <w:pPr>
              <w:spacing w:line="360" w:lineRule="auto"/>
              <w:jc w:val="left"/>
              <w:rPr>
                <w:rFonts w:hint="eastAsia" w:ascii="宋体" w:hAnsi="宋体" w:cs="仿宋"/>
                <w:spacing w:val="-2"/>
                <w:sz w:val="24"/>
              </w:rPr>
            </w:pPr>
          </w:p>
        </w:tc>
        <w:tc>
          <w:tcPr>
            <w:tcW w:w="390" w:type="dxa"/>
            <w:noWrap w:val="0"/>
            <w:vAlign w:val="top"/>
          </w:tcPr>
          <w:p w14:paraId="594F34D3">
            <w:pPr>
              <w:spacing w:line="360" w:lineRule="auto"/>
              <w:jc w:val="left"/>
              <w:rPr>
                <w:rFonts w:hint="eastAsia" w:ascii="宋体" w:hAnsi="宋体" w:cs="仿宋"/>
                <w:spacing w:val="-2"/>
                <w:sz w:val="24"/>
              </w:rPr>
            </w:pPr>
          </w:p>
        </w:tc>
      </w:tr>
      <w:tr w14:paraId="439F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585" w:type="dxa"/>
            <w:noWrap w:val="0"/>
            <w:vAlign w:val="center"/>
          </w:tcPr>
          <w:p w14:paraId="1CA3649B">
            <w:pPr>
              <w:spacing w:line="360" w:lineRule="auto"/>
              <w:jc w:val="center"/>
              <w:rPr>
                <w:rFonts w:hint="eastAsia" w:ascii="宋体" w:hAnsi="宋体" w:cs="仿宋" w:eastAsiaTheme="minorEastAsia"/>
                <w:spacing w:val="-2"/>
                <w:sz w:val="24"/>
                <w:lang w:eastAsia="zh-CN"/>
              </w:rPr>
            </w:pPr>
            <w:r>
              <w:rPr>
                <w:rFonts w:hint="eastAsia" w:ascii="宋体" w:hAnsi="宋体" w:cs="仿宋"/>
                <w:spacing w:val="-2"/>
                <w:sz w:val="24"/>
                <w:lang w:val="en-US" w:eastAsia="zh-CN"/>
              </w:rPr>
              <w:t>7</w:t>
            </w:r>
          </w:p>
        </w:tc>
        <w:tc>
          <w:tcPr>
            <w:tcW w:w="2235" w:type="dxa"/>
            <w:noWrap w:val="0"/>
            <w:vAlign w:val="center"/>
          </w:tcPr>
          <w:p w14:paraId="4FD8CD1A">
            <w:pPr>
              <w:spacing w:line="360" w:lineRule="auto"/>
              <w:jc w:val="center"/>
              <w:rPr>
                <w:rFonts w:hint="eastAsia" w:ascii="宋体" w:hAnsi="宋体" w:cs="仿宋"/>
                <w:sz w:val="24"/>
              </w:rPr>
            </w:pPr>
            <w:r>
              <w:rPr>
                <w:rFonts w:hint="eastAsia" w:ascii="宋体" w:hAnsi="宋体" w:cs="仿宋"/>
                <w:sz w:val="24"/>
              </w:rPr>
              <w:t>投标人声明函</w:t>
            </w:r>
          </w:p>
        </w:tc>
        <w:tc>
          <w:tcPr>
            <w:tcW w:w="6204" w:type="dxa"/>
            <w:noWrap w:val="0"/>
            <w:vAlign w:val="top"/>
          </w:tcPr>
          <w:p w14:paraId="09BC2398">
            <w:pPr>
              <w:spacing w:line="360" w:lineRule="auto"/>
              <w:rPr>
                <w:rFonts w:hint="eastAsia" w:ascii="宋体" w:hAnsi="宋体" w:cs="仿宋"/>
                <w:sz w:val="24"/>
              </w:rPr>
            </w:pPr>
            <w:r>
              <w:rPr>
                <w:rFonts w:hint="eastAsia" w:ascii="宋体" w:hAnsi="宋体" w:cs="仿宋"/>
                <w:sz w:val="24"/>
              </w:rPr>
              <w:t>提供了参加政府采购活动前三年内，在经营活动中没有重大违法记录的书面声明；</w:t>
            </w:r>
          </w:p>
          <w:p w14:paraId="24D78821">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606" w:type="dxa"/>
            <w:noWrap w:val="0"/>
            <w:vAlign w:val="top"/>
          </w:tcPr>
          <w:p w14:paraId="36CCBBBD">
            <w:pPr>
              <w:spacing w:line="360" w:lineRule="auto"/>
              <w:jc w:val="left"/>
              <w:rPr>
                <w:rFonts w:hint="eastAsia" w:ascii="宋体" w:hAnsi="宋体" w:cs="仿宋"/>
                <w:spacing w:val="-2"/>
                <w:sz w:val="24"/>
              </w:rPr>
            </w:pPr>
          </w:p>
        </w:tc>
        <w:tc>
          <w:tcPr>
            <w:tcW w:w="435" w:type="dxa"/>
            <w:noWrap w:val="0"/>
            <w:vAlign w:val="top"/>
          </w:tcPr>
          <w:p w14:paraId="06F91211">
            <w:pPr>
              <w:spacing w:line="360" w:lineRule="auto"/>
              <w:jc w:val="left"/>
              <w:rPr>
                <w:rFonts w:hint="eastAsia" w:ascii="宋体" w:hAnsi="宋体" w:cs="仿宋"/>
                <w:spacing w:val="-2"/>
                <w:sz w:val="24"/>
              </w:rPr>
            </w:pPr>
          </w:p>
        </w:tc>
        <w:tc>
          <w:tcPr>
            <w:tcW w:w="390" w:type="dxa"/>
            <w:noWrap w:val="0"/>
            <w:vAlign w:val="top"/>
          </w:tcPr>
          <w:p w14:paraId="0410560A">
            <w:pPr>
              <w:spacing w:line="360" w:lineRule="auto"/>
              <w:jc w:val="left"/>
              <w:rPr>
                <w:rFonts w:hint="eastAsia" w:ascii="宋体" w:hAnsi="宋体" w:cs="仿宋"/>
                <w:spacing w:val="-2"/>
                <w:sz w:val="24"/>
              </w:rPr>
            </w:pPr>
          </w:p>
        </w:tc>
      </w:tr>
      <w:tr w14:paraId="13D7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585" w:type="dxa"/>
            <w:noWrap w:val="0"/>
            <w:vAlign w:val="center"/>
          </w:tcPr>
          <w:p w14:paraId="0A4B887C">
            <w:pPr>
              <w:spacing w:line="360" w:lineRule="auto"/>
              <w:jc w:val="center"/>
              <w:rPr>
                <w:rFonts w:hint="eastAsia" w:ascii="宋体" w:hAnsi="宋体" w:cs="仿宋" w:eastAsiaTheme="minorEastAsia"/>
                <w:spacing w:val="-2"/>
                <w:sz w:val="24"/>
                <w:lang w:eastAsia="zh-CN"/>
              </w:rPr>
            </w:pPr>
            <w:r>
              <w:rPr>
                <w:rFonts w:hint="eastAsia" w:ascii="宋体" w:hAnsi="宋体" w:cs="仿宋"/>
                <w:spacing w:val="-2"/>
                <w:sz w:val="24"/>
                <w:lang w:val="en-US" w:eastAsia="zh-CN"/>
              </w:rPr>
              <w:t>8</w:t>
            </w:r>
          </w:p>
        </w:tc>
        <w:tc>
          <w:tcPr>
            <w:tcW w:w="2235" w:type="dxa"/>
            <w:noWrap w:val="0"/>
            <w:vAlign w:val="center"/>
          </w:tcPr>
          <w:p w14:paraId="3E4952D6">
            <w:pPr>
              <w:spacing w:line="360" w:lineRule="auto"/>
              <w:jc w:val="center"/>
              <w:rPr>
                <w:rFonts w:hint="eastAsia" w:ascii="宋体" w:hAnsi="宋体" w:cs="仿宋"/>
                <w:sz w:val="24"/>
              </w:rPr>
            </w:pPr>
            <w:r>
              <w:rPr>
                <w:rFonts w:hint="eastAsia" w:ascii="宋体" w:hAnsi="宋体" w:cs="仿宋"/>
                <w:sz w:val="24"/>
              </w:rPr>
              <w:t>信用信息查询</w:t>
            </w:r>
          </w:p>
        </w:tc>
        <w:tc>
          <w:tcPr>
            <w:tcW w:w="6204" w:type="dxa"/>
            <w:noWrap w:val="0"/>
            <w:vAlign w:val="top"/>
          </w:tcPr>
          <w:p w14:paraId="60AD2C36">
            <w:pPr>
              <w:spacing w:line="360" w:lineRule="auto"/>
              <w:jc w:val="left"/>
              <w:rPr>
                <w:rFonts w:hint="eastAsia" w:ascii="宋体" w:hAnsi="宋体" w:cs="仿宋"/>
                <w:spacing w:val="-2"/>
                <w:sz w:val="24"/>
              </w:rPr>
            </w:pPr>
            <w:r>
              <w:rPr>
                <w:rFonts w:hint="eastAsia" w:ascii="宋体" w:hAnsi="宋体" w:cs="仿宋"/>
                <w:spacing w:val="-2"/>
                <w:sz w:val="24"/>
                <w:lang w:val="en-US" w:eastAsia="zh-CN"/>
              </w:rPr>
              <w:t>查询渠道：信用中国网站和中国政府采购网（www.creditchina.gov.cn 、www.ccgp.gov.cn）；</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截止时点：投标截止时间以后、资格审查阶段采购人或采购代理机构的实际查询时间；</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信用信息查询记录和证据留存具体方式：查询结果网页打印页作为查询记录和证据，与其他采购文件一并保存；</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606" w:type="dxa"/>
            <w:noWrap w:val="0"/>
            <w:vAlign w:val="top"/>
          </w:tcPr>
          <w:p w14:paraId="3A8C771A">
            <w:pPr>
              <w:spacing w:line="360" w:lineRule="auto"/>
              <w:jc w:val="left"/>
              <w:rPr>
                <w:rFonts w:hint="eastAsia" w:ascii="宋体" w:hAnsi="宋体" w:cs="仿宋"/>
                <w:spacing w:val="-2"/>
                <w:sz w:val="24"/>
              </w:rPr>
            </w:pPr>
          </w:p>
        </w:tc>
        <w:tc>
          <w:tcPr>
            <w:tcW w:w="435" w:type="dxa"/>
            <w:noWrap w:val="0"/>
            <w:vAlign w:val="top"/>
          </w:tcPr>
          <w:p w14:paraId="2AE545B8">
            <w:pPr>
              <w:spacing w:line="360" w:lineRule="auto"/>
              <w:jc w:val="left"/>
              <w:rPr>
                <w:rFonts w:hint="eastAsia" w:ascii="宋体" w:hAnsi="宋体" w:cs="仿宋"/>
                <w:spacing w:val="-2"/>
                <w:sz w:val="24"/>
              </w:rPr>
            </w:pPr>
          </w:p>
        </w:tc>
        <w:tc>
          <w:tcPr>
            <w:tcW w:w="390" w:type="dxa"/>
            <w:noWrap w:val="0"/>
            <w:vAlign w:val="top"/>
          </w:tcPr>
          <w:p w14:paraId="03C76E28">
            <w:pPr>
              <w:spacing w:line="360" w:lineRule="auto"/>
              <w:jc w:val="left"/>
              <w:rPr>
                <w:rFonts w:hint="eastAsia" w:ascii="宋体" w:hAnsi="宋体" w:cs="仿宋"/>
                <w:spacing w:val="-2"/>
                <w:sz w:val="24"/>
              </w:rPr>
            </w:pPr>
          </w:p>
        </w:tc>
      </w:tr>
      <w:tr w14:paraId="270E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85" w:type="dxa"/>
            <w:noWrap w:val="0"/>
            <w:vAlign w:val="center"/>
          </w:tcPr>
          <w:p w14:paraId="65CD78FD">
            <w:pPr>
              <w:spacing w:line="360" w:lineRule="auto"/>
              <w:jc w:val="center"/>
              <w:rPr>
                <w:rFonts w:hint="default" w:cs="仿宋"/>
                <w:spacing w:val="-2"/>
                <w:sz w:val="24"/>
                <w:lang w:val="en-US" w:eastAsia="zh-CN"/>
              </w:rPr>
            </w:pPr>
            <w:r>
              <w:rPr>
                <w:rFonts w:hint="eastAsia" w:cs="仿宋"/>
                <w:spacing w:val="-2"/>
                <w:sz w:val="24"/>
                <w:lang w:val="en-US" w:eastAsia="zh-CN"/>
              </w:rPr>
              <w:t>9</w:t>
            </w:r>
          </w:p>
        </w:tc>
        <w:tc>
          <w:tcPr>
            <w:tcW w:w="2235" w:type="dxa"/>
            <w:noWrap w:val="0"/>
            <w:vAlign w:val="center"/>
          </w:tcPr>
          <w:p w14:paraId="55A6629F">
            <w:pPr>
              <w:spacing w:line="360" w:lineRule="auto"/>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采购政策</w:t>
            </w:r>
          </w:p>
        </w:tc>
        <w:tc>
          <w:tcPr>
            <w:tcW w:w="6204" w:type="dxa"/>
            <w:noWrap w:val="0"/>
            <w:vAlign w:val="top"/>
          </w:tcPr>
          <w:p w14:paraId="0ADE31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sz w:val="24"/>
                <w:szCs w:val="24"/>
                <w:highlight w:val="none"/>
                <w:lang w:val="en-US" w:eastAsia="zh-CN"/>
              </w:rPr>
            </w:pPr>
            <w:r>
              <w:rPr>
                <w:rFonts w:hint="eastAsia" w:cs="宋体"/>
                <w:sz w:val="24"/>
                <w:szCs w:val="24"/>
                <w:highlight w:val="none"/>
                <w:lang w:val="en-US" w:eastAsia="zh-CN"/>
              </w:rPr>
              <w:t>本项目专门面向中小企业，提供中小企业声明函。</w:t>
            </w:r>
          </w:p>
        </w:tc>
        <w:tc>
          <w:tcPr>
            <w:tcW w:w="606" w:type="dxa"/>
            <w:noWrap w:val="0"/>
            <w:vAlign w:val="top"/>
          </w:tcPr>
          <w:p w14:paraId="5D416EEE">
            <w:pPr>
              <w:spacing w:line="360" w:lineRule="auto"/>
              <w:jc w:val="left"/>
              <w:rPr>
                <w:rFonts w:hint="eastAsia" w:ascii="宋体" w:hAnsi="宋体" w:cs="仿宋"/>
                <w:spacing w:val="-2"/>
                <w:sz w:val="24"/>
              </w:rPr>
            </w:pPr>
          </w:p>
        </w:tc>
        <w:tc>
          <w:tcPr>
            <w:tcW w:w="435" w:type="dxa"/>
            <w:noWrap w:val="0"/>
            <w:vAlign w:val="top"/>
          </w:tcPr>
          <w:p w14:paraId="636175AB">
            <w:pPr>
              <w:spacing w:line="360" w:lineRule="auto"/>
              <w:jc w:val="left"/>
              <w:rPr>
                <w:rFonts w:hint="eastAsia" w:ascii="宋体" w:hAnsi="宋体" w:cs="仿宋"/>
                <w:spacing w:val="-2"/>
                <w:sz w:val="24"/>
              </w:rPr>
            </w:pPr>
          </w:p>
        </w:tc>
        <w:tc>
          <w:tcPr>
            <w:tcW w:w="390" w:type="dxa"/>
            <w:noWrap w:val="0"/>
            <w:vAlign w:val="top"/>
          </w:tcPr>
          <w:p w14:paraId="012C1CE4">
            <w:pPr>
              <w:spacing w:line="360" w:lineRule="auto"/>
              <w:jc w:val="left"/>
              <w:rPr>
                <w:rFonts w:hint="eastAsia" w:ascii="宋体" w:hAnsi="宋体" w:cs="仿宋"/>
                <w:spacing w:val="-2"/>
                <w:sz w:val="24"/>
              </w:rPr>
            </w:pPr>
          </w:p>
        </w:tc>
      </w:tr>
      <w:tr w14:paraId="7507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85" w:type="dxa"/>
            <w:noWrap w:val="0"/>
            <w:vAlign w:val="center"/>
          </w:tcPr>
          <w:p w14:paraId="50505A37">
            <w:pPr>
              <w:spacing w:line="360" w:lineRule="auto"/>
              <w:jc w:val="center"/>
              <w:rPr>
                <w:rFonts w:hint="default" w:ascii="宋体" w:hAnsi="宋体" w:cs="仿宋" w:eastAsiaTheme="minorEastAsia"/>
                <w:spacing w:val="-2"/>
                <w:sz w:val="24"/>
                <w:lang w:val="en-US" w:eastAsia="zh-CN"/>
              </w:rPr>
            </w:pPr>
            <w:r>
              <w:rPr>
                <w:rFonts w:hint="eastAsia" w:cs="仿宋"/>
                <w:spacing w:val="-2"/>
                <w:sz w:val="24"/>
                <w:lang w:val="en-US" w:eastAsia="zh-CN"/>
              </w:rPr>
              <w:t>10</w:t>
            </w:r>
          </w:p>
        </w:tc>
        <w:tc>
          <w:tcPr>
            <w:tcW w:w="2235" w:type="dxa"/>
            <w:noWrap w:val="0"/>
            <w:vAlign w:val="center"/>
          </w:tcPr>
          <w:p w14:paraId="3843A443">
            <w:pPr>
              <w:spacing w:line="360" w:lineRule="auto"/>
              <w:jc w:val="center"/>
              <w:rPr>
                <w:rFonts w:hint="eastAsia" w:ascii="宋体" w:hAnsi="宋体" w:cs="仿宋"/>
                <w:sz w:val="24"/>
              </w:rPr>
            </w:pPr>
            <w:r>
              <w:rPr>
                <w:rFonts w:ascii="宋体" w:hAnsi="宋体" w:eastAsia="宋体" w:cs="宋体"/>
                <w:sz w:val="24"/>
                <w:szCs w:val="24"/>
              </w:rPr>
              <w:t>特定资格要求</w:t>
            </w:r>
          </w:p>
        </w:tc>
        <w:tc>
          <w:tcPr>
            <w:tcW w:w="6204" w:type="dxa"/>
            <w:noWrap w:val="0"/>
            <w:vAlign w:val="top"/>
          </w:tcPr>
          <w:p w14:paraId="5F59E89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 xml:space="preserve"> 法定代表人或单位负责人为同一人或者存在直接控股、管理关系的不同供应商，不得参加同一合同项下的政府采购活动。</w:t>
            </w:r>
          </w:p>
          <w:p w14:paraId="2CB7D6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 xml:space="preserve"> 除单一来源采购项目外，为采购项目提供整体设计、规范编制或者项目管理、监理、检测等服务的供应商，不得再参加该采购项目的其他采购活动。</w:t>
            </w:r>
          </w:p>
        </w:tc>
        <w:tc>
          <w:tcPr>
            <w:tcW w:w="606" w:type="dxa"/>
            <w:noWrap w:val="0"/>
            <w:vAlign w:val="top"/>
          </w:tcPr>
          <w:p w14:paraId="16DDAB5A">
            <w:pPr>
              <w:spacing w:line="360" w:lineRule="auto"/>
              <w:jc w:val="left"/>
              <w:rPr>
                <w:rFonts w:hint="eastAsia" w:ascii="宋体" w:hAnsi="宋体" w:cs="仿宋"/>
                <w:spacing w:val="-2"/>
                <w:sz w:val="24"/>
              </w:rPr>
            </w:pPr>
          </w:p>
        </w:tc>
        <w:tc>
          <w:tcPr>
            <w:tcW w:w="435" w:type="dxa"/>
            <w:noWrap w:val="0"/>
            <w:vAlign w:val="top"/>
          </w:tcPr>
          <w:p w14:paraId="0EC260B2">
            <w:pPr>
              <w:spacing w:line="360" w:lineRule="auto"/>
              <w:jc w:val="left"/>
              <w:rPr>
                <w:rFonts w:hint="eastAsia" w:ascii="宋体" w:hAnsi="宋体" w:cs="仿宋"/>
                <w:spacing w:val="-2"/>
                <w:sz w:val="24"/>
              </w:rPr>
            </w:pPr>
          </w:p>
        </w:tc>
        <w:tc>
          <w:tcPr>
            <w:tcW w:w="390" w:type="dxa"/>
            <w:noWrap w:val="0"/>
            <w:vAlign w:val="top"/>
          </w:tcPr>
          <w:p w14:paraId="420FB241">
            <w:pPr>
              <w:spacing w:line="360" w:lineRule="auto"/>
              <w:jc w:val="left"/>
              <w:rPr>
                <w:rFonts w:hint="eastAsia" w:ascii="宋体" w:hAnsi="宋体" w:cs="仿宋"/>
                <w:spacing w:val="-2"/>
                <w:sz w:val="24"/>
              </w:rPr>
            </w:pPr>
          </w:p>
        </w:tc>
      </w:tr>
      <w:tr w14:paraId="7CEA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820" w:type="dxa"/>
            <w:gridSpan w:val="2"/>
            <w:noWrap w:val="0"/>
            <w:vAlign w:val="center"/>
          </w:tcPr>
          <w:p w14:paraId="33B458EC">
            <w:pPr>
              <w:spacing w:line="360" w:lineRule="auto"/>
              <w:jc w:val="center"/>
              <w:rPr>
                <w:rFonts w:hint="eastAsia" w:ascii="宋体" w:hAnsi="宋体" w:cs="仿宋"/>
                <w:sz w:val="24"/>
              </w:rPr>
            </w:pPr>
            <w:r>
              <w:rPr>
                <w:rFonts w:hint="eastAsia" w:ascii="宋体" w:hAnsi="宋体" w:cs="仿宋"/>
                <w:spacing w:val="-2"/>
                <w:sz w:val="24"/>
              </w:rPr>
              <w:t>结论</w:t>
            </w:r>
          </w:p>
        </w:tc>
        <w:tc>
          <w:tcPr>
            <w:tcW w:w="6204" w:type="dxa"/>
            <w:noWrap w:val="0"/>
            <w:vAlign w:val="top"/>
          </w:tcPr>
          <w:p w14:paraId="5E33CE2F">
            <w:pPr>
              <w:spacing w:line="360" w:lineRule="auto"/>
              <w:jc w:val="left"/>
              <w:rPr>
                <w:rFonts w:hint="eastAsia" w:ascii="宋体" w:hAnsi="宋体" w:cs="仿宋"/>
                <w:spacing w:val="-2"/>
                <w:sz w:val="24"/>
              </w:rPr>
            </w:pPr>
          </w:p>
        </w:tc>
        <w:tc>
          <w:tcPr>
            <w:tcW w:w="606" w:type="dxa"/>
            <w:noWrap w:val="0"/>
            <w:vAlign w:val="top"/>
          </w:tcPr>
          <w:p w14:paraId="32A120C8">
            <w:pPr>
              <w:spacing w:line="360" w:lineRule="auto"/>
              <w:jc w:val="left"/>
              <w:rPr>
                <w:rFonts w:hint="eastAsia" w:ascii="宋体" w:hAnsi="宋体" w:cs="仿宋"/>
                <w:spacing w:val="-2"/>
                <w:sz w:val="24"/>
              </w:rPr>
            </w:pPr>
          </w:p>
        </w:tc>
        <w:tc>
          <w:tcPr>
            <w:tcW w:w="435" w:type="dxa"/>
            <w:noWrap w:val="0"/>
            <w:vAlign w:val="top"/>
          </w:tcPr>
          <w:p w14:paraId="0A30935F">
            <w:pPr>
              <w:spacing w:line="360" w:lineRule="auto"/>
              <w:jc w:val="left"/>
              <w:rPr>
                <w:rFonts w:hint="eastAsia" w:ascii="宋体" w:hAnsi="宋体" w:cs="仿宋"/>
                <w:spacing w:val="-2"/>
                <w:sz w:val="24"/>
              </w:rPr>
            </w:pPr>
          </w:p>
        </w:tc>
        <w:tc>
          <w:tcPr>
            <w:tcW w:w="390" w:type="dxa"/>
            <w:noWrap w:val="0"/>
            <w:vAlign w:val="top"/>
          </w:tcPr>
          <w:p w14:paraId="1B9C4736">
            <w:pPr>
              <w:spacing w:line="360" w:lineRule="auto"/>
              <w:jc w:val="left"/>
              <w:rPr>
                <w:rFonts w:hint="eastAsia" w:ascii="宋体" w:hAnsi="宋体" w:cs="仿宋"/>
                <w:spacing w:val="-2"/>
                <w:sz w:val="24"/>
              </w:rPr>
            </w:pPr>
          </w:p>
        </w:tc>
      </w:tr>
    </w:tbl>
    <w:p w14:paraId="1C79E11B">
      <w:pPr>
        <w:keepNext w:val="0"/>
        <w:keepLines w:val="0"/>
        <w:pageBreakBefore w:val="0"/>
        <w:widowControl w:val="0"/>
        <w:kinsoku/>
        <w:overflowPunct/>
        <w:topLinePunct w:val="0"/>
        <w:autoSpaceDE/>
        <w:autoSpaceDN/>
        <w:bidi w:val="0"/>
        <w:adjustRightInd/>
        <w:snapToGrid/>
        <w:spacing w:line="420" w:lineRule="exact"/>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zh-CN" w:eastAsia="zh-CN" w:bidi="ar-SA"/>
        </w:rPr>
        <w:t>备注：</w:t>
      </w:r>
    </w:p>
    <w:p w14:paraId="509818B3">
      <w:pPr>
        <w:pStyle w:val="39"/>
        <w:keepNext w:val="0"/>
        <w:keepLines w:val="0"/>
        <w:pageBreakBefore w:val="0"/>
        <w:widowControl w:val="0"/>
        <w:kinsoku/>
        <w:overflowPunct/>
        <w:topLinePunct w:val="0"/>
        <w:autoSpaceDE/>
        <w:autoSpaceDN/>
        <w:bidi w:val="0"/>
        <w:adjustRightInd/>
        <w:snapToGrid/>
        <w:spacing w:line="420" w:lineRule="exact"/>
        <w:ind w:firstLine="480"/>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zh-CN" w:eastAsia="zh-CN" w:bidi="ar-SA"/>
        </w:rPr>
        <w:t>1.供应商须按上表格式要求提供相关证明文件，响应文件中须编入清晰的扫描件或网页截图。所有证明材料须清晰可辨认，如因证明材料模糊无法辨认，缺页、漏页导致无法进行评审认定的，责任由供应商</w:t>
      </w:r>
      <w:r>
        <w:rPr>
          <w:rFonts w:hint="eastAsia" w:ascii="宋体" w:hAnsi="宋体" w:eastAsia="宋体" w:cstheme="minorBidi"/>
          <w:i w:val="0"/>
          <w:iCs w:val="0"/>
          <w:color w:val="auto"/>
          <w:kern w:val="2"/>
          <w:sz w:val="24"/>
          <w:szCs w:val="22"/>
          <w:highlight w:val="none"/>
          <w:lang w:val="en-US" w:eastAsia="zh-CN" w:bidi="ar-SA"/>
        </w:rPr>
        <w:t>承担</w:t>
      </w:r>
      <w:r>
        <w:rPr>
          <w:rFonts w:hint="eastAsia" w:ascii="宋体" w:hAnsi="宋体" w:eastAsia="宋体" w:cstheme="minorBidi"/>
          <w:i w:val="0"/>
          <w:iCs w:val="0"/>
          <w:color w:val="auto"/>
          <w:kern w:val="2"/>
          <w:sz w:val="24"/>
          <w:szCs w:val="22"/>
          <w:highlight w:val="none"/>
          <w:lang w:val="zh-CN" w:eastAsia="zh-CN" w:bidi="ar-SA"/>
        </w:rPr>
        <w:t>。</w:t>
      </w:r>
    </w:p>
    <w:p w14:paraId="34298128">
      <w:pPr>
        <w:pStyle w:val="39"/>
        <w:keepNext w:val="0"/>
        <w:keepLines w:val="0"/>
        <w:pageBreakBefore w:val="0"/>
        <w:widowControl w:val="0"/>
        <w:numPr>
          <w:ilvl w:val="0"/>
          <w:numId w:val="0"/>
        </w:numPr>
        <w:kinsoku/>
        <w:overflowPunct/>
        <w:topLinePunct w:val="0"/>
        <w:autoSpaceDE/>
        <w:autoSpaceDN/>
        <w:bidi w:val="0"/>
        <w:adjustRightInd/>
        <w:snapToGrid/>
        <w:spacing w:line="420" w:lineRule="exact"/>
        <w:ind w:firstLine="480" w:firstLineChars="200"/>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en-US" w:eastAsia="zh-CN" w:bidi="ar-SA"/>
        </w:rPr>
        <w:t>2.</w:t>
      </w:r>
      <w:r>
        <w:rPr>
          <w:rFonts w:hint="eastAsia" w:ascii="宋体" w:hAnsi="宋体" w:eastAsia="宋体" w:cstheme="minorBidi"/>
          <w:i w:val="0"/>
          <w:iCs w:val="0"/>
          <w:color w:val="auto"/>
          <w:kern w:val="2"/>
          <w:sz w:val="24"/>
          <w:szCs w:val="22"/>
          <w:highlight w:val="none"/>
          <w:lang w:val="zh-CN" w:eastAsia="zh-CN" w:bidi="ar-SA"/>
        </w:rPr>
        <w:t>信用信息核查</w:t>
      </w:r>
    </w:p>
    <w:p w14:paraId="3DA3DB26">
      <w:pPr>
        <w:pStyle w:val="35"/>
        <w:keepNext w:val="0"/>
        <w:keepLines w:val="0"/>
        <w:pageBreakBefore w:val="0"/>
        <w:widowControl w:val="0"/>
        <w:kinsoku/>
        <w:overflowPunct/>
        <w:topLinePunct w:val="0"/>
        <w:autoSpaceDE/>
        <w:autoSpaceDN/>
        <w:bidi w:val="0"/>
        <w:adjustRightInd/>
        <w:snapToGrid/>
        <w:spacing w:line="420" w:lineRule="exact"/>
        <w:ind w:firstLine="480"/>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zh-CN" w:eastAsia="zh-CN" w:bidi="ar-SA"/>
        </w:rPr>
        <w:t>2.1资格审查阶段应当核查供应商信用记录，供应商被列入失信被执行人、重大税收违法失信主体、政府采购严重违法失信行为记录名单的，采购</w:t>
      </w:r>
      <w:r>
        <w:rPr>
          <w:rFonts w:hint="eastAsia" w:ascii="宋体" w:hAnsi="宋体" w:eastAsia="宋体" w:cstheme="minorBidi"/>
          <w:i w:val="0"/>
          <w:iCs w:val="0"/>
          <w:color w:val="auto"/>
          <w:kern w:val="2"/>
          <w:sz w:val="24"/>
          <w:szCs w:val="22"/>
          <w:highlight w:val="none"/>
          <w:lang w:val="en-US" w:eastAsia="zh-CN" w:bidi="ar-SA"/>
        </w:rPr>
        <w:t>人</w:t>
      </w:r>
      <w:r>
        <w:rPr>
          <w:rFonts w:hint="eastAsia" w:ascii="宋体" w:hAnsi="宋体" w:eastAsia="宋体" w:cstheme="minorBidi"/>
          <w:i w:val="0"/>
          <w:iCs w:val="0"/>
          <w:color w:val="auto"/>
          <w:kern w:val="2"/>
          <w:sz w:val="24"/>
          <w:szCs w:val="22"/>
          <w:highlight w:val="none"/>
          <w:lang w:val="zh-CN" w:eastAsia="zh-CN" w:bidi="ar-SA"/>
        </w:rPr>
        <w:t>拒绝其参与政府采购活动。</w:t>
      </w:r>
    </w:p>
    <w:p w14:paraId="46EE3573">
      <w:pPr>
        <w:pStyle w:val="35"/>
        <w:keepNext w:val="0"/>
        <w:keepLines w:val="0"/>
        <w:pageBreakBefore w:val="0"/>
        <w:widowControl w:val="0"/>
        <w:kinsoku/>
        <w:overflowPunct/>
        <w:topLinePunct w:val="0"/>
        <w:autoSpaceDE/>
        <w:autoSpaceDN/>
        <w:bidi w:val="0"/>
        <w:adjustRightInd/>
        <w:snapToGrid/>
        <w:spacing w:line="420" w:lineRule="exact"/>
        <w:ind w:firstLine="480"/>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zh-CN" w:eastAsia="zh-CN" w:bidi="ar-SA"/>
        </w:rPr>
        <w:t>2.2以联合体形式参与磋商的，应当核查联合体所有成员和信用记录，联合体成员存在不良信用记录的，视同联合体存在不良信用信息。</w:t>
      </w:r>
    </w:p>
    <w:p w14:paraId="4CA1DFCD">
      <w:pPr>
        <w:pStyle w:val="39"/>
        <w:keepNext w:val="0"/>
        <w:keepLines w:val="0"/>
        <w:pageBreakBefore w:val="0"/>
        <w:widowControl w:val="0"/>
        <w:numPr>
          <w:ilvl w:val="0"/>
          <w:numId w:val="0"/>
        </w:numPr>
        <w:kinsoku/>
        <w:overflowPunct/>
        <w:topLinePunct w:val="0"/>
        <w:autoSpaceDE/>
        <w:autoSpaceDN/>
        <w:bidi w:val="0"/>
        <w:adjustRightInd/>
        <w:snapToGrid/>
        <w:spacing w:line="420" w:lineRule="exact"/>
        <w:ind w:firstLine="480" w:firstLineChars="200"/>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en-US" w:eastAsia="zh-CN" w:bidi="ar-SA"/>
        </w:rPr>
        <w:t>3.</w:t>
      </w:r>
      <w:r>
        <w:rPr>
          <w:rFonts w:hint="eastAsia" w:ascii="宋体" w:hAnsi="宋体" w:eastAsia="宋体" w:cstheme="minorBidi"/>
          <w:i w:val="0"/>
          <w:iCs w:val="0"/>
          <w:color w:val="auto"/>
          <w:kern w:val="2"/>
          <w:sz w:val="24"/>
          <w:szCs w:val="22"/>
          <w:highlight w:val="none"/>
          <w:lang w:val="zh-CN" w:eastAsia="zh-CN" w:bidi="ar-SA"/>
        </w:rPr>
        <w:t>对于响应文件中有任意一条不满足上表要求的，将导致其</w:t>
      </w:r>
      <w:r>
        <w:rPr>
          <w:rFonts w:hint="eastAsia" w:ascii="宋体" w:hAnsi="宋体" w:eastAsia="宋体" w:cstheme="minorBidi"/>
          <w:b/>
          <w:bCs/>
          <w:i w:val="0"/>
          <w:iCs w:val="0"/>
          <w:color w:val="auto"/>
          <w:kern w:val="2"/>
          <w:sz w:val="24"/>
          <w:szCs w:val="22"/>
          <w:highlight w:val="none"/>
          <w:lang w:val="zh-CN" w:eastAsia="zh-CN" w:bidi="ar-SA"/>
        </w:rPr>
        <w:t>响应无效</w:t>
      </w:r>
      <w:r>
        <w:rPr>
          <w:rFonts w:hint="eastAsia" w:ascii="宋体" w:hAnsi="宋体" w:eastAsia="宋体" w:cstheme="minorBidi"/>
          <w:i w:val="0"/>
          <w:iCs w:val="0"/>
          <w:color w:val="auto"/>
          <w:kern w:val="2"/>
          <w:sz w:val="24"/>
          <w:szCs w:val="22"/>
          <w:highlight w:val="none"/>
          <w:lang w:val="zh-CN" w:eastAsia="zh-CN" w:bidi="ar-SA"/>
        </w:rPr>
        <w:t>，不</w:t>
      </w:r>
      <w:r>
        <w:rPr>
          <w:rFonts w:hint="eastAsia" w:ascii="宋体" w:hAnsi="宋体" w:eastAsia="宋体" w:cstheme="minorBidi"/>
          <w:i w:val="0"/>
          <w:iCs w:val="0"/>
          <w:color w:val="auto"/>
          <w:kern w:val="2"/>
          <w:sz w:val="24"/>
          <w:szCs w:val="22"/>
          <w:highlight w:val="none"/>
          <w:lang w:val="en-US" w:eastAsia="zh-CN" w:bidi="ar-SA"/>
        </w:rPr>
        <w:t>得</w:t>
      </w:r>
      <w:r>
        <w:rPr>
          <w:rFonts w:hint="eastAsia" w:ascii="宋体" w:hAnsi="宋体" w:eastAsia="宋体" w:cstheme="minorBidi"/>
          <w:i w:val="0"/>
          <w:iCs w:val="0"/>
          <w:color w:val="auto"/>
          <w:kern w:val="2"/>
          <w:sz w:val="24"/>
          <w:szCs w:val="22"/>
          <w:highlight w:val="none"/>
          <w:lang w:val="zh-CN" w:eastAsia="zh-CN" w:bidi="ar-SA"/>
        </w:rPr>
        <w:t>进入下一项评审。</w:t>
      </w:r>
    </w:p>
    <w:p w14:paraId="55110B7F">
      <w:pPr>
        <w:rPr>
          <w:rFonts w:hint="eastAsia"/>
          <w:i w:val="0"/>
          <w:iCs w:val="0"/>
          <w:color w:val="auto"/>
          <w:highlight w:val="none"/>
        </w:rPr>
      </w:pPr>
      <w:r>
        <w:rPr>
          <w:rFonts w:hint="eastAsia"/>
          <w:i w:val="0"/>
          <w:iCs w:val="0"/>
          <w:color w:val="auto"/>
          <w:highlight w:val="none"/>
        </w:rPr>
        <w:br w:type="page"/>
      </w:r>
    </w:p>
    <w:p w14:paraId="613615C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100" w:line="48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94" w:name="_Toc163493639"/>
      <w:bookmarkStart w:id="495" w:name="_Toc4949"/>
      <w:r>
        <w:rPr>
          <w:rFonts w:hint="eastAsia" w:ascii="宋体" w:hAnsi="宋体" w:eastAsia="宋体" w:cs="宋体"/>
          <w:b/>
          <w:bCs/>
          <w:i w:val="0"/>
          <w:iCs w:val="0"/>
          <w:color w:val="auto"/>
          <w:kern w:val="2"/>
          <w:sz w:val="24"/>
          <w:szCs w:val="24"/>
          <w:highlight w:val="none"/>
          <w:lang w:val="en-US" w:eastAsia="zh-CN" w:bidi="ar-SA"/>
        </w:rPr>
        <w:t>（二）</w:t>
      </w:r>
      <w:r>
        <w:rPr>
          <w:rFonts w:hint="eastAsia" w:ascii="宋体" w:hAnsi="宋体" w:eastAsia="宋体" w:cs="宋体"/>
          <w:b/>
          <w:bCs/>
          <w:i w:val="0"/>
          <w:iCs w:val="0"/>
          <w:color w:val="auto"/>
          <w:kern w:val="2"/>
          <w:sz w:val="24"/>
          <w:szCs w:val="24"/>
          <w:highlight w:val="none"/>
          <w:lang w:val="zh-CN" w:eastAsia="zh-CN" w:bidi="ar-SA"/>
        </w:rPr>
        <w:t>符合性审查表</w:t>
      </w:r>
      <w:bookmarkEnd w:id="493"/>
      <w:bookmarkEnd w:id="494"/>
      <w:bookmarkEnd w:id="495"/>
    </w:p>
    <w:tbl>
      <w:tblPr>
        <w:tblStyle w:val="29"/>
        <w:tblW w:w="1035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0"/>
        <w:gridCol w:w="758"/>
        <w:gridCol w:w="758"/>
        <w:gridCol w:w="758"/>
      </w:tblGrid>
      <w:tr w14:paraId="1787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720" w:type="dxa"/>
            <w:vMerge w:val="restart"/>
            <w:noWrap w:val="0"/>
            <w:vAlign w:val="bottom"/>
          </w:tcPr>
          <w:p w14:paraId="0C2B3C3D">
            <w:pPr>
              <w:spacing w:line="360" w:lineRule="auto"/>
              <w:jc w:val="center"/>
              <w:rPr>
                <w:rFonts w:hint="eastAsia" w:ascii="宋体" w:hAnsi="宋体" w:cs="仿宋"/>
                <w:b/>
                <w:spacing w:val="-2"/>
                <w:sz w:val="24"/>
              </w:rPr>
            </w:pPr>
            <w:bookmarkStart w:id="496" w:name="_Toc163493640"/>
            <w:r>
              <w:rPr>
                <w:rFonts w:hint="eastAsia" w:ascii="宋体" w:hAnsi="宋体" w:cs="仿宋"/>
                <w:b/>
                <w:spacing w:val="-2"/>
                <w:sz w:val="24"/>
              </w:rPr>
              <w:t>序号</w:t>
            </w:r>
          </w:p>
        </w:tc>
        <w:tc>
          <w:tcPr>
            <w:tcW w:w="7360" w:type="dxa"/>
            <w:vMerge w:val="restart"/>
            <w:noWrap w:val="0"/>
            <w:vAlign w:val="bottom"/>
          </w:tcPr>
          <w:p w14:paraId="148DEC54">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274" w:type="dxa"/>
            <w:gridSpan w:val="3"/>
            <w:noWrap w:val="0"/>
            <w:vAlign w:val="bottom"/>
          </w:tcPr>
          <w:p w14:paraId="257D0465">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7FD2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20" w:type="dxa"/>
            <w:vMerge w:val="continue"/>
            <w:noWrap w:val="0"/>
            <w:vAlign w:val="bottom"/>
          </w:tcPr>
          <w:p w14:paraId="21661A92">
            <w:pPr>
              <w:spacing w:line="360" w:lineRule="auto"/>
              <w:jc w:val="center"/>
              <w:rPr>
                <w:rFonts w:hint="eastAsia" w:ascii="宋体" w:hAnsi="宋体" w:cs="仿宋"/>
                <w:b/>
                <w:spacing w:val="-2"/>
                <w:sz w:val="24"/>
              </w:rPr>
            </w:pPr>
          </w:p>
        </w:tc>
        <w:tc>
          <w:tcPr>
            <w:tcW w:w="7360" w:type="dxa"/>
            <w:vMerge w:val="continue"/>
            <w:noWrap w:val="0"/>
            <w:vAlign w:val="bottom"/>
          </w:tcPr>
          <w:p w14:paraId="77332FBE">
            <w:pPr>
              <w:spacing w:line="360" w:lineRule="auto"/>
              <w:jc w:val="center"/>
              <w:rPr>
                <w:rFonts w:hint="eastAsia" w:ascii="宋体" w:hAnsi="宋体" w:cs="仿宋"/>
                <w:b/>
                <w:spacing w:val="-2"/>
                <w:sz w:val="24"/>
              </w:rPr>
            </w:pPr>
          </w:p>
        </w:tc>
        <w:tc>
          <w:tcPr>
            <w:tcW w:w="758" w:type="dxa"/>
            <w:noWrap w:val="0"/>
            <w:vAlign w:val="bottom"/>
          </w:tcPr>
          <w:p w14:paraId="21E11788">
            <w:pPr>
              <w:spacing w:line="360" w:lineRule="auto"/>
              <w:jc w:val="center"/>
              <w:rPr>
                <w:rFonts w:hint="eastAsia" w:ascii="宋体" w:hAnsi="宋体" w:cs="仿宋"/>
                <w:b/>
                <w:spacing w:val="-2"/>
                <w:sz w:val="24"/>
              </w:rPr>
            </w:pPr>
          </w:p>
        </w:tc>
        <w:tc>
          <w:tcPr>
            <w:tcW w:w="758" w:type="dxa"/>
            <w:noWrap w:val="0"/>
            <w:vAlign w:val="top"/>
          </w:tcPr>
          <w:p w14:paraId="11D4A4E6">
            <w:pPr>
              <w:spacing w:line="360" w:lineRule="auto"/>
              <w:jc w:val="center"/>
              <w:rPr>
                <w:rFonts w:hint="eastAsia" w:ascii="宋体" w:hAnsi="宋体" w:cs="仿宋"/>
                <w:b/>
                <w:spacing w:val="-2"/>
                <w:sz w:val="24"/>
              </w:rPr>
            </w:pPr>
          </w:p>
        </w:tc>
        <w:tc>
          <w:tcPr>
            <w:tcW w:w="758" w:type="dxa"/>
            <w:noWrap w:val="0"/>
            <w:vAlign w:val="top"/>
          </w:tcPr>
          <w:p w14:paraId="6386DC30">
            <w:pPr>
              <w:spacing w:line="360" w:lineRule="auto"/>
              <w:jc w:val="center"/>
              <w:rPr>
                <w:rFonts w:hint="eastAsia" w:ascii="宋体" w:hAnsi="宋体" w:cs="仿宋"/>
                <w:b/>
                <w:spacing w:val="-2"/>
                <w:sz w:val="24"/>
              </w:rPr>
            </w:pPr>
          </w:p>
        </w:tc>
      </w:tr>
      <w:tr w14:paraId="450A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noWrap w:val="0"/>
            <w:vAlign w:val="center"/>
          </w:tcPr>
          <w:p w14:paraId="5E05C8FE">
            <w:pPr>
              <w:pStyle w:val="9"/>
              <w:spacing w:line="360" w:lineRule="auto"/>
              <w:jc w:val="center"/>
              <w:rPr>
                <w:rFonts w:hint="eastAsia" w:ascii="宋体" w:hAnsi="宋体" w:eastAsia="宋体"/>
                <w:szCs w:val="24"/>
              </w:rPr>
            </w:pPr>
            <w:r>
              <w:rPr>
                <w:rFonts w:hint="eastAsia" w:ascii="宋体" w:hAnsi="宋体" w:eastAsia="宋体"/>
                <w:szCs w:val="24"/>
              </w:rPr>
              <w:t>1</w:t>
            </w:r>
          </w:p>
        </w:tc>
        <w:tc>
          <w:tcPr>
            <w:tcW w:w="7360" w:type="dxa"/>
            <w:noWrap w:val="0"/>
            <w:vAlign w:val="center"/>
          </w:tcPr>
          <w:p w14:paraId="3726ED64">
            <w:pPr>
              <w:spacing w:line="360" w:lineRule="auto"/>
              <w:rPr>
                <w:rFonts w:hint="eastAsia" w:ascii="宋体" w:hAnsi="宋体" w:cs="仿宋"/>
                <w:sz w:val="24"/>
              </w:rPr>
            </w:pPr>
            <w:r>
              <w:rPr>
                <w:rFonts w:hint="eastAsia" w:ascii="宋体" w:hAnsi="宋体" w:cs="仿宋"/>
                <w:color w:val="000000"/>
                <w:sz w:val="24"/>
              </w:rPr>
              <w:t>按</w:t>
            </w:r>
            <w:r>
              <w:rPr>
                <w:rFonts w:hint="eastAsia" w:cs="仿宋"/>
                <w:color w:val="000000"/>
                <w:sz w:val="24"/>
                <w:lang w:val="en-US" w:eastAsia="zh-CN"/>
              </w:rPr>
              <w:t>磋商</w:t>
            </w:r>
            <w:r>
              <w:rPr>
                <w:rFonts w:hint="eastAsia" w:ascii="宋体" w:hAnsi="宋体" w:cs="仿宋"/>
                <w:color w:val="000000"/>
                <w:sz w:val="24"/>
              </w:rPr>
              <w:t>文件的规定提交</w:t>
            </w:r>
            <w:r>
              <w:rPr>
                <w:rFonts w:hint="eastAsia" w:cs="仿宋"/>
                <w:color w:val="000000"/>
                <w:sz w:val="24"/>
                <w:lang w:val="en-US" w:eastAsia="zh-CN"/>
              </w:rPr>
              <w:t>磋商</w:t>
            </w:r>
            <w:r>
              <w:rPr>
                <w:rFonts w:hint="eastAsia" w:ascii="宋体" w:hAnsi="宋体" w:cs="仿宋"/>
                <w:color w:val="000000"/>
                <w:sz w:val="24"/>
              </w:rPr>
              <w:t>保证金的；</w:t>
            </w:r>
          </w:p>
        </w:tc>
        <w:tc>
          <w:tcPr>
            <w:tcW w:w="758" w:type="dxa"/>
            <w:noWrap w:val="0"/>
            <w:vAlign w:val="top"/>
          </w:tcPr>
          <w:p w14:paraId="647D0FFE">
            <w:pPr>
              <w:pStyle w:val="9"/>
              <w:rPr>
                <w:rFonts w:hint="eastAsia" w:ascii="宋体" w:hAnsi="宋体" w:eastAsia="宋体"/>
                <w:szCs w:val="24"/>
              </w:rPr>
            </w:pPr>
          </w:p>
        </w:tc>
        <w:tc>
          <w:tcPr>
            <w:tcW w:w="758" w:type="dxa"/>
            <w:noWrap w:val="0"/>
            <w:vAlign w:val="top"/>
          </w:tcPr>
          <w:p w14:paraId="0C859528">
            <w:pPr>
              <w:pStyle w:val="9"/>
              <w:rPr>
                <w:rFonts w:hint="eastAsia" w:ascii="宋体" w:hAnsi="宋体" w:eastAsia="宋体"/>
                <w:szCs w:val="24"/>
              </w:rPr>
            </w:pPr>
          </w:p>
        </w:tc>
        <w:tc>
          <w:tcPr>
            <w:tcW w:w="758" w:type="dxa"/>
            <w:noWrap w:val="0"/>
            <w:vAlign w:val="top"/>
          </w:tcPr>
          <w:p w14:paraId="55E38858">
            <w:pPr>
              <w:pStyle w:val="9"/>
              <w:rPr>
                <w:rFonts w:hint="eastAsia" w:ascii="宋体" w:hAnsi="宋体" w:eastAsia="宋体"/>
                <w:szCs w:val="24"/>
              </w:rPr>
            </w:pPr>
          </w:p>
        </w:tc>
      </w:tr>
      <w:tr w14:paraId="43BC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0" w:type="dxa"/>
            <w:noWrap w:val="0"/>
            <w:vAlign w:val="center"/>
          </w:tcPr>
          <w:p w14:paraId="5DEB8018">
            <w:pPr>
              <w:pStyle w:val="9"/>
              <w:spacing w:line="360" w:lineRule="auto"/>
              <w:jc w:val="center"/>
              <w:rPr>
                <w:rFonts w:hint="eastAsia" w:ascii="宋体" w:hAnsi="宋体" w:eastAsia="宋体"/>
                <w:szCs w:val="24"/>
              </w:rPr>
            </w:pPr>
            <w:r>
              <w:rPr>
                <w:rFonts w:hint="eastAsia" w:ascii="宋体" w:hAnsi="宋体" w:eastAsia="宋体"/>
                <w:szCs w:val="24"/>
              </w:rPr>
              <w:t>2</w:t>
            </w:r>
          </w:p>
        </w:tc>
        <w:tc>
          <w:tcPr>
            <w:tcW w:w="7360" w:type="dxa"/>
            <w:noWrap w:val="0"/>
            <w:vAlign w:val="center"/>
          </w:tcPr>
          <w:p w14:paraId="02779F6D">
            <w:pPr>
              <w:pStyle w:val="9"/>
              <w:spacing w:line="360" w:lineRule="auto"/>
              <w:rPr>
                <w:rFonts w:hint="eastAsia" w:ascii="宋体" w:hAnsi="宋体" w:eastAsia="宋体"/>
                <w:szCs w:val="24"/>
              </w:rPr>
            </w:pPr>
            <w:r>
              <w:rPr>
                <w:rFonts w:hint="eastAsia" w:ascii="宋体" w:hAnsi="宋体" w:eastAsia="宋体" w:cs="仿宋"/>
                <w:color w:val="000000"/>
                <w:szCs w:val="24"/>
                <w:lang w:val="en-US" w:eastAsia="zh-CN"/>
              </w:rPr>
              <w:t>响应</w:t>
            </w:r>
            <w:r>
              <w:rPr>
                <w:rFonts w:hint="eastAsia" w:ascii="宋体" w:hAnsi="宋体" w:eastAsia="宋体" w:cs="仿宋"/>
                <w:color w:val="000000"/>
                <w:szCs w:val="24"/>
              </w:rPr>
              <w:t>文件按</w:t>
            </w:r>
            <w:r>
              <w:rPr>
                <w:rFonts w:hint="eastAsia" w:ascii="宋体" w:hAnsi="宋体" w:eastAsia="宋体" w:cs="仿宋"/>
                <w:color w:val="000000"/>
                <w:szCs w:val="24"/>
                <w:lang w:val="en-US" w:eastAsia="zh-CN"/>
              </w:rPr>
              <w:t>磋商</w:t>
            </w:r>
            <w:r>
              <w:rPr>
                <w:rFonts w:hint="eastAsia" w:ascii="宋体" w:hAnsi="宋体" w:eastAsia="宋体" w:cs="仿宋"/>
                <w:color w:val="000000"/>
                <w:szCs w:val="24"/>
              </w:rPr>
              <w:t>文件的规定要求签署、盖章的；</w:t>
            </w:r>
          </w:p>
        </w:tc>
        <w:tc>
          <w:tcPr>
            <w:tcW w:w="758" w:type="dxa"/>
            <w:noWrap w:val="0"/>
            <w:vAlign w:val="top"/>
          </w:tcPr>
          <w:p w14:paraId="2EB310AE">
            <w:pPr>
              <w:pStyle w:val="9"/>
              <w:rPr>
                <w:rFonts w:hint="eastAsia" w:ascii="宋体" w:hAnsi="宋体" w:eastAsia="宋体"/>
                <w:szCs w:val="24"/>
              </w:rPr>
            </w:pPr>
          </w:p>
        </w:tc>
        <w:tc>
          <w:tcPr>
            <w:tcW w:w="758" w:type="dxa"/>
            <w:noWrap w:val="0"/>
            <w:vAlign w:val="top"/>
          </w:tcPr>
          <w:p w14:paraId="61953D05">
            <w:pPr>
              <w:pStyle w:val="9"/>
              <w:rPr>
                <w:rFonts w:hint="eastAsia" w:ascii="宋体" w:hAnsi="宋体" w:eastAsia="宋体"/>
                <w:szCs w:val="24"/>
              </w:rPr>
            </w:pPr>
          </w:p>
        </w:tc>
        <w:tc>
          <w:tcPr>
            <w:tcW w:w="758" w:type="dxa"/>
            <w:noWrap w:val="0"/>
            <w:vAlign w:val="top"/>
          </w:tcPr>
          <w:p w14:paraId="6B8A37A2">
            <w:pPr>
              <w:pStyle w:val="9"/>
              <w:rPr>
                <w:rFonts w:hint="eastAsia" w:ascii="宋体" w:hAnsi="宋体" w:eastAsia="宋体"/>
                <w:szCs w:val="24"/>
              </w:rPr>
            </w:pPr>
          </w:p>
        </w:tc>
      </w:tr>
      <w:tr w14:paraId="66BF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720" w:type="dxa"/>
            <w:noWrap w:val="0"/>
            <w:vAlign w:val="center"/>
          </w:tcPr>
          <w:p w14:paraId="0AB5D786">
            <w:pPr>
              <w:pStyle w:val="9"/>
              <w:spacing w:line="360" w:lineRule="auto"/>
              <w:jc w:val="center"/>
              <w:rPr>
                <w:rFonts w:hint="eastAsia" w:ascii="宋体" w:hAnsi="宋体" w:eastAsia="宋体"/>
                <w:szCs w:val="24"/>
              </w:rPr>
            </w:pPr>
            <w:r>
              <w:rPr>
                <w:rFonts w:hint="eastAsia" w:ascii="宋体" w:hAnsi="宋体" w:eastAsia="宋体"/>
                <w:szCs w:val="24"/>
              </w:rPr>
              <w:t>3</w:t>
            </w:r>
          </w:p>
        </w:tc>
        <w:tc>
          <w:tcPr>
            <w:tcW w:w="7360" w:type="dxa"/>
            <w:noWrap w:val="0"/>
            <w:vAlign w:val="center"/>
          </w:tcPr>
          <w:p w14:paraId="55BCE3EA">
            <w:pPr>
              <w:spacing w:line="360" w:lineRule="auto"/>
              <w:rPr>
                <w:rFonts w:hint="eastAsia" w:ascii="宋体" w:hAnsi="宋体" w:cs="仿宋"/>
                <w:sz w:val="24"/>
              </w:rPr>
            </w:pPr>
            <w:r>
              <w:rPr>
                <w:rFonts w:hint="eastAsia" w:ascii="宋体" w:hAnsi="宋体"/>
                <w:color w:val="000000"/>
                <w:sz w:val="24"/>
                <w:lang w:val="en-US" w:eastAsia="zh-CN"/>
              </w:rPr>
              <w:t>合同履约期限</w:t>
            </w:r>
            <w:r>
              <w:rPr>
                <w:rFonts w:hint="eastAsia" w:ascii="宋体" w:hAnsi="宋体"/>
                <w:color w:val="000000"/>
                <w:sz w:val="24"/>
              </w:rPr>
              <w:t>满足</w:t>
            </w:r>
            <w:r>
              <w:rPr>
                <w:rFonts w:hint="eastAsia"/>
                <w:color w:val="000000"/>
                <w:sz w:val="24"/>
                <w:lang w:val="en-US" w:eastAsia="zh-CN"/>
              </w:rPr>
              <w:t>磋商</w:t>
            </w:r>
            <w:r>
              <w:rPr>
                <w:rFonts w:hint="eastAsia" w:ascii="宋体" w:hAnsi="宋体"/>
                <w:color w:val="000000"/>
                <w:sz w:val="24"/>
              </w:rPr>
              <w:t>文件规定的；</w:t>
            </w:r>
          </w:p>
        </w:tc>
        <w:tc>
          <w:tcPr>
            <w:tcW w:w="758" w:type="dxa"/>
            <w:noWrap w:val="0"/>
            <w:vAlign w:val="top"/>
          </w:tcPr>
          <w:p w14:paraId="65872F6B">
            <w:pPr>
              <w:pStyle w:val="9"/>
              <w:rPr>
                <w:rFonts w:hint="eastAsia" w:ascii="宋体" w:hAnsi="宋体" w:eastAsia="宋体"/>
                <w:szCs w:val="24"/>
              </w:rPr>
            </w:pPr>
          </w:p>
        </w:tc>
        <w:tc>
          <w:tcPr>
            <w:tcW w:w="758" w:type="dxa"/>
            <w:noWrap w:val="0"/>
            <w:vAlign w:val="top"/>
          </w:tcPr>
          <w:p w14:paraId="6E2C995E">
            <w:pPr>
              <w:pStyle w:val="9"/>
              <w:rPr>
                <w:rFonts w:hint="eastAsia" w:ascii="宋体" w:hAnsi="宋体" w:eastAsia="宋体"/>
                <w:szCs w:val="24"/>
              </w:rPr>
            </w:pPr>
          </w:p>
        </w:tc>
        <w:tc>
          <w:tcPr>
            <w:tcW w:w="758" w:type="dxa"/>
            <w:noWrap w:val="0"/>
            <w:vAlign w:val="top"/>
          </w:tcPr>
          <w:p w14:paraId="74574276">
            <w:pPr>
              <w:pStyle w:val="9"/>
              <w:rPr>
                <w:rFonts w:hint="eastAsia" w:ascii="宋体" w:hAnsi="宋体" w:eastAsia="宋体"/>
                <w:szCs w:val="24"/>
              </w:rPr>
            </w:pPr>
          </w:p>
        </w:tc>
      </w:tr>
      <w:tr w14:paraId="2044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14:paraId="5BC1D736">
            <w:pPr>
              <w:pStyle w:val="9"/>
              <w:spacing w:line="360" w:lineRule="auto"/>
              <w:jc w:val="center"/>
              <w:rPr>
                <w:rFonts w:hint="eastAsia" w:ascii="宋体" w:hAnsi="宋体" w:eastAsia="宋体"/>
                <w:szCs w:val="24"/>
              </w:rPr>
            </w:pPr>
            <w:r>
              <w:rPr>
                <w:rFonts w:hint="eastAsia" w:ascii="宋体" w:hAnsi="宋体" w:eastAsia="宋体"/>
                <w:szCs w:val="24"/>
              </w:rPr>
              <w:t>4</w:t>
            </w:r>
          </w:p>
        </w:tc>
        <w:tc>
          <w:tcPr>
            <w:tcW w:w="7360" w:type="dxa"/>
            <w:noWrap w:val="0"/>
            <w:vAlign w:val="center"/>
          </w:tcPr>
          <w:p w14:paraId="1525AD2B">
            <w:pPr>
              <w:spacing w:line="360" w:lineRule="auto"/>
              <w:rPr>
                <w:rFonts w:hint="eastAsia" w:ascii="宋体" w:hAnsi="宋体" w:cs="仿宋"/>
                <w:sz w:val="24"/>
              </w:rPr>
            </w:pPr>
            <w:r>
              <w:rPr>
                <w:rFonts w:hint="eastAsia" w:ascii="宋体" w:hAnsi="宋体" w:cs="仿宋"/>
                <w:color w:val="000000"/>
                <w:sz w:val="24"/>
                <w:lang w:val="en-US" w:eastAsia="zh-CN"/>
              </w:rPr>
              <w:t>投标</w:t>
            </w:r>
            <w:r>
              <w:rPr>
                <w:rFonts w:hint="eastAsia" w:ascii="宋体" w:hAnsi="宋体" w:cs="仿宋"/>
                <w:color w:val="000000"/>
                <w:sz w:val="24"/>
              </w:rPr>
              <w:t>报价按照规定要求报价，（包括</w:t>
            </w:r>
            <w:r>
              <w:rPr>
                <w:rFonts w:hint="eastAsia" w:ascii="宋体" w:hAnsi="宋体" w:cs="仿宋"/>
                <w:color w:val="000000"/>
                <w:sz w:val="24"/>
                <w:lang w:val="en-US" w:eastAsia="zh-CN"/>
              </w:rPr>
              <w:t>投标</w:t>
            </w:r>
            <w:r>
              <w:rPr>
                <w:rFonts w:hint="eastAsia" w:ascii="宋体" w:hAnsi="宋体" w:cs="仿宋"/>
                <w:color w:val="000000"/>
                <w:sz w:val="24"/>
              </w:rPr>
              <w:t>总报价及分项投标报价）均未超过预算金额或者最高限价，有且只有一个报价；</w:t>
            </w:r>
          </w:p>
        </w:tc>
        <w:tc>
          <w:tcPr>
            <w:tcW w:w="758" w:type="dxa"/>
            <w:noWrap w:val="0"/>
            <w:vAlign w:val="top"/>
          </w:tcPr>
          <w:p w14:paraId="593171A9">
            <w:pPr>
              <w:pStyle w:val="9"/>
              <w:rPr>
                <w:rFonts w:hint="eastAsia" w:ascii="宋体" w:hAnsi="宋体" w:eastAsia="宋体"/>
                <w:szCs w:val="24"/>
              </w:rPr>
            </w:pPr>
          </w:p>
        </w:tc>
        <w:tc>
          <w:tcPr>
            <w:tcW w:w="758" w:type="dxa"/>
            <w:noWrap w:val="0"/>
            <w:vAlign w:val="top"/>
          </w:tcPr>
          <w:p w14:paraId="3FAD0F41">
            <w:pPr>
              <w:pStyle w:val="9"/>
              <w:rPr>
                <w:rFonts w:hint="eastAsia" w:ascii="宋体" w:hAnsi="宋体" w:eastAsia="宋体"/>
                <w:szCs w:val="24"/>
              </w:rPr>
            </w:pPr>
          </w:p>
        </w:tc>
        <w:tc>
          <w:tcPr>
            <w:tcW w:w="758" w:type="dxa"/>
            <w:noWrap w:val="0"/>
            <w:vAlign w:val="top"/>
          </w:tcPr>
          <w:p w14:paraId="7420FA0F">
            <w:pPr>
              <w:pStyle w:val="9"/>
              <w:rPr>
                <w:rFonts w:hint="eastAsia" w:ascii="宋体" w:hAnsi="宋体" w:eastAsia="宋体"/>
                <w:szCs w:val="24"/>
              </w:rPr>
            </w:pPr>
          </w:p>
        </w:tc>
      </w:tr>
      <w:tr w14:paraId="656B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1944E0F3">
            <w:pPr>
              <w:pStyle w:val="9"/>
              <w:spacing w:line="360" w:lineRule="auto"/>
              <w:jc w:val="center"/>
              <w:rPr>
                <w:rFonts w:hint="eastAsia" w:ascii="宋体" w:hAnsi="宋体" w:eastAsia="宋体"/>
                <w:szCs w:val="24"/>
              </w:rPr>
            </w:pPr>
            <w:r>
              <w:rPr>
                <w:rFonts w:hint="eastAsia" w:ascii="宋体" w:hAnsi="宋体" w:eastAsia="宋体"/>
                <w:szCs w:val="24"/>
              </w:rPr>
              <w:t>5</w:t>
            </w:r>
          </w:p>
        </w:tc>
        <w:tc>
          <w:tcPr>
            <w:tcW w:w="7360" w:type="dxa"/>
            <w:noWrap w:val="0"/>
            <w:vAlign w:val="center"/>
          </w:tcPr>
          <w:p w14:paraId="5697C34C">
            <w:pPr>
              <w:pStyle w:val="9"/>
              <w:spacing w:line="360" w:lineRule="auto"/>
              <w:rPr>
                <w:rFonts w:hint="eastAsia" w:ascii="宋体" w:hAnsi="宋体" w:eastAsia="宋体" w:cs="仿宋"/>
                <w:szCs w:val="24"/>
              </w:rPr>
            </w:pPr>
            <w:r>
              <w:rPr>
                <w:rFonts w:hint="eastAsia" w:ascii="宋体" w:hAnsi="宋体" w:eastAsia="宋体" w:cs="仿宋"/>
                <w:color w:val="000000"/>
                <w:szCs w:val="24"/>
                <w:lang w:val="en-US" w:eastAsia="zh-CN"/>
              </w:rPr>
              <w:t>响应</w:t>
            </w:r>
            <w:r>
              <w:rPr>
                <w:rFonts w:ascii="宋体" w:hAnsi="宋体" w:eastAsia="宋体" w:cs="仿宋"/>
                <w:color w:val="000000"/>
                <w:szCs w:val="24"/>
              </w:rPr>
              <w:t>有效期满足</w:t>
            </w:r>
            <w:r>
              <w:rPr>
                <w:rFonts w:hint="eastAsia" w:ascii="宋体" w:hAnsi="宋体" w:eastAsia="宋体" w:cs="仿宋"/>
                <w:color w:val="000000"/>
                <w:szCs w:val="24"/>
                <w:lang w:val="en-US" w:eastAsia="zh-CN"/>
              </w:rPr>
              <w:t>磋商</w:t>
            </w:r>
            <w:r>
              <w:rPr>
                <w:rFonts w:hint="eastAsia" w:ascii="宋体" w:hAnsi="宋体" w:eastAsia="宋体" w:cs="仿宋"/>
                <w:color w:val="000000"/>
                <w:szCs w:val="24"/>
              </w:rPr>
              <w:t>文件</w:t>
            </w:r>
            <w:r>
              <w:rPr>
                <w:rFonts w:ascii="宋体" w:hAnsi="宋体" w:eastAsia="宋体" w:cs="仿宋"/>
                <w:color w:val="000000"/>
                <w:szCs w:val="24"/>
              </w:rPr>
              <w:t>要求</w:t>
            </w:r>
            <w:r>
              <w:rPr>
                <w:rFonts w:hint="eastAsia" w:ascii="宋体" w:hAnsi="宋体" w:eastAsia="宋体" w:cs="仿宋"/>
                <w:color w:val="000000"/>
                <w:szCs w:val="24"/>
              </w:rPr>
              <w:t>；</w:t>
            </w:r>
          </w:p>
        </w:tc>
        <w:tc>
          <w:tcPr>
            <w:tcW w:w="758" w:type="dxa"/>
            <w:noWrap w:val="0"/>
            <w:vAlign w:val="top"/>
          </w:tcPr>
          <w:p w14:paraId="33CF3925">
            <w:pPr>
              <w:pStyle w:val="9"/>
              <w:rPr>
                <w:rFonts w:hint="eastAsia" w:ascii="宋体" w:hAnsi="宋体" w:eastAsia="宋体"/>
                <w:szCs w:val="24"/>
              </w:rPr>
            </w:pPr>
          </w:p>
        </w:tc>
        <w:tc>
          <w:tcPr>
            <w:tcW w:w="758" w:type="dxa"/>
            <w:noWrap w:val="0"/>
            <w:vAlign w:val="top"/>
          </w:tcPr>
          <w:p w14:paraId="37F4EE43">
            <w:pPr>
              <w:pStyle w:val="9"/>
              <w:rPr>
                <w:rFonts w:hint="eastAsia" w:ascii="宋体" w:hAnsi="宋体" w:eastAsia="宋体"/>
                <w:szCs w:val="24"/>
              </w:rPr>
            </w:pPr>
          </w:p>
        </w:tc>
        <w:tc>
          <w:tcPr>
            <w:tcW w:w="758" w:type="dxa"/>
            <w:noWrap w:val="0"/>
            <w:vAlign w:val="top"/>
          </w:tcPr>
          <w:p w14:paraId="4198221D">
            <w:pPr>
              <w:pStyle w:val="9"/>
              <w:rPr>
                <w:rFonts w:hint="eastAsia" w:ascii="宋体" w:hAnsi="宋体" w:eastAsia="宋体"/>
                <w:szCs w:val="24"/>
              </w:rPr>
            </w:pPr>
          </w:p>
        </w:tc>
      </w:tr>
      <w:tr w14:paraId="1017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61038DC7">
            <w:pPr>
              <w:pStyle w:val="9"/>
              <w:spacing w:line="360" w:lineRule="auto"/>
              <w:jc w:val="center"/>
              <w:rPr>
                <w:rFonts w:hint="eastAsia" w:ascii="宋体" w:hAnsi="宋体" w:eastAsia="宋体"/>
                <w:szCs w:val="24"/>
              </w:rPr>
            </w:pPr>
            <w:r>
              <w:rPr>
                <w:rFonts w:hint="eastAsia" w:ascii="宋体" w:hAnsi="宋体" w:eastAsia="宋体"/>
                <w:szCs w:val="24"/>
              </w:rPr>
              <w:t>6</w:t>
            </w:r>
          </w:p>
        </w:tc>
        <w:tc>
          <w:tcPr>
            <w:tcW w:w="7360" w:type="dxa"/>
            <w:noWrap w:val="0"/>
            <w:vAlign w:val="center"/>
          </w:tcPr>
          <w:p w14:paraId="198BD471">
            <w:pPr>
              <w:pStyle w:val="9"/>
              <w:spacing w:line="360" w:lineRule="auto"/>
              <w:rPr>
                <w:rFonts w:hint="eastAsia" w:ascii="宋体" w:hAnsi="宋体" w:eastAsia="宋体"/>
                <w:szCs w:val="24"/>
              </w:rPr>
            </w:pPr>
            <w:r>
              <w:rPr>
                <w:rFonts w:hint="eastAsia" w:ascii="宋体" w:hAnsi="宋体" w:eastAsia="宋体" w:cs="仿宋"/>
                <w:color w:val="000000"/>
                <w:szCs w:val="24"/>
              </w:rPr>
              <w:t>符合</w:t>
            </w:r>
            <w:r>
              <w:rPr>
                <w:rFonts w:hint="eastAsia" w:ascii="宋体" w:hAnsi="宋体" w:eastAsia="宋体" w:cs="仿宋"/>
                <w:color w:val="000000"/>
                <w:szCs w:val="24"/>
                <w:lang w:val="en-US" w:eastAsia="zh-CN"/>
              </w:rPr>
              <w:t>磋商</w:t>
            </w:r>
            <w:r>
              <w:rPr>
                <w:rFonts w:hint="eastAsia" w:ascii="宋体" w:hAnsi="宋体" w:eastAsia="宋体" w:cs="仿宋"/>
                <w:color w:val="000000"/>
                <w:szCs w:val="24"/>
              </w:rPr>
              <w:t>文件中规定的其它实质性要求的；</w:t>
            </w:r>
          </w:p>
        </w:tc>
        <w:tc>
          <w:tcPr>
            <w:tcW w:w="758" w:type="dxa"/>
            <w:noWrap w:val="0"/>
            <w:vAlign w:val="top"/>
          </w:tcPr>
          <w:p w14:paraId="2B03C34B">
            <w:pPr>
              <w:pStyle w:val="9"/>
              <w:rPr>
                <w:rFonts w:hint="eastAsia" w:ascii="宋体" w:hAnsi="宋体" w:eastAsia="宋体"/>
                <w:szCs w:val="24"/>
              </w:rPr>
            </w:pPr>
          </w:p>
        </w:tc>
        <w:tc>
          <w:tcPr>
            <w:tcW w:w="758" w:type="dxa"/>
            <w:noWrap w:val="0"/>
            <w:vAlign w:val="top"/>
          </w:tcPr>
          <w:p w14:paraId="087567A9">
            <w:pPr>
              <w:pStyle w:val="9"/>
              <w:rPr>
                <w:rFonts w:hint="eastAsia" w:ascii="宋体" w:hAnsi="宋体" w:eastAsia="宋体"/>
                <w:szCs w:val="24"/>
              </w:rPr>
            </w:pPr>
          </w:p>
        </w:tc>
        <w:tc>
          <w:tcPr>
            <w:tcW w:w="758" w:type="dxa"/>
            <w:noWrap w:val="0"/>
            <w:vAlign w:val="top"/>
          </w:tcPr>
          <w:p w14:paraId="684BB80F">
            <w:pPr>
              <w:pStyle w:val="9"/>
              <w:rPr>
                <w:rFonts w:hint="eastAsia" w:ascii="宋体" w:hAnsi="宋体" w:eastAsia="宋体"/>
                <w:szCs w:val="24"/>
              </w:rPr>
            </w:pPr>
          </w:p>
        </w:tc>
      </w:tr>
      <w:tr w14:paraId="33D3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3EDBED4D">
            <w:pPr>
              <w:pStyle w:val="9"/>
              <w:spacing w:line="360" w:lineRule="auto"/>
              <w:jc w:val="center"/>
              <w:rPr>
                <w:rFonts w:hint="eastAsia" w:ascii="宋体" w:hAnsi="宋体" w:eastAsia="宋体"/>
                <w:szCs w:val="24"/>
              </w:rPr>
            </w:pPr>
            <w:r>
              <w:rPr>
                <w:rFonts w:hint="eastAsia" w:ascii="宋体" w:hAnsi="宋体" w:eastAsia="宋体"/>
                <w:szCs w:val="24"/>
              </w:rPr>
              <w:t>7</w:t>
            </w:r>
          </w:p>
        </w:tc>
        <w:tc>
          <w:tcPr>
            <w:tcW w:w="7360" w:type="dxa"/>
            <w:noWrap w:val="0"/>
            <w:vAlign w:val="center"/>
          </w:tcPr>
          <w:p w14:paraId="516F6895">
            <w:pPr>
              <w:pStyle w:val="9"/>
              <w:spacing w:line="360" w:lineRule="auto"/>
              <w:rPr>
                <w:rFonts w:hint="eastAsia" w:ascii="宋体" w:hAnsi="宋体" w:eastAsia="宋体"/>
                <w:szCs w:val="24"/>
              </w:rPr>
            </w:pPr>
            <w:r>
              <w:rPr>
                <w:rFonts w:hint="eastAsia" w:ascii="宋体" w:hAnsi="宋体" w:eastAsia="宋体" w:cs="仿宋"/>
                <w:color w:val="000000"/>
                <w:szCs w:val="24"/>
                <w:lang w:val="en-US" w:eastAsia="zh-CN"/>
              </w:rPr>
              <w:t>响应</w:t>
            </w:r>
            <w:r>
              <w:rPr>
                <w:rFonts w:hint="eastAsia" w:ascii="宋体" w:hAnsi="宋体" w:eastAsia="宋体" w:cs="仿宋"/>
                <w:color w:val="000000"/>
                <w:szCs w:val="24"/>
              </w:rPr>
              <w:t>文件中未附有招标人不能接受的附加条件的；</w:t>
            </w:r>
          </w:p>
        </w:tc>
        <w:tc>
          <w:tcPr>
            <w:tcW w:w="758" w:type="dxa"/>
            <w:noWrap w:val="0"/>
            <w:vAlign w:val="top"/>
          </w:tcPr>
          <w:p w14:paraId="27303DE3">
            <w:pPr>
              <w:pStyle w:val="9"/>
              <w:rPr>
                <w:rFonts w:hint="eastAsia" w:ascii="宋体" w:hAnsi="宋体" w:eastAsia="宋体"/>
                <w:szCs w:val="24"/>
              </w:rPr>
            </w:pPr>
          </w:p>
        </w:tc>
        <w:tc>
          <w:tcPr>
            <w:tcW w:w="758" w:type="dxa"/>
            <w:noWrap w:val="0"/>
            <w:vAlign w:val="top"/>
          </w:tcPr>
          <w:p w14:paraId="5B4767A2">
            <w:pPr>
              <w:pStyle w:val="9"/>
              <w:rPr>
                <w:rFonts w:hint="eastAsia" w:ascii="宋体" w:hAnsi="宋体" w:eastAsia="宋体"/>
                <w:szCs w:val="24"/>
              </w:rPr>
            </w:pPr>
          </w:p>
        </w:tc>
        <w:tc>
          <w:tcPr>
            <w:tcW w:w="758" w:type="dxa"/>
            <w:noWrap w:val="0"/>
            <w:vAlign w:val="top"/>
          </w:tcPr>
          <w:p w14:paraId="5A3A579E">
            <w:pPr>
              <w:pStyle w:val="9"/>
              <w:rPr>
                <w:rFonts w:hint="eastAsia" w:ascii="宋体" w:hAnsi="宋体" w:eastAsia="宋体"/>
                <w:szCs w:val="24"/>
              </w:rPr>
            </w:pPr>
          </w:p>
        </w:tc>
      </w:tr>
      <w:tr w14:paraId="04D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0" w:type="dxa"/>
            <w:noWrap w:val="0"/>
            <w:vAlign w:val="center"/>
          </w:tcPr>
          <w:p w14:paraId="3CEBEDAA">
            <w:pPr>
              <w:pStyle w:val="9"/>
              <w:spacing w:line="360" w:lineRule="auto"/>
              <w:jc w:val="center"/>
              <w:rPr>
                <w:rFonts w:hint="eastAsia" w:ascii="宋体" w:hAnsi="宋体" w:eastAsia="宋体"/>
                <w:szCs w:val="24"/>
                <w:lang w:eastAsia="zh-CN"/>
              </w:rPr>
            </w:pPr>
            <w:r>
              <w:rPr>
                <w:rFonts w:hint="eastAsia" w:ascii="宋体" w:hAnsi="宋体" w:eastAsia="宋体"/>
                <w:szCs w:val="24"/>
                <w:lang w:val="en-US" w:eastAsia="zh-CN"/>
              </w:rPr>
              <w:t>8</w:t>
            </w:r>
          </w:p>
        </w:tc>
        <w:tc>
          <w:tcPr>
            <w:tcW w:w="7360" w:type="dxa"/>
            <w:noWrap w:val="0"/>
            <w:vAlign w:val="center"/>
          </w:tcPr>
          <w:p w14:paraId="78173D77">
            <w:pPr>
              <w:spacing w:line="360" w:lineRule="auto"/>
              <w:rPr>
                <w:rFonts w:ascii="宋体" w:hAnsi="宋体" w:cs="仿宋"/>
                <w:sz w:val="24"/>
              </w:rPr>
            </w:pPr>
            <w:r>
              <w:rPr>
                <w:rFonts w:hint="eastAsia" w:ascii="宋体" w:hAnsi="宋体" w:cs="仿宋"/>
                <w:color w:val="000000"/>
                <w:sz w:val="24"/>
              </w:rPr>
              <w:t>不属于法律、法规和</w:t>
            </w:r>
            <w:r>
              <w:rPr>
                <w:rFonts w:hint="eastAsia" w:cs="仿宋"/>
                <w:color w:val="000000"/>
                <w:sz w:val="24"/>
                <w:lang w:val="en-US" w:eastAsia="zh-CN"/>
              </w:rPr>
              <w:t>磋商</w:t>
            </w:r>
            <w:r>
              <w:rPr>
                <w:rFonts w:hint="eastAsia" w:ascii="宋体" w:hAnsi="宋体" w:cs="仿宋"/>
                <w:color w:val="000000"/>
                <w:sz w:val="24"/>
              </w:rPr>
              <w:t>文件中规定的其他无效响应情形的。</w:t>
            </w:r>
          </w:p>
        </w:tc>
        <w:tc>
          <w:tcPr>
            <w:tcW w:w="758" w:type="dxa"/>
            <w:noWrap w:val="0"/>
            <w:vAlign w:val="top"/>
          </w:tcPr>
          <w:p w14:paraId="79809FA2">
            <w:pPr>
              <w:pStyle w:val="9"/>
              <w:rPr>
                <w:rFonts w:hint="eastAsia" w:ascii="宋体" w:hAnsi="宋体" w:eastAsia="宋体"/>
                <w:szCs w:val="24"/>
              </w:rPr>
            </w:pPr>
          </w:p>
        </w:tc>
        <w:tc>
          <w:tcPr>
            <w:tcW w:w="758" w:type="dxa"/>
            <w:noWrap w:val="0"/>
            <w:vAlign w:val="top"/>
          </w:tcPr>
          <w:p w14:paraId="5A6827EA">
            <w:pPr>
              <w:pStyle w:val="9"/>
              <w:rPr>
                <w:rFonts w:hint="eastAsia" w:ascii="宋体" w:hAnsi="宋体" w:eastAsia="宋体"/>
                <w:szCs w:val="24"/>
              </w:rPr>
            </w:pPr>
          </w:p>
        </w:tc>
        <w:tc>
          <w:tcPr>
            <w:tcW w:w="758" w:type="dxa"/>
            <w:noWrap w:val="0"/>
            <w:vAlign w:val="top"/>
          </w:tcPr>
          <w:p w14:paraId="42B3D266">
            <w:pPr>
              <w:pStyle w:val="9"/>
              <w:rPr>
                <w:rFonts w:hint="eastAsia" w:ascii="宋体" w:hAnsi="宋体" w:eastAsia="宋体"/>
                <w:szCs w:val="24"/>
              </w:rPr>
            </w:pPr>
          </w:p>
        </w:tc>
      </w:tr>
      <w:tr w14:paraId="5EC1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720" w:type="dxa"/>
            <w:noWrap w:val="0"/>
            <w:vAlign w:val="top"/>
          </w:tcPr>
          <w:p w14:paraId="1BC0C2C3">
            <w:pPr>
              <w:pStyle w:val="9"/>
              <w:spacing w:line="360" w:lineRule="auto"/>
              <w:rPr>
                <w:rFonts w:hint="eastAsia" w:ascii="宋体" w:hAnsi="宋体" w:eastAsia="宋体"/>
                <w:szCs w:val="24"/>
              </w:rPr>
            </w:pPr>
          </w:p>
        </w:tc>
        <w:tc>
          <w:tcPr>
            <w:tcW w:w="7360" w:type="dxa"/>
            <w:noWrap w:val="0"/>
            <w:vAlign w:val="top"/>
          </w:tcPr>
          <w:p w14:paraId="556CB344">
            <w:pPr>
              <w:pStyle w:val="9"/>
              <w:spacing w:line="360" w:lineRule="auto"/>
              <w:rPr>
                <w:rFonts w:hint="eastAsia" w:ascii="宋体" w:hAnsi="宋体" w:eastAsia="宋体"/>
                <w:szCs w:val="24"/>
              </w:rPr>
            </w:pPr>
            <w:r>
              <w:rPr>
                <w:rFonts w:hint="eastAsia" w:ascii="宋体" w:hAnsi="宋体" w:eastAsia="宋体"/>
                <w:szCs w:val="24"/>
              </w:rPr>
              <w:t>结论</w:t>
            </w:r>
          </w:p>
        </w:tc>
        <w:tc>
          <w:tcPr>
            <w:tcW w:w="758" w:type="dxa"/>
            <w:noWrap w:val="0"/>
            <w:vAlign w:val="top"/>
          </w:tcPr>
          <w:p w14:paraId="0B810821">
            <w:pPr>
              <w:pStyle w:val="9"/>
              <w:rPr>
                <w:rFonts w:hint="eastAsia" w:ascii="宋体" w:hAnsi="宋体" w:eastAsia="宋体"/>
                <w:szCs w:val="24"/>
              </w:rPr>
            </w:pPr>
          </w:p>
        </w:tc>
        <w:tc>
          <w:tcPr>
            <w:tcW w:w="758" w:type="dxa"/>
            <w:noWrap w:val="0"/>
            <w:vAlign w:val="top"/>
          </w:tcPr>
          <w:p w14:paraId="041A4F27">
            <w:pPr>
              <w:pStyle w:val="9"/>
              <w:rPr>
                <w:rFonts w:hint="eastAsia" w:ascii="宋体" w:hAnsi="宋体" w:eastAsia="宋体"/>
                <w:szCs w:val="24"/>
              </w:rPr>
            </w:pPr>
          </w:p>
        </w:tc>
        <w:tc>
          <w:tcPr>
            <w:tcW w:w="758" w:type="dxa"/>
            <w:noWrap w:val="0"/>
            <w:vAlign w:val="top"/>
          </w:tcPr>
          <w:p w14:paraId="2C98439A">
            <w:pPr>
              <w:pStyle w:val="9"/>
              <w:rPr>
                <w:rFonts w:hint="eastAsia" w:ascii="宋体" w:hAnsi="宋体" w:eastAsia="宋体"/>
                <w:szCs w:val="24"/>
              </w:rPr>
            </w:pPr>
          </w:p>
        </w:tc>
      </w:tr>
    </w:tbl>
    <w:p w14:paraId="3D420025">
      <w:pPr>
        <w:pStyle w:val="5"/>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97" w:name="_Toc19982"/>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zh-CN" w:eastAsia="zh-CN" w:bidi="ar-SA"/>
        </w:rPr>
        <w:t>评分标准</w:t>
      </w:r>
      <w:bookmarkEnd w:id="496"/>
      <w:bookmarkEnd w:id="497"/>
    </w:p>
    <w:tbl>
      <w:tblPr>
        <w:tblStyle w:val="29"/>
        <w:tblW w:w="999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00"/>
        <w:gridCol w:w="7560"/>
      </w:tblGrid>
      <w:tr w14:paraId="5636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30" w:type="dxa"/>
            <w:vAlign w:val="center"/>
          </w:tcPr>
          <w:p w14:paraId="5F1DA962">
            <w:pPr>
              <w:jc w:val="center"/>
              <w:rPr>
                <w:rFonts w:hint="eastAsia"/>
                <w:b/>
                <w:bCs/>
                <w:i w:val="0"/>
                <w:iCs w:val="0"/>
                <w:color w:val="auto"/>
                <w:highlight w:val="none"/>
                <w:lang w:val="zh-CN" w:eastAsia="zh-CN"/>
              </w:rPr>
            </w:pPr>
            <w:r>
              <w:rPr>
                <w:rFonts w:hint="eastAsia"/>
                <w:b/>
                <w:bCs/>
                <w:i w:val="0"/>
                <w:iCs w:val="0"/>
                <w:color w:val="auto"/>
                <w:highlight w:val="none"/>
                <w:lang w:val="zh-CN" w:eastAsia="zh-CN"/>
              </w:rPr>
              <w:t>评分因素</w:t>
            </w:r>
          </w:p>
        </w:tc>
        <w:tc>
          <w:tcPr>
            <w:tcW w:w="1200" w:type="dxa"/>
            <w:vAlign w:val="center"/>
          </w:tcPr>
          <w:p w14:paraId="3FCBCD9C">
            <w:pPr>
              <w:jc w:val="center"/>
              <w:rPr>
                <w:rFonts w:hint="eastAsia"/>
                <w:b/>
                <w:bCs/>
                <w:i w:val="0"/>
                <w:iCs w:val="0"/>
                <w:color w:val="auto"/>
                <w:highlight w:val="none"/>
                <w:lang w:val="zh-CN" w:eastAsia="zh-CN"/>
              </w:rPr>
            </w:pPr>
            <w:r>
              <w:rPr>
                <w:rFonts w:hint="eastAsia"/>
                <w:b/>
                <w:bCs/>
                <w:i w:val="0"/>
                <w:iCs w:val="0"/>
                <w:color w:val="auto"/>
                <w:highlight w:val="none"/>
                <w:lang w:val="zh-CN" w:eastAsia="zh-CN"/>
              </w:rPr>
              <w:t>评分点</w:t>
            </w:r>
          </w:p>
        </w:tc>
        <w:tc>
          <w:tcPr>
            <w:tcW w:w="7560" w:type="dxa"/>
            <w:vAlign w:val="center"/>
          </w:tcPr>
          <w:p w14:paraId="2E6727E5">
            <w:pPr>
              <w:jc w:val="center"/>
              <w:rPr>
                <w:rFonts w:hint="eastAsia"/>
                <w:b/>
                <w:bCs/>
                <w:i w:val="0"/>
                <w:iCs w:val="0"/>
                <w:color w:val="auto"/>
                <w:highlight w:val="none"/>
                <w:lang w:val="zh-CN" w:eastAsia="zh-CN"/>
              </w:rPr>
            </w:pPr>
            <w:r>
              <w:rPr>
                <w:rFonts w:hint="eastAsia"/>
                <w:b/>
                <w:bCs/>
                <w:i w:val="0"/>
                <w:iCs w:val="0"/>
                <w:color w:val="auto"/>
                <w:highlight w:val="none"/>
                <w:lang w:val="zh-CN" w:eastAsia="zh-CN"/>
              </w:rPr>
              <w:t>评分标准</w:t>
            </w:r>
          </w:p>
        </w:tc>
      </w:tr>
      <w:tr w14:paraId="2E63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14:paraId="5259C8A9">
            <w:pPr>
              <w:jc w:val="center"/>
              <w:rPr>
                <w:rFonts w:hint="eastAsia"/>
                <w:i w:val="0"/>
                <w:iCs w:val="0"/>
                <w:color w:val="auto"/>
                <w:highlight w:val="none"/>
                <w:lang w:val="zh-CN" w:eastAsia="zh-CN"/>
              </w:rPr>
            </w:pPr>
            <w:r>
              <w:rPr>
                <w:rFonts w:hint="eastAsia"/>
                <w:i w:val="0"/>
                <w:iCs w:val="0"/>
                <w:color w:val="auto"/>
                <w:highlight w:val="none"/>
                <w:lang w:val="zh-CN" w:eastAsia="zh-CN"/>
              </w:rPr>
              <w:t>报价得分</w:t>
            </w:r>
          </w:p>
          <w:p w14:paraId="5372B956">
            <w:pPr>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15</w:t>
            </w:r>
            <w:r>
              <w:rPr>
                <w:rFonts w:hint="eastAsia"/>
                <w:i w:val="0"/>
                <w:iCs w:val="0"/>
                <w:color w:val="auto"/>
                <w:highlight w:val="none"/>
                <w:lang w:val="zh-CN" w:eastAsia="zh-CN"/>
              </w:rPr>
              <w:t>分）</w:t>
            </w:r>
          </w:p>
        </w:tc>
        <w:tc>
          <w:tcPr>
            <w:tcW w:w="1200" w:type="dxa"/>
            <w:vAlign w:val="center"/>
          </w:tcPr>
          <w:p w14:paraId="3E897E03">
            <w:pPr>
              <w:jc w:val="center"/>
              <w:rPr>
                <w:rFonts w:hint="eastAsia"/>
                <w:highlight w:val="none"/>
                <w:lang w:val="zh-CN" w:eastAsia="zh-CN"/>
              </w:rPr>
            </w:pPr>
            <w:r>
              <w:rPr>
                <w:rFonts w:hint="eastAsia"/>
                <w:i w:val="0"/>
                <w:iCs w:val="0"/>
                <w:color w:val="auto"/>
                <w:highlight w:val="none"/>
                <w:lang w:val="en-US" w:eastAsia="zh-CN"/>
              </w:rPr>
              <w:t>15</w:t>
            </w:r>
            <w:r>
              <w:rPr>
                <w:rFonts w:hint="eastAsia"/>
                <w:i w:val="0"/>
                <w:iCs w:val="0"/>
                <w:color w:val="auto"/>
                <w:highlight w:val="none"/>
                <w:lang w:val="zh-CN" w:eastAsia="zh-CN"/>
              </w:rPr>
              <w:t>分</w:t>
            </w:r>
          </w:p>
        </w:tc>
        <w:tc>
          <w:tcPr>
            <w:tcW w:w="7560" w:type="dxa"/>
            <w:vAlign w:val="center"/>
          </w:tcPr>
          <w:p w14:paraId="14ED0547">
            <w:pPr>
              <w:pStyle w:val="16"/>
              <w:spacing w:line="300" w:lineRule="exact"/>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以实质性满足磋商文件要求的最低投标报价为评审基准价，其它投标人的报价得分统一按照下列公式计算：</w:t>
            </w:r>
          </w:p>
          <w:p w14:paraId="269298F5">
            <w:pPr>
              <w:pStyle w:val="16"/>
              <w:spacing w:line="300" w:lineRule="exact"/>
              <w:rPr>
                <w:rFonts w:hint="default" w:ascii="宋体" w:hAnsi="宋体" w:eastAsia="宋体" w:cs="宋体"/>
                <w:sz w:val="24"/>
                <w:highlight w:val="none"/>
                <w:lang w:val="en-US" w:eastAsia="zh-CN"/>
              </w:rPr>
            </w:pPr>
            <w:r>
              <w:rPr>
                <w:rFonts w:hint="eastAsia" w:ascii="宋体" w:hAnsi="宋体" w:eastAsia="宋体" w:cs="宋体"/>
                <w:sz w:val="24"/>
                <w:highlight w:val="none"/>
                <w:lang w:val="zh-CN" w:eastAsia="zh-CN"/>
              </w:rPr>
              <w:t>报价得分=（评审基准价/投标报价）*</w:t>
            </w:r>
            <w:r>
              <w:rPr>
                <w:rFonts w:hint="eastAsia" w:ascii="宋体" w:hAnsi="宋体" w:eastAsia="宋体" w:cs="宋体"/>
                <w:sz w:val="24"/>
                <w:highlight w:val="none"/>
                <w:lang w:val="en-US" w:eastAsia="zh-CN"/>
              </w:rPr>
              <w:t>1</w:t>
            </w:r>
            <w:r>
              <w:rPr>
                <w:rFonts w:hint="eastAsia" w:hAnsi="宋体" w:cs="宋体"/>
                <w:sz w:val="24"/>
                <w:highlight w:val="none"/>
                <w:lang w:val="en-US" w:eastAsia="zh-CN"/>
              </w:rPr>
              <w:t>5</w:t>
            </w:r>
          </w:p>
          <w:p w14:paraId="47C889F9">
            <w:pPr>
              <w:pStyle w:val="16"/>
              <w:spacing w:line="300" w:lineRule="exact"/>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结果四舍五入，小数点后保留两位。</w:t>
            </w:r>
          </w:p>
          <w:p w14:paraId="2FB8CBE8">
            <w:pPr>
              <w:pStyle w:val="16"/>
              <w:spacing w:line="300" w:lineRule="exact"/>
              <w:rPr>
                <w:rFonts w:hint="eastAsia"/>
                <w:i w:val="0"/>
                <w:iCs w:val="0"/>
                <w:color w:val="auto"/>
                <w:highlight w:val="none"/>
                <w:lang w:val="zh-CN" w:eastAsia="zh-CN"/>
              </w:rPr>
            </w:pPr>
            <w:r>
              <w:rPr>
                <w:rFonts w:hint="eastAsia" w:ascii="宋体" w:hAnsi="宋体" w:eastAsia="宋体" w:cs="宋体"/>
                <w:sz w:val="24"/>
                <w:highlight w:val="none"/>
                <w:lang w:val="zh-CN" w:eastAsia="zh-CN"/>
              </w:rPr>
              <w:t>高于限价为无效报价。</w:t>
            </w:r>
            <w:r>
              <w:rPr>
                <w:rFonts w:hint="eastAsia"/>
                <w:i w:val="0"/>
                <w:iCs w:val="0"/>
                <w:color w:val="auto"/>
                <w:highlight w:val="none"/>
                <w:lang w:val="zh-CN" w:eastAsia="zh-CN"/>
              </w:rPr>
              <w:t xml:space="preserve"> </w:t>
            </w:r>
          </w:p>
        </w:tc>
      </w:tr>
      <w:tr w14:paraId="48EF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restart"/>
          </w:tcPr>
          <w:p w14:paraId="02EEC0C1">
            <w:pPr>
              <w:jc w:val="both"/>
              <w:rPr>
                <w:rFonts w:hint="eastAsia"/>
                <w:i w:val="0"/>
                <w:iCs w:val="0"/>
                <w:color w:val="auto"/>
                <w:highlight w:val="none"/>
                <w:lang w:val="en-US" w:eastAsia="zh-CN"/>
              </w:rPr>
            </w:pPr>
          </w:p>
          <w:p w14:paraId="0588008B">
            <w:pPr>
              <w:jc w:val="center"/>
              <w:rPr>
                <w:rFonts w:hint="eastAsia"/>
                <w:i w:val="0"/>
                <w:iCs w:val="0"/>
                <w:color w:val="auto"/>
                <w:highlight w:val="none"/>
                <w:lang w:val="en-US" w:eastAsia="zh-CN"/>
              </w:rPr>
            </w:pPr>
          </w:p>
          <w:p w14:paraId="77E2C4E0">
            <w:pPr>
              <w:jc w:val="center"/>
              <w:rPr>
                <w:rFonts w:hint="eastAsia"/>
                <w:i w:val="0"/>
                <w:iCs w:val="0"/>
                <w:color w:val="auto"/>
                <w:highlight w:val="none"/>
                <w:lang w:val="en-US" w:eastAsia="zh-CN"/>
              </w:rPr>
            </w:pPr>
          </w:p>
          <w:p w14:paraId="3DACA874">
            <w:pPr>
              <w:jc w:val="center"/>
              <w:rPr>
                <w:rFonts w:hint="eastAsia"/>
                <w:i w:val="0"/>
                <w:iCs w:val="0"/>
                <w:color w:val="auto"/>
                <w:highlight w:val="none"/>
                <w:lang w:val="en-US" w:eastAsia="zh-CN"/>
              </w:rPr>
            </w:pPr>
          </w:p>
          <w:p w14:paraId="7C5BE82F">
            <w:pPr>
              <w:jc w:val="center"/>
              <w:rPr>
                <w:rFonts w:hint="eastAsia"/>
                <w:i w:val="0"/>
                <w:iCs w:val="0"/>
                <w:color w:val="auto"/>
                <w:highlight w:val="none"/>
                <w:lang w:val="zh-CN" w:eastAsia="zh-CN"/>
              </w:rPr>
            </w:pPr>
            <w:r>
              <w:rPr>
                <w:rFonts w:hint="eastAsia"/>
                <w:i w:val="0"/>
                <w:iCs w:val="0"/>
                <w:color w:val="auto"/>
                <w:highlight w:val="none"/>
                <w:lang w:val="en-US" w:eastAsia="zh-CN"/>
              </w:rPr>
              <w:t>商务</w:t>
            </w:r>
            <w:r>
              <w:rPr>
                <w:rFonts w:hint="eastAsia"/>
                <w:i w:val="0"/>
                <w:iCs w:val="0"/>
                <w:color w:val="auto"/>
                <w:highlight w:val="none"/>
                <w:lang w:val="zh-CN" w:eastAsia="zh-CN"/>
              </w:rPr>
              <w:t>评审（</w:t>
            </w:r>
            <w:r>
              <w:rPr>
                <w:rFonts w:hint="eastAsia"/>
                <w:i w:val="0"/>
                <w:iCs w:val="0"/>
                <w:color w:val="auto"/>
                <w:highlight w:val="none"/>
                <w:lang w:val="en-US" w:eastAsia="zh-CN"/>
              </w:rPr>
              <w:t>22</w:t>
            </w:r>
            <w:r>
              <w:rPr>
                <w:rFonts w:hint="eastAsia"/>
                <w:i w:val="0"/>
                <w:iCs w:val="0"/>
                <w:color w:val="auto"/>
                <w:highlight w:val="none"/>
                <w:lang w:val="zh-CN" w:eastAsia="zh-CN"/>
              </w:rPr>
              <w:t>分）</w:t>
            </w:r>
          </w:p>
        </w:tc>
        <w:tc>
          <w:tcPr>
            <w:tcW w:w="1200" w:type="dxa"/>
          </w:tcPr>
          <w:p w14:paraId="547080DC">
            <w:pPr>
              <w:jc w:val="center"/>
              <w:rPr>
                <w:rFonts w:hint="eastAsia"/>
                <w:i w:val="0"/>
                <w:iCs w:val="0"/>
                <w:color w:val="auto"/>
                <w:highlight w:val="none"/>
                <w:lang w:val="zh-CN" w:eastAsia="zh-CN"/>
              </w:rPr>
            </w:pPr>
            <w:r>
              <w:rPr>
                <w:rFonts w:hint="eastAsia"/>
                <w:i w:val="0"/>
                <w:iCs w:val="0"/>
                <w:color w:val="auto"/>
                <w:highlight w:val="none"/>
                <w:lang w:val="zh-CN" w:eastAsia="zh-CN"/>
              </w:rPr>
              <w:t>同类项目经验</w:t>
            </w:r>
          </w:p>
          <w:p w14:paraId="11517395">
            <w:pPr>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10</w:t>
            </w:r>
            <w:r>
              <w:rPr>
                <w:rFonts w:hint="eastAsia"/>
                <w:i w:val="0"/>
                <w:iCs w:val="0"/>
                <w:color w:val="auto"/>
                <w:highlight w:val="none"/>
                <w:lang w:val="zh-CN" w:eastAsia="zh-CN"/>
              </w:rPr>
              <w:t>分）</w:t>
            </w:r>
          </w:p>
        </w:tc>
        <w:tc>
          <w:tcPr>
            <w:tcW w:w="7560" w:type="dxa"/>
          </w:tcPr>
          <w:p w14:paraId="4C4EBEA8">
            <w:pPr>
              <w:pStyle w:val="16"/>
              <w:spacing w:line="300" w:lineRule="exact"/>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近三年（202</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eastAsia="zh-CN"/>
              </w:rPr>
              <w:t>年</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eastAsia="zh-CN"/>
              </w:rPr>
              <w:t>月1日至今）已完成类似项目业绩，每提供1个类似业绩证明材料的，</w:t>
            </w:r>
            <w:r>
              <w:rPr>
                <w:rFonts w:hint="eastAsia" w:ascii="宋体" w:hAnsi="宋体" w:eastAsia="宋体" w:cs="宋体"/>
                <w:sz w:val="24"/>
                <w:highlight w:val="none"/>
                <w:lang w:val="en-US" w:eastAsia="zh-CN"/>
              </w:rPr>
              <w:t>得</w:t>
            </w:r>
            <w:r>
              <w:rPr>
                <w:rFonts w:hint="eastAsia" w:hAnsi="宋体" w:cs="宋体"/>
                <w:sz w:val="24"/>
                <w:highlight w:val="none"/>
                <w:lang w:val="en-US" w:eastAsia="zh-CN"/>
              </w:rPr>
              <w:t>2</w:t>
            </w:r>
            <w:r>
              <w:rPr>
                <w:rFonts w:hint="eastAsia" w:ascii="宋体" w:hAnsi="宋体" w:eastAsia="宋体" w:cs="宋体"/>
                <w:sz w:val="24"/>
                <w:highlight w:val="none"/>
                <w:lang w:val="zh-CN" w:eastAsia="zh-CN"/>
              </w:rPr>
              <w:t>分，本项最多</w:t>
            </w:r>
            <w:r>
              <w:rPr>
                <w:rFonts w:hint="eastAsia" w:ascii="宋体" w:hAnsi="宋体" w:eastAsia="宋体" w:cs="宋体"/>
                <w:sz w:val="24"/>
                <w:highlight w:val="none"/>
                <w:lang w:val="en-US" w:eastAsia="zh-CN"/>
              </w:rPr>
              <w:t>得</w:t>
            </w:r>
            <w:r>
              <w:rPr>
                <w:rFonts w:hint="eastAsia" w:hAnsi="宋体" w:cs="宋体"/>
                <w:sz w:val="24"/>
                <w:highlight w:val="none"/>
                <w:lang w:val="en-US" w:eastAsia="zh-CN"/>
              </w:rPr>
              <w:t>10</w:t>
            </w:r>
            <w:r>
              <w:rPr>
                <w:rFonts w:hint="eastAsia" w:ascii="宋体" w:hAnsi="宋体" w:eastAsia="宋体" w:cs="宋体"/>
                <w:sz w:val="24"/>
                <w:highlight w:val="none"/>
                <w:lang w:val="zh-CN" w:eastAsia="zh-CN"/>
              </w:rPr>
              <w:t>分。</w:t>
            </w:r>
          </w:p>
          <w:p w14:paraId="5CBF7D5C">
            <w:pPr>
              <w:pStyle w:val="16"/>
              <w:spacing w:line="300" w:lineRule="exact"/>
              <w:rPr>
                <w:rFonts w:hint="eastAsia"/>
                <w:i w:val="0"/>
                <w:iCs w:val="0"/>
                <w:color w:val="auto"/>
                <w:highlight w:val="none"/>
                <w:lang w:val="zh-CN" w:eastAsia="zh-CN"/>
              </w:rPr>
            </w:pPr>
            <w:r>
              <w:rPr>
                <w:rFonts w:hint="eastAsia" w:ascii="宋体" w:hAnsi="宋体" w:eastAsia="宋体" w:cs="宋体"/>
                <w:b/>
                <w:bCs/>
                <w:sz w:val="21"/>
                <w:szCs w:val="16"/>
                <w:highlight w:val="none"/>
                <w:lang w:val="zh-CN" w:eastAsia="zh-CN"/>
              </w:rPr>
              <w:t>（业绩证明材料为：合同或中标通知书；合同需提供包含合同首页、标的内容及金额所在页、合同签字盖章页等关键页即可，需加盖公章。合同关键处不得遮挡涂黑，日期清晰明确。若提供业绩证明材料为中标通知书的，需提供中标通知书复印件，并加盖公章。）</w:t>
            </w:r>
          </w:p>
        </w:tc>
      </w:tr>
      <w:tr w14:paraId="3EC0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30" w:type="dxa"/>
            <w:vMerge w:val="continue"/>
          </w:tcPr>
          <w:p w14:paraId="4290AEB7">
            <w:pPr>
              <w:jc w:val="center"/>
              <w:rPr>
                <w:rFonts w:hint="eastAsia"/>
                <w:i w:val="0"/>
                <w:iCs w:val="0"/>
                <w:color w:val="auto"/>
                <w:highlight w:val="none"/>
                <w:lang w:val="zh-CN" w:eastAsia="zh-CN"/>
              </w:rPr>
            </w:pPr>
          </w:p>
        </w:tc>
        <w:tc>
          <w:tcPr>
            <w:tcW w:w="1200" w:type="dxa"/>
            <w:vAlign w:val="center"/>
          </w:tcPr>
          <w:p w14:paraId="129848B3">
            <w:pPr>
              <w:jc w:val="center"/>
              <w:rPr>
                <w:rFonts w:hint="eastAsia"/>
                <w:i w:val="0"/>
                <w:iCs w:val="0"/>
                <w:color w:val="auto"/>
                <w:highlight w:val="none"/>
                <w:lang w:val="zh-CN" w:eastAsia="zh-CN"/>
              </w:rPr>
            </w:pPr>
            <w:r>
              <w:rPr>
                <w:rFonts w:hint="eastAsia"/>
                <w:i w:val="0"/>
                <w:iCs w:val="0"/>
                <w:color w:val="auto"/>
                <w:highlight w:val="none"/>
                <w:lang w:val="zh-CN" w:eastAsia="zh-CN"/>
              </w:rPr>
              <w:t>项目团队</w:t>
            </w:r>
          </w:p>
          <w:p w14:paraId="27029E09">
            <w:pPr>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12</w:t>
            </w:r>
            <w:r>
              <w:rPr>
                <w:rFonts w:hint="eastAsia"/>
                <w:i w:val="0"/>
                <w:iCs w:val="0"/>
                <w:color w:val="auto"/>
                <w:highlight w:val="none"/>
                <w:lang w:val="zh-CN" w:eastAsia="zh-CN"/>
              </w:rPr>
              <w:t>分）</w:t>
            </w:r>
          </w:p>
        </w:tc>
        <w:tc>
          <w:tcPr>
            <w:tcW w:w="7560" w:type="dxa"/>
            <w:vAlign w:val="center"/>
          </w:tcPr>
          <w:p w14:paraId="2DEC937C">
            <w:pPr>
              <w:pStyle w:val="16"/>
              <w:numPr>
                <w:ilvl w:val="0"/>
                <w:numId w:val="0"/>
              </w:numPr>
              <w:spacing w:line="300" w:lineRule="exact"/>
              <w:rPr>
                <w:rFonts w:hint="default" w:ascii="宋体" w:hAnsi="宋体" w:eastAsia="宋体" w:cs="宋体"/>
                <w:sz w:val="24"/>
                <w:highlight w:val="yellow"/>
                <w:lang w:val="en-US" w:eastAsia="zh-CN"/>
              </w:rPr>
            </w:pPr>
            <w:r>
              <w:rPr>
                <w:rFonts w:hint="eastAsia" w:hAnsi="宋体" w:cs="宋体"/>
                <w:sz w:val="24"/>
                <w:highlight w:val="none"/>
                <w:lang w:val="en-US" w:eastAsia="zh-CN"/>
              </w:rPr>
              <w:t>1、项目经理：</w:t>
            </w:r>
          </w:p>
          <w:p w14:paraId="1C421EBE">
            <w:pPr>
              <w:pStyle w:val="16"/>
              <w:numPr>
                <w:ilvl w:val="0"/>
                <w:numId w:val="0"/>
              </w:numPr>
              <w:spacing w:line="300" w:lineRule="exact"/>
              <w:rPr>
                <w:rFonts w:hint="eastAsia" w:ascii="宋体" w:hAnsi="宋体" w:eastAsia="宋体" w:cs="宋体"/>
                <w:b/>
                <w:bCs/>
                <w:color w:val="auto"/>
                <w:sz w:val="21"/>
                <w:szCs w:val="16"/>
                <w:highlight w:val="none"/>
                <w:lang w:val="zh-CN" w:eastAsia="zh-CN"/>
              </w:rPr>
            </w:pPr>
            <w:r>
              <w:rPr>
                <w:rFonts w:hint="eastAsia" w:hAnsi="宋体" w:cs="宋体"/>
                <w:sz w:val="24"/>
                <w:highlight w:val="none"/>
                <w:lang w:val="zh-CN" w:eastAsia="zh-CN"/>
              </w:rPr>
              <w:t>（</w:t>
            </w:r>
            <w:r>
              <w:rPr>
                <w:rFonts w:hint="eastAsia" w:hAnsi="宋体" w:cs="宋体"/>
                <w:sz w:val="24"/>
                <w:highlight w:val="none"/>
                <w:lang w:val="en-US" w:eastAsia="zh-CN"/>
              </w:rPr>
              <w:t>1</w:t>
            </w:r>
            <w:r>
              <w:rPr>
                <w:rFonts w:hint="eastAsia" w:hAnsi="宋体" w:cs="宋体"/>
                <w:sz w:val="24"/>
                <w:highlight w:val="none"/>
                <w:lang w:val="zh-CN" w:eastAsia="zh-CN"/>
              </w:rPr>
              <w:t>）</w:t>
            </w:r>
            <w:r>
              <w:rPr>
                <w:rFonts w:hint="eastAsia" w:ascii="宋体" w:hAnsi="宋体" w:eastAsia="宋体" w:cs="宋体"/>
                <w:color w:val="auto"/>
                <w:sz w:val="24"/>
                <w:highlight w:val="none"/>
                <w:lang w:val="zh-CN" w:eastAsia="zh-CN"/>
              </w:rPr>
              <w:t>项目经理本人取得DSG认证证书或OCP认证证书的得</w:t>
            </w: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r>
              <w:rPr>
                <w:rFonts w:hint="eastAsia" w:hAnsi="宋体" w:cs="宋体"/>
                <w:color w:val="auto"/>
                <w:sz w:val="24"/>
                <w:highlight w:val="none"/>
                <w:lang w:val="en-US" w:eastAsia="zh-CN"/>
              </w:rPr>
              <w:t>未提供</w:t>
            </w:r>
            <w:r>
              <w:rPr>
                <w:rFonts w:hint="eastAsia" w:ascii="宋体" w:hAnsi="宋体" w:eastAsia="宋体" w:cs="宋体"/>
                <w:color w:val="auto"/>
                <w:sz w:val="24"/>
                <w:highlight w:val="none"/>
                <w:lang w:val="zh-CN" w:eastAsia="zh-CN"/>
              </w:rPr>
              <w:t>不得分。</w:t>
            </w:r>
            <w:r>
              <w:rPr>
                <w:rFonts w:hint="eastAsia" w:ascii="宋体" w:hAnsi="宋体" w:eastAsia="宋体" w:cs="宋体"/>
                <w:b/>
                <w:bCs/>
                <w:color w:val="auto"/>
                <w:sz w:val="21"/>
                <w:szCs w:val="16"/>
                <w:highlight w:val="none"/>
                <w:lang w:val="zh-CN" w:eastAsia="zh-CN"/>
              </w:rPr>
              <w:t>（注：须提供</w:t>
            </w:r>
            <w:r>
              <w:rPr>
                <w:rFonts w:hint="eastAsia" w:ascii="宋体" w:hAnsi="宋体" w:eastAsia="宋体" w:cs="宋体"/>
                <w:b/>
                <w:bCs/>
                <w:color w:val="auto"/>
                <w:sz w:val="21"/>
                <w:szCs w:val="16"/>
                <w:highlight w:val="none"/>
                <w:lang w:val="en-US" w:eastAsia="zh-CN"/>
              </w:rPr>
              <w:t>证书</w:t>
            </w:r>
            <w:r>
              <w:rPr>
                <w:rFonts w:hint="eastAsia" w:ascii="宋体" w:hAnsi="宋体" w:eastAsia="宋体" w:cs="宋体"/>
                <w:b/>
                <w:bCs/>
                <w:color w:val="auto"/>
                <w:sz w:val="21"/>
                <w:szCs w:val="16"/>
                <w:highlight w:val="none"/>
                <w:lang w:val="zh-CN" w:eastAsia="zh-CN"/>
              </w:rPr>
              <w:t>复印件加盖公章，否则不计分。）</w:t>
            </w:r>
          </w:p>
          <w:p w14:paraId="7CD49094">
            <w:pPr>
              <w:pStyle w:val="16"/>
              <w:numPr>
                <w:ilvl w:val="0"/>
                <w:numId w:val="0"/>
              </w:numPr>
              <w:spacing w:line="300" w:lineRule="exac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）项目负责人，每有1项类似业绩的得2分。本小项满分</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分。</w:t>
            </w:r>
          </w:p>
          <w:p w14:paraId="4D574FAA">
            <w:pPr>
              <w:pStyle w:val="16"/>
              <w:numPr>
                <w:ilvl w:val="0"/>
                <w:numId w:val="0"/>
              </w:numPr>
              <w:spacing w:line="300" w:lineRule="exact"/>
              <w:rPr>
                <w:rFonts w:hint="eastAsia" w:hAnsi="宋体" w:cs="宋体"/>
                <w:color w:val="auto"/>
                <w:sz w:val="24"/>
                <w:highlight w:val="none"/>
                <w:lang w:val="en-US" w:eastAsia="zh-CN"/>
              </w:rPr>
            </w:pPr>
            <w:r>
              <w:rPr>
                <w:rFonts w:hint="eastAsia" w:hAnsi="宋体" w:cs="宋体"/>
                <w:color w:val="auto"/>
                <w:sz w:val="24"/>
                <w:highlight w:val="none"/>
                <w:lang w:val="en-US" w:eastAsia="zh-CN"/>
              </w:rPr>
              <w:t>2、项目团队：</w:t>
            </w:r>
          </w:p>
          <w:p w14:paraId="1A7863E6">
            <w:pPr>
              <w:pStyle w:val="16"/>
              <w:numPr>
                <w:ilvl w:val="0"/>
                <w:numId w:val="0"/>
              </w:numPr>
              <w:spacing w:line="300" w:lineRule="exact"/>
              <w:ind w:leftChars="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供应商承诺拟投入本项目技术服务队伍：除项目</w:t>
            </w:r>
            <w:r>
              <w:rPr>
                <w:rFonts w:hint="eastAsia" w:hAnsi="宋体" w:cs="宋体"/>
                <w:color w:val="auto"/>
                <w:sz w:val="24"/>
                <w:highlight w:val="none"/>
                <w:lang w:val="en-US" w:eastAsia="zh-CN"/>
              </w:rPr>
              <w:t>经理</w:t>
            </w:r>
            <w:r>
              <w:rPr>
                <w:rFonts w:hint="eastAsia" w:ascii="宋体" w:hAnsi="宋体" w:eastAsia="宋体" w:cs="宋体"/>
                <w:color w:val="auto"/>
                <w:sz w:val="24"/>
                <w:highlight w:val="none"/>
                <w:lang w:val="en-US" w:eastAsia="zh-CN"/>
              </w:rPr>
              <w:t>外，提供</w:t>
            </w:r>
            <w:r>
              <w:rPr>
                <w:rFonts w:hint="eastAsia" w:ascii="宋体" w:hAnsi="宋体" w:eastAsia="宋体" w:cs="宋体"/>
                <w:color w:val="auto"/>
                <w:sz w:val="24"/>
                <w:highlight w:val="none"/>
                <w:lang w:val="zh-CN" w:eastAsia="zh-CN"/>
              </w:rPr>
              <w:t>CISP</w:t>
            </w:r>
            <w:r>
              <w:rPr>
                <w:rFonts w:hint="eastAsia" w:hAnsi="宋体" w:cs="宋体"/>
                <w:color w:val="auto"/>
                <w:sz w:val="24"/>
                <w:highlight w:val="none"/>
                <w:lang w:val="en-US" w:eastAsia="zh-CN"/>
              </w:rPr>
              <w:t>专</w:t>
            </w:r>
            <w:r>
              <w:rPr>
                <w:rFonts w:hint="eastAsia" w:hAnsi="宋体" w:cs="宋体"/>
                <w:sz w:val="24"/>
                <w:highlight w:val="none"/>
                <w:lang w:val="en-US" w:eastAsia="zh-CN"/>
              </w:rPr>
              <w:t>业证书的，每提供一个的1分</w:t>
            </w:r>
            <w:r>
              <w:rPr>
                <w:rFonts w:hint="eastAsia" w:ascii="宋体" w:hAnsi="宋体" w:eastAsia="宋体" w:cs="宋体"/>
                <w:sz w:val="24"/>
                <w:highlight w:val="none"/>
                <w:lang w:val="en-US" w:eastAsia="zh-CN"/>
              </w:rPr>
              <w:t>，</w:t>
            </w:r>
            <w:r>
              <w:rPr>
                <w:rFonts w:hint="eastAsia" w:hAnsi="宋体" w:cs="宋体"/>
                <w:sz w:val="24"/>
                <w:highlight w:val="none"/>
                <w:lang w:val="en-US" w:eastAsia="zh-CN"/>
              </w:rPr>
              <w:t>最高得3分，未提供不得分</w:t>
            </w:r>
            <w:r>
              <w:rPr>
                <w:rFonts w:hint="eastAsia" w:ascii="宋体" w:hAnsi="宋体" w:eastAsia="宋体" w:cs="宋体"/>
                <w:sz w:val="24"/>
                <w:highlight w:val="none"/>
                <w:lang w:val="en-US" w:eastAsia="zh-CN"/>
              </w:rPr>
              <w:t>。</w:t>
            </w:r>
          </w:p>
          <w:p w14:paraId="1E249395">
            <w:pPr>
              <w:pStyle w:val="16"/>
              <w:spacing w:line="300" w:lineRule="exact"/>
              <w:rPr>
                <w:rFonts w:hint="default"/>
                <w:i w:val="0"/>
                <w:iCs w:val="0"/>
                <w:color w:val="auto"/>
                <w:highlight w:val="none"/>
                <w:lang w:val="en-US" w:eastAsia="zh-CN"/>
              </w:rPr>
            </w:pPr>
            <w:r>
              <w:rPr>
                <w:rFonts w:hint="eastAsia" w:ascii="宋体" w:hAnsi="宋体" w:eastAsia="宋体" w:cs="宋体"/>
                <w:b/>
                <w:bCs/>
                <w:sz w:val="21"/>
                <w:szCs w:val="16"/>
                <w:highlight w:val="none"/>
                <w:lang w:val="zh-CN" w:eastAsia="zh-CN"/>
              </w:rPr>
              <w:t>注： ①提供证书扫描件。② 业绩证明材料为：合同或中标通知书</w:t>
            </w:r>
            <w:r>
              <w:rPr>
                <w:rFonts w:hint="eastAsia" w:hAnsi="宋体" w:cs="宋体"/>
                <w:b/>
                <w:bCs/>
                <w:sz w:val="21"/>
                <w:szCs w:val="16"/>
                <w:highlight w:val="none"/>
                <w:lang w:val="zh-CN" w:eastAsia="zh-CN"/>
              </w:rPr>
              <w:t>，合同内容需体现项目负责人</w:t>
            </w:r>
            <w:r>
              <w:rPr>
                <w:rFonts w:hint="eastAsia" w:hAnsi="宋体" w:cs="宋体"/>
                <w:b/>
                <w:bCs/>
                <w:sz w:val="21"/>
                <w:szCs w:val="16"/>
                <w:highlight w:val="none"/>
                <w:lang w:val="en-US" w:eastAsia="zh-CN"/>
              </w:rPr>
              <w:t>名字</w:t>
            </w:r>
            <w:r>
              <w:rPr>
                <w:rFonts w:hint="eastAsia" w:hAnsi="宋体" w:cs="宋体"/>
                <w:b/>
                <w:bCs/>
                <w:sz w:val="21"/>
                <w:szCs w:val="16"/>
                <w:highlight w:val="none"/>
                <w:lang w:val="zh-CN" w:eastAsia="zh-CN"/>
              </w:rPr>
              <w:t>；</w:t>
            </w:r>
            <w:r>
              <w:rPr>
                <w:rFonts w:hint="eastAsia" w:ascii="宋体" w:hAnsi="宋体" w:eastAsia="宋体" w:cs="宋体"/>
                <w:b/>
                <w:bCs/>
                <w:sz w:val="21"/>
                <w:szCs w:val="16"/>
                <w:highlight w:val="none"/>
                <w:lang w:val="zh-CN" w:eastAsia="zh-CN"/>
              </w:rPr>
              <w:t>合同需提供包含合同首页、标的内容及金额所在页、合同签字盖章页等关键页即可，需加盖公章。合同关键处不得遮挡涂黑，日期清晰明确。若提供业绩证明材料为中标通知书的，需提供中标通知书复印件，并加盖公章。（</w:t>
            </w:r>
            <w:r>
              <w:rPr>
                <w:rFonts w:hint="eastAsia" w:ascii="宋体" w:hAnsi="宋体" w:eastAsia="宋体" w:cs="宋体"/>
                <w:b/>
                <w:bCs/>
                <w:sz w:val="21"/>
                <w:szCs w:val="16"/>
                <w:highlight w:val="none"/>
                <w:lang w:val="en-US" w:eastAsia="zh-CN"/>
              </w:rPr>
              <w:t>项目负责人业绩与企业业绩可以重复</w:t>
            </w:r>
            <w:r>
              <w:rPr>
                <w:rFonts w:hint="eastAsia" w:ascii="宋体" w:hAnsi="宋体" w:eastAsia="宋体" w:cs="宋体"/>
                <w:b/>
                <w:bCs/>
                <w:sz w:val="21"/>
                <w:szCs w:val="16"/>
                <w:highlight w:val="none"/>
                <w:lang w:val="zh-CN" w:eastAsia="zh-CN"/>
              </w:rPr>
              <w:t>）</w:t>
            </w:r>
          </w:p>
        </w:tc>
      </w:tr>
      <w:tr w14:paraId="498D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30" w:type="dxa"/>
            <w:vMerge w:val="restart"/>
          </w:tcPr>
          <w:p w14:paraId="3D796E46">
            <w:pPr>
              <w:jc w:val="center"/>
              <w:rPr>
                <w:rFonts w:hint="eastAsia"/>
                <w:i w:val="0"/>
                <w:iCs w:val="0"/>
                <w:color w:val="auto"/>
                <w:highlight w:val="none"/>
                <w:lang w:val="en-US" w:eastAsia="zh-CN"/>
              </w:rPr>
            </w:pPr>
          </w:p>
          <w:p w14:paraId="24B35505">
            <w:pPr>
              <w:jc w:val="center"/>
              <w:rPr>
                <w:rFonts w:hint="eastAsia"/>
                <w:i w:val="0"/>
                <w:iCs w:val="0"/>
                <w:color w:val="auto"/>
                <w:highlight w:val="none"/>
                <w:lang w:val="en-US" w:eastAsia="zh-CN"/>
              </w:rPr>
            </w:pPr>
          </w:p>
          <w:p w14:paraId="1BBEA9E4">
            <w:pPr>
              <w:jc w:val="center"/>
              <w:rPr>
                <w:rFonts w:hint="eastAsia"/>
                <w:i w:val="0"/>
                <w:iCs w:val="0"/>
                <w:color w:val="auto"/>
                <w:highlight w:val="none"/>
                <w:lang w:val="en-US" w:eastAsia="zh-CN"/>
              </w:rPr>
            </w:pPr>
          </w:p>
          <w:p w14:paraId="64D0145D">
            <w:pPr>
              <w:jc w:val="center"/>
              <w:rPr>
                <w:rFonts w:hint="eastAsia"/>
                <w:i w:val="0"/>
                <w:iCs w:val="0"/>
                <w:color w:val="auto"/>
                <w:highlight w:val="none"/>
                <w:lang w:val="en-US" w:eastAsia="zh-CN"/>
              </w:rPr>
            </w:pPr>
          </w:p>
          <w:p w14:paraId="50B030D7">
            <w:pPr>
              <w:jc w:val="center"/>
              <w:rPr>
                <w:rFonts w:hint="eastAsia"/>
                <w:i w:val="0"/>
                <w:iCs w:val="0"/>
                <w:color w:val="auto"/>
                <w:highlight w:val="none"/>
                <w:lang w:val="en-US" w:eastAsia="zh-CN"/>
              </w:rPr>
            </w:pPr>
          </w:p>
          <w:p w14:paraId="167B1D49">
            <w:pPr>
              <w:jc w:val="center"/>
              <w:rPr>
                <w:rFonts w:hint="eastAsia"/>
                <w:i w:val="0"/>
                <w:iCs w:val="0"/>
                <w:color w:val="auto"/>
                <w:highlight w:val="none"/>
                <w:lang w:val="en-US" w:eastAsia="zh-CN"/>
              </w:rPr>
            </w:pPr>
          </w:p>
          <w:p w14:paraId="279E5272">
            <w:pPr>
              <w:jc w:val="center"/>
              <w:rPr>
                <w:rFonts w:hint="eastAsia"/>
                <w:i w:val="0"/>
                <w:iCs w:val="0"/>
                <w:color w:val="auto"/>
                <w:highlight w:val="none"/>
                <w:lang w:val="en-US" w:eastAsia="zh-CN"/>
              </w:rPr>
            </w:pPr>
          </w:p>
          <w:p w14:paraId="31AF3CB9">
            <w:pPr>
              <w:jc w:val="center"/>
              <w:rPr>
                <w:rFonts w:hint="eastAsia"/>
                <w:i w:val="0"/>
                <w:iCs w:val="0"/>
                <w:color w:val="auto"/>
                <w:highlight w:val="none"/>
                <w:lang w:val="en-US" w:eastAsia="zh-CN"/>
              </w:rPr>
            </w:pPr>
          </w:p>
          <w:p w14:paraId="5B1DA165">
            <w:pPr>
              <w:jc w:val="center"/>
              <w:rPr>
                <w:rFonts w:hint="eastAsia"/>
                <w:i w:val="0"/>
                <w:iCs w:val="0"/>
                <w:color w:val="auto"/>
                <w:highlight w:val="none"/>
                <w:lang w:val="en-US" w:eastAsia="zh-CN"/>
              </w:rPr>
            </w:pPr>
          </w:p>
          <w:p w14:paraId="7BD6F8EB">
            <w:pPr>
              <w:jc w:val="center"/>
              <w:rPr>
                <w:rFonts w:hint="eastAsia"/>
                <w:i w:val="0"/>
                <w:iCs w:val="0"/>
                <w:color w:val="auto"/>
                <w:highlight w:val="none"/>
                <w:lang w:val="en-US" w:eastAsia="zh-CN"/>
              </w:rPr>
            </w:pPr>
          </w:p>
          <w:p w14:paraId="2A24EE0D">
            <w:pPr>
              <w:jc w:val="center"/>
              <w:rPr>
                <w:rFonts w:hint="eastAsia"/>
                <w:i w:val="0"/>
                <w:iCs w:val="0"/>
                <w:color w:val="auto"/>
                <w:highlight w:val="none"/>
                <w:lang w:val="en-US" w:eastAsia="zh-CN"/>
              </w:rPr>
            </w:pPr>
          </w:p>
          <w:p w14:paraId="31F07EC2">
            <w:pPr>
              <w:jc w:val="center"/>
              <w:rPr>
                <w:rFonts w:hint="eastAsia"/>
                <w:i w:val="0"/>
                <w:iCs w:val="0"/>
                <w:color w:val="auto"/>
                <w:highlight w:val="none"/>
                <w:lang w:val="en-US" w:eastAsia="zh-CN"/>
              </w:rPr>
            </w:pPr>
          </w:p>
          <w:p w14:paraId="7386A8AE">
            <w:pPr>
              <w:jc w:val="center"/>
              <w:rPr>
                <w:rFonts w:hint="default"/>
                <w:lang w:val="en-US" w:eastAsia="zh-CN"/>
              </w:rPr>
            </w:pPr>
            <w:r>
              <w:rPr>
                <w:rFonts w:hint="eastAsia"/>
                <w:i w:val="0"/>
                <w:iCs w:val="0"/>
                <w:color w:val="auto"/>
                <w:highlight w:val="none"/>
                <w:lang w:val="en-US" w:eastAsia="zh-CN"/>
              </w:rPr>
              <w:t>技术评审（63分）</w:t>
            </w:r>
          </w:p>
        </w:tc>
        <w:tc>
          <w:tcPr>
            <w:tcW w:w="1200" w:type="dxa"/>
            <w:vAlign w:val="center"/>
          </w:tcPr>
          <w:p w14:paraId="48942172">
            <w:pPr>
              <w:jc w:val="center"/>
              <w:rPr>
                <w:rFonts w:hint="eastAsia"/>
                <w:i w:val="0"/>
                <w:iCs w:val="0"/>
                <w:color w:val="auto"/>
                <w:highlight w:val="none"/>
                <w:lang w:val="zh-CN" w:eastAsia="zh-CN"/>
              </w:rPr>
            </w:pPr>
            <w:r>
              <w:rPr>
                <w:rFonts w:hint="eastAsia"/>
                <w:i w:val="0"/>
                <w:iCs w:val="0"/>
                <w:color w:val="auto"/>
                <w:highlight w:val="none"/>
                <w:lang w:val="en-US" w:eastAsia="zh-CN"/>
              </w:rPr>
              <w:t>运维</w:t>
            </w:r>
            <w:r>
              <w:rPr>
                <w:rFonts w:hint="eastAsia"/>
                <w:i w:val="0"/>
                <w:iCs w:val="0"/>
                <w:color w:val="auto"/>
                <w:highlight w:val="none"/>
                <w:lang w:val="zh-CN" w:eastAsia="zh-CN"/>
              </w:rPr>
              <w:t xml:space="preserve">方案 </w:t>
            </w:r>
          </w:p>
          <w:p w14:paraId="5A2970AB">
            <w:pPr>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16</w:t>
            </w:r>
            <w:r>
              <w:rPr>
                <w:rFonts w:hint="eastAsia"/>
                <w:i w:val="0"/>
                <w:iCs w:val="0"/>
                <w:color w:val="auto"/>
                <w:highlight w:val="none"/>
                <w:lang w:val="zh-CN" w:eastAsia="zh-CN"/>
              </w:rPr>
              <w:t>分）</w:t>
            </w:r>
          </w:p>
        </w:tc>
        <w:tc>
          <w:tcPr>
            <w:tcW w:w="7560" w:type="dxa"/>
            <w:vAlign w:val="center"/>
          </w:tcPr>
          <w:p w14:paraId="53AA75AE">
            <w:pPr>
              <w:pStyle w:val="16"/>
              <w:spacing w:line="300" w:lineRule="exact"/>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综合考虑投标人针对本项目的</w:t>
            </w:r>
            <w:r>
              <w:rPr>
                <w:rFonts w:hint="eastAsia" w:hAnsi="宋体" w:cs="宋体"/>
                <w:sz w:val="24"/>
                <w:highlight w:val="none"/>
                <w:lang w:val="en-US" w:eastAsia="zh-CN"/>
              </w:rPr>
              <w:t>运维</w:t>
            </w:r>
            <w:r>
              <w:rPr>
                <w:rFonts w:hint="eastAsia" w:ascii="宋体" w:hAnsi="宋体" w:eastAsia="宋体" w:cs="宋体"/>
                <w:sz w:val="24"/>
                <w:highlight w:val="none"/>
                <w:lang w:val="zh-CN" w:eastAsia="zh-CN"/>
              </w:rPr>
              <w:t>方案包括：①现状理解</w:t>
            </w:r>
            <w:r>
              <w:rPr>
                <w:rFonts w:hint="eastAsia" w:hAnsi="宋体" w:cs="宋体"/>
                <w:sz w:val="24"/>
                <w:highlight w:val="none"/>
                <w:lang w:val="zh-CN" w:eastAsia="zh-CN"/>
              </w:rPr>
              <w:t>；②</w:t>
            </w:r>
            <w:r>
              <w:rPr>
                <w:rFonts w:hint="eastAsia" w:ascii="宋体" w:hAnsi="宋体" w:eastAsia="宋体" w:cs="宋体"/>
                <w:sz w:val="24"/>
                <w:highlight w:val="none"/>
                <w:lang w:val="zh-CN" w:eastAsia="zh-CN"/>
              </w:rPr>
              <w:t>需求分析</w:t>
            </w:r>
            <w:r>
              <w:rPr>
                <w:rFonts w:hint="eastAsia" w:hAnsi="宋体" w:cs="宋体"/>
                <w:sz w:val="24"/>
                <w:highlight w:val="none"/>
                <w:lang w:val="zh-CN" w:eastAsia="zh-CN"/>
              </w:rPr>
              <w:t>；</w:t>
            </w:r>
            <w:r>
              <w:rPr>
                <w:rFonts w:hint="eastAsia" w:ascii="宋体" w:hAnsi="宋体" w:eastAsia="宋体" w:cs="宋体"/>
                <w:sz w:val="24"/>
                <w:highlight w:val="none"/>
                <w:lang w:val="zh-CN" w:eastAsia="zh-CN"/>
              </w:rPr>
              <w:t>③运维方案</w:t>
            </w:r>
            <w:r>
              <w:rPr>
                <w:rFonts w:hint="eastAsia" w:hAnsi="宋体" w:cs="宋体"/>
                <w:sz w:val="24"/>
                <w:highlight w:val="none"/>
                <w:lang w:val="zh-CN" w:eastAsia="zh-CN"/>
              </w:rPr>
              <w:t>；</w:t>
            </w:r>
            <w:r>
              <w:rPr>
                <w:rFonts w:hint="eastAsia" w:ascii="宋体" w:hAnsi="宋体" w:eastAsia="宋体" w:cs="宋体"/>
                <w:sz w:val="24"/>
                <w:highlight w:val="none"/>
                <w:lang w:val="zh-CN" w:eastAsia="zh-CN"/>
              </w:rPr>
              <w:t>④服务保障方案等</w:t>
            </w:r>
            <w:r>
              <w:rPr>
                <w:rFonts w:hint="eastAsia" w:hAnsi="宋体" w:cs="宋体"/>
                <w:sz w:val="24"/>
                <w:highlight w:val="none"/>
                <w:lang w:val="en-US" w:eastAsia="zh-CN"/>
              </w:rPr>
              <w:t>4</w:t>
            </w:r>
            <w:r>
              <w:rPr>
                <w:rFonts w:hint="eastAsia" w:ascii="宋体" w:hAnsi="宋体" w:eastAsia="宋体" w:cs="宋体"/>
                <w:sz w:val="24"/>
                <w:highlight w:val="none"/>
                <w:lang w:val="zh-CN" w:eastAsia="zh-CN"/>
              </w:rPr>
              <w:t>方面内容进行评审：方案内容完整齐全，符合项目实际的，得</w:t>
            </w:r>
            <w:r>
              <w:rPr>
                <w:rFonts w:hint="eastAsia" w:hAnsi="宋体" w:cs="宋体"/>
                <w:sz w:val="24"/>
                <w:highlight w:val="none"/>
                <w:lang w:val="en-US" w:eastAsia="zh-CN"/>
              </w:rPr>
              <w:t>16</w:t>
            </w:r>
            <w:r>
              <w:rPr>
                <w:rFonts w:hint="eastAsia" w:ascii="宋体" w:hAnsi="宋体" w:eastAsia="宋体" w:cs="宋体"/>
                <w:sz w:val="24"/>
                <w:highlight w:val="none"/>
                <w:lang w:val="zh-CN" w:eastAsia="zh-CN"/>
              </w:rPr>
              <w:t>分；每有一项内容存在缺陷的，每一项扣</w:t>
            </w:r>
            <w:r>
              <w:rPr>
                <w:rFonts w:hint="eastAsia" w:hAnsi="宋体" w:cs="宋体"/>
                <w:sz w:val="24"/>
                <w:highlight w:val="none"/>
                <w:lang w:val="en-US" w:eastAsia="zh-CN"/>
              </w:rPr>
              <w:t>2</w:t>
            </w:r>
            <w:r>
              <w:rPr>
                <w:rFonts w:hint="eastAsia" w:ascii="宋体" w:hAnsi="宋体" w:eastAsia="宋体" w:cs="宋体"/>
                <w:sz w:val="24"/>
                <w:highlight w:val="none"/>
                <w:lang w:val="zh-CN" w:eastAsia="zh-CN"/>
              </w:rPr>
              <w:t>分；每缺少一项方案内容的每一项扣</w:t>
            </w:r>
            <w:r>
              <w:rPr>
                <w:rFonts w:hint="eastAsia" w:hAnsi="宋体" w:cs="宋体"/>
                <w:sz w:val="24"/>
                <w:highlight w:val="none"/>
                <w:lang w:val="en-US" w:eastAsia="zh-CN"/>
              </w:rPr>
              <w:t>4</w:t>
            </w:r>
            <w:r>
              <w:rPr>
                <w:rFonts w:hint="eastAsia" w:ascii="宋体" w:hAnsi="宋体" w:eastAsia="宋体" w:cs="宋体"/>
                <w:sz w:val="24"/>
                <w:highlight w:val="none"/>
                <w:lang w:val="zh-CN" w:eastAsia="zh-CN"/>
              </w:rPr>
              <w:t>分，扣完为止；未提供项目</w:t>
            </w:r>
            <w:r>
              <w:rPr>
                <w:rFonts w:hint="eastAsia" w:hAnsi="宋体" w:cs="宋体"/>
                <w:sz w:val="24"/>
                <w:highlight w:val="none"/>
                <w:lang w:val="en-US" w:eastAsia="zh-CN"/>
              </w:rPr>
              <w:t>运维方案</w:t>
            </w:r>
            <w:r>
              <w:rPr>
                <w:rFonts w:hint="eastAsia" w:ascii="宋体" w:hAnsi="宋体" w:eastAsia="宋体" w:cs="宋体"/>
                <w:sz w:val="24"/>
                <w:highlight w:val="none"/>
                <w:lang w:val="zh-CN" w:eastAsia="zh-CN"/>
              </w:rPr>
              <w:t>的，此项不得分。</w:t>
            </w:r>
          </w:p>
          <w:p w14:paraId="0E365CAD">
            <w:pPr>
              <w:pStyle w:val="16"/>
              <w:spacing w:line="300" w:lineRule="exact"/>
              <w:rPr>
                <w:rFonts w:hint="eastAsia"/>
                <w:i w:val="0"/>
                <w:iCs w:val="0"/>
                <w:color w:val="auto"/>
                <w:highlight w:val="none"/>
                <w:lang w:val="zh-CN" w:eastAsia="zh-CN"/>
              </w:rPr>
            </w:pPr>
            <w:r>
              <w:rPr>
                <w:rFonts w:hint="eastAsia" w:ascii="宋体" w:hAnsi="宋体" w:eastAsia="宋体" w:cs="宋体"/>
                <w:b/>
                <w:bCs/>
                <w:sz w:val="21"/>
                <w:szCs w:val="16"/>
                <w:highlight w:val="none"/>
                <w:lang w:val="zh-CN"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3649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30" w:type="dxa"/>
            <w:vMerge w:val="continue"/>
          </w:tcPr>
          <w:p w14:paraId="5C5ADF54">
            <w:pPr>
              <w:jc w:val="center"/>
              <w:rPr>
                <w:rFonts w:hint="eastAsia"/>
                <w:i w:val="0"/>
                <w:iCs w:val="0"/>
                <w:color w:val="auto"/>
                <w:highlight w:val="none"/>
                <w:lang w:val="zh-CN" w:eastAsia="zh-CN"/>
              </w:rPr>
            </w:pPr>
          </w:p>
        </w:tc>
        <w:tc>
          <w:tcPr>
            <w:tcW w:w="1200" w:type="dxa"/>
            <w:vAlign w:val="center"/>
          </w:tcPr>
          <w:p w14:paraId="7B239C4A">
            <w:pPr>
              <w:jc w:val="center"/>
              <w:rPr>
                <w:rFonts w:hint="eastAsia"/>
                <w:i w:val="0"/>
                <w:iCs w:val="0"/>
                <w:color w:val="auto"/>
                <w:highlight w:val="none"/>
                <w:lang w:val="zh-CN" w:eastAsia="zh-CN"/>
              </w:rPr>
            </w:pPr>
            <w:r>
              <w:rPr>
                <w:rFonts w:hint="eastAsia"/>
                <w:i w:val="0"/>
                <w:iCs w:val="0"/>
                <w:color w:val="auto"/>
                <w:highlight w:val="none"/>
                <w:lang w:val="zh-CN" w:eastAsia="zh-CN"/>
              </w:rPr>
              <w:t>培训方案</w:t>
            </w:r>
          </w:p>
          <w:p w14:paraId="2C3D9C62">
            <w:pPr>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16分</w:t>
            </w:r>
            <w:r>
              <w:rPr>
                <w:rFonts w:hint="eastAsia"/>
                <w:i w:val="0"/>
                <w:iCs w:val="0"/>
                <w:color w:val="auto"/>
                <w:highlight w:val="none"/>
                <w:lang w:val="zh-CN" w:eastAsia="zh-CN"/>
              </w:rPr>
              <w:t>）</w:t>
            </w:r>
          </w:p>
        </w:tc>
        <w:tc>
          <w:tcPr>
            <w:tcW w:w="7560" w:type="dxa"/>
            <w:vAlign w:val="top"/>
          </w:tcPr>
          <w:p w14:paraId="0F813304">
            <w:pPr>
              <w:pStyle w:val="16"/>
              <w:spacing w:line="300" w:lineRule="exact"/>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根据供应商提供的项目培训方案进行评分：包括但不限于培训目标、培训时间、培训质量保证、培训讲师等4项内容，方案内容完整齐全，符合项目实际的，得</w:t>
            </w:r>
            <w:r>
              <w:rPr>
                <w:rFonts w:hint="eastAsia" w:hAnsi="宋体" w:cs="宋体"/>
                <w:sz w:val="24"/>
                <w:highlight w:val="none"/>
                <w:lang w:val="en-US" w:eastAsia="zh-CN"/>
              </w:rPr>
              <w:t>16</w:t>
            </w:r>
            <w:r>
              <w:rPr>
                <w:rFonts w:hint="eastAsia" w:ascii="宋体" w:hAnsi="宋体" w:eastAsia="宋体" w:cs="宋体"/>
                <w:sz w:val="24"/>
                <w:highlight w:val="none"/>
                <w:lang w:val="zh-CN" w:eastAsia="zh-CN"/>
              </w:rPr>
              <w:t>分；每有一项内容存在缺陷的，每一项扣</w:t>
            </w:r>
            <w:r>
              <w:rPr>
                <w:rFonts w:hint="eastAsia" w:hAnsi="宋体" w:cs="宋体"/>
                <w:sz w:val="24"/>
                <w:highlight w:val="none"/>
                <w:lang w:val="en-US" w:eastAsia="zh-CN"/>
              </w:rPr>
              <w:t>2</w:t>
            </w:r>
            <w:r>
              <w:rPr>
                <w:rFonts w:hint="eastAsia" w:ascii="宋体" w:hAnsi="宋体" w:eastAsia="宋体" w:cs="宋体"/>
                <w:sz w:val="24"/>
                <w:highlight w:val="none"/>
                <w:lang w:val="zh-CN" w:eastAsia="zh-CN"/>
              </w:rPr>
              <w:t>分；每缺少一项方案内容，每一项扣</w:t>
            </w:r>
            <w:r>
              <w:rPr>
                <w:rFonts w:hint="eastAsia" w:hAnsi="宋体" w:cs="宋体"/>
                <w:sz w:val="24"/>
                <w:highlight w:val="none"/>
                <w:lang w:val="en-US" w:eastAsia="zh-CN"/>
              </w:rPr>
              <w:t>4</w:t>
            </w:r>
            <w:r>
              <w:rPr>
                <w:rFonts w:hint="eastAsia" w:ascii="宋体" w:hAnsi="宋体" w:eastAsia="宋体" w:cs="宋体"/>
                <w:sz w:val="24"/>
                <w:highlight w:val="none"/>
                <w:lang w:val="zh-CN" w:eastAsia="zh-CN"/>
              </w:rPr>
              <w:t>分，扣完为止；未提供项目培训方案的，此项不得分。</w:t>
            </w:r>
          </w:p>
          <w:p w14:paraId="0F2CE82D">
            <w:pPr>
              <w:pStyle w:val="16"/>
              <w:spacing w:line="300" w:lineRule="exact"/>
              <w:rPr>
                <w:rFonts w:hint="eastAsia" w:ascii="宋体" w:hAnsi="宋体" w:eastAsia="宋体" w:cs="宋体"/>
                <w:sz w:val="24"/>
                <w:highlight w:val="none"/>
                <w:lang w:val="zh-CN" w:eastAsia="zh-CN"/>
              </w:rPr>
            </w:pPr>
            <w:r>
              <w:rPr>
                <w:rFonts w:hint="eastAsia" w:ascii="宋体" w:hAnsi="宋体" w:eastAsia="宋体" w:cs="宋体"/>
                <w:b/>
                <w:bCs/>
                <w:sz w:val="21"/>
                <w:szCs w:val="16"/>
                <w:highlight w:val="none"/>
                <w:lang w:val="zh-CN"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732B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30" w:type="dxa"/>
            <w:vMerge w:val="continue"/>
          </w:tcPr>
          <w:p w14:paraId="654A6AD2">
            <w:pPr>
              <w:jc w:val="center"/>
              <w:rPr>
                <w:rFonts w:hint="eastAsia"/>
                <w:i w:val="0"/>
                <w:iCs w:val="0"/>
                <w:color w:val="auto"/>
                <w:highlight w:val="none"/>
                <w:lang w:val="zh-CN" w:eastAsia="zh-CN"/>
              </w:rPr>
            </w:pPr>
          </w:p>
        </w:tc>
        <w:tc>
          <w:tcPr>
            <w:tcW w:w="1200" w:type="dxa"/>
            <w:vAlign w:val="center"/>
          </w:tcPr>
          <w:p w14:paraId="2AB13AC8">
            <w:pPr>
              <w:jc w:val="center"/>
              <w:rPr>
                <w:rFonts w:hint="eastAsia"/>
                <w:i w:val="0"/>
                <w:iCs w:val="0"/>
                <w:color w:val="auto"/>
                <w:highlight w:val="none"/>
                <w:lang w:val="zh-CN" w:eastAsia="zh-CN"/>
              </w:rPr>
            </w:pPr>
            <w:r>
              <w:rPr>
                <w:rFonts w:hint="eastAsia"/>
                <w:i w:val="0"/>
                <w:iCs w:val="0"/>
                <w:color w:val="auto"/>
                <w:highlight w:val="none"/>
                <w:lang w:val="zh-CN" w:eastAsia="zh-CN"/>
              </w:rPr>
              <w:t>进度控制 及质量保 障措施</w:t>
            </w:r>
          </w:p>
          <w:p w14:paraId="0747B639">
            <w:pPr>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16分</w:t>
            </w:r>
            <w:r>
              <w:rPr>
                <w:rFonts w:hint="eastAsia"/>
                <w:i w:val="0"/>
                <w:iCs w:val="0"/>
                <w:color w:val="auto"/>
                <w:highlight w:val="none"/>
                <w:lang w:val="zh-CN" w:eastAsia="zh-CN"/>
              </w:rPr>
              <w:t>）</w:t>
            </w:r>
          </w:p>
        </w:tc>
        <w:tc>
          <w:tcPr>
            <w:tcW w:w="7560" w:type="dxa"/>
            <w:vAlign w:val="top"/>
          </w:tcPr>
          <w:p w14:paraId="759C0AB4">
            <w:pPr>
              <w:pStyle w:val="16"/>
              <w:spacing w:line="300" w:lineRule="exact"/>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根据供应商对①工作进度保障措施</w:t>
            </w:r>
            <w:r>
              <w:rPr>
                <w:rFonts w:hint="eastAsia" w:hAnsi="宋体" w:cs="宋体"/>
                <w:sz w:val="24"/>
                <w:highlight w:val="none"/>
                <w:lang w:val="zh-CN" w:eastAsia="zh-CN"/>
              </w:rPr>
              <w:t>；</w:t>
            </w:r>
            <w:r>
              <w:rPr>
                <w:rFonts w:hint="eastAsia" w:ascii="宋体" w:hAnsi="宋体" w:eastAsia="宋体" w:cs="宋体"/>
                <w:sz w:val="24"/>
                <w:highlight w:val="none"/>
                <w:lang w:val="zh-CN" w:eastAsia="zh-CN"/>
              </w:rPr>
              <w:t>②质量管理制度；③</w:t>
            </w:r>
            <w:r>
              <w:rPr>
                <w:rFonts w:ascii="宋体" w:hAnsi="宋体" w:eastAsia="宋体" w:cs="宋体"/>
                <w:sz w:val="24"/>
                <w:szCs w:val="24"/>
              </w:rPr>
              <w:t>质量保证</w:t>
            </w:r>
            <w:r>
              <w:rPr>
                <w:rFonts w:hint="eastAsia" w:hAnsi="宋体" w:cs="宋体"/>
                <w:sz w:val="24"/>
                <w:szCs w:val="24"/>
                <w:lang w:val="en-US" w:eastAsia="zh-CN"/>
              </w:rPr>
              <w:t>措施</w:t>
            </w:r>
            <w:r>
              <w:rPr>
                <w:rFonts w:hint="eastAsia" w:ascii="宋体" w:hAnsi="宋体" w:eastAsia="宋体" w:cs="宋体"/>
                <w:sz w:val="24"/>
                <w:szCs w:val="24"/>
                <w:lang w:eastAsia="zh-CN"/>
              </w:rPr>
              <w:t>；</w:t>
            </w:r>
            <w:r>
              <w:rPr>
                <w:rFonts w:hint="eastAsia" w:ascii="宋体" w:hAnsi="宋体" w:eastAsia="宋体" w:cs="宋体"/>
                <w:sz w:val="24"/>
                <w:highlight w:val="none"/>
                <w:lang w:val="zh-CN" w:eastAsia="zh-CN"/>
              </w:rPr>
              <w:t>④</w:t>
            </w:r>
            <w:r>
              <w:rPr>
                <w:rFonts w:hint="eastAsia" w:hAnsi="宋体" w:cs="宋体"/>
                <w:sz w:val="24"/>
                <w:highlight w:val="none"/>
                <w:lang w:val="en-US" w:eastAsia="zh-CN"/>
              </w:rPr>
              <w:t>安全咨询</w:t>
            </w:r>
            <w:r>
              <w:rPr>
                <w:rFonts w:hint="eastAsia" w:ascii="宋体" w:hAnsi="宋体" w:eastAsia="宋体" w:cs="宋体"/>
                <w:sz w:val="24"/>
                <w:highlight w:val="none"/>
                <w:lang w:val="zh-CN" w:eastAsia="zh-CN"/>
              </w:rPr>
              <w:t>等</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eastAsia="zh-CN"/>
              </w:rPr>
              <w:t>项内容，评委依据方案内容进行评分，内容完整齐全，符合项目实际的，得</w:t>
            </w:r>
            <w:r>
              <w:rPr>
                <w:rFonts w:hint="eastAsia" w:hAnsi="宋体" w:cs="宋体"/>
                <w:sz w:val="24"/>
                <w:highlight w:val="none"/>
                <w:lang w:val="en-US" w:eastAsia="zh-CN"/>
              </w:rPr>
              <w:t>16</w:t>
            </w:r>
            <w:r>
              <w:rPr>
                <w:rFonts w:hint="eastAsia" w:ascii="宋体" w:hAnsi="宋体" w:eastAsia="宋体" w:cs="宋体"/>
                <w:sz w:val="24"/>
                <w:highlight w:val="none"/>
                <w:lang w:val="zh-CN" w:eastAsia="zh-CN"/>
              </w:rPr>
              <w:t>分；每有一项内容存在缺陷的，每一项扣</w:t>
            </w:r>
            <w:r>
              <w:rPr>
                <w:rFonts w:hint="eastAsia" w:hAnsi="宋体" w:cs="宋体"/>
                <w:sz w:val="24"/>
                <w:highlight w:val="none"/>
                <w:lang w:val="en-US" w:eastAsia="zh-CN"/>
              </w:rPr>
              <w:t>2</w:t>
            </w:r>
            <w:r>
              <w:rPr>
                <w:rFonts w:hint="eastAsia" w:ascii="宋体" w:hAnsi="宋体" w:eastAsia="宋体" w:cs="宋体"/>
                <w:sz w:val="24"/>
                <w:highlight w:val="none"/>
                <w:lang w:val="zh-CN" w:eastAsia="zh-CN"/>
              </w:rPr>
              <w:t>分；每缺少一项方案内容的每一项扣</w:t>
            </w:r>
            <w:r>
              <w:rPr>
                <w:rFonts w:hint="eastAsia" w:hAnsi="宋体" w:cs="宋体"/>
                <w:sz w:val="24"/>
                <w:highlight w:val="none"/>
                <w:lang w:val="en-US" w:eastAsia="zh-CN"/>
              </w:rPr>
              <w:t>4</w:t>
            </w:r>
            <w:r>
              <w:rPr>
                <w:rFonts w:hint="eastAsia" w:ascii="宋体" w:hAnsi="宋体" w:eastAsia="宋体" w:cs="宋体"/>
                <w:sz w:val="24"/>
                <w:highlight w:val="none"/>
                <w:lang w:val="zh-CN" w:eastAsia="zh-CN"/>
              </w:rPr>
              <w:t>分，扣完为止</w:t>
            </w:r>
            <w:r>
              <w:rPr>
                <w:rFonts w:hint="eastAsia" w:hAnsi="宋体" w:cs="宋体"/>
                <w:sz w:val="24"/>
                <w:highlight w:val="none"/>
                <w:lang w:val="zh-CN" w:eastAsia="zh-CN"/>
              </w:rPr>
              <w:t>；</w:t>
            </w:r>
            <w:r>
              <w:rPr>
                <w:rFonts w:hint="eastAsia" w:ascii="宋体" w:hAnsi="宋体" w:eastAsia="宋体" w:cs="宋体"/>
                <w:sz w:val="24"/>
                <w:highlight w:val="none"/>
                <w:lang w:val="zh-CN" w:eastAsia="zh-CN"/>
              </w:rPr>
              <w:t>未提供进度控制及质量保障措施的，此项不得分。</w:t>
            </w:r>
          </w:p>
          <w:p w14:paraId="53CFFEC9">
            <w:pPr>
              <w:pStyle w:val="16"/>
              <w:spacing w:line="300" w:lineRule="exact"/>
              <w:rPr>
                <w:rFonts w:hint="eastAsia" w:ascii="宋体" w:hAnsi="宋体" w:eastAsia="宋体" w:cs="宋体"/>
                <w:b/>
                <w:bCs/>
                <w:sz w:val="21"/>
                <w:szCs w:val="16"/>
                <w:highlight w:val="none"/>
                <w:lang w:val="zh-CN" w:eastAsia="zh-CN"/>
              </w:rPr>
            </w:pPr>
            <w:r>
              <w:rPr>
                <w:rFonts w:hint="eastAsia" w:ascii="宋体" w:hAnsi="宋体" w:eastAsia="宋体" w:cs="宋体"/>
                <w:b/>
                <w:bCs/>
                <w:sz w:val="21"/>
                <w:szCs w:val="16"/>
                <w:highlight w:val="none"/>
                <w:lang w:val="zh-CN"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023B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continue"/>
          </w:tcPr>
          <w:p w14:paraId="5DA35A9E">
            <w:pPr>
              <w:jc w:val="center"/>
              <w:rPr>
                <w:rFonts w:hint="eastAsia"/>
                <w:i w:val="0"/>
                <w:iCs w:val="0"/>
                <w:color w:val="auto"/>
                <w:highlight w:val="none"/>
                <w:lang w:val="zh-CN" w:eastAsia="zh-CN"/>
              </w:rPr>
            </w:pPr>
          </w:p>
        </w:tc>
        <w:tc>
          <w:tcPr>
            <w:tcW w:w="1200" w:type="dxa"/>
            <w:vAlign w:val="center"/>
          </w:tcPr>
          <w:p w14:paraId="3AB3F942">
            <w:pPr>
              <w:jc w:val="center"/>
              <w:rPr>
                <w:rFonts w:hint="eastAsia"/>
                <w:i w:val="0"/>
                <w:iCs w:val="0"/>
                <w:color w:val="auto"/>
                <w:highlight w:val="none"/>
                <w:lang w:val="zh-CN" w:eastAsia="zh-CN"/>
              </w:rPr>
            </w:pPr>
            <w:r>
              <w:rPr>
                <w:rFonts w:hint="eastAsia"/>
                <w:i w:val="0"/>
                <w:iCs w:val="0"/>
                <w:color w:val="auto"/>
                <w:highlight w:val="none"/>
                <w:lang w:val="zh-CN" w:eastAsia="zh-CN"/>
              </w:rPr>
              <w:t>售后服务方案</w:t>
            </w:r>
          </w:p>
          <w:p w14:paraId="74658214">
            <w:pPr>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10</w:t>
            </w:r>
            <w:r>
              <w:rPr>
                <w:rFonts w:hint="eastAsia"/>
                <w:i w:val="0"/>
                <w:iCs w:val="0"/>
                <w:color w:val="auto"/>
                <w:highlight w:val="none"/>
                <w:lang w:val="zh-CN" w:eastAsia="zh-CN"/>
              </w:rPr>
              <w:t>分）</w:t>
            </w:r>
          </w:p>
        </w:tc>
        <w:tc>
          <w:tcPr>
            <w:tcW w:w="7560" w:type="dxa"/>
            <w:vAlign w:val="top"/>
          </w:tcPr>
          <w:p w14:paraId="11CCDA0C">
            <w:pPr>
              <w:pStyle w:val="16"/>
              <w:spacing w:line="300" w:lineRule="exact"/>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提供售后服务方案，内容包括但不限于①售后服务承诺及售后服务体系；②售后服务方案及技术服务方案；③售后服务与技术支持</w:t>
            </w:r>
            <w:r>
              <w:rPr>
                <w:rFonts w:hint="eastAsia" w:ascii="宋体" w:hAnsi="宋体" w:eastAsia="宋体" w:cs="宋体"/>
                <w:sz w:val="24"/>
                <w:szCs w:val="24"/>
                <w:lang w:eastAsia="zh-CN"/>
              </w:rPr>
              <w:t>；</w:t>
            </w:r>
            <w:r>
              <w:rPr>
                <w:rFonts w:hint="eastAsia" w:ascii="宋体" w:hAnsi="宋体" w:eastAsia="宋体" w:cs="宋体"/>
                <w:sz w:val="24"/>
                <w:highlight w:val="none"/>
                <w:lang w:val="zh-CN" w:eastAsia="zh-CN"/>
              </w:rPr>
              <w:t>④运维服务流程规范</w:t>
            </w:r>
            <w:r>
              <w:rPr>
                <w:rFonts w:hint="eastAsia" w:hAnsi="宋体" w:cs="宋体"/>
                <w:sz w:val="24"/>
                <w:highlight w:val="none"/>
                <w:lang w:val="zh-CN" w:eastAsia="zh-CN"/>
              </w:rPr>
              <w:t>；⑤</w:t>
            </w:r>
            <w:r>
              <w:rPr>
                <w:rFonts w:hint="eastAsia" w:ascii="宋体" w:hAnsi="宋体" w:eastAsia="宋体" w:cs="宋体"/>
                <w:sz w:val="24"/>
                <w:highlight w:val="none"/>
                <w:lang w:val="zh-CN" w:eastAsia="zh-CN"/>
              </w:rPr>
              <w:t>服务连续管理、服务质量管理等5部分要素进行评审。内容完整齐全，符合项目实际的，得</w:t>
            </w:r>
            <w:r>
              <w:rPr>
                <w:rFonts w:hint="eastAsia" w:hAnsi="宋体" w:cs="宋体"/>
                <w:sz w:val="24"/>
                <w:highlight w:val="none"/>
                <w:lang w:val="en-US" w:eastAsia="zh-CN"/>
              </w:rPr>
              <w:t>10</w:t>
            </w:r>
            <w:r>
              <w:rPr>
                <w:rFonts w:hint="eastAsia" w:ascii="宋体" w:hAnsi="宋体" w:eastAsia="宋体" w:cs="宋体"/>
                <w:sz w:val="24"/>
                <w:highlight w:val="none"/>
                <w:lang w:val="zh-CN" w:eastAsia="zh-CN"/>
              </w:rPr>
              <w:t>分；每有一项内容存在缺陷的，每一项扣</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eastAsia="zh-CN"/>
              </w:rPr>
              <w:t>分；每缺少一项方案内容的每一项扣</w:t>
            </w:r>
            <w:r>
              <w:rPr>
                <w:rFonts w:hint="eastAsia" w:hAnsi="宋体" w:cs="宋体"/>
                <w:sz w:val="24"/>
                <w:highlight w:val="none"/>
                <w:lang w:val="en-US" w:eastAsia="zh-CN"/>
              </w:rPr>
              <w:t>2</w:t>
            </w:r>
            <w:r>
              <w:rPr>
                <w:rFonts w:hint="eastAsia" w:ascii="宋体" w:hAnsi="宋体" w:eastAsia="宋体" w:cs="宋体"/>
                <w:sz w:val="24"/>
                <w:highlight w:val="none"/>
                <w:lang w:val="zh-CN" w:eastAsia="zh-CN"/>
              </w:rPr>
              <w:t>分，扣完为止</w:t>
            </w:r>
            <w:r>
              <w:rPr>
                <w:rFonts w:hint="eastAsia" w:hAnsi="宋体" w:cs="宋体"/>
                <w:sz w:val="24"/>
                <w:highlight w:val="none"/>
                <w:lang w:val="zh-CN" w:eastAsia="zh-CN"/>
              </w:rPr>
              <w:t>；</w:t>
            </w:r>
            <w:r>
              <w:rPr>
                <w:rFonts w:hint="eastAsia" w:ascii="宋体" w:hAnsi="宋体" w:eastAsia="宋体" w:cs="宋体"/>
                <w:sz w:val="24"/>
                <w:highlight w:val="none"/>
                <w:lang w:val="zh-CN" w:eastAsia="zh-CN"/>
              </w:rPr>
              <w:t>未提供</w:t>
            </w:r>
            <w:r>
              <w:rPr>
                <w:rFonts w:hint="eastAsia" w:ascii="宋体" w:hAnsi="宋体" w:eastAsia="宋体" w:cs="宋体"/>
                <w:sz w:val="24"/>
                <w:highlight w:val="none"/>
                <w:lang w:val="en-US" w:eastAsia="zh-CN"/>
              </w:rPr>
              <w:t>售后服务方案</w:t>
            </w:r>
            <w:r>
              <w:rPr>
                <w:rFonts w:hint="eastAsia" w:ascii="宋体" w:hAnsi="宋体" w:eastAsia="宋体" w:cs="宋体"/>
                <w:sz w:val="24"/>
                <w:highlight w:val="none"/>
                <w:lang w:val="zh-CN" w:eastAsia="zh-CN"/>
              </w:rPr>
              <w:t>的，此项不得分。</w:t>
            </w:r>
          </w:p>
          <w:p w14:paraId="33EE1B48">
            <w:pPr>
              <w:pStyle w:val="16"/>
              <w:spacing w:line="300" w:lineRule="exact"/>
              <w:rPr>
                <w:rFonts w:hint="eastAsia"/>
                <w:i w:val="0"/>
                <w:iCs w:val="0"/>
                <w:color w:val="auto"/>
                <w:highlight w:val="none"/>
                <w:lang w:val="zh-CN" w:eastAsia="zh-CN"/>
              </w:rPr>
            </w:pPr>
            <w:r>
              <w:rPr>
                <w:rFonts w:hint="eastAsia" w:ascii="宋体" w:hAnsi="宋体" w:eastAsia="宋体" w:cs="宋体"/>
                <w:b/>
                <w:bCs/>
                <w:sz w:val="21"/>
                <w:szCs w:val="16"/>
                <w:highlight w:val="none"/>
                <w:lang w:val="zh-CN"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6FD2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30" w:type="dxa"/>
            <w:vMerge w:val="continue"/>
          </w:tcPr>
          <w:p w14:paraId="28F089E7">
            <w:pPr>
              <w:jc w:val="center"/>
              <w:rPr>
                <w:rFonts w:hint="eastAsia"/>
                <w:i w:val="0"/>
                <w:iCs w:val="0"/>
                <w:color w:val="auto"/>
                <w:highlight w:val="none"/>
                <w:lang w:val="zh-CN" w:eastAsia="zh-CN"/>
              </w:rPr>
            </w:pPr>
          </w:p>
        </w:tc>
        <w:tc>
          <w:tcPr>
            <w:tcW w:w="1200" w:type="dxa"/>
            <w:vAlign w:val="center"/>
          </w:tcPr>
          <w:p w14:paraId="4E078519">
            <w:pPr>
              <w:jc w:val="center"/>
              <w:rPr>
                <w:rFonts w:hint="eastAsia"/>
                <w:i w:val="0"/>
                <w:iCs w:val="0"/>
                <w:color w:val="auto"/>
                <w:highlight w:val="none"/>
                <w:lang w:val="zh-CN" w:eastAsia="zh-CN"/>
              </w:rPr>
            </w:pPr>
            <w:r>
              <w:rPr>
                <w:rFonts w:hint="eastAsia"/>
                <w:i w:val="0"/>
                <w:iCs w:val="0"/>
                <w:color w:val="auto"/>
                <w:highlight w:val="none"/>
                <w:lang w:val="en-US" w:eastAsia="zh-CN"/>
              </w:rPr>
              <w:t>应急响应</w:t>
            </w:r>
            <w:r>
              <w:rPr>
                <w:rFonts w:hint="eastAsia"/>
                <w:i w:val="0"/>
                <w:iCs w:val="0"/>
                <w:color w:val="auto"/>
                <w:highlight w:val="none"/>
                <w:lang w:val="zh-CN" w:eastAsia="zh-CN"/>
              </w:rPr>
              <w:t>承诺</w:t>
            </w:r>
          </w:p>
          <w:p w14:paraId="39DE72AF">
            <w:pPr>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5分</w:t>
            </w:r>
            <w:r>
              <w:rPr>
                <w:rFonts w:hint="eastAsia"/>
                <w:i w:val="0"/>
                <w:iCs w:val="0"/>
                <w:color w:val="auto"/>
                <w:highlight w:val="none"/>
                <w:lang w:val="zh-CN" w:eastAsia="zh-CN"/>
              </w:rPr>
              <w:t>）</w:t>
            </w:r>
          </w:p>
        </w:tc>
        <w:tc>
          <w:tcPr>
            <w:tcW w:w="7560" w:type="dxa"/>
            <w:vAlign w:val="center"/>
          </w:tcPr>
          <w:p w14:paraId="4E134F43">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①服务响应属于紧急问题：30分钟内响应，2小时内提交故障处理方案，符合相关标准和规范，完全满足用户需求，得5分；</w:t>
            </w:r>
          </w:p>
          <w:p w14:paraId="5A855E2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②服务响应属于紧急问题：1小时内响应，4小时内提交故障处理方案，符合相关标准和规范，完全满足用户需求，得3分；</w:t>
            </w:r>
          </w:p>
          <w:p w14:paraId="1554241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③服务基本响应，但不够完备、不够合理，得1分。未提供不得分。</w:t>
            </w:r>
          </w:p>
          <w:p w14:paraId="5A3176F8">
            <w:pPr>
              <w:pStyle w:val="16"/>
              <w:spacing w:line="300" w:lineRule="exact"/>
              <w:rPr>
                <w:rFonts w:hint="eastAsia"/>
                <w:i w:val="0"/>
                <w:iCs w:val="0"/>
                <w:color w:val="auto"/>
                <w:highlight w:val="none"/>
                <w:lang w:val="zh-CN" w:eastAsia="zh-CN"/>
              </w:rPr>
            </w:pPr>
            <w:r>
              <w:rPr>
                <w:rFonts w:hint="eastAsia" w:ascii="宋体" w:hAnsi="宋体" w:eastAsia="宋体" w:cs="宋体"/>
                <w:b/>
                <w:bCs/>
                <w:sz w:val="21"/>
                <w:szCs w:val="16"/>
                <w:highlight w:val="none"/>
                <w:lang w:val="en-US" w:eastAsia="zh-CN"/>
              </w:rPr>
              <w:t>注：</w:t>
            </w:r>
            <w:r>
              <w:rPr>
                <w:rFonts w:hint="eastAsia" w:ascii="宋体" w:hAnsi="宋体" w:eastAsia="宋体" w:cs="宋体"/>
                <w:b/>
                <w:bCs/>
                <w:sz w:val="21"/>
                <w:szCs w:val="16"/>
                <w:highlight w:val="none"/>
                <w:lang w:val="zh-CN" w:eastAsia="zh-CN"/>
              </w:rPr>
              <w:t>该项评分以供应商提供</w:t>
            </w:r>
            <w:r>
              <w:rPr>
                <w:rFonts w:hint="eastAsia" w:ascii="宋体" w:hAnsi="宋体" w:eastAsia="宋体" w:cs="宋体"/>
                <w:b/>
                <w:bCs/>
                <w:sz w:val="21"/>
                <w:szCs w:val="16"/>
                <w:highlight w:val="none"/>
                <w:lang w:val="en-US" w:eastAsia="zh-CN"/>
              </w:rPr>
              <w:t>的</w:t>
            </w:r>
            <w:r>
              <w:rPr>
                <w:rFonts w:hint="eastAsia" w:hAnsi="宋体" w:cs="宋体"/>
                <w:b/>
                <w:bCs/>
                <w:sz w:val="21"/>
                <w:szCs w:val="16"/>
                <w:highlight w:val="none"/>
                <w:lang w:val="en-US" w:eastAsia="zh-CN"/>
              </w:rPr>
              <w:t>响应</w:t>
            </w:r>
            <w:r>
              <w:rPr>
                <w:rFonts w:hint="eastAsia" w:ascii="宋体" w:hAnsi="宋体" w:eastAsia="宋体" w:cs="宋体"/>
                <w:b/>
                <w:bCs/>
                <w:sz w:val="21"/>
                <w:szCs w:val="16"/>
                <w:highlight w:val="none"/>
                <w:lang w:val="zh-CN" w:eastAsia="zh-CN"/>
              </w:rPr>
              <w:t>时间承诺为评审依据，否则，该项得分为0</w:t>
            </w:r>
            <w:r>
              <w:rPr>
                <w:rFonts w:hint="eastAsia" w:ascii="宋体" w:hAnsi="宋体" w:eastAsia="宋体" w:cs="宋体"/>
                <w:b/>
                <w:bCs/>
                <w:sz w:val="21"/>
                <w:szCs w:val="16"/>
                <w:highlight w:val="none"/>
                <w:lang w:val="en-US" w:eastAsia="zh-CN"/>
              </w:rPr>
              <w:t>分。</w:t>
            </w:r>
          </w:p>
        </w:tc>
      </w:tr>
      <w:tr w14:paraId="4642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0" w:type="dxa"/>
            <w:vAlign w:val="center"/>
          </w:tcPr>
          <w:p w14:paraId="2EEBAED6">
            <w:pPr>
              <w:jc w:val="center"/>
              <w:rPr>
                <w:rFonts w:hint="eastAsia"/>
                <w:i w:val="0"/>
                <w:iCs w:val="0"/>
                <w:color w:val="auto"/>
                <w:highlight w:val="none"/>
                <w:lang w:val="zh-CN" w:eastAsia="zh-CN"/>
              </w:rPr>
            </w:pPr>
            <w:r>
              <w:rPr>
                <w:rFonts w:hint="eastAsia"/>
                <w:i w:val="0"/>
                <w:iCs w:val="0"/>
                <w:color w:val="auto"/>
                <w:highlight w:val="none"/>
                <w:lang w:val="zh-CN" w:eastAsia="zh-CN"/>
              </w:rPr>
              <w:t>合计</w:t>
            </w:r>
          </w:p>
        </w:tc>
        <w:tc>
          <w:tcPr>
            <w:tcW w:w="8760" w:type="dxa"/>
            <w:gridSpan w:val="2"/>
            <w:vAlign w:val="center"/>
          </w:tcPr>
          <w:p w14:paraId="39FB288B">
            <w:pPr>
              <w:jc w:val="center"/>
              <w:rPr>
                <w:rFonts w:hint="eastAsia"/>
                <w:i w:val="0"/>
                <w:iCs w:val="0"/>
                <w:color w:val="auto"/>
                <w:highlight w:val="none"/>
                <w:lang w:val="zh-CN" w:eastAsia="zh-CN"/>
              </w:rPr>
            </w:pPr>
            <w:r>
              <w:rPr>
                <w:rFonts w:hint="eastAsia"/>
                <w:i w:val="0"/>
                <w:iCs w:val="0"/>
                <w:color w:val="auto"/>
                <w:highlight w:val="none"/>
                <w:lang w:val="zh-CN" w:eastAsia="zh-CN"/>
              </w:rPr>
              <w:t>100分</w:t>
            </w:r>
          </w:p>
        </w:tc>
      </w:tr>
    </w:tbl>
    <w:p w14:paraId="0BF8D673">
      <w:pPr>
        <w:rPr>
          <w:rFonts w:hint="eastAsia"/>
          <w:i w:val="0"/>
          <w:iCs w:val="0"/>
          <w:color w:val="auto"/>
          <w:highlight w:val="none"/>
          <w:lang w:val="zh-CN" w:eastAsia="zh-CN"/>
        </w:rPr>
      </w:pPr>
    </w:p>
    <w:p w14:paraId="572BC254">
      <w:pPr>
        <w:pStyle w:val="12"/>
        <w:rPr>
          <w:rFonts w:hint="eastAsia"/>
          <w:i w:val="0"/>
          <w:iCs w:val="0"/>
          <w:color w:val="auto"/>
          <w:highlight w:val="none"/>
          <w:lang w:val="zh-CN" w:eastAsia="zh-CN"/>
        </w:rPr>
      </w:pPr>
    </w:p>
    <w:p w14:paraId="142425BB">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bookmarkStart w:id="498" w:name="_Toc31032"/>
    </w:p>
    <w:p w14:paraId="4965E3D0">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zh-CN" w:eastAsia="zh-CN" w:bidi="ar-SA"/>
        </w:rPr>
      </w:pPr>
      <w:r>
        <w:rPr>
          <w:rFonts w:hint="eastAsia" w:ascii="宋体" w:hAnsi="宋体" w:eastAsia="宋体" w:cs="宋体"/>
          <w:b/>
          <w:bCs/>
          <w:i w:val="0"/>
          <w:iCs w:val="0"/>
          <w:color w:val="auto"/>
          <w:kern w:val="44"/>
          <w:sz w:val="36"/>
          <w:szCs w:val="36"/>
          <w:highlight w:val="none"/>
          <w:lang w:val="en-US" w:eastAsia="zh-CN" w:bidi="ar-SA"/>
        </w:rPr>
        <w:t xml:space="preserve">第五章 </w:t>
      </w:r>
      <w:r>
        <w:rPr>
          <w:rFonts w:hint="eastAsia" w:ascii="宋体" w:hAnsi="宋体" w:eastAsia="宋体" w:cs="宋体"/>
          <w:b/>
          <w:bCs/>
          <w:i w:val="0"/>
          <w:iCs w:val="0"/>
          <w:color w:val="auto"/>
          <w:kern w:val="44"/>
          <w:sz w:val="36"/>
          <w:szCs w:val="36"/>
          <w:highlight w:val="none"/>
          <w:lang w:val="zh-CN" w:eastAsia="zh-CN" w:bidi="ar-SA"/>
        </w:rPr>
        <w:t>合同草案</w:t>
      </w:r>
      <w:bookmarkEnd w:id="498"/>
    </w:p>
    <w:p w14:paraId="71DE93B7">
      <w:pPr>
        <w:wordWrap w:val="0"/>
        <w:jc w:val="center"/>
        <w:rPr>
          <w:rFonts w:hint="eastAsia" w:eastAsia="宋体"/>
          <w:bCs/>
          <w:i w:val="0"/>
          <w:iCs w:val="0"/>
          <w:color w:val="auto"/>
          <w:sz w:val="24"/>
          <w:szCs w:val="24"/>
          <w:highlight w:val="none"/>
          <w:lang w:eastAsia="zh-CN"/>
        </w:rPr>
      </w:pPr>
      <w:r>
        <w:rPr>
          <w:rFonts w:hint="eastAsia"/>
          <w:i w:val="0"/>
          <w:iCs w:val="0"/>
          <w:color w:val="auto"/>
          <w:sz w:val="24"/>
          <w:szCs w:val="24"/>
          <w:highlight w:val="none"/>
          <w:lang w:eastAsia="zh-CN"/>
        </w:rPr>
        <w:t>【</w:t>
      </w:r>
      <w:r>
        <w:rPr>
          <w:rFonts w:hint="eastAsia"/>
          <w:i w:val="0"/>
          <w:iCs w:val="0"/>
          <w:color w:val="auto"/>
          <w:sz w:val="24"/>
          <w:szCs w:val="24"/>
          <w:highlight w:val="none"/>
        </w:rPr>
        <w:t>此合同书仅作为签订正式合同时的参考，正式合同书应包括本参考格式的内容</w:t>
      </w:r>
      <w:r>
        <w:rPr>
          <w:rFonts w:hint="eastAsia"/>
          <w:i w:val="0"/>
          <w:iCs w:val="0"/>
          <w:color w:val="auto"/>
          <w:sz w:val="24"/>
          <w:szCs w:val="24"/>
          <w:highlight w:val="none"/>
          <w:lang w:eastAsia="zh-CN"/>
        </w:rPr>
        <w:t>】</w:t>
      </w:r>
    </w:p>
    <w:p w14:paraId="1FE909E4">
      <w:pPr>
        <w:wordWrap w:val="0"/>
        <w:rPr>
          <w:bCs/>
          <w:i w:val="0"/>
          <w:iCs w:val="0"/>
          <w:color w:val="auto"/>
          <w:sz w:val="28"/>
          <w:szCs w:val="28"/>
          <w:highlight w:val="none"/>
        </w:rPr>
      </w:pPr>
      <w:r>
        <w:rPr>
          <w:rFonts w:hint="eastAsia" w:cs="Helvetica"/>
          <w:bCs/>
          <w:i w:val="0"/>
          <w:iCs w:val="0"/>
          <w:color w:val="auto"/>
          <w:sz w:val="24"/>
          <w:szCs w:val="24"/>
          <w:highlight w:val="none"/>
          <w:lang w:val="zh-CN"/>
        </w:rPr>
        <w:t>合同编号：</w:t>
      </w:r>
      <w:r>
        <w:rPr>
          <w:rFonts w:hint="eastAsia" w:cs="Helvetica"/>
          <w:bCs/>
          <w:i w:val="0"/>
          <w:iCs w:val="0"/>
          <w:color w:val="auto"/>
          <w:sz w:val="24"/>
          <w:szCs w:val="24"/>
          <w:highlight w:val="none"/>
          <w:u w:val="single"/>
        </w:rPr>
        <w:t xml:space="preserve">              </w:t>
      </w:r>
    </w:p>
    <w:p w14:paraId="453FD5DE">
      <w:pPr>
        <w:pStyle w:val="12"/>
        <w:spacing w:after="0"/>
        <w:jc w:val="center"/>
        <w:rPr>
          <w:rFonts w:ascii="宋体" w:hAnsi="宋体" w:cs="宋体"/>
          <w:b/>
          <w:bCs/>
          <w:i w:val="0"/>
          <w:iCs w:val="0"/>
          <w:color w:val="auto"/>
          <w:spacing w:val="-20"/>
          <w:kern w:val="44"/>
          <w:sz w:val="48"/>
          <w:szCs w:val="48"/>
          <w:highlight w:val="none"/>
        </w:rPr>
      </w:pPr>
      <w:bookmarkStart w:id="499" w:name="_Toc3995"/>
    </w:p>
    <w:p w14:paraId="6FBA184A">
      <w:pPr>
        <w:pStyle w:val="12"/>
        <w:spacing w:after="0"/>
        <w:jc w:val="center"/>
        <w:rPr>
          <w:rFonts w:ascii="宋体" w:hAnsi="宋体" w:cs="宋体"/>
          <w:b/>
          <w:bCs/>
          <w:i w:val="0"/>
          <w:iCs w:val="0"/>
          <w:color w:val="auto"/>
          <w:spacing w:val="-20"/>
          <w:kern w:val="44"/>
          <w:sz w:val="48"/>
          <w:szCs w:val="48"/>
          <w:highlight w:val="none"/>
        </w:rPr>
      </w:pPr>
    </w:p>
    <w:p w14:paraId="1EAD278A">
      <w:pPr>
        <w:spacing w:line="480" w:lineRule="auto"/>
        <w:jc w:val="center"/>
        <w:outlineLvl w:val="1"/>
        <w:rPr>
          <w:rFonts w:hint="eastAsia" w:ascii="宋体" w:hAnsi="宋体" w:eastAsia="宋体" w:cs="宋体"/>
          <w:b/>
          <w:bCs/>
          <w:i w:val="0"/>
          <w:iCs w:val="0"/>
          <w:color w:val="auto"/>
          <w:spacing w:val="-20"/>
          <w:kern w:val="44"/>
          <w:sz w:val="44"/>
          <w:szCs w:val="44"/>
          <w:highlight w:val="none"/>
          <w:lang w:val="en-US" w:eastAsia="zh-CN" w:bidi="ar-SA"/>
        </w:rPr>
      </w:pPr>
      <w:bookmarkStart w:id="500" w:name="_Toc3714"/>
      <w:bookmarkStart w:id="501" w:name="_Toc22362"/>
      <w:r>
        <w:rPr>
          <w:rFonts w:hint="eastAsia" w:ascii="宋体" w:hAnsi="宋体" w:eastAsia="宋体" w:cs="宋体"/>
          <w:b/>
          <w:bCs/>
          <w:i w:val="0"/>
          <w:iCs w:val="0"/>
          <w:color w:val="auto"/>
          <w:spacing w:val="-20"/>
          <w:kern w:val="44"/>
          <w:sz w:val="44"/>
          <w:szCs w:val="44"/>
          <w:highlight w:val="none"/>
          <w:lang w:val="en-US" w:eastAsia="zh-CN" w:bidi="ar-SA"/>
        </w:rPr>
        <w:t>政府采购合同参考范本</w:t>
      </w:r>
      <w:bookmarkEnd w:id="500"/>
      <w:bookmarkEnd w:id="501"/>
    </w:p>
    <w:p w14:paraId="4571CDB1">
      <w:pPr>
        <w:spacing w:line="480" w:lineRule="auto"/>
        <w:jc w:val="center"/>
        <w:outlineLvl w:val="1"/>
        <w:rPr>
          <w:rFonts w:hint="eastAsia" w:ascii="宋体" w:hAnsi="宋体" w:eastAsia="宋体" w:cs="宋体"/>
          <w:b/>
          <w:i w:val="0"/>
          <w:iCs w:val="0"/>
          <w:color w:val="auto"/>
          <w:sz w:val="28"/>
          <w:szCs w:val="28"/>
          <w:highlight w:val="none"/>
        </w:rPr>
      </w:pPr>
      <w:bookmarkStart w:id="502" w:name="_Toc8560"/>
      <w:bookmarkStart w:id="503" w:name="_Toc20418"/>
      <w:r>
        <w:rPr>
          <w:rFonts w:hint="eastAsia" w:ascii="宋体" w:hAnsi="宋体" w:eastAsia="宋体" w:cs="宋体"/>
          <w:b/>
          <w:bCs/>
          <w:i w:val="0"/>
          <w:iCs w:val="0"/>
          <w:color w:val="auto"/>
          <w:spacing w:val="-20"/>
          <w:kern w:val="44"/>
          <w:sz w:val="44"/>
          <w:szCs w:val="44"/>
          <w:highlight w:val="none"/>
          <w:lang w:val="en-US" w:eastAsia="zh-CN" w:bidi="ar-SA"/>
        </w:rPr>
        <w:t>（服务类）</w:t>
      </w:r>
      <w:bookmarkEnd w:id="502"/>
      <w:bookmarkEnd w:id="503"/>
    </w:p>
    <w:p w14:paraId="78DDAE5C">
      <w:pPr>
        <w:spacing w:line="480" w:lineRule="auto"/>
        <w:jc w:val="center"/>
        <w:rPr>
          <w:rFonts w:hint="eastAsia" w:ascii="宋体" w:hAnsi="宋体" w:eastAsia="宋体" w:cs="宋体"/>
          <w:b/>
          <w:i w:val="0"/>
          <w:iCs w:val="0"/>
          <w:color w:val="auto"/>
          <w:sz w:val="24"/>
          <w:szCs w:val="24"/>
          <w:highlight w:val="none"/>
        </w:rPr>
      </w:pPr>
    </w:p>
    <w:p w14:paraId="317A7DEF">
      <w:pPr>
        <w:spacing w:line="480" w:lineRule="auto"/>
        <w:jc w:val="center"/>
        <w:rPr>
          <w:rFonts w:hint="eastAsia" w:ascii="宋体" w:hAnsi="宋体" w:eastAsia="宋体" w:cs="宋体"/>
          <w:b/>
          <w:i w:val="0"/>
          <w:iCs w:val="0"/>
          <w:color w:val="auto"/>
          <w:sz w:val="24"/>
          <w:szCs w:val="24"/>
          <w:highlight w:val="none"/>
        </w:rPr>
      </w:pPr>
    </w:p>
    <w:p w14:paraId="55C3B597">
      <w:pPr>
        <w:spacing w:line="360" w:lineRule="auto"/>
        <w:jc w:val="center"/>
        <w:outlineLvl w:val="1"/>
        <w:rPr>
          <w:rFonts w:hint="eastAsia" w:ascii="宋体" w:hAnsi="宋体" w:eastAsia="宋体" w:cs="宋体"/>
          <w:b/>
          <w:i w:val="0"/>
          <w:iCs w:val="0"/>
          <w:color w:val="auto"/>
          <w:sz w:val="32"/>
          <w:szCs w:val="32"/>
          <w:highlight w:val="none"/>
        </w:rPr>
      </w:pPr>
      <w:bookmarkStart w:id="504" w:name="_Toc22800"/>
      <w:bookmarkStart w:id="505" w:name="_Toc2449"/>
      <w:r>
        <w:rPr>
          <w:rFonts w:hint="eastAsia" w:ascii="宋体" w:hAnsi="宋体" w:eastAsia="宋体" w:cs="宋体"/>
          <w:b/>
          <w:i w:val="0"/>
          <w:iCs w:val="0"/>
          <w:color w:val="auto"/>
          <w:sz w:val="36"/>
          <w:szCs w:val="36"/>
          <w:highlight w:val="none"/>
        </w:rPr>
        <w:t>第一部分 合同书</w:t>
      </w:r>
      <w:bookmarkEnd w:id="504"/>
      <w:bookmarkEnd w:id="505"/>
    </w:p>
    <w:p w14:paraId="4BA01776">
      <w:pPr>
        <w:spacing w:line="480" w:lineRule="auto"/>
        <w:jc w:val="center"/>
        <w:rPr>
          <w:rFonts w:hint="eastAsia" w:ascii="宋体" w:hAnsi="宋体" w:eastAsia="宋体" w:cs="宋体"/>
          <w:b/>
          <w:i w:val="0"/>
          <w:iCs w:val="0"/>
          <w:color w:val="auto"/>
          <w:sz w:val="24"/>
          <w:szCs w:val="24"/>
          <w:highlight w:val="none"/>
        </w:rPr>
      </w:pPr>
    </w:p>
    <w:p w14:paraId="5F204112">
      <w:pPr>
        <w:pStyle w:val="12"/>
        <w:rPr>
          <w:rFonts w:hint="eastAsia" w:ascii="宋体" w:hAnsi="宋体" w:eastAsia="宋体" w:cs="宋体"/>
          <w:i w:val="0"/>
          <w:iCs w:val="0"/>
          <w:color w:val="auto"/>
          <w:highlight w:val="none"/>
        </w:rPr>
      </w:pPr>
    </w:p>
    <w:p w14:paraId="69570DA0">
      <w:pPr>
        <w:pStyle w:val="12"/>
        <w:rPr>
          <w:rFonts w:hint="eastAsia" w:ascii="宋体" w:hAnsi="宋体" w:eastAsia="宋体" w:cs="宋体"/>
          <w:i w:val="0"/>
          <w:iCs w:val="0"/>
          <w:color w:val="auto"/>
          <w:highlight w:val="none"/>
        </w:rPr>
      </w:pPr>
    </w:p>
    <w:p w14:paraId="77910ED1">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（分包项目须填写完整的分包号及分包名称）</w:t>
      </w:r>
    </w:p>
    <w:p w14:paraId="730F4465">
      <w:pPr>
        <w:spacing w:before="120" w:line="480" w:lineRule="auto"/>
        <w:ind w:left="96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p>
    <w:p w14:paraId="66872538">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甲方（采购人）：</w:t>
      </w:r>
      <w:r>
        <w:rPr>
          <w:rFonts w:hint="eastAsia" w:ascii="宋体" w:hAnsi="宋体" w:eastAsia="宋体" w:cs="宋体"/>
          <w:i w:val="0"/>
          <w:iCs w:val="0"/>
          <w:color w:val="auto"/>
          <w:sz w:val="24"/>
          <w:szCs w:val="24"/>
          <w:highlight w:val="none"/>
          <w:u w:val="single"/>
        </w:rPr>
        <w:t xml:space="preserve">                              </w:t>
      </w:r>
    </w:p>
    <w:p w14:paraId="557645D2">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乙方（</w:t>
      </w:r>
      <w:r>
        <w:rPr>
          <w:rFonts w:hint="eastAsia"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u w:val="single"/>
        </w:rPr>
        <w:t xml:space="preserve">                              </w:t>
      </w:r>
    </w:p>
    <w:p w14:paraId="263D5C0B">
      <w:pPr>
        <w:spacing w:before="120" w:line="480" w:lineRule="auto"/>
        <w:ind w:firstLine="960" w:firstLineChars="4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签订地：</w:t>
      </w:r>
      <w:r>
        <w:rPr>
          <w:rFonts w:hint="eastAsia" w:ascii="宋体" w:hAnsi="宋体" w:eastAsia="宋体" w:cs="宋体"/>
          <w:i w:val="0"/>
          <w:iCs w:val="0"/>
          <w:color w:val="auto"/>
          <w:sz w:val="24"/>
          <w:szCs w:val="24"/>
          <w:highlight w:val="none"/>
          <w:u w:val="single"/>
        </w:rPr>
        <w:t xml:space="preserve">                                     </w:t>
      </w:r>
    </w:p>
    <w:p w14:paraId="28A94FB3">
      <w:pPr>
        <w:spacing w:before="120" w:line="48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签订日期：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34F4996A">
      <w:pPr>
        <w:widowControl/>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5343AEB4">
      <w:pPr>
        <w:spacing w:line="360" w:lineRule="auto"/>
        <w:ind w:firstLine="43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szCs w:val="24"/>
          <w:highlight w:val="none"/>
          <w:lang w:val="zh-CN"/>
        </w:rPr>
        <w:t>以下简称：甲方</w:t>
      </w:r>
      <w:r>
        <w:rPr>
          <w:rFonts w:hint="eastAsia" w:ascii="宋体" w:hAnsi="宋体" w:eastAsia="宋体" w:cs="宋体"/>
          <w:i w:val="0"/>
          <w:iCs w:val="0"/>
          <w:color w:val="auto"/>
          <w:sz w:val="24"/>
          <w:highlight w:val="none"/>
        </w:rPr>
        <w:t>）通过</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组织的</w:t>
      </w:r>
      <w:r>
        <w:rPr>
          <w:rFonts w:hint="eastAsia" w:cs="宋体"/>
          <w:i w:val="0"/>
          <w:iCs w:val="0"/>
          <w:color w:val="auto"/>
          <w:sz w:val="24"/>
          <w:highlight w:val="none"/>
          <w:u w:val="single"/>
          <w:lang w:val="en-US" w:eastAsia="zh-CN"/>
        </w:rPr>
        <w:t>竞争性磋商</w:t>
      </w:r>
      <w:r>
        <w:rPr>
          <w:rFonts w:hint="eastAsia" w:ascii="宋体" w:hAnsi="宋体" w:eastAsia="宋体" w:cs="宋体"/>
          <w:i w:val="0"/>
          <w:iCs w:val="0"/>
          <w:color w:val="auto"/>
          <w:sz w:val="24"/>
          <w:highlight w:val="none"/>
        </w:rPr>
        <w:t>方式采购活动，经</w:t>
      </w:r>
      <w:r>
        <w:rPr>
          <w:rFonts w:hint="eastAsia"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评</w:t>
      </w:r>
      <w:r>
        <w:rPr>
          <w:rFonts w:hint="eastAsia" w:cs="宋体"/>
          <w:i w:val="0"/>
          <w:iCs w:val="0"/>
          <w:color w:val="auto"/>
          <w:sz w:val="24"/>
          <w:highlight w:val="none"/>
          <w:u w:val="single"/>
          <w:lang w:val="en-US" w:eastAsia="zh-CN"/>
        </w:rPr>
        <w:t xml:space="preserve">审小组  </w:t>
      </w:r>
      <w:r>
        <w:rPr>
          <w:rFonts w:hint="eastAsia" w:ascii="宋体" w:hAnsi="宋体" w:eastAsia="宋体" w:cs="宋体"/>
          <w:i w:val="0"/>
          <w:iCs w:val="0"/>
          <w:color w:val="auto"/>
          <w:sz w:val="24"/>
          <w:highlight w:val="none"/>
        </w:rPr>
        <w:t>评定，</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szCs w:val="24"/>
          <w:highlight w:val="none"/>
          <w:lang w:val="zh-CN"/>
        </w:rPr>
        <w:t>以下简称：乙方</w:t>
      </w:r>
      <w:r>
        <w:rPr>
          <w:rFonts w:hint="eastAsia" w:ascii="宋体" w:hAnsi="宋体" w:eastAsia="宋体" w:cs="宋体"/>
          <w:i w:val="0"/>
          <w:iCs w:val="0"/>
          <w:color w:val="auto"/>
          <w:sz w:val="24"/>
          <w:highlight w:val="none"/>
        </w:rPr>
        <w:t>）为本项目</w:t>
      </w:r>
      <w:r>
        <w:rPr>
          <w:rFonts w:hint="eastAsia" w:cs="宋体"/>
          <w:i w:val="0"/>
          <w:iCs w:val="0"/>
          <w:color w:val="auto"/>
          <w:sz w:val="24"/>
          <w:highlight w:val="none"/>
          <w:lang w:val="en-US" w:eastAsia="zh-CN"/>
        </w:rPr>
        <w:t>成交</w:t>
      </w:r>
      <w:r>
        <w:rPr>
          <w:rFonts w:hint="eastAsia" w:ascii="宋体" w:hAnsi="宋体" w:eastAsia="宋体" w:cs="宋体"/>
          <w:i w:val="0"/>
          <w:iCs w:val="0"/>
          <w:color w:val="auto"/>
          <w:sz w:val="24"/>
          <w:highlight w:val="none"/>
        </w:rPr>
        <w:t>人，现</w:t>
      </w:r>
      <w:r>
        <w:rPr>
          <w:rFonts w:hint="eastAsia" w:ascii="宋体" w:hAnsi="宋体" w:eastAsia="宋体" w:cs="宋体"/>
          <w:i w:val="0"/>
          <w:iCs w:val="0"/>
          <w:color w:val="auto"/>
          <w:sz w:val="24"/>
          <w:szCs w:val="24"/>
          <w:highlight w:val="none"/>
        </w:rPr>
        <w:t>按照采购文件确定的事项签订本合同。</w:t>
      </w:r>
    </w:p>
    <w:p w14:paraId="1A7D6614">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81298E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06" w:name="_Toc2232"/>
      <w:bookmarkStart w:id="507" w:name="_Toc3029"/>
      <w:bookmarkStart w:id="508" w:name="_Toc9411"/>
      <w:bookmarkStart w:id="509" w:name="_Toc24059"/>
      <w:r>
        <w:rPr>
          <w:rFonts w:hint="eastAsia" w:ascii="宋体" w:hAnsi="宋体" w:eastAsia="宋体" w:cs="宋体"/>
          <w:b/>
          <w:bCs/>
          <w:i w:val="0"/>
          <w:iCs w:val="0"/>
          <w:color w:val="auto"/>
          <w:sz w:val="24"/>
          <w:szCs w:val="24"/>
          <w:highlight w:val="none"/>
          <w:lang w:val="zh-CN"/>
        </w:rPr>
        <w:t>1.1 合同组成部分</w:t>
      </w:r>
      <w:bookmarkEnd w:id="506"/>
      <w:bookmarkEnd w:id="507"/>
      <w:bookmarkEnd w:id="508"/>
      <w:bookmarkEnd w:id="509"/>
    </w:p>
    <w:p w14:paraId="024A42B6">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2BC58A8">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1.1.1本合同及其补充合同、变更协议；</w:t>
      </w:r>
    </w:p>
    <w:p w14:paraId="037DCF58">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1.1.2</w:t>
      </w:r>
      <w:r>
        <w:rPr>
          <w:rFonts w:hint="eastAsia"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val="zh-CN"/>
        </w:rPr>
        <w:t>通知书；</w:t>
      </w:r>
    </w:p>
    <w:p w14:paraId="20FA8DCC">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1.1.3</w:t>
      </w:r>
      <w:r>
        <w:rPr>
          <w:rFonts w:hint="eastAsia"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文件（含澄清或者说明文件）；</w:t>
      </w:r>
    </w:p>
    <w:p w14:paraId="01E3C1EE">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1.1.4</w:t>
      </w:r>
      <w:r>
        <w:rPr>
          <w:rFonts w:hint="eastAsia"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lang w:val="zh-CN"/>
        </w:rPr>
        <w:t>文件（含澄清或者修改文件）；</w:t>
      </w:r>
    </w:p>
    <w:p w14:paraId="7BCC15DE">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1.1.5其他相关采购文件。</w:t>
      </w:r>
    </w:p>
    <w:p w14:paraId="283E7943">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10" w:name="_Toc2918"/>
      <w:bookmarkStart w:id="511" w:name="_Toc18585"/>
      <w:bookmarkStart w:id="512" w:name="_Toc6311"/>
      <w:bookmarkStart w:id="513" w:name="_Toc6773"/>
      <w:bookmarkStart w:id="514" w:name="_Toc22185"/>
      <w:bookmarkStart w:id="515" w:name="_Toc3392"/>
      <w:r>
        <w:rPr>
          <w:rFonts w:hint="eastAsia" w:ascii="宋体" w:hAnsi="宋体" w:eastAsia="宋体" w:cs="宋体"/>
          <w:b/>
          <w:bCs/>
          <w:i w:val="0"/>
          <w:iCs w:val="0"/>
          <w:color w:val="auto"/>
          <w:sz w:val="24"/>
          <w:szCs w:val="24"/>
          <w:highlight w:val="none"/>
          <w:lang w:val="zh-CN"/>
        </w:rPr>
        <w:t xml:space="preserve">1.2 </w:t>
      </w:r>
      <w:bookmarkEnd w:id="510"/>
      <w:bookmarkEnd w:id="511"/>
      <w:bookmarkEnd w:id="512"/>
      <w:bookmarkEnd w:id="513"/>
      <w:bookmarkEnd w:id="514"/>
      <w:r>
        <w:rPr>
          <w:rFonts w:hint="eastAsia" w:ascii="宋体" w:hAnsi="宋体" w:eastAsia="宋体" w:cs="宋体"/>
          <w:b/>
          <w:bCs/>
          <w:i w:val="0"/>
          <w:iCs w:val="0"/>
          <w:color w:val="auto"/>
          <w:sz w:val="24"/>
          <w:szCs w:val="24"/>
          <w:highlight w:val="none"/>
          <w:lang w:val="zh-CN"/>
        </w:rPr>
        <w:t>服务</w:t>
      </w:r>
      <w:bookmarkEnd w:id="515"/>
    </w:p>
    <w:p w14:paraId="2A8C8081">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1.2.1服务名称：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D507EFA">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1.2.2服务内容：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47170C5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1.2.3服务质量：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294900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16" w:name="_Toc21551"/>
      <w:bookmarkStart w:id="517" w:name="_Toc10679"/>
      <w:bookmarkStart w:id="518" w:name="_Toc23292"/>
      <w:bookmarkStart w:id="519" w:name="_Toc21631"/>
      <w:r>
        <w:rPr>
          <w:rFonts w:hint="eastAsia" w:ascii="宋体" w:hAnsi="宋体" w:eastAsia="宋体" w:cs="宋体"/>
          <w:b/>
          <w:bCs/>
          <w:i w:val="0"/>
          <w:iCs w:val="0"/>
          <w:color w:val="auto"/>
          <w:sz w:val="24"/>
          <w:szCs w:val="24"/>
          <w:highlight w:val="none"/>
          <w:lang w:val="zh-CN"/>
        </w:rPr>
        <w:t>1.3 价款</w:t>
      </w:r>
      <w:bookmarkEnd w:id="516"/>
      <w:bookmarkEnd w:id="517"/>
      <w:bookmarkEnd w:id="518"/>
      <w:bookmarkEnd w:id="519"/>
    </w:p>
    <w:p w14:paraId="0E6E2DB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本合同总价为：￥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元（大写：人民币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p w14:paraId="585CBE51">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分项价格：</w:t>
      </w:r>
    </w:p>
    <w:tbl>
      <w:tblPr>
        <w:tblStyle w:val="29"/>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3000"/>
      </w:tblGrid>
      <w:tr w14:paraId="7AF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vAlign w:val="center"/>
          </w:tcPr>
          <w:p w14:paraId="0CD18D7F">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序号</w:t>
            </w:r>
          </w:p>
        </w:tc>
        <w:tc>
          <w:tcPr>
            <w:tcW w:w="4316" w:type="dxa"/>
            <w:vAlign w:val="center"/>
          </w:tcPr>
          <w:p w14:paraId="4F68A816">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分项名称</w:t>
            </w:r>
          </w:p>
        </w:tc>
        <w:tc>
          <w:tcPr>
            <w:tcW w:w="3000" w:type="dxa"/>
            <w:vAlign w:val="center"/>
          </w:tcPr>
          <w:p w14:paraId="4C7FFB26">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分项价格</w:t>
            </w:r>
          </w:p>
        </w:tc>
      </w:tr>
      <w:tr w14:paraId="6B92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0F360428">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w:t>
            </w:r>
          </w:p>
        </w:tc>
        <w:tc>
          <w:tcPr>
            <w:tcW w:w="4316" w:type="dxa"/>
            <w:vAlign w:val="center"/>
          </w:tcPr>
          <w:p w14:paraId="2461E5E0">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0E415F66">
            <w:pPr>
              <w:ind w:firstLine="200"/>
              <w:jc w:val="center"/>
              <w:rPr>
                <w:rFonts w:hint="eastAsia" w:ascii="宋体" w:hAnsi="宋体" w:eastAsia="宋体" w:cs="宋体"/>
                <w:i w:val="0"/>
                <w:iCs w:val="0"/>
                <w:color w:val="auto"/>
                <w:sz w:val="24"/>
                <w:szCs w:val="24"/>
                <w:highlight w:val="none"/>
              </w:rPr>
            </w:pPr>
          </w:p>
        </w:tc>
      </w:tr>
      <w:tr w14:paraId="0D8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24CE31A">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p>
        </w:tc>
        <w:tc>
          <w:tcPr>
            <w:tcW w:w="4316" w:type="dxa"/>
            <w:vAlign w:val="center"/>
          </w:tcPr>
          <w:p w14:paraId="345F5B41">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3722A032">
            <w:pPr>
              <w:ind w:firstLine="200"/>
              <w:jc w:val="center"/>
              <w:rPr>
                <w:rFonts w:hint="eastAsia" w:ascii="宋体" w:hAnsi="宋体" w:eastAsia="宋体" w:cs="宋体"/>
                <w:i w:val="0"/>
                <w:iCs w:val="0"/>
                <w:color w:val="auto"/>
                <w:sz w:val="24"/>
                <w:szCs w:val="24"/>
                <w:highlight w:val="none"/>
              </w:rPr>
            </w:pPr>
          </w:p>
        </w:tc>
      </w:tr>
      <w:tr w14:paraId="6F07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512C37D0">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3</w:t>
            </w:r>
          </w:p>
        </w:tc>
        <w:tc>
          <w:tcPr>
            <w:tcW w:w="4316" w:type="dxa"/>
            <w:vAlign w:val="center"/>
          </w:tcPr>
          <w:p w14:paraId="498FC842">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4CAABBD7">
            <w:pPr>
              <w:ind w:firstLine="200"/>
              <w:jc w:val="center"/>
              <w:rPr>
                <w:rFonts w:hint="eastAsia" w:ascii="宋体" w:hAnsi="宋体" w:eastAsia="宋体" w:cs="宋体"/>
                <w:i w:val="0"/>
                <w:iCs w:val="0"/>
                <w:color w:val="auto"/>
                <w:sz w:val="24"/>
                <w:szCs w:val="24"/>
                <w:highlight w:val="none"/>
              </w:rPr>
            </w:pPr>
          </w:p>
        </w:tc>
      </w:tr>
      <w:tr w14:paraId="7BB6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1019B673">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p>
        </w:tc>
        <w:tc>
          <w:tcPr>
            <w:tcW w:w="4316" w:type="dxa"/>
            <w:vAlign w:val="center"/>
          </w:tcPr>
          <w:p w14:paraId="1668CCE7">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14647217">
            <w:pPr>
              <w:ind w:firstLine="200"/>
              <w:jc w:val="center"/>
              <w:rPr>
                <w:rFonts w:hint="eastAsia" w:ascii="宋体" w:hAnsi="宋体" w:eastAsia="宋体" w:cs="宋体"/>
                <w:i w:val="0"/>
                <w:iCs w:val="0"/>
                <w:color w:val="auto"/>
                <w:sz w:val="24"/>
                <w:szCs w:val="24"/>
                <w:highlight w:val="none"/>
              </w:rPr>
            </w:pPr>
          </w:p>
        </w:tc>
      </w:tr>
      <w:tr w14:paraId="7B38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73" w:type="dxa"/>
            <w:gridSpan w:val="2"/>
            <w:vAlign w:val="center"/>
          </w:tcPr>
          <w:p w14:paraId="445538F7">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总价</w:t>
            </w:r>
          </w:p>
        </w:tc>
        <w:tc>
          <w:tcPr>
            <w:tcW w:w="3000" w:type="dxa"/>
            <w:vAlign w:val="center"/>
          </w:tcPr>
          <w:p w14:paraId="155BB530">
            <w:pPr>
              <w:ind w:firstLine="200"/>
              <w:jc w:val="center"/>
              <w:rPr>
                <w:rFonts w:hint="eastAsia" w:ascii="宋体" w:hAnsi="宋体" w:eastAsia="宋体" w:cs="宋体"/>
                <w:i w:val="0"/>
                <w:iCs w:val="0"/>
                <w:color w:val="auto"/>
                <w:sz w:val="24"/>
                <w:szCs w:val="24"/>
                <w:highlight w:val="none"/>
              </w:rPr>
            </w:pPr>
          </w:p>
        </w:tc>
      </w:tr>
    </w:tbl>
    <w:p w14:paraId="17E2FC9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20" w:name="_Toc10340"/>
      <w:bookmarkStart w:id="521" w:name="_Toc26749"/>
      <w:bookmarkStart w:id="522" w:name="_Toc1814"/>
      <w:bookmarkStart w:id="523" w:name="_Toc22618"/>
      <w:r>
        <w:rPr>
          <w:rFonts w:hint="eastAsia" w:ascii="宋体" w:hAnsi="宋体" w:eastAsia="宋体" w:cs="宋体"/>
          <w:b/>
          <w:bCs/>
          <w:i w:val="0"/>
          <w:iCs w:val="0"/>
          <w:color w:val="auto"/>
          <w:sz w:val="24"/>
          <w:szCs w:val="24"/>
          <w:highlight w:val="none"/>
          <w:lang w:val="zh-CN"/>
        </w:rPr>
        <w:t>1.4 付款方式和发票开具方式</w:t>
      </w:r>
      <w:bookmarkEnd w:id="520"/>
      <w:bookmarkEnd w:id="521"/>
      <w:bookmarkEnd w:id="522"/>
      <w:bookmarkEnd w:id="523"/>
    </w:p>
    <w:p w14:paraId="0D15CC0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1.4.1付款方式：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2591FB6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1.4.2发票开具方式：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0203521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24" w:name="_Toc19304"/>
      <w:bookmarkStart w:id="525" w:name="_Toc32071"/>
      <w:bookmarkStart w:id="526" w:name="_Toc2846"/>
      <w:bookmarkStart w:id="527" w:name="_Toc28125"/>
      <w:r>
        <w:rPr>
          <w:rFonts w:hint="eastAsia" w:ascii="宋体" w:hAnsi="宋体" w:eastAsia="宋体" w:cs="宋体"/>
          <w:b/>
          <w:bCs/>
          <w:i w:val="0"/>
          <w:iCs w:val="0"/>
          <w:color w:val="auto"/>
          <w:sz w:val="24"/>
          <w:szCs w:val="24"/>
          <w:highlight w:val="none"/>
          <w:lang w:val="zh-CN"/>
        </w:rPr>
        <w:t>1.5 服务期限、地点和方式</w:t>
      </w:r>
      <w:bookmarkEnd w:id="524"/>
      <w:bookmarkEnd w:id="525"/>
      <w:bookmarkEnd w:id="526"/>
      <w:bookmarkEnd w:id="527"/>
    </w:p>
    <w:p w14:paraId="5A2C5E65">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1.5.1服务期限：</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3FF652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1.5.2服务地点：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CE4FC7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1.5.3服务方式：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B2ED679">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28" w:name="_Toc21423"/>
      <w:bookmarkStart w:id="529" w:name="_Toc27250"/>
      <w:bookmarkStart w:id="530" w:name="_Toc24085"/>
      <w:bookmarkStart w:id="531" w:name="_Toc19554"/>
      <w:r>
        <w:rPr>
          <w:rFonts w:hint="eastAsia" w:ascii="宋体" w:hAnsi="宋体" w:eastAsia="宋体" w:cs="宋体"/>
          <w:b/>
          <w:bCs/>
          <w:i w:val="0"/>
          <w:iCs w:val="0"/>
          <w:color w:val="auto"/>
          <w:sz w:val="24"/>
          <w:szCs w:val="24"/>
          <w:highlight w:val="none"/>
          <w:lang w:val="zh-CN"/>
        </w:rPr>
        <w:t>1.6 违约责任</w:t>
      </w:r>
      <w:bookmarkEnd w:id="528"/>
      <w:bookmarkEnd w:id="529"/>
      <w:bookmarkEnd w:id="530"/>
      <w:bookmarkEnd w:id="531"/>
    </w:p>
    <w:p w14:paraId="5DD1292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%计算，最高限额为本合同总价的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%；迟延履行的违约金计算数额达到前述最高限额之日起，甲方有权在要求乙方支付违约金的同时，书面通知乙方解除本合同；</w:t>
      </w:r>
    </w:p>
    <w:p w14:paraId="7B8B7DE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%计算，最高限额为本合同总价的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%；迟延付款的违约金计算数额达到前述最高限额之日起，乙方有权在要求甲方支付违约金的同时，书面通知甲方解除本合同；</w:t>
      </w:r>
    </w:p>
    <w:p w14:paraId="1A4EF16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1211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20104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44C0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DDBD42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1.6.7因甲方未按合同约定支付价款、未按合同约定受领标的物、擅自解除合同</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D4B476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32" w:name="_Toc15583"/>
      <w:bookmarkStart w:id="533" w:name="_Toc16021"/>
      <w:bookmarkStart w:id="534" w:name="_Toc28375"/>
      <w:bookmarkStart w:id="535" w:name="_Toc31764"/>
      <w:r>
        <w:rPr>
          <w:rFonts w:hint="eastAsia" w:ascii="宋体" w:hAnsi="宋体" w:eastAsia="宋体" w:cs="宋体"/>
          <w:b/>
          <w:bCs/>
          <w:i w:val="0"/>
          <w:iCs w:val="0"/>
          <w:color w:val="auto"/>
          <w:sz w:val="24"/>
          <w:szCs w:val="24"/>
          <w:highlight w:val="none"/>
          <w:lang w:val="zh-CN"/>
        </w:rPr>
        <w:t>1.7 合同争议的解决</w:t>
      </w:r>
      <w:bookmarkEnd w:id="532"/>
      <w:bookmarkEnd w:id="533"/>
      <w:bookmarkEnd w:id="534"/>
      <w:bookmarkEnd w:id="535"/>
    </w:p>
    <w:p w14:paraId="7C025F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种方式解决：</w:t>
      </w:r>
    </w:p>
    <w:p w14:paraId="7856D44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1.7.1将争议提交</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仲裁委员会依申请仲裁时其现行有效的仲裁规则裁决；</w:t>
      </w:r>
    </w:p>
    <w:p w14:paraId="525321B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1.7.2向</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人民法院起诉。</w:t>
      </w:r>
    </w:p>
    <w:p w14:paraId="21D8E3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36" w:name="_Toc15322"/>
      <w:bookmarkStart w:id="537" w:name="_Toc11173"/>
      <w:bookmarkStart w:id="538" w:name="_Toc18193"/>
      <w:bookmarkStart w:id="539" w:name="_Toc7245"/>
      <w:r>
        <w:rPr>
          <w:rFonts w:hint="eastAsia" w:ascii="宋体" w:hAnsi="宋体" w:eastAsia="宋体" w:cs="宋体"/>
          <w:b/>
          <w:bCs/>
          <w:i w:val="0"/>
          <w:iCs w:val="0"/>
          <w:color w:val="auto"/>
          <w:sz w:val="24"/>
          <w:szCs w:val="24"/>
          <w:highlight w:val="none"/>
          <w:lang w:val="zh-CN"/>
        </w:rPr>
        <w:t>1.8 合同生效</w:t>
      </w:r>
      <w:bookmarkEnd w:id="536"/>
      <w:bookmarkEnd w:id="537"/>
      <w:bookmarkEnd w:id="538"/>
      <w:bookmarkEnd w:id="539"/>
    </w:p>
    <w:p w14:paraId="5961B88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本合同自双方当事人盖章时生效。</w:t>
      </w:r>
    </w:p>
    <w:p w14:paraId="2F65E252">
      <w:pPr>
        <w:autoSpaceDE w:val="0"/>
        <w:autoSpaceDN w:val="0"/>
        <w:adjustRightInd w:val="0"/>
        <w:spacing w:line="560" w:lineRule="exact"/>
        <w:rPr>
          <w:rFonts w:hint="eastAsia" w:ascii="宋体" w:hAnsi="宋体" w:eastAsia="宋体" w:cs="宋体"/>
          <w:i w:val="0"/>
          <w:iCs w:val="0"/>
          <w:color w:val="auto"/>
          <w:sz w:val="24"/>
          <w:szCs w:val="24"/>
          <w:highlight w:val="none"/>
          <w:lang w:val="zh-CN"/>
        </w:rPr>
      </w:pPr>
    </w:p>
    <w:p w14:paraId="6DB0DE5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甲    方：</w:t>
      </w:r>
      <w:r>
        <w:rPr>
          <w:rFonts w:hint="eastAsia" w:ascii="宋体" w:hAnsi="宋体" w:eastAsia="宋体" w:cs="宋体"/>
          <w:bCs/>
          <w:i w:val="0"/>
          <w:iCs w:val="0"/>
          <w:color w:val="auto"/>
          <w:sz w:val="24"/>
          <w:szCs w:val="24"/>
          <w:highlight w:val="none"/>
          <w:u w:val="single"/>
          <w:lang w:val="zh-CN"/>
        </w:rPr>
        <w:t xml:space="preserve">    （单位盖章）     </w:t>
      </w:r>
      <w:r>
        <w:rPr>
          <w:rFonts w:hint="eastAsia" w:ascii="宋体" w:hAnsi="宋体" w:eastAsia="宋体" w:cs="宋体"/>
          <w:bCs/>
          <w:i w:val="0"/>
          <w:iCs w:val="0"/>
          <w:color w:val="auto"/>
          <w:sz w:val="24"/>
          <w:szCs w:val="24"/>
          <w:highlight w:val="none"/>
          <w:lang w:val="zh-CN"/>
        </w:rPr>
        <w:t xml:space="preserve">          乙方：</w:t>
      </w:r>
      <w:r>
        <w:rPr>
          <w:rFonts w:hint="eastAsia" w:ascii="宋体" w:hAnsi="宋体" w:eastAsia="宋体" w:cs="宋体"/>
          <w:bCs/>
          <w:i w:val="0"/>
          <w:iCs w:val="0"/>
          <w:color w:val="auto"/>
          <w:sz w:val="24"/>
          <w:szCs w:val="24"/>
          <w:highlight w:val="none"/>
          <w:u w:val="single"/>
          <w:lang w:val="zh-CN"/>
        </w:rPr>
        <w:t xml:space="preserve">    （单位盖章）     </w:t>
      </w:r>
    </w:p>
    <w:p w14:paraId="1B900B9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法定代表人                               法定代表人</w:t>
      </w:r>
    </w:p>
    <w:p w14:paraId="009FFBB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或授权代表（签字）：                      或授权代表（签字）：</w:t>
      </w:r>
    </w:p>
    <w:p w14:paraId="5226F044">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i w:val="0"/>
          <w:iCs w:val="0"/>
          <w:color w:val="auto"/>
          <w:sz w:val="24"/>
          <w:szCs w:val="24"/>
          <w:highlight w:val="none"/>
        </w:rPr>
      </w:pPr>
      <w:bookmarkStart w:id="540" w:name="_Toc331685783"/>
      <w:r>
        <w:rPr>
          <w:rFonts w:hint="eastAsia" w:ascii="宋体" w:hAnsi="宋体" w:eastAsia="宋体" w:cs="宋体"/>
          <w:bCs/>
          <w:i w:val="0"/>
          <w:iCs w:val="0"/>
          <w:color w:val="auto"/>
          <w:sz w:val="24"/>
          <w:szCs w:val="24"/>
          <w:highlight w:val="none"/>
        </w:rPr>
        <w:t>时间：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               时间：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p>
    <w:p w14:paraId="0FB8187C">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bookmarkStart w:id="541" w:name="_Hlk110099149"/>
      <w:r>
        <w:rPr>
          <w:rFonts w:hint="eastAsia" w:ascii="宋体" w:hAnsi="宋体" w:eastAsia="宋体" w:cs="宋体"/>
          <w:i w:val="0"/>
          <w:iCs w:val="0"/>
          <w:color w:val="auto"/>
          <w:sz w:val="24"/>
          <w:szCs w:val="24"/>
          <w:highlight w:val="none"/>
        </w:rPr>
        <w:t>乙方账户信息</w:t>
      </w:r>
    </w:p>
    <w:p w14:paraId="58A2B11B">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户名：</w:t>
      </w:r>
      <w:r>
        <w:rPr>
          <w:rFonts w:hint="eastAsia" w:ascii="宋体" w:hAnsi="宋体" w:eastAsia="宋体" w:cs="宋体"/>
          <w:i w:val="0"/>
          <w:iCs w:val="0"/>
          <w:color w:val="auto"/>
          <w:sz w:val="24"/>
          <w:szCs w:val="24"/>
          <w:highlight w:val="none"/>
          <w:u w:val="single"/>
        </w:rPr>
        <w:t xml:space="preserve">            </w:t>
      </w:r>
    </w:p>
    <w:p w14:paraId="0D697104">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账号：</w:t>
      </w:r>
      <w:r>
        <w:rPr>
          <w:rFonts w:hint="eastAsia" w:ascii="宋体" w:hAnsi="宋体" w:eastAsia="宋体" w:cs="宋体"/>
          <w:i w:val="0"/>
          <w:iCs w:val="0"/>
          <w:color w:val="auto"/>
          <w:sz w:val="24"/>
          <w:szCs w:val="24"/>
          <w:highlight w:val="none"/>
          <w:u w:val="single"/>
        </w:rPr>
        <w:t xml:space="preserve">            </w:t>
      </w:r>
    </w:p>
    <w:p w14:paraId="7309CDF0">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开户银行：</w:t>
      </w:r>
      <w:r>
        <w:rPr>
          <w:rFonts w:hint="eastAsia" w:ascii="宋体" w:hAnsi="宋体" w:eastAsia="宋体" w:cs="宋体"/>
          <w:i w:val="0"/>
          <w:iCs w:val="0"/>
          <w:color w:val="auto"/>
          <w:sz w:val="24"/>
          <w:szCs w:val="24"/>
          <w:highlight w:val="none"/>
          <w:u w:val="single"/>
        </w:rPr>
        <w:t xml:space="preserve">        </w:t>
      </w:r>
    </w:p>
    <w:bookmarkEnd w:id="541"/>
    <w:p w14:paraId="4D631BBC">
      <w:pPr>
        <w:widowControl/>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br w:type="page"/>
      </w:r>
    </w:p>
    <w:p w14:paraId="37D2F896">
      <w:pPr>
        <w:spacing w:line="360" w:lineRule="auto"/>
        <w:jc w:val="center"/>
        <w:outlineLvl w:val="1"/>
        <w:rPr>
          <w:rFonts w:hint="eastAsia" w:ascii="宋体" w:hAnsi="宋体" w:eastAsia="宋体" w:cs="宋体"/>
          <w:b/>
          <w:i w:val="0"/>
          <w:iCs w:val="0"/>
          <w:color w:val="auto"/>
          <w:sz w:val="36"/>
          <w:szCs w:val="36"/>
          <w:highlight w:val="none"/>
        </w:rPr>
      </w:pPr>
      <w:bookmarkStart w:id="542" w:name="_Toc25694"/>
      <w:bookmarkStart w:id="543" w:name="_Toc415"/>
      <w:r>
        <w:rPr>
          <w:rFonts w:hint="eastAsia" w:ascii="宋体" w:hAnsi="宋体" w:eastAsia="宋体" w:cs="宋体"/>
          <w:b/>
          <w:i w:val="0"/>
          <w:iCs w:val="0"/>
          <w:color w:val="auto"/>
          <w:sz w:val="36"/>
          <w:szCs w:val="36"/>
          <w:highlight w:val="none"/>
        </w:rPr>
        <w:t>第二部分 合同一般条款</w:t>
      </w:r>
      <w:bookmarkEnd w:id="540"/>
      <w:bookmarkEnd w:id="542"/>
      <w:bookmarkEnd w:id="543"/>
    </w:p>
    <w:p w14:paraId="232A2B3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44" w:name="_Toc28763"/>
      <w:bookmarkStart w:id="545" w:name="_Ref467378404"/>
      <w:bookmarkStart w:id="546" w:name="_Ref467379094"/>
      <w:bookmarkStart w:id="547" w:name="_Toc16917"/>
      <w:bookmarkStart w:id="548" w:name="_Toc279701240"/>
      <w:bookmarkStart w:id="549" w:name="_Toc487900349"/>
      <w:bookmarkStart w:id="550" w:name="_Ref467378463"/>
      <w:bookmarkStart w:id="551" w:name="_Ref467379214"/>
      <w:bookmarkStart w:id="552" w:name="_Toc259093669"/>
      <w:bookmarkStart w:id="553" w:name="_Toc2588"/>
      <w:bookmarkStart w:id="554" w:name="_Ref467379101"/>
      <w:bookmarkStart w:id="555" w:name="_Ref467379109"/>
      <w:bookmarkStart w:id="556" w:name="_Toc19614"/>
      <w:bookmarkStart w:id="557" w:name="_Ref467379225"/>
      <w:bookmarkStart w:id="558" w:name="_Ref467379195"/>
      <w:bookmarkStart w:id="559" w:name="_Ref467379205"/>
      <w:bookmarkStart w:id="560" w:name="_Ref467378499"/>
      <w:r>
        <w:rPr>
          <w:rFonts w:hint="eastAsia" w:ascii="宋体" w:hAnsi="宋体" w:eastAsia="宋体" w:cs="宋体"/>
          <w:b/>
          <w:bCs/>
          <w:i w:val="0"/>
          <w:iCs w:val="0"/>
          <w:color w:val="auto"/>
          <w:sz w:val="24"/>
          <w:szCs w:val="24"/>
          <w:highlight w:val="none"/>
          <w:lang w:val="zh-CN"/>
        </w:rPr>
        <w:t>2.1 定义</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3DABC3C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本合同中的下列词语应按以下内容进行解释：</w:t>
      </w:r>
    </w:p>
    <w:p w14:paraId="029314F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2.1.1“合同”系指采购人和中标人签订的载明双方当事人所达成的协议，并包括所有的附件、附录和构成合同的其他文件。</w:t>
      </w:r>
    </w:p>
    <w:p w14:paraId="2F4EDFD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2.1.2“合同价”系指根据合同约定，中标人在完全履行合同义务后，采购人应支付给中标人的价格。</w:t>
      </w:r>
    </w:p>
    <w:p w14:paraId="5824C10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1802AAD8">
      <w:pPr>
        <w:spacing w:line="360" w:lineRule="auto"/>
        <w:ind w:firstLine="435"/>
        <w:rPr>
          <w:rFonts w:hint="eastAsia" w:ascii="宋体" w:hAnsi="宋体" w:eastAsia="宋体" w:cs="宋体"/>
          <w:i w:val="0"/>
          <w:iCs w:val="0"/>
          <w:color w:val="auto"/>
          <w:sz w:val="24"/>
          <w:szCs w:val="24"/>
          <w:highlight w:val="none"/>
        </w:rPr>
      </w:pPr>
      <w:bookmarkStart w:id="561" w:name="_Ref467378840"/>
      <w:r>
        <w:rPr>
          <w:rFonts w:hint="eastAsia" w:ascii="宋体" w:hAnsi="宋体" w:eastAsia="宋体" w:cs="宋体"/>
          <w:i w:val="0"/>
          <w:iCs w:val="0"/>
          <w:color w:val="auto"/>
          <w:sz w:val="24"/>
          <w:szCs w:val="24"/>
          <w:highlight w:val="none"/>
        </w:rPr>
        <w:t>2.1.4“甲方”系指与中标人签署合同的采购人</w:t>
      </w:r>
      <w:bookmarkEnd w:id="561"/>
      <w:r>
        <w:rPr>
          <w:rFonts w:hint="eastAsia" w:ascii="宋体" w:hAnsi="宋体" w:eastAsia="宋体" w:cs="宋体"/>
          <w:i w:val="0"/>
          <w:iCs w:val="0"/>
          <w:color w:val="auto"/>
          <w:sz w:val="24"/>
          <w:szCs w:val="24"/>
          <w:highlight w:val="none"/>
        </w:rPr>
        <w:t>；采购人委托采购代理机构代表其与乙方签订合同的，采购人的授权委托书作为合同附件。</w:t>
      </w:r>
    </w:p>
    <w:p w14:paraId="1106E655">
      <w:pPr>
        <w:spacing w:line="360" w:lineRule="auto"/>
        <w:ind w:firstLine="435"/>
        <w:rPr>
          <w:rFonts w:hint="eastAsia" w:ascii="宋体" w:hAnsi="宋体" w:eastAsia="宋体" w:cs="宋体"/>
          <w:i w:val="0"/>
          <w:iCs w:val="0"/>
          <w:color w:val="auto"/>
          <w:sz w:val="24"/>
          <w:szCs w:val="24"/>
          <w:highlight w:val="none"/>
        </w:rPr>
      </w:pPr>
      <w:bookmarkStart w:id="562" w:name="_Ref467379400"/>
      <w:r>
        <w:rPr>
          <w:rFonts w:hint="eastAsia" w:ascii="宋体" w:hAnsi="宋体" w:eastAsia="宋体" w:cs="宋体"/>
          <w:i w:val="0"/>
          <w:iCs w:val="0"/>
          <w:color w:val="auto"/>
          <w:sz w:val="24"/>
          <w:szCs w:val="24"/>
          <w:highlight w:val="none"/>
        </w:rPr>
        <w:t>2.1.5“乙方”系指根据合同约定提供服务的中标人</w:t>
      </w:r>
      <w:bookmarkEnd w:id="562"/>
      <w:r>
        <w:rPr>
          <w:rFonts w:hint="eastAsia" w:ascii="宋体" w:hAnsi="宋体" w:eastAsia="宋体" w:cs="宋体"/>
          <w:i w:val="0"/>
          <w:iCs w:val="0"/>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8FF11B">
      <w:pPr>
        <w:spacing w:line="360" w:lineRule="auto"/>
        <w:ind w:firstLine="435"/>
        <w:rPr>
          <w:rFonts w:hint="eastAsia" w:ascii="宋体" w:hAnsi="宋体" w:eastAsia="宋体" w:cs="宋体"/>
          <w:i w:val="0"/>
          <w:iCs w:val="0"/>
          <w:color w:val="auto"/>
          <w:sz w:val="24"/>
          <w:szCs w:val="24"/>
          <w:highlight w:val="none"/>
        </w:rPr>
      </w:pPr>
      <w:bookmarkStart w:id="563" w:name="_Ref467379436"/>
      <w:r>
        <w:rPr>
          <w:rFonts w:hint="eastAsia" w:ascii="宋体" w:hAnsi="宋体" w:eastAsia="宋体" w:cs="宋体"/>
          <w:i w:val="0"/>
          <w:iCs w:val="0"/>
          <w:color w:val="auto"/>
          <w:sz w:val="24"/>
          <w:szCs w:val="24"/>
          <w:highlight w:val="none"/>
        </w:rPr>
        <w:t>2.1.6“现场”系指合同约定提供服务的地点。</w:t>
      </w:r>
      <w:bookmarkEnd w:id="563"/>
    </w:p>
    <w:p w14:paraId="6E2582CC">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64" w:name="_Toc487900350"/>
      <w:bookmarkStart w:id="565" w:name="_Toc32504"/>
      <w:bookmarkStart w:id="566" w:name="_Toc30369"/>
      <w:bookmarkStart w:id="567" w:name="_Toc13336"/>
      <w:bookmarkStart w:id="568" w:name="_Toc259093670"/>
      <w:bookmarkStart w:id="569" w:name="_Toc27635"/>
      <w:bookmarkStart w:id="570" w:name="_Toc279701241"/>
      <w:r>
        <w:rPr>
          <w:rFonts w:hint="eastAsia" w:ascii="宋体" w:hAnsi="宋体" w:eastAsia="宋体" w:cs="宋体"/>
          <w:b/>
          <w:bCs/>
          <w:i w:val="0"/>
          <w:iCs w:val="0"/>
          <w:color w:val="auto"/>
          <w:sz w:val="24"/>
          <w:szCs w:val="24"/>
          <w:highlight w:val="none"/>
          <w:lang w:val="zh-CN"/>
        </w:rPr>
        <w:t>2.2 技术规范</w:t>
      </w:r>
      <w:bookmarkEnd w:id="564"/>
      <w:bookmarkEnd w:id="565"/>
      <w:bookmarkEnd w:id="566"/>
      <w:bookmarkEnd w:id="567"/>
      <w:bookmarkEnd w:id="568"/>
      <w:bookmarkEnd w:id="569"/>
      <w:bookmarkEnd w:id="570"/>
    </w:p>
    <w:p w14:paraId="69A21D8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340A7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71" w:name="_Toc487900351"/>
      <w:bookmarkStart w:id="572" w:name="_Toc9829"/>
      <w:bookmarkStart w:id="573" w:name="_Toc279701242"/>
      <w:bookmarkStart w:id="574" w:name="_Toc27853"/>
      <w:bookmarkStart w:id="575" w:name="_Toc31634"/>
      <w:bookmarkStart w:id="576" w:name="_Toc21446"/>
      <w:bookmarkStart w:id="577" w:name="_Toc259093671"/>
      <w:r>
        <w:rPr>
          <w:rFonts w:hint="eastAsia" w:ascii="宋体" w:hAnsi="宋体" w:eastAsia="宋体" w:cs="宋体"/>
          <w:b/>
          <w:bCs/>
          <w:i w:val="0"/>
          <w:iCs w:val="0"/>
          <w:color w:val="auto"/>
          <w:sz w:val="24"/>
          <w:szCs w:val="24"/>
          <w:highlight w:val="none"/>
          <w:lang w:val="zh-CN"/>
        </w:rPr>
        <w:t>2.3 知识产权</w:t>
      </w:r>
      <w:bookmarkEnd w:id="571"/>
      <w:bookmarkEnd w:id="572"/>
      <w:bookmarkEnd w:id="573"/>
      <w:bookmarkEnd w:id="574"/>
      <w:bookmarkEnd w:id="575"/>
      <w:bookmarkEnd w:id="576"/>
      <w:bookmarkEnd w:id="577"/>
    </w:p>
    <w:p w14:paraId="0051651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B5AB00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2.3.2具有知识产权的计算机软件等货物的知识产权归属，详见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7FDDB45A">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78" w:name="_Ref467379536"/>
      <w:bookmarkStart w:id="579" w:name="_Ref467378591"/>
      <w:bookmarkStart w:id="580" w:name="_Ref467378541"/>
      <w:bookmarkStart w:id="581" w:name="_Toc259093674"/>
      <w:bookmarkStart w:id="582" w:name="_Ref467379527"/>
      <w:bookmarkStart w:id="583" w:name="_Ref467379542"/>
      <w:bookmarkStart w:id="584" w:name="_Toc487900354"/>
      <w:bookmarkStart w:id="585" w:name="_Toc279701245"/>
      <w:bookmarkStart w:id="586" w:name="_Toc26182"/>
      <w:bookmarkStart w:id="587" w:name="_Toc30272"/>
      <w:bookmarkStart w:id="588" w:name="_Toc19074"/>
      <w:bookmarkStart w:id="589" w:name="_Toc24681"/>
      <w:r>
        <w:rPr>
          <w:rFonts w:hint="eastAsia" w:ascii="宋体" w:hAnsi="宋体" w:eastAsia="宋体" w:cs="宋体"/>
          <w:b/>
          <w:bCs/>
          <w:i w:val="0"/>
          <w:iCs w:val="0"/>
          <w:color w:val="auto"/>
          <w:sz w:val="24"/>
          <w:szCs w:val="24"/>
          <w:highlight w:val="none"/>
          <w:lang w:val="zh-CN"/>
        </w:rPr>
        <w:t>2.</w:t>
      </w:r>
      <w:bookmarkEnd w:id="578"/>
      <w:bookmarkEnd w:id="579"/>
      <w:bookmarkEnd w:id="580"/>
      <w:bookmarkEnd w:id="581"/>
      <w:bookmarkEnd w:id="582"/>
      <w:bookmarkEnd w:id="583"/>
      <w:bookmarkEnd w:id="584"/>
      <w:bookmarkEnd w:id="585"/>
      <w:r>
        <w:rPr>
          <w:rFonts w:hint="eastAsia" w:ascii="宋体" w:hAnsi="宋体" w:eastAsia="宋体" w:cs="宋体"/>
          <w:b/>
          <w:bCs/>
          <w:i w:val="0"/>
          <w:iCs w:val="0"/>
          <w:color w:val="auto"/>
          <w:sz w:val="24"/>
          <w:szCs w:val="24"/>
          <w:highlight w:val="none"/>
          <w:lang w:val="zh-CN"/>
        </w:rPr>
        <w:t>4 履约检查和问题反馈</w:t>
      </w:r>
      <w:bookmarkEnd w:id="586"/>
      <w:bookmarkEnd w:id="587"/>
      <w:bookmarkEnd w:id="588"/>
      <w:bookmarkEnd w:id="589"/>
    </w:p>
    <w:p w14:paraId="1F572855">
      <w:pPr>
        <w:spacing w:line="360" w:lineRule="auto"/>
        <w:ind w:firstLine="435"/>
        <w:rPr>
          <w:rFonts w:hint="eastAsia" w:ascii="宋体" w:hAnsi="宋体" w:eastAsia="宋体" w:cs="宋体"/>
          <w:i w:val="0"/>
          <w:iCs w:val="0"/>
          <w:color w:val="auto"/>
          <w:sz w:val="24"/>
          <w:szCs w:val="24"/>
          <w:highlight w:val="none"/>
        </w:rPr>
      </w:pPr>
      <w:bookmarkStart w:id="590" w:name="_Toc186431854"/>
      <w:bookmarkStart w:id="591" w:name="_Toc259093676"/>
      <w:bookmarkStart w:id="592" w:name="_Toc279701247"/>
      <w:bookmarkStart w:id="593" w:name="_Ref467379807"/>
      <w:bookmarkStart w:id="594" w:name="_Ref467379793"/>
      <w:bookmarkStart w:id="595" w:name="_Toc487900357"/>
      <w:r>
        <w:rPr>
          <w:rFonts w:hint="eastAsia" w:ascii="宋体" w:hAnsi="宋体" w:eastAsia="宋体" w:cs="宋体"/>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46A90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2.4.2合同履行期间，甲方有权将履行过程中出现的问题反馈给乙方，双方当事人应以书面形式约定需要完善和改进的内容</w:t>
      </w:r>
      <w:bookmarkEnd w:id="590"/>
      <w:bookmarkStart w:id="596" w:name="_Toc186431855"/>
      <w:r>
        <w:rPr>
          <w:rFonts w:hint="eastAsia" w:ascii="宋体" w:hAnsi="宋体" w:eastAsia="宋体" w:cs="宋体"/>
          <w:i w:val="0"/>
          <w:iCs w:val="0"/>
          <w:color w:val="auto"/>
          <w:sz w:val="24"/>
          <w:szCs w:val="24"/>
          <w:highlight w:val="none"/>
        </w:rPr>
        <w:t>。</w:t>
      </w:r>
    </w:p>
    <w:bookmarkEnd w:id="596"/>
    <w:p w14:paraId="37DDF5E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97" w:name="_Toc28451"/>
      <w:bookmarkStart w:id="598" w:name="_Toc27070"/>
      <w:bookmarkStart w:id="599" w:name="_Toc7836"/>
      <w:bookmarkStart w:id="600" w:name="_Toc19219"/>
      <w:r>
        <w:rPr>
          <w:rFonts w:hint="eastAsia" w:ascii="宋体" w:hAnsi="宋体" w:eastAsia="宋体" w:cs="宋体"/>
          <w:b/>
          <w:bCs/>
          <w:i w:val="0"/>
          <w:iCs w:val="0"/>
          <w:color w:val="auto"/>
          <w:sz w:val="24"/>
          <w:szCs w:val="24"/>
          <w:highlight w:val="none"/>
          <w:lang w:val="zh-CN"/>
        </w:rPr>
        <w:t>2.5 结算方式和付款条件</w:t>
      </w:r>
      <w:bookmarkEnd w:id="591"/>
      <w:bookmarkEnd w:id="592"/>
      <w:bookmarkEnd w:id="593"/>
      <w:bookmarkEnd w:id="594"/>
      <w:bookmarkEnd w:id="595"/>
      <w:bookmarkEnd w:id="597"/>
      <w:bookmarkEnd w:id="598"/>
      <w:bookmarkEnd w:id="599"/>
      <w:bookmarkEnd w:id="600"/>
    </w:p>
    <w:p w14:paraId="350F9F1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0E66E79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01" w:name="_Toc259093677"/>
      <w:bookmarkStart w:id="602" w:name="_Toc279701248"/>
      <w:bookmarkStart w:id="603" w:name="_Ref467379852"/>
      <w:bookmarkStart w:id="604" w:name="_Toc487900358"/>
      <w:bookmarkStart w:id="605" w:name="_Ref467379863"/>
      <w:bookmarkStart w:id="606" w:name="_Ref467379923"/>
      <w:bookmarkStart w:id="607" w:name="_Toc11696"/>
      <w:bookmarkStart w:id="608" w:name="_Toc3225"/>
      <w:bookmarkStart w:id="609" w:name="_Toc774"/>
      <w:bookmarkStart w:id="610" w:name="_Toc16110"/>
      <w:r>
        <w:rPr>
          <w:rFonts w:hint="eastAsia" w:ascii="宋体" w:hAnsi="宋体" w:eastAsia="宋体" w:cs="宋体"/>
          <w:b/>
          <w:bCs/>
          <w:i w:val="0"/>
          <w:iCs w:val="0"/>
          <w:color w:val="auto"/>
          <w:sz w:val="24"/>
          <w:szCs w:val="24"/>
          <w:highlight w:val="none"/>
          <w:lang w:val="zh-CN"/>
        </w:rPr>
        <w:t>2.6 技术资料</w:t>
      </w:r>
      <w:bookmarkEnd w:id="601"/>
      <w:bookmarkEnd w:id="602"/>
      <w:bookmarkEnd w:id="603"/>
      <w:bookmarkEnd w:id="604"/>
      <w:bookmarkEnd w:id="605"/>
      <w:bookmarkEnd w:id="606"/>
      <w:r>
        <w:rPr>
          <w:rFonts w:hint="eastAsia" w:ascii="宋体" w:hAnsi="宋体" w:eastAsia="宋体" w:cs="宋体"/>
          <w:b/>
          <w:bCs/>
          <w:i w:val="0"/>
          <w:iCs w:val="0"/>
          <w:color w:val="auto"/>
          <w:sz w:val="24"/>
          <w:szCs w:val="24"/>
          <w:highlight w:val="none"/>
          <w:lang w:val="zh-CN"/>
        </w:rPr>
        <w:t>和保密义务</w:t>
      </w:r>
      <w:bookmarkEnd w:id="607"/>
      <w:bookmarkEnd w:id="608"/>
      <w:bookmarkEnd w:id="609"/>
      <w:bookmarkEnd w:id="610"/>
    </w:p>
    <w:p w14:paraId="043E0FD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2.6.1乙方有权依据合同约定和项目需要，向甲方了解有关情况，调阅有关资料等，甲方应予积极配合；</w:t>
      </w:r>
    </w:p>
    <w:p w14:paraId="12D7A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2.6.2乙方有义务妥善保管和保护由甲方提供的前款信息和资料等；</w:t>
      </w:r>
    </w:p>
    <w:p w14:paraId="1BFAE2B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716C7F">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1" w:name="_Toc14583"/>
      <w:bookmarkStart w:id="612" w:name="_Toc7860"/>
      <w:r>
        <w:rPr>
          <w:rFonts w:hint="eastAsia" w:ascii="宋体" w:hAnsi="宋体" w:eastAsia="宋体" w:cs="宋体"/>
          <w:b/>
          <w:bCs/>
          <w:i w:val="0"/>
          <w:iCs w:val="0"/>
          <w:color w:val="auto"/>
          <w:sz w:val="24"/>
          <w:szCs w:val="24"/>
          <w:highlight w:val="none"/>
          <w:lang w:val="zh-CN"/>
        </w:rPr>
        <w:t>2.7 质量保证</w:t>
      </w:r>
      <w:bookmarkEnd w:id="611"/>
      <w:bookmarkEnd w:id="612"/>
    </w:p>
    <w:p w14:paraId="06F68E3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2.7.1乙方应建立和完善履行合同的内部质量保证体系，并提供相关内部规章制度给甲方，以便甲方进行监督检查；</w:t>
      </w:r>
    </w:p>
    <w:p w14:paraId="37CEC89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6EE54FD6">
      <w:pPr>
        <w:spacing w:line="360" w:lineRule="auto"/>
        <w:ind w:firstLine="437"/>
        <w:outlineLvl w:val="2"/>
        <w:rPr>
          <w:rFonts w:hint="eastAsia" w:ascii="宋体" w:hAnsi="宋体" w:eastAsia="宋体" w:cs="宋体"/>
          <w:b/>
          <w:i w:val="0"/>
          <w:iCs w:val="0"/>
          <w:color w:val="auto"/>
          <w:sz w:val="24"/>
          <w:szCs w:val="24"/>
          <w:highlight w:val="none"/>
        </w:rPr>
      </w:pPr>
      <w:bookmarkStart w:id="613" w:name="_Toc27900"/>
      <w:bookmarkStart w:id="614" w:name="_Toc22267"/>
      <w:r>
        <w:rPr>
          <w:rFonts w:hint="eastAsia" w:ascii="宋体" w:hAnsi="宋体" w:eastAsia="宋体" w:cs="宋体"/>
          <w:b/>
          <w:i w:val="0"/>
          <w:iCs w:val="0"/>
          <w:color w:val="auto"/>
          <w:sz w:val="24"/>
          <w:szCs w:val="24"/>
          <w:highlight w:val="none"/>
        </w:rPr>
        <w:t>2.8 延迟履行</w:t>
      </w:r>
      <w:bookmarkEnd w:id="613"/>
      <w:bookmarkEnd w:id="614"/>
    </w:p>
    <w:p w14:paraId="39241BB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46551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5" w:name="_Toc7502"/>
      <w:bookmarkStart w:id="616" w:name="_Toc32210"/>
      <w:bookmarkStart w:id="617" w:name="_Toc259093683"/>
      <w:bookmarkStart w:id="618" w:name="_Ref467378121"/>
      <w:bookmarkStart w:id="619" w:name="_Toc487900364"/>
      <w:bookmarkStart w:id="620" w:name="_Toc279701254"/>
      <w:r>
        <w:rPr>
          <w:rFonts w:hint="eastAsia" w:ascii="宋体" w:hAnsi="宋体" w:eastAsia="宋体" w:cs="宋体"/>
          <w:b/>
          <w:bCs/>
          <w:i w:val="0"/>
          <w:iCs w:val="0"/>
          <w:color w:val="auto"/>
          <w:sz w:val="24"/>
          <w:szCs w:val="24"/>
          <w:highlight w:val="none"/>
          <w:lang w:val="zh-CN"/>
        </w:rPr>
        <w:t>2.9 合同变更</w:t>
      </w:r>
      <w:bookmarkEnd w:id="615"/>
      <w:bookmarkEnd w:id="616"/>
    </w:p>
    <w:p w14:paraId="60F58CC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2.9.1双方当事人协商一致，可以签订书面补充合同的形式变更合同，但不得违背采购文件确定的事项；</w:t>
      </w:r>
    </w:p>
    <w:p w14:paraId="42F7E75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621" w:name="_Toc279701259"/>
      <w:bookmarkStart w:id="622" w:name="_Toc259093688"/>
      <w:bookmarkStart w:id="623" w:name="_Toc487900369"/>
    </w:p>
    <w:p w14:paraId="742F9E7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24" w:name="_Toc31057"/>
      <w:bookmarkStart w:id="625" w:name="_Toc15237"/>
      <w:bookmarkStart w:id="626" w:name="_Toc22955"/>
      <w:bookmarkStart w:id="627" w:name="_Toc10366"/>
      <w:r>
        <w:rPr>
          <w:rFonts w:hint="eastAsia" w:ascii="宋体" w:hAnsi="宋体" w:eastAsia="宋体" w:cs="宋体"/>
          <w:b/>
          <w:bCs/>
          <w:i w:val="0"/>
          <w:iCs w:val="0"/>
          <w:color w:val="auto"/>
          <w:sz w:val="24"/>
          <w:szCs w:val="24"/>
          <w:highlight w:val="none"/>
          <w:lang w:val="zh-CN"/>
        </w:rPr>
        <w:t>2.10 合同转让</w:t>
      </w:r>
      <w:bookmarkEnd w:id="621"/>
      <w:bookmarkEnd w:id="622"/>
      <w:bookmarkEnd w:id="623"/>
      <w:r>
        <w:rPr>
          <w:rFonts w:hint="eastAsia" w:ascii="宋体" w:hAnsi="宋体" w:eastAsia="宋体" w:cs="宋体"/>
          <w:b/>
          <w:bCs/>
          <w:i w:val="0"/>
          <w:iCs w:val="0"/>
          <w:color w:val="auto"/>
          <w:sz w:val="24"/>
          <w:szCs w:val="24"/>
          <w:highlight w:val="none"/>
          <w:lang w:val="zh-CN"/>
        </w:rPr>
        <w:t>和分包</w:t>
      </w:r>
      <w:bookmarkEnd w:id="624"/>
      <w:bookmarkEnd w:id="625"/>
      <w:bookmarkEnd w:id="626"/>
      <w:bookmarkEnd w:id="627"/>
    </w:p>
    <w:p w14:paraId="26ADD7C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061B3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28" w:name="_Toc16508"/>
      <w:bookmarkStart w:id="629" w:name="_Toc13566"/>
      <w:bookmarkStart w:id="630" w:name="_Toc7877"/>
      <w:bookmarkStart w:id="631" w:name="_Toc14066"/>
      <w:r>
        <w:rPr>
          <w:rFonts w:hint="eastAsia" w:ascii="宋体" w:hAnsi="宋体" w:eastAsia="宋体" w:cs="宋体"/>
          <w:b/>
          <w:bCs/>
          <w:i w:val="0"/>
          <w:iCs w:val="0"/>
          <w:color w:val="auto"/>
          <w:sz w:val="24"/>
          <w:szCs w:val="24"/>
          <w:highlight w:val="none"/>
          <w:lang w:val="zh-CN"/>
        </w:rPr>
        <w:t>2.11 不可抗力</w:t>
      </w:r>
      <w:bookmarkEnd w:id="628"/>
      <w:bookmarkEnd w:id="629"/>
      <w:bookmarkEnd w:id="630"/>
      <w:bookmarkEnd w:id="631"/>
    </w:p>
    <w:p w14:paraId="2E7E6126">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584AA5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2.11.2因不可抗力致使不能实现合同目的的，当事人可以解除合同；</w:t>
      </w:r>
    </w:p>
    <w:p w14:paraId="7EC5696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2.11.3因不可抗力致使合同有变更必要的，双方当事人应在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约定时间内以书面形式变更合同；</w:t>
      </w:r>
    </w:p>
    <w:p w14:paraId="64C45C6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2.11.4受不可抗力影响的一方在不可抗力发生后，应在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约定时间内以书面形式通知对方当事人，并在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约定时间内，将有关部门出具的证明文件送达对方当事人。</w:t>
      </w:r>
    </w:p>
    <w:p w14:paraId="0737946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32" w:name="_Toc279701255"/>
      <w:bookmarkStart w:id="633" w:name="_Toc6969"/>
      <w:bookmarkStart w:id="634" w:name="_Toc487900365"/>
      <w:bookmarkStart w:id="635" w:name="_Toc259093684"/>
      <w:bookmarkStart w:id="636" w:name="_Toc689"/>
      <w:bookmarkStart w:id="637" w:name="_Toc16581"/>
      <w:bookmarkStart w:id="638" w:name="_Toc30676"/>
      <w:r>
        <w:rPr>
          <w:rFonts w:hint="eastAsia" w:ascii="宋体" w:hAnsi="宋体" w:eastAsia="宋体" w:cs="宋体"/>
          <w:b/>
          <w:bCs/>
          <w:i w:val="0"/>
          <w:iCs w:val="0"/>
          <w:color w:val="auto"/>
          <w:sz w:val="24"/>
          <w:szCs w:val="24"/>
          <w:highlight w:val="none"/>
          <w:lang w:val="zh-CN"/>
        </w:rPr>
        <w:t>2.12 税费</w:t>
      </w:r>
      <w:bookmarkEnd w:id="632"/>
      <w:bookmarkEnd w:id="633"/>
      <w:bookmarkEnd w:id="634"/>
      <w:bookmarkEnd w:id="635"/>
      <w:bookmarkEnd w:id="636"/>
      <w:bookmarkEnd w:id="637"/>
      <w:bookmarkEnd w:id="638"/>
    </w:p>
    <w:p w14:paraId="7FDC372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与合同有关的一切税费，均按照中华人民共和国法律的相关规定缴纳。</w:t>
      </w:r>
    </w:p>
    <w:p w14:paraId="485EEA4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39" w:name="_Toc259093687"/>
      <w:bookmarkStart w:id="640" w:name="_Toc21787"/>
      <w:bookmarkStart w:id="641" w:name="_Toc487900368"/>
      <w:bookmarkStart w:id="642" w:name="_Toc8298"/>
      <w:bookmarkStart w:id="643" w:name="_Toc7102"/>
      <w:bookmarkStart w:id="644" w:name="_Toc279701258"/>
      <w:bookmarkStart w:id="645" w:name="_Toc16959"/>
      <w:r>
        <w:rPr>
          <w:rFonts w:hint="eastAsia" w:ascii="宋体" w:hAnsi="宋体" w:eastAsia="宋体" w:cs="宋体"/>
          <w:b/>
          <w:bCs/>
          <w:i w:val="0"/>
          <w:iCs w:val="0"/>
          <w:color w:val="auto"/>
          <w:sz w:val="24"/>
          <w:szCs w:val="24"/>
          <w:highlight w:val="none"/>
          <w:lang w:val="zh-CN"/>
        </w:rPr>
        <w:t>2.13 乙方破产</w:t>
      </w:r>
      <w:bookmarkEnd w:id="639"/>
      <w:bookmarkEnd w:id="640"/>
      <w:bookmarkEnd w:id="641"/>
      <w:bookmarkEnd w:id="642"/>
      <w:bookmarkEnd w:id="643"/>
      <w:bookmarkEnd w:id="644"/>
      <w:bookmarkEnd w:id="645"/>
    </w:p>
    <w:p w14:paraId="4706273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79A5F8">
      <w:pPr>
        <w:spacing w:line="360" w:lineRule="auto"/>
        <w:ind w:firstLine="437"/>
        <w:outlineLvl w:val="2"/>
        <w:rPr>
          <w:rFonts w:hint="eastAsia" w:ascii="宋体" w:hAnsi="宋体" w:eastAsia="宋体" w:cs="宋体"/>
          <w:b/>
          <w:i w:val="0"/>
          <w:iCs w:val="0"/>
          <w:color w:val="auto"/>
          <w:sz w:val="24"/>
          <w:szCs w:val="24"/>
          <w:highlight w:val="none"/>
        </w:rPr>
      </w:pPr>
      <w:bookmarkStart w:id="646" w:name="_Toc15387"/>
      <w:bookmarkStart w:id="647" w:name="_Toc6134"/>
      <w:bookmarkStart w:id="648" w:name="_Toc21700"/>
      <w:bookmarkStart w:id="649" w:name="_Toc29333"/>
      <w:r>
        <w:rPr>
          <w:rFonts w:hint="eastAsia" w:ascii="宋体" w:hAnsi="宋体" w:eastAsia="宋体" w:cs="宋体"/>
          <w:b/>
          <w:bCs/>
          <w:i w:val="0"/>
          <w:iCs w:val="0"/>
          <w:color w:val="auto"/>
          <w:sz w:val="24"/>
          <w:szCs w:val="24"/>
          <w:highlight w:val="none"/>
          <w:lang w:val="zh-CN"/>
        </w:rPr>
        <w:t>2.14 合同中止、终止</w:t>
      </w:r>
      <w:bookmarkEnd w:id="646"/>
      <w:bookmarkEnd w:id="647"/>
      <w:bookmarkEnd w:id="648"/>
      <w:bookmarkEnd w:id="649"/>
    </w:p>
    <w:p w14:paraId="6151CDA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2.14.1双方当事人不得擅自中止或者终止合同；</w:t>
      </w:r>
    </w:p>
    <w:p w14:paraId="0A33DBB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1ADDB2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50" w:name="_Toc14563"/>
      <w:bookmarkStart w:id="651" w:name="_Toc23738"/>
      <w:bookmarkStart w:id="652" w:name="_Toc1125"/>
      <w:bookmarkStart w:id="653" w:name="_Toc6596"/>
      <w:r>
        <w:rPr>
          <w:rFonts w:hint="eastAsia" w:ascii="宋体" w:hAnsi="宋体" w:eastAsia="宋体" w:cs="宋体"/>
          <w:b/>
          <w:bCs/>
          <w:i w:val="0"/>
          <w:iCs w:val="0"/>
          <w:color w:val="auto"/>
          <w:sz w:val="24"/>
          <w:szCs w:val="24"/>
          <w:highlight w:val="none"/>
          <w:lang w:val="zh-CN"/>
        </w:rPr>
        <w:t>2.15 检验和验收</w:t>
      </w:r>
      <w:bookmarkEnd w:id="650"/>
      <w:bookmarkEnd w:id="651"/>
      <w:bookmarkEnd w:id="652"/>
      <w:bookmarkEnd w:id="653"/>
    </w:p>
    <w:p w14:paraId="4B523E1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2.15.1乙方按照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的约定，定期提交服务报告，甲方按照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的约定进行定期验收；</w:t>
      </w:r>
    </w:p>
    <w:p w14:paraId="2691C9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30CD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2.15.3检验和验收标准、程序等具体内容以及前述验收书的效力详见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bookmarkEnd w:id="617"/>
    <w:bookmarkEnd w:id="618"/>
    <w:bookmarkEnd w:id="619"/>
    <w:bookmarkEnd w:id="620"/>
    <w:p w14:paraId="73AF77C8">
      <w:pPr>
        <w:spacing w:line="360" w:lineRule="auto"/>
        <w:ind w:firstLine="437"/>
        <w:outlineLvl w:val="2"/>
        <w:rPr>
          <w:rFonts w:hint="eastAsia" w:ascii="宋体" w:hAnsi="宋体" w:eastAsia="宋体" w:cs="宋体"/>
          <w:b/>
          <w:bCs/>
          <w:i w:val="0"/>
          <w:iCs w:val="0"/>
          <w:color w:val="auto"/>
          <w:sz w:val="24"/>
          <w:szCs w:val="24"/>
          <w:highlight w:val="none"/>
        </w:rPr>
      </w:pPr>
      <w:bookmarkStart w:id="654" w:name="_Toc14648"/>
      <w:bookmarkStart w:id="655" w:name="_Toc12773"/>
      <w:bookmarkStart w:id="656" w:name="_Toc487900373"/>
      <w:bookmarkStart w:id="657" w:name="_Toc279701263"/>
      <w:bookmarkStart w:id="658" w:name="_Toc259093692"/>
      <w:bookmarkStart w:id="659" w:name="_Toc10330"/>
      <w:bookmarkStart w:id="660" w:name="_Toc18567"/>
      <w:r>
        <w:rPr>
          <w:rFonts w:hint="eastAsia" w:ascii="宋体" w:hAnsi="宋体" w:eastAsia="宋体" w:cs="宋体"/>
          <w:b/>
          <w:bCs/>
          <w:i w:val="0"/>
          <w:iCs w:val="0"/>
          <w:color w:val="auto"/>
          <w:sz w:val="24"/>
          <w:szCs w:val="24"/>
          <w:highlight w:val="none"/>
        </w:rPr>
        <w:t xml:space="preserve">2.16 </w:t>
      </w:r>
      <w:r>
        <w:rPr>
          <w:rFonts w:hint="eastAsia" w:ascii="宋体" w:hAnsi="宋体" w:eastAsia="宋体" w:cs="宋体"/>
          <w:b/>
          <w:bCs/>
          <w:i w:val="0"/>
          <w:iCs w:val="0"/>
          <w:color w:val="auto"/>
          <w:sz w:val="24"/>
          <w:szCs w:val="24"/>
          <w:highlight w:val="none"/>
          <w:lang w:val="zh-CN"/>
        </w:rPr>
        <w:t>合同使用的文字和适用的法律</w:t>
      </w:r>
      <w:bookmarkEnd w:id="654"/>
      <w:bookmarkEnd w:id="655"/>
      <w:bookmarkEnd w:id="656"/>
      <w:bookmarkEnd w:id="657"/>
      <w:bookmarkEnd w:id="658"/>
      <w:bookmarkEnd w:id="659"/>
      <w:bookmarkEnd w:id="660"/>
    </w:p>
    <w:p w14:paraId="584303E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2.16.1合同使用汉语书就、变更和解释；</w:t>
      </w:r>
    </w:p>
    <w:p w14:paraId="6120D4C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2.16.2合同适用中华人民共和国法律。</w:t>
      </w:r>
    </w:p>
    <w:p w14:paraId="6DD35A5C">
      <w:pPr>
        <w:spacing w:line="360" w:lineRule="auto"/>
        <w:ind w:firstLine="437"/>
        <w:outlineLvl w:val="2"/>
        <w:rPr>
          <w:rFonts w:hint="eastAsia" w:ascii="宋体" w:hAnsi="宋体" w:eastAsia="宋体" w:cs="宋体"/>
          <w:b/>
          <w:i w:val="0"/>
          <w:iCs w:val="0"/>
          <w:color w:val="auto"/>
          <w:sz w:val="24"/>
          <w:szCs w:val="24"/>
          <w:highlight w:val="none"/>
        </w:rPr>
      </w:pPr>
      <w:bookmarkStart w:id="661" w:name="_Toc259093693"/>
      <w:bookmarkStart w:id="662" w:name="_Toc27410"/>
      <w:bookmarkStart w:id="663" w:name="_Toc279701264"/>
      <w:bookmarkStart w:id="664" w:name="_Toc16673"/>
      <w:bookmarkStart w:id="665" w:name="_Toc12004"/>
      <w:bookmarkStart w:id="666" w:name="_Toc3148"/>
      <w:bookmarkStart w:id="667" w:name="_Toc487900374"/>
      <w:r>
        <w:rPr>
          <w:rFonts w:hint="eastAsia" w:ascii="宋体" w:hAnsi="宋体" w:eastAsia="宋体" w:cs="宋体"/>
          <w:b/>
          <w:bCs/>
          <w:i w:val="0"/>
          <w:iCs w:val="0"/>
          <w:color w:val="auto"/>
          <w:sz w:val="24"/>
          <w:szCs w:val="24"/>
          <w:highlight w:val="none"/>
          <w:lang w:val="zh-CN"/>
        </w:rPr>
        <w:t>2.17 履约保证金</w:t>
      </w:r>
      <w:bookmarkEnd w:id="661"/>
      <w:bookmarkEnd w:id="662"/>
      <w:bookmarkEnd w:id="663"/>
      <w:bookmarkEnd w:id="664"/>
      <w:bookmarkEnd w:id="665"/>
      <w:bookmarkEnd w:id="666"/>
    </w:p>
    <w:p w14:paraId="1C42A5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2.17.1采购文件要求乙方提交履约保证金的，乙方应按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约定的方式，以支票、汇票、本票或者金融机构、担保机构出具的保函等非现金形式提交；</w:t>
      </w:r>
    </w:p>
    <w:p w14:paraId="4D9AC60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2.17.2履约保证金在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约定期间内不予退还或者应完全有效，前述约定期间届满之日起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个工作日内，甲方应将履约保证金退还乙方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逾期退还履约保证金</w:t>
      </w:r>
      <w:r>
        <w:rPr>
          <w:rFonts w:hint="eastAsia" w:ascii="宋体" w:hAnsi="宋体" w:eastAsia="宋体" w:cs="宋体"/>
          <w:i w:val="0"/>
          <w:iCs w:val="0"/>
          <w:color w:val="auto"/>
          <w:sz w:val="24"/>
          <w:szCs w:val="24"/>
          <w:highlight w:val="none"/>
          <w:lang w:val="en-US" w:eastAsia="zh-CN"/>
        </w:rPr>
        <w:t>应承担违约责任。</w:t>
      </w:r>
    </w:p>
    <w:p w14:paraId="5DC1A76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67"/>
    <w:p w14:paraId="1186696B">
      <w:pPr>
        <w:spacing w:line="360" w:lineRule="auto"/>
        <w:ind w:firstLine="437"/>
        <w:outlineLvl w:val="2"/>
        <w:rPr>
          <w:rFonts w:hint="eastAsia" w:ascii="宋体" w:hAnsi="宋体" w:eastAsia="宋体" w:cs="宋体"/>
          <w:b/>
          <w:i w:val="0"/>
          <w:iCs w:val="0"/>
          <w:color w:val="auto"/>
          <w:sz w:val="24"/>
          <w:szCs w:val="24"/>
          <w:highlight w:val="none"/>
        </w:rPr>
      </w:pPr>
      <w:bookmarkStart w:id="668" w:name="_Toc14001"/>
      <w:bookmarkStart w:id="669" w:name="_Toc21044"/>
      <w:bookmarkStart w:id="670" w:name="_Toc6885"/>
      <w:bookmarkStart w:id="671" w:name="_Toc19890"/>
      <w:r>
        <w:rPr>
          <w:rFonts w:hint="eastAsia" w:ascii="宋体" w:hAnsi="宋体" w:eastAsia="宋体" w:cs="宋体"/>
          <w:b/>
          <w:bCs/>
          <w:i w:val="0"/>
          <w:iCs w:val="0"/>
          <w:color w:val="auto"/>
          <w:sz w:val="24"/>
          <w:szCs w:val="24"/>
          <w:highlight w:val="none"/>
          <w:lang w:val="zh-CN"/>
        </w:rPr>
        <w:t>2.18 合同份数</w:t>
      </w:r>
      <w:bookmarkEnd w:id="668"/>
      <w:bookmarkEnd w:id="669"/>
      <w:bookmarkEnd w:id="670"/>
      <w:bookmarkEnd w:id="671"/>
    </w:p>
    <w:p w14:paraId="1E34590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合同份数按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规定，每份均具有同等法律效力。</w:t>
      </w:r>
    </w:p>
    <w:p w14:paraId="53F3690C">
      <w:pPr>
        <w:spacing w:line="360" w:lineRule="auto"/>
        <w:jc w:val="center"/>
        <w:outlineLvl w:val="1"/>
        <w:rPr>
          <w:rFonts w:hint="eastAsia" w:ascii="宋体" w:hAnsi="宋体" w:eastAsia="宋体" w:cs="宋体"/>
          <w:b/>
          <w:i w:val="0"/>
          <w:iCs w:val="0"/>
          <w:color w:val="auto"/>
          <w:sz w:val="36"/>
          <w:szCs w:val="36"/>
          <w:highlight w:val="none"/>
        </w:rPr>
      </w:pPr>
      <w:r>
        <w:rPr>
          <w:rFonts w:hint="eastAsia" w:ascii="宋体" w:hAnsi="宋体" w:eastAsia="宋体" w:cs="宋体"/>
          <w:i w:val="0"/>
          <w:iCs w:val="0"/>
          <w:color w:val="auto"/>
          <w:sz w:val="24"/>
          <w:szCs w:val="24"/>
          <w:highlight w:val="none"/>
        </w:rPr>
        <w:br w:type="page"/>
      </w:r>
      <w:bookmarkStart w:id="672" w:name="_Toc28332"/>
      <w:bookmarkStart w:id="673" w:name="_Toc3736"/>
      <w:r>
        <w:rPr>
          <w:rFonts w:hint="eastAsia" w:ascii="宋体" w:hAnsi="宋体" w:eastAsia="宋体" w:cs="宋体"/>
          <w:b/>
          <w:i w:val="0"/>
          <w:iCs w:val="0"/>
          <w:color w:val="auto"/>
          <w:sz w:val="36"/>
          <w:szCs w:val="36"/>
          <w:highlight w:val="none"/>
        </w:rPr>
        <w:t>第三部分 合同专用条款</w:t>
      </w:r>
      <w:bookmarkEnd w:id="672"/>
      <w:bookmarkEnd w:id="673"/>
    </w:p>
    <w:p w14:paraId="3D7C59F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24E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0CAE034">
            <w:pPr>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条款号</w:t>
            </w:r>
          </w:p>
        </w:tc>
        <w:tc>
          <w:tcPr>
            <w:tcW w:w="7568" w:type="dxa"/>
            <w:vAlign w:val="center"/>
          </w:tcPr>
          <w:p w14:paraId="5E297E2A">
            <w:pPr>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约定内容</w:t>
            </w:r>
          </w:p>
        </w:tc>
      </w:tr>
      <w:tr w14:paraId="47A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B4B21C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0655C46">
            <w:pPr>
              <w:spacing w:line="560" w:lineRule="exact"/>
              <w:rPr>
                <w:rFonts w:hint="eastAsia" w:ascii="宋体" w:hAnsi="宋体" w:eastAsia="宋体" w:cs="宋体"/>
                <w:i w:val="0"/>
                <w:iCs w:val="0"/>
                <w:color w:val="auto"/>
                <w:sz w:val="24"/>
                <w:szCs w:val="24"/>
                <w:highlight w:val="none"/>
              </w:rPr>
            </w:pPr>
          </w:p>
        </w:tc>
      </w:tr>
      <w:tr w14:paraId="0B04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F3CD612">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32E7ECB0">
            <w:pPr>
              <w:spacing w:line="560" w:lineRule="exact"/>
              <w:rPr>
                <w:rFonts w:hint="eastAsia" w:ascii="宋体" w:hAnsi="宋体" w:eastAsia="宋体" w:cs="宋体"/>
                <w:i w:val="0"/>
                <w:iCs w:val="0"/>
                <w:color w:val="auto"/>
                <w:sz w:val="24"/>
                <w:szCs w:val="24"/>
                <w:highlight w:val="none"/>
              </w:rPr>
            </w:pPr>
          </w:p>
        </w:tc>
      </w:tr>
      <w:tr w14:paraId="1FC9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9AF35CA">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611385EA">
            <w:pPr>
              <w:spacing w:line="560" w:lineRule="exact"/>
              <w:rPr>
                <w:rFonts w:hint="eastAsia" w:ascii="宋体" w:hAnsi="宋体" w:eastAsia="宋体" w:cs="宋体"/>
                <w:i w:val="0"/>
                <w:iCs w:val="0"/>
                <w:color w:val="auto"/>
                <w:sz w:val="24"/>
                <w:szCs w:val="24"/>
                <w:highlight w:val="none"/>
              </w:rPr>
            </w:pPr>
          </w:p>
        </w:tc>
      </w:tr>
      <w:tr w14:paraId="4AA1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C18170">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728B2346">
            <w:pPr>
              <w:spacing w:line="560" w:lineRule="exact"/>
              <w:rPr>
                <w:rFonts w:hint="eastAsia" w:ascii="宋体" w:hAnsi="宋体" w:eastAsia="宋体" w:cs="宋体"/>
                <w:i w:val="0"/>
                <w:iCs w:val="0"/>
                <w:color w:val="auto"/>
                <w:sz w:val="24"/>
                <w:szCs w:val="24"/>
                <w:highlight w:val="none"/>
              </w:rPr>
            </w:pPr>
          </w:p>
        </w:tc>
      </w:tr>
      <w:tr w14:paraId="2F6F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4A51C9F">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1CA5680">
            <w:pPr>
              <w:spacing w:line="560" w:lineRule="exact"/>
              <w:rPr>
                <w:rFonts w:hint="eastAsia" w:ascii="宋体" w:hAnsi="宋体" w:eastAsia="宋体" w:cs="宋体"/>
                <w:i w:val="0"/>
                <w:iCs w:val="0"/>
                <w:color w:val="auto"/>
                <w:sz w:val="24"/>
                <w:szCs w:val="24"/>
                <w:highlight w:val="none"/>
                <w:u w:val="single"/>
              </w:rPr>
            </w:pPr>
          </w:p>
        </w:tc>
      </w:tr>
      <w:tr w14:paraId="3E01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9316856">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5CD2BDDA">
            <w:pPr>
              <w:spacing w:line="560" w:lineRule="exact"/>
              <w:rPr>
                <w:rFonts w:hint="eastAsia" w:ascii="宋体" w:hAnsi="宋体" w:eastAsia="宋体" w:cs="宋体"/>
                <w:i w:val="0"/>
                <w:iCs w:val="0"/>
                <w:color w:val="auto"/>
                <w:sz w:val="24"/>
                <w:szCs w:val="24"/>
                <w:highlight w:val="none"/>
              </w:rPr>
            </w:pPr>
          </w:p>
        </w:tc>
      </w:tr>
      <w:tr w14:paraId="3FED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5B688D">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7E92421C">
            <w:pPr>
              <w:spacing w:line="560" w:lineRule="exact"/>
              <w:rPr>
                <w:rFonts w:hint="eastAsia" w:ascii="宋体" w:hAnsi="宋体" w:eastAsia="宋体" w:cs="宋体"/>
                <w:i w:val="0"/>
                <w:iCs w:val="0"/>
                <w:color w:val="auto"/>
                <w:sz w:val="24"/>
                <w:szCs w:val="24"/>
                <w:highlight w:val="none"/>
                <w:u w:val="single"/>
              </w:rPr>
            </w:pPr>
          </w:p>
        </w:tc>
      </w:tr>
      <w:tr w14:paraId="7AA8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3B5D46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A52371D">
            <w:pPr>
              <w:spacing w:line="560" w:lineRule="exact"/>
              <w:rPr>
                <w:rFonts w:hint="eastAsia" w:ascii="宋体" w:hAnsi="宋体" w:eastAsia="宋体" w:cs="宋体"/>
                <w:i w:val="0"/>
                <w:iCs w:val="0"/>
                <w:color w:val="auto"/>
                <w:sz w:val="24"/>
                <w:szCs w:val="24"/>
                <w:highlight w:val="none"/>
              </w:rPr>
            </w:pPr>
          </w:p>
        </w:tc>
      </w:tr>
      <w:tr w14:paraId="220B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CD534FB">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6035952A">
            <w:pPr>
              <w:spacing w:line="560" w:lineRule="exact"/>
              <w:rPr>
                <w:rFonts w:hint="eastAsia" w:ascii="宋体" w:hAnsi="宋体" w:eastAsia="宋体" w:cs="宋体"/>
                <w:i w:val="0"/>
                <w:iCs w:val="0"/>
                <w:color w:val="auto"/>
                <w:sz w:val="24"/>
                <w:szCs w:val="24"/>
                <w:highlight w:val="none"/>
              </w:rPr>
            </w:pPr>
          </w:p>
        </w:tc>
      </w:tr>
      <w:tr w14:paraId="00AF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5C13F9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3AE9AB17">
            <w:pPr>
              <w:spacing w:line="560" w:lineRule="exact"/>
              <w:rPr>
                <w:rFonts w:hint="eastAsia" w:ascii="宋体" w:hAnsi="宋体" w:eastAsia="宋体" w:cs="宋体"/>
                <w:i w:val="0"/>
                <w:iCs w:val="0"/>
                <w:color w:val="auto"/>
                <w:sz w:val="24"/>
                <w:szCs w:val="24"/>
                <w:highlight w:val="none"/>
              </w:rPr>
            </w:pPr>
          </w:p>
        </w:tc>
      </w:tr>
      <w:tr w14:paraId="3EE9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A2E4F5">
            <w:pPr>
              <w:spacing w:line="560" w:lineRule="exact"/>
              <w:rPr>
                <w:rFonts w:hint="eastAsia" w:ascii="宋体" w:hAnsi="宋体" w:eastAsia="宋体" w:cs="宋体"/>
                <w:i w:val="0"/>
                <w:iCs w:val="0"/>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966F80C">
            <w:pPr>
              <w:spacing w:line="560" w:lineRule="exact"/>
              <w:rPr>
                <w:rFonts w:hint="eastAsia" w:ascii="宋体" w:hAnsi="宋体" w:eastAsia="宋体" w:cs="宋体"/>
                <w:i w:val="0"/>
                <w:iCs w:val="0"/>
                <w:color w:val="auto"/>
                <w:sz w:val="24"/>
                <w:szCs w:val="24"/>
                <w:highlight w:val="none"/>
              </w:rPr>
            </w:pPr>
          </w:p>
        </w:tc>
      </w:tr>
      <w:tr w14:paraId="504B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E06642C">
            <w:pPr>
              <w:spacing w:line="560" w:lineRule="exact"/>
              <w:rPr>
                <w:rFonts w:hint="eastAsia" w:ascii="宋体" w:hAnsi="宋体" w:eastAsia="宋体" w:cs="宋体"/>
                <w:i w:val="0"/>
                <w:iCs w:val="0"/>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8D2113A">
            <w:pPr>
              <w:spacing w:line="560" w:lineRule="exact"/>
              <w:rPr>
                <w:rFonts w:hint="eastAsia" w:ascii="宋体" w:hAnsi="宋体" w:eastAsia="宋体" w:cs="宋体"/>
                <w:i w:val="0"/>
                <w:iCs w:val="0"/>
                <w:color w:val="auto"/>
                <w:sz w:val="24"/>
                <w:szCs w:val="24"/>
                <w:highlight w:val="none"/>
              </w:rPr>
            </w:pPr>
          </w:p>
        </w:tc>
      </w:tr>
    </w:tbl>
    <w:p w14:paraId="1FAB85DE">
      <w:pPr>
        <w:spacing w:line="360" w:lineRule="auto"/>
        <w:rPr>
          <w:rFonts w:hint="eastAsia" w:ascii="宋体" w:hAnsi="宋体" w:eastAsia="宋体" w:cs="宋体"/>
          <w:i w:val="0"/>
          <w:iCs w:val="0"/>
          <w:color w:val="auto"/>
          <w:sz w:val="24"/>
          <w:highlight w:val="none"/>
        </w:rPr>
      </w:pPr>
    </w:p>
    <w:bookmarkEnd w:id="499"/>
    <w:p w14:paraId="12E53718">
      <w:pPr>
        <w:ind w:left="550" w:firstLine="420" w:firstLineChars="175"/>
        <w:rPr>
          <w:i w:val="0"/>
          <w:iCs w:val="0"/>
          <w:color w:val="auto"/>
          <w:highlight w:val="none"/>
        </w:rPr>
      </w:pPr>
    </w:p>
    <w:p w14:paraId="10153C9E">
      <w:pPr>
        <w:rPr>
          <w:i w:val="0"/>
          <w:iCs w:val="0"/>
          <w:color w:val="auto"/>
          <w:highlight w:val="none"/>
        </w:rPr>
        <w:sectPr>
          <w:pgSz w:w="11906" w:h="16838"/>
          <w:pgMar w:top="1440" w:right="1800" w:bottom="1440" w:left="1800" w:header="851" w:footer="992" w:gutter="0"/>
          <w:pgNumType w:fmt="numberInDash"/>
          <w:cols w:space="425" w:num="1"/>
          <w:docGrid w:type="lines" w:linePitch="312" w:charSpace="0"/>
        </w:sectPr>
      </w:pPr>
    </w:p>
    <w:p w14:paraId="303727D2">
      <w:pPr>
        <w:pStyle w:val="3"/>
        <w:numPr>
          <w:ilvl w:val="0"/>
          <w:numId w:val="0"/>
        </w:numPr>
        <w:ind w:left="420" w:leftChars="0" w:hanging="420" w:firstLineChars="0"/>
        <w:rPr>
          <w:i w:val="0"/>
          <w:iCs w:val="0"/>
          <w:color w:val="auto"/>
          <w:highlight w:val="none"/>
        </w:rPr>
      </w:pPr>
      <w:bookmarkStart w:id="674" w:name="_Toc3038"/>
      <w:r>
        <w:rPr>
          <w:rFonts w:hint="eastAsia" w:ascii="宋体" w:hAnsi="宋体" w:eastAsia="宋体" w:cs="宋体"/>
          <w:b/>
          <w:bCs/>
          <w:i w:val="0"/>
          <w:iCs w:val="0"/>
          <w:color w:val="auto"/>
          <w:kern w:val="44"/>
          <w:sz w:val="36"/>
          <w:szCs w:val="36"/>
          <w:highlight w:val="none"/>
          <w:lang w:val="en-US" w:eastAsia="zh-CN" w:bidi="ar-SA"/>
        </w:rPr>
        <w:t xml:space="preserve">第六章 </w:t>
      </w:r>
      <w:r>
        <w:rPr>
          <w:rFonts w:hint="eastAsia" w:ascii="宋体" w:hAnsi="宋体" w:eastAsia="宋体" w:cs="宋体"/>
          <w:i w:val="0"/>
          <w:iCs w:val="0"/>
          <w:color w:val="auto"/>
          <w:sz w:val="36"/>
          <w:szCs w:val="36"/>
          <w:highlight w:val="none"/>
        </w:rPr>
        <w:t>响应文件的格式</w:t>
      </w:r>
      <w:bookmarkEnd w:id="674"/>
    </w:p>
    <w:p w14:paraId="2C0376DB">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6D6BD080">
      <w:pPr>
        <w:autoSpaceDE w:val="0"/>
        <w:autoSpaceDN w:val="0"/>
        <w:adjustRightInd w:val="0"/>
        <w:rPr>
          <w:i w:val="0"/>
          <w:iCs w:val="0"/>
          <w:color w:val="auto"/>
          <w:sz w:val="21"/>
          <w:szCs w:val="24"/>
          <w:highlight w:val="none"/>
        </w:rPr>
      </w:pPr>
    </w:p>
    <w:p w14:paraId="722FD3E6">
      <w:pPr>
        <w:pStyle w:val="4"/>
        <w:bidi w:val="0"/>
        <w:jc w:val="center"/>
        <w:rPr>
          <w:sz w:val="84"/>
          <w:szCs w:val="84"/>
        </w:rPr>
      </w:pPr>
      <w:bookmarkStart w:id="675" w:name="_Toc25574"/>
      <w:r>
        <w:rPr>
          <w:rFonts w:hint="eastAsia"/>
          <w:sz w:val="84"/>
          <w:szCs w:val="84"/>
          <w:lang w:val="en-US" w:eastAsia="zh-CN"/>
        </w:rPr>
        <w:t>响</w:t>
      </w:r>
      <w:r>
        <w:rPr>
          <w:rFonts w:hint="eastAsia"/>
          <w:sz w:val="84"/>
          <w:szCs w:val="84"/>
        </w:rPr>
        <w:t xml:space="preserve"> </w:t>
      </w:r>
      <w:r>
        <w:rPr>
          <w:rFonts w:hint="eastAsia"/>
          <w:sz w:val="84"/>
          <w:szCs w:val="84"/>
          <w:lang w:val="en-US" w:eastAsia="zh-CN"/>
        </w:rPr>
        <w:t>应</w:t>
      </w:r>
      <w:r>
        <w:rPr>
          <w:rFonts w:hint="eastAsia"/>
          <w:sz w:val="84"/>
          <w:szCs w:val="84"/>
        </w:rPr>
        <w:t xml:space="preserve"> 文 件</w:t>
      </w:r>
      <w:bookmarkEnd w:id="675"/>
    </w:p>
    <w:p w14:paraId="3151B74C">
      <w:pPr>
        <w:autoSpaceDE w:val="0"/>
        <w:autoSpaceDN w:val="0"/>
        <w:adjustRightInd w:val="0"/>
        <w:rPr>
          <w:i w:val="0"/>
          <w:iCs w:val="0"/>
          <w:color w:val="auto"/>
          <w:sz w:val="21"/>
          <w:szCs w:val="21"/>
          <w:highlight w:val="none"/>
        </w:rPr>
      </w:pPr>
    </w:p>
    <w:p w14:paraId="68FB6CFC">
      <w:pPr>
        <w:autoSpaceDE w:val="0"/>
        <w:autoSpaceDN w:val="0"/>
        <w:adjustRightInd w:val="0"/>
        <w:rPr>
          <w:i w:val="0"/>
          <w:iCs w:val="0"/>
          <w:color w:val="auto"/>
          <w:sz w:val="21"/>
          <w:szCs w:val="21"/>
          <w:highlight w:val="none"/>
        </w:rPr>
      </w:pPr>
    </w:p>
    <w:p w14:paraId="0C4A3910">
      <w:pPr>
        <w:autoSpaceDE w:val="0"/>
        <w:autoSpaceDN w:val="0"/>
        <w:adjustRightInd w:val="0"/>
        <w:rPr>
          <w:i w:val="0"/>
          <w:iCs w:val="0"/>
          <w:color w:val="auto"/>
          <w:sz w:val="21"/>
          <w:szCs w:val="21"/>
          <w:highlight w:val="none"/>
        </w:rPr>
      </w:pPr>
    </w:p>
    <w:p w14:paraId="441AC5F3">
      <w:pPr>
        <w:autoSpaceDE w:val="0"/>
        <w:autoSpaceDN w:val="0"/>
        <w:adjustRightInd w:val="0"/>
        <w:rPr>
          <w:i w:val="0"/>
          <w:iCs w:val="0"/>
          <w:color w:val="auto"/>
          <w:sz w:val="21"/>
          <w:szCs w:val="21"/>
          <w:highlight w:val="none"/>
        </w:rPr>
      </w:pPr>
    </w:p>
    <w:p w14:paraId="0F1D14E0">
      <w:pPr>
        <w:autoSpaceDE w:val="0"/>
        <w:autoSpaceDN w:val="0"/>
        <w:adjustRightInd w:val="0"/>
        <w:rPr>
          <w:i w:val="0"/>
          <w:iCs w:val="0"/>
          <w:color w:val="auto"/>
          <w:sz w:val="21"/>
          <w:szCs w:val="21"/>
          <w:highlight w:val="none"/>
        </w:rPr>
      </w:pPr>
    </w:p>
    <w:p w14:paraId="5CD59A2B">
      <w:pPr>
        <w:autoSpaceDE w:val="0"/>
        <w:autoSpaceDN w:val="0"/>
        <w:adjustRightInd w:val="0"/>
        <w:rPr>
          <w:i w:val="0"/>
          <w:iCs w:val="0"/>
          <w:color w:val="auto"/>
          <w:sz w:val="21"/>
          <w:szCs w:val="21"/>
          <w:highlight w:val="none"/>
        </w:rPr>
      </w:pPr>
    </w:p>
    <w:p w14:paraId="76C05E5B">
      <w:pPr>
        <w:autoSpaceDE w:val="0"/>
        <w:autoSpaceDN w:val="0"/>
        <w:adjustRightInd w:val="0"/>
        <w:rPr>
          <w:i w:val="0"/>
          <w:iCs w:val="0"/>
          <w:color w:val="auto"/>
          <w:sz w:val="21"/>
          <w:szCs w:val="21"/>
          <w:highlight w:val="none"/>
        </w:rPr>
      </w:pPr>
    </w:p>
    <w:p w14:paraId="3BE734FC">
      <w:pPr>
        <w:autoSpaceDE w:val="0"/>
        <w:autoSpaceDN w:val="0"/>
        <w:adjustRightInd w:val="0"/>
        <w:rPr>
          <w:i w:val="0"/>
          <w:iCs w:val="0"/>
          <w:color w:val="auto"/>
          <w:sz w:val="21"/>
          <w:szCs w:val="21"/>
          <w:highlight w:val="none"/>
        </w:rPr>
      </w:pPr>
    </w:p>
    <w:p w14:paraId="177ED55B">
      <w:pPr>
        <w:autoSpaceDE w:val="0"/>
        <w:autoSpaceDN w:val="0"/>
        <w:adjustRightInd w:val="0"/>
        <w:rPr>
          <w:i w:val="0"/>
          <w:iCs w:val="0"/>
          <w:color w:val="auto"/>
          <w:sz w:val="21"/>
          <w:szCs w:val="21"/>
          <w:highlight w:val="none"/>
        </w:rPr>
      </w:pPr>
    </w:p>
    <w:p w14:paraId="162C15B1">
      <w:pPr>
        <w:autoSpaceDE w:val="0"/>
        <w:autoSpaceDN w:val="0"/>
        <w:adjustRightInd w:val="0"/>
        <w:rPr>
          <w:i w:val="0"/>
          <w:iCs w:val="0"/>
          <w:color w:val="auto"/>
          <w:sz w:val="21"/>
          <w:szCs w:val="21"/>
          <w:highlight w:val="none"/>
        </w:rPr>
      </w:pPr>
    </w:p>
    <w:p w14:paraId="1D304C25">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1567D762">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项目名称：</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58E4F8B1">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供 应 商</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15BCD2A7">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联系人</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09FFA4AE">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联系电话</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61BBAE95">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联系地址</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41949919">
      <w:pPr>
        <w:ind w:firstLine="640" w:firstLineChars="200"/>
        <w:jc w:val="center"/>
        <w:rPr>
          <w:rFonts w:hint="eastAsia" w:cs="仿宋_GB2312"/>
          <w:i w:val="0"/>
          <w:iCs w:val="0"/>
          <w:color w:val="auto"/>
          <w:highlight w:val="none"/>
          <w:lang w:val="zh-CN"/>
        </w:rPr>
      </w:pPr>
      <w:r>
        <w:rPr>
          <w:rFonts w:hint="eastAsia" w:ascii="宋体" w:hAnsi="宋体" w:eastAsia="宋体" w:cs="宋体"/>
          <w:i w:val="0"/>
          <w:iCs w:val="0"/>
          <w:color w:val="auto"/>
          <w:sz w:val="32"/>
          <w:szCs w:val="32"/>
          <w:highlight w:val="none"/>
        </w:rPr>
        <w:t>年   月    日</w:t>
      </w:r>
    </w:p>
    <w:p w14:paraId="1582779F">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676" w:name="_Toc12516"/>
      <w:bookmarkStart w:id="677" w:name="_Toc155185927"/>
      <w:bookmarkStart w:id="678" w:name="_Toc163492922"/>
      <w:bookmarkStart w:id="679" w:name="_Toc155185928"/>
      <w:bookmarkStart w:id="680" w:name="_Toc163493643"/>
      <w:r>
        <w:rPr>
          <w:rFonts w:hint="eastAsia" w:eastAsia="宋体" w:asciiTheme="majorHAnsi" w:hAnsiTheme="majorHAnsi" w:cstheme="majorBidi"/>
          <w:b/>
          <w:bCs/>
          <w:i w:val="0"/>
          <w:iCs w:val="0"/>
          <w:color w:val="auto"/>
          <w:kern w:val="2"/>
          <w:sz w:val="28"/>
          <w:szCs w:val="28"/>
          <w:highlight w:val="none"/>
          <w:lang w:val="en-US" w:eastAsia="zh-CN" w:bidi="ar-SA"/>
        </w:rPr>
        <w:t>一、满足《中华人民共和国政府采购法》第二十二条规定</w:t>
      </w:r>
      <w:bookmarkEnd w:id="676"/>
    </w:p>
    <w:bookmarkEnd w:id="677"/>
    <w:p w14:paraId="6B7B06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（一）法人、其他组织或者自然人的证明文件</w:t>
      </w:r>
    </w:p>
    <w:p w14:paraId="18B057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1、供应商</w:t>
      </w:r>
      <w:r>
        <w:rPr>
          <w:rFonts w:hint="eastAsia" w:ascii="宋体" w:hAnsi="宋体" w:eastAsia="宋体" w:cs="宋体"/>
          <w:b w:val="0"/>
          <w:bCs w:val="0"/>
          <w:i w:val="0"/>
          <w:iCs w:val="0"/>
          <w:color w:val="auto"/>
          <w:kern w:val="0"/>
          <w:sz w:val="24"/>
          <w:szCs w:val="24"/>
          <w:highlight w:val="none"/>
          <w:lang w:val="en-US" w:eastAsia="zh-CN"/>
        </w:rPr>
        <w:t>为企业（包括合伙企业）的，应提供有效的“营业执照”；</w:t>
      </w:r>
    </w:p>
    <w:p w14:paraId="1D91F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2、供应商</w:t>
      </w:r>
      <w:r>
        <w:rPr>
          <w:rFonts w:hint="eastAsia" w:ascii="宋体" w:hAnsi="宋体" w:eastAsia="宋体" w:cs="宋体"/>
          <w:b w:val="0"/>
          <w:bCs w:val="0"/>
          <w:i w:val="0"/>
          <w:iCs w:val="0"/>
          <w:color w:val="auto"/>
          <w:kern w:val="0"/>
          <w:sz w:val="24"/>
          <w:szCs w:val="24"/>
          <w:highlight w:val="none"/>
          <w:lang w:val="en-US" w:eastAsia="zh-CN"/>
        </w:rPr>
        <w:t>为事业单位的，应提供有效的“事业单位法人证书”；</w:t>
      </w:r>
    </w:p>
    <w:p w14:paraId="11EBB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3、供应商</w:t>
      </w:r>
      <w:r>
        <w:rPr>
          <w:rFonts w:hint="eastAsia" w:ascii="宋体" w:hAnsi="宋体" w:eastAsia="宋体" w:cs="宋体"/>
          <w:b w:val="0"/>
          <w:bCs w:val="0"/>
          <w:i w:val="0"/>
          <w:iCs w:val="0"/>
          <w:color w:val="auto"/>
          <w:kern w:val="0"/>
          <w:sz w:val="24"/>
          <w:szCs w:val="24"/>
          <w:highlight w:val="none"/>
          <w:lang w:val="en-US" w:eastAsia="zh-CN"/>
        </w:rPr>
        <w:t>为非企业机构的，应提供有效的“执业许可证”、“登记证书”等证明文件；</w:t>
      </w:r>
    </w:p>
    <w:p w14:paraId="783D0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4、供应商</w:t>
      </w:r>
      <w:r>
        <w:rPr>
          <w:rFonts w:hint="eastAsia" w:ascii="宋体" w:hAnsi="宋体" w:eastAsia="宋体" w:cs="宋体"/>
          <w:b w:val="0"/>
          <w:bCs w:val="0"/>
          <w:i w:val="0"/>
          <w:iCs w:val="0"/>
          <w:color w:val="auto"/>
          <w:kern w:val="0"/>
          <w:sz w:val="24"/>
          <w:szCs w:val="24"/>
          <w:highlight w:val="none"/>
          <w:lang w:val="en-US" w:eastAsia="zh-CN"/>
        </w:rPr>
        <w:t>是个体工商户的，应提供有效的“个体工商户营业执照”；</w:t>
      </w:r>
    </w:p>
    <w:p w14:paraId="0D5FBD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5、供应商</w:t>
      </w:r>
      <w:r>
        <w:rPr>
          <w:rFonts w:hint="eastAsia" w:ascii="宋体" w:hAnsi="宋体" w:eastAsia="宋体" w:cs="宋体"/>
          <w:b w:val="0"/>
          <w:bCs w:val="0"/>
          <w:i w:val="0"/>
          <w:iCs w:val="0"/>
          <w:color w:val="auto"/>
          <w:kern w:val="0"/>
          <w:sz w:val="24"/>
          <w:szCs w:val="24"/>
          <w:highlight w:val="none"/>
          <w:lang w:val="en-US" w:eastAsia="zh-CN"/>
        </w:rPr>
        <w:t>是自然人的，应提供有效的自然人身份证明。</w:t>
      </w:r>
    </w:p>
    <w:p w14:paraId="128F3677">
      <w:pP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br w:type="page"/>
      </w:r>
    </w:p>
    <w:bookmarkEnd w:id="678"/>
    <w:bookmarkEnd w:id="679"/>
    <w:p w14:paraId="4A427704">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i w:val="0"/>
          <w:iCs w:val="0"/>
          <w:color w:val="auto"/>
          <w:kern w:val="2"/>
          <w:sz w:val="24"/>
          <w:szCs w:val="24"/>
          <w:highlight w:val="none"/>
          <w:lang w:val="en-US" w:eastAsia="zh-CN" w:bidi="ar-SA"/>
        </w:rPr>
      </w:pPr>
      <w:bookmarkStart w:id="681" w:name="_Toc8688"/>
      <w:r>
        <w:rPr>
          <w:rFonts w:hint="eastAsia" w:eastAsia="宋体" w:cstheme="majorBidi"/>
          <w:b/>
          <w:bCs/>
          <w:i w:val="0"/>
          <w:iCs w:val="0"/>
          <w:color w:val="auto"/>
          <w:kern w:val="2"/>
          <w:sz w:val="24"/>
          <w:szCs w:val="24"/>
          <w:highlight w:val="none"/>
          <w:lang w:val="en-US" w:eastAsia="zh-CN" w:bidi="ar-SA"/>
        </w:rPr>
        <w:t>（二）政府采购供应商信用承诺函</w:t>
      </w:r>
      <w:bookmarkEnd w:id="681"/>
    </w:p>
    <w:p w14:paraId="3BC22A19">
      <w:pPr>
        <w:spacing w:line="560" w:lineRule="exac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单位名称</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自然人姓名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3FC6CB95">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统一社会信用代码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身份证号码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4FF8B45F">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负责人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215310C">
      <w:pPr>
        <w:spacing w:line="560" w:lineRule="exact"/>
        <w:ind w:firstLine="480" w:firstLineChars="200"/>
        <w:rPr>
          <w:rFonts w:hint="eastAsia" w:ascii="宋体" w:hAnsi="宋体" w:eastAsia="宋体" w:cs="宋体"/>
          <w:i w:val="0"/>
          <w:iCs w:val="0"/>
          <w:color w:val="auto"/>
          <w:kern w:val="0"/>
          <w:sz w:val="24"/>
          <w:szCs w:val="24"/>
          <w:highlight w:val="none"/>
        </w:rPr>
      </w:pPr>
    </w:p>
    <w:p w14:paraId="454E84C6">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585A1BB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符合《中华人民共和国政府采购法》第二十二条规定：</w:t>
      </w:r>
    </w:p>
    <w:p w14:paraId="1E1CBF06">
      <w:pPr>
        <w:spacing w:line="560" w:lineRule="exact"/>
        <w:ind w:firstLine="480" w:firstLineChars="200"/>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一</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具有独立承担民事责任的能力</w:t>
      </w:r>
      <w:r>
        <w:rPr>
          <w:rFonts w:hint="eastAsia" w:cs="宋体"/>
          <w:i w:val="0"/>
          <w:iCs w:val="0"/>
          <w:color w:val="auto"/>
          <w:kern w:val="0"/>
          <w:sz w:val="24"/>
          <w:szCs w:val="24"/>
          <w:highlight w:val="none"/>
          <w:lang w:eastAsia="zh-CN"/>
        </w:rPr>
        <w:t>；</w:t>
      </w:r>
    </w:p>
    <w:p w14:paraId="50F68311">
      <w:pPr>
        <w:spacing w:line="560" w:lineRule="exact"/>
        <w:ind w:firstLine="480" w:firstLineChars="200"/>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（二）</w:t>
      </w:r>
      <w:r>
        <w:rPr>
          <w:rFonts w:hint="eastAsia" w:ascii="宋体" w:hAnsi="宋体" w:eastAsia="宋体" w:cs="宋体"/>
          <w:i w:val="0"/>
          <w:iCs w:val="0"/>
          <w:color w:val="auto"/>
          <w:kern w:val="0"/>
          <w:sz w:val="24"/>
          <w:szCs w:val="24"/>
          <w:highlight w:val="none"/>
        </w:rPr>
        <w:t>具有良好的商业信誉和健全的财务会计制度</w:t>
      </w:r>
      <w:r>
        <w:rPr>
          <w:rFonts w:hint="eastAsia" w:cs="宋体"/>
          <w:i w:val="0"/>
          <w:iCs w:val="0"/>
          <w:color w:val="auto"/>
          <w:kern w:val="0"/>
          <w:sz w:val="24"/>
          <w:szCs w:val="24"/>
          <w:highlight w:val="none"/>
          <w:lang w:eastAsia="zh-CN"/>
        </w:rPr>
        <w:t>；</w:t>
      </w:r>
    </w:p>
    <w:p w14:paraId="15BB6542">
      <w:pPr>
        <w:spacing w:line="560" w:lineRule="exact"/>
        <w:ind w:firstLine="480" w:firstLineChars="200"/>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（三）</w:t>
      </w:r>
      <w:r>
        <w:rPr>
          <w:rFonts w:hint="eastAsia" w:ascii="宋体" w:hAnsi="宋体" w:eastAsia="宋体" w:cs="宋体"/>
          <w:i w:val="0"/>
          <w:iCs w:val="0"/>
          <w:color w:val="auto"/>
          <w:kern w:val="0"/>
          <w:sz w:val="24"/>
          <w:szCs w:val="24"/>
          <w:highlight w:val="none"/>
        </w:rPr>
        <w:t>具有履行合同所必需的设备和专业技术能力</w:t>
      </w:r>
      <w:r>
        <w:rPr>
          <w:rFonts w:hint="eastAsia" w:cs="宋体"/>
          <w:i w:val="0"/>
          <w:iCs w:val="0"/>
          <w:color w:val="auto"/>
          <w:kern w:val="0"/>
          <w:sz w:val="24"/>
          <w:szCs w:val="24"/>
          <w:highlight w:val="none"/>
          <w:lang w:eastAsia="zh-CN"/>
        </w:rPr>
        <w:t>；</w:t>
      </w:r>
    </w:p>
    <w:p w14:paraId="4962EBC0">
      <w:pPr>
        <w:spacing w:line="560" w:lineRule="exact"/>
        <w:ind w:firstLine="480" w:firstLineChars="200"/>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（四）</w:t>
      </w:r>
      <w:r>
        <w:rPr>
          <w:rFonts w:hint="eastAsia" w:ascii="宋体" w:hAnsi="宋体" w:eastAsia="宋体" w:cs="宋体"/>
          <w:i w:val="0"/>
          <w:iCs w:val="0"/>
          <w:color w:val="auto"/>
          <w:kern w:val="0"/>
          <w:sz w:val="24"/>
          <w:szCs w:val="24"/>
          <w:highlight w:val="none"/>
        </w:rPr>
        <w:t>有依法缴纳税收和社会保障资金的良好记录</w:t>
      </w:r>
      <w:r>
        <w:rPr>
          <w:rFonts w:hint="eastAsia" w:cs="宋体"/>
          <w:i w:val="0"/>
          <w:iCs w:val="0"/>
          <w:color w:val="auto"/>
          <w:kern w:val="0"/>
          <w:sz w:val="24"/>
          <w:szCs w:val="24"/>
          <w:highlight w:val="none"/>
          <w:lang w:eastAsia="zh-CN"/>
        </w:rPr>
        <w:t>；</w:t>
      </w:r>
    </w:p>
    <w:p w14:paraId="28020959">
      <w:pPr>
        <w:spacing w:line="560" w:lineRule="exact"/>
        <w:ind w:firstLine="480" w:firstLineChars="200"/>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lang w:eastAsia="zh-CN"/>
        </w:rPr>
        <w:t>（五）</w:t>
      </w:r>
      <w:r>
        <w:rPr>
          <w:rFonts w:hint="eastAsia" w:ascii="宋体" w:hAnsi="宋体" w:eastAsia="宋体" w:cs="宋体"/>
          <w:i w:val="0"/>
          <w:iCs w:val="0"/>
          <w:color w:val="auto"/>
          <w:kern w:val="0"/>
          <w:sz w:val="24"/>
          <w:szCs w:val="24"/>
          <w:highlight w:val="none"/>
        </w:rPr>
        <w:t>参加政府采购活动前三年内，在经营活动中没有重大违法记录</w:t>
      </w:r>
      <w:r>
        <w:rPr>
          <w:rFonts w:hint="eastAsia" w:cs="宋体"/>
          <w:i w:val="0"/>
          <w:iCs w:val="0"/>
          <w:color w:val="auto"/>
          <w:kern w:val="0"/>
          <w:sz w:val="24"/>
          <w:szCs w:val="24"/>
          <w:highlight w:val="none"/>
          <w:lang w:eastAsia="zh-CN"/>
        </w:rPr>
        <w:t>；</w:t>
      </w:r>
    </w:p>
    <w:p w14:paraId="102E1A8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（六）</w:t>
      </w:r>
      <w:r>
        <w:rPr>
          <w:rFonts w:hint="eastAsia" w:ascii="宋体" w:hAnsi="宋体" w:eastAsia="宋体" w:cs="宋体"/>
          <w:i w:val="0"/>
          <w:iCs w:val="0"/>
          <w:color w:val="auto"/>
          <w:kern w:val="0"/>
          <w:sz w:val="24"/>
          <w:szCs w:val="24"/>
          <w:highlight w:val="none"/>
        </w:rPr>
        <w:t>符合法律、行政法规规定的其他条件。</w:t>
      </w:r>
    </w:p>
    <w:p w14:paraId="26F6B95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二、我单位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未被列入严重违法失信名单、失信被执行人</w:t>
      </w:r>
      <w:r>
        <w:rPr>
          <w:rFonts w:hint="eastAsia" w:ascii="宋体" w:hAnsi="宋体" w:eastAsia="宋体" w:cs="宋体"/>
          <w:i w:val="0"/>
          <w:iCs w:val="0"/>
          <w:color w:val="auto"/>
          <w:kern w:val="0"/>
          <w:sz w:val="24"/>
          <w:szCs w:val="24"/>
          <w:highlight w:val="none"/>
          <w:lang w:eastAsia="zh-CN"/>
        </w:rPr>
        <w:t>名单</w:t>
      </w:r>
      <w:r>
        <w:rPr>
          <w:rFonts w:hint="eastAsia" w:ascii="宋体" w:hAnsi="宋体" w:eastAsia="宋体" w:cs="宋体"/>
          <w:i w:val="0"/>
          <w:iCs w:val="0"/>
          <w:color w:val="auto"/>
          <w:kern w:val="0"/>
          <w:sz w:val="24"/>
          <w:szCs w:val="24"/>
          <w:highlight w:val="none"/>
        </w:rPr>
        <w:t>、重大税收违法案件当事人名单、政府采购严重违法失信行为记录名</w:t>
      </w:r>
      <w:r>
        <w:rPr>
          <w:rFonts w:hint="eastAsia" w:ascii="宋体" w:hAnsi="宋体" w:eastAsia="宋体" w:cs="宋体"/>
          <w:i w:val="0"/>
          <w:iCs w:val="0"/>
          <w:color w:val="auto"/>
          <w:kern w:val="0"/>
          <w:sz w:val="24"/>
          <w:szCs w:val="24"/>
          <w:highlight w:val="none"/>
          <w:lang w:eastAsia="zh-CN"/>
        </w:rPr>
        <w:t>单</w:t>
      </w:r>
      <w:r>
        <w:rPr>
          <w:rFonts w:hint="eastAsia" w:ascii="宋体" w:hAnsi="宋体" w:eastAsia="宋体" w:cs="宋体"/>
          <w:i w:val="0"/>
          <w:iCs w:val="0"/>
          <w:color w:val="auto"/>
          <w:kern w:val="0"/>
          <w:sz w:val="24"/>
          <w:szCs w:val="24"/>
          <w:highlight w:val="none"/>
        </w:rPr>
        <w:t>。</w:t>
      </w:r>
    </w:p>
    <w:p w14:paraId="7817EDE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三、如果本公司（本人）有幸中标（成交），在合同签订之前，采购单位有权要求本公司（本人）提供资格证明材料原件进行核验。</w:t>
      </w:r>
    </w:p>
    <w:p w14:paraId="4D4BE410">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四、我单位</w:t>
      </w:r>
      <w:r>
        <w:rPr>
          <w:rFonts w:hint="eastAsia" w:ascii="宋体" w:hAnsi="宋体" w:eastAsia="宋体" w:cs="宋体"/>
          <w:i w:val="0"/>
          <w:iCs w:val="0"/>
          <w:color w:val="auto"/>
          <w:kern w:val="0"/>
          <w:sz w:val="24"/>
          <w:szCs w:val="24"/>
          <w:highlight w:val="none"/>
          <w:lang w:eastAsia="zh-CN"/>
        </w:rPr>
        <w:t>（本人）</w:t>
      </w:r>
      <w:r>
        <w:rPr>
          <w:rFonts w:hint="eastAsia" w:ascii="宋体" w:hAnsi="宋体" w:eastAsia="宋体" w:cs="宋体"/>
          <w:i w:val="0"/>
          <w:iCs w:val="0"/>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F125E5E">
      <w:pPr>
        <w:spacing w:line="560" w:lineRule="exact"/>
        <w:rPr>
          <w:rFonts w:hint="eastAsia" w:ascii="宋体" w:hAnsi="宋体" w:eastAsia="宋体" w:cs="宋体"/>
          <w:i w:val="0"/>
          <w:iCs w:val="0"/>
          <w:color w:val="auto"/>
          <w:kern w:val="0"/>
          <w:sz w:val="24"/>
          <w:szCs w:val="24"/>
          <w:highlight w:val="none"/>
        </w:rPr>
      </w:pPr>
    </w:p>
    <w:p w14:paraId="03704243">
      <w:pPr>
        <w:spacing w:line="560" w:lineRule="exact"/>
        <w:rPr>
          <w:rFonts w:hint="eastAsia" w:ascii="宋体" w:hAnsi="宋体" w:eastAsia="宋体" w:cs="宋体"/>
          <w:i w:val="0"/>
          <w:iCs w:val="0"/>
          <w:color w:val="auto"/>
          <w:kern w:val="0"/>
          <w:sz w:val="24"/>
          <w:szCs w:val="24"/>
          <w:highlight w:val="none"/>
        </w:rPr>
      </w:pPr>
    </w:p>
    <w:p w14:paraId="30F018FE">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B9564E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w:t>
      </w:r>
      <w:r>
        <w:rPr>
          <w:rFonts w:hint="eastAsia" w:cs="宋体"/>
          <w:i w:val="0"/>
          <w:iCs w:val="0"/>
          <w:color w:val="auto"/>
          <w:kern w:val="0"/>
          <w:sz w:val="24"/>
          <w:szCs w:val="24"/>
          <w:highlight w:val="none"/>
          <w:lang w:eastAsia="zh-CN"/>
        </w:rPr>
        <w:t>盖章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3B74078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 年 月 日</w:t>
      </w:r>
    </w:p>
    <w:p w14:paraId="282D3BE6">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33E55E65">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zh-CN" w:eastAsia="zh-CN" w:bidi="ar-SA"/>
        </w:rPr>
      </w:pPr>
      <w:bookmarkStart w:id="682" w:name="_Toc155185930"/>
      <w:bookmarkStart w:id="683" w:name="_Toc109899917"/>
      <w:bookmarkStart w:id="684" w:name="_Toc140132840"/>
      <w:bookmarkStart w:id="685" w:name="_Toc163492923"/>
      <w:bookmarkStart w:id="686" w:name="_Toc109899498"/>
      <w:bookmarkStart w:id="687" w:name="_Toc109900336"/>
      <w:bookmarkStart w:id="688" w:name="_Toc18882"/>
      <w:r>
        <w:rPr>
          <w:rFonts w:hint="eastAsia" w:eastAsia="宋体" w:asciiTheme="majorHAnsi" w:hAnsiTheme="majorHAnsi" w:cstheme="majorBidi"/>
          <w:b/>
          <w:bCs/>
          <w:i w:val="0"/>
          <w:iCs w:val="0"/>
          <w:color w:val="auto"/>
          <w:kern w:val="2"/>
          <w:sz w:val="28"/>
          <w:szCs w:val="28"/>
          <w:highlight w:val="none"/>
          <w:lang w:val="en-US" w:eastAsia="zh-CN" w:bidi="ar-SA"/>
        </w:rPr>
        <w:t>二、</w:t>
      </w:r>
      <w:bookmarkEnd w:id="682"/>
      <w:bookmarkEnd w:id="683"/>
      <w:bookmarkEnd w:id="684"/>
      <w:bookmarkEnd w:id="685"/>
      <w:bookmarkEnd w:id="686"/>
      <w:bookmarkEnd w:id="687"/>
      <w:bookmarkStart w:id="689" w:name="_Toc155185931"/>
      <w:r>
        <w:rPr>
          <w:rFonts w:hint="eastAsia" w:eastAsia="宋体" w:asciiTheme="majorHAnsi" w:hAnsiTheme="majorHAnsi" w:cstheme="majorBidi"/>
          <w:b/>
          <w:bCs/>
          <w:i w:val="0"/>
          <w:iCs w:val="0"/>
          <w:color w:val="auto"/>
          <w:kern w:val="2"/>
          <w:sz w:val="28"/>
          <w:szCs w:val="28"/>
          <w:highlight w:val="none"/>
          <w:lang w:val="zh-CN" w:eastAsia="zh-CN" w:bidi="ar-SA"/>
        </w:rPr>
        <w:t>联合体协议书</w:t>
      </w:r>
      <w:bookmarkEnd w:id="689"/>
      <w:r>
        <w:rPr>
          <w:rFonts w:hint="eastAsia" w:ascii="宋体" w:hAnsi="宋体" w:eastAsia="宋体" w:cstheme="minorBidi"/>
          <w:b w:val="0"/>
          <w:bCs w:val="0"/>
          <w:i w:val="0"/>
          <w:iCs w:val="0"/>
          <w:color w:val="auto"/>
          <w:kern w:val="2"/>
          <w:sz w:val="28"/>
          <w:szCs w:val="28"/>
          <w:highlight w:val="none"/>
          <w:lang w:val="zh-CN" w:eastAsia="zh-CN" w:bidi="ar-SA"/>
        </w:rPr>
        <w:t>【如适用】</w:t>
      </w:r>
      <w:bookmarkEnd w:id="688"/>
    </w:p>
    <w:p w14:paraId="39563C7F">
      <w:pPr>
        <w:snapToGrid w:val="0"/>
        <w:spacing w:line="360" w:lineRule="auto"/>
        <w:jc w:val="center"/>
        <w:outlineLvl w:val="0"/>
        <w:rPr>
          <w:rFonts w:hint="eastAsia" w:ascii="宋体" w:hAnsi="宋体" w:cs="宋体"/>
          <w:b/>
          <w:i w:val="0"/>
          <w:iCs w:val="0"/>
          <w:color w:val="auto"/>
          <w:kern w:val="0"/>
          <w:sz w:val="32"/>
          <w:szCs w:val="32"/>
          <w:highlight w:val="none"/>
        </w:rPr>
      </w:pPr>
    </w:p>
    <w:p w14:paraId="2AA212CE">
      <w:pPr>
        <w:snapToGrid w:val="0"/>
        <w:spacing w:line="360" w:lineRule="auto"/>
        <w:jc w:val="center"/>
        <w:outlineLvl w:val="0"/>
        <w:rPr>
          <w:rFonts w:hint="eastAsia" w:ascii="宋体" w:hAnsi="宋体" w:cs="宋体"/>
          <w:b/>
          <w:i w:val="0"/>
          <w:iCs w:val="0"/>
          <w:color w:val="auto"/>
          <w:kern w:val="0"/>
          <w:sz w:val="32"/>
          <w:szCs w:val="32"/>
          <w:highlight w:val="none"/>
        </w:rPr>
      </w:pPr>
      <w:bookmarkStart w:id="690" w:name="_Toc4639"/>
      <w:r>
        <w:rPr>
          <w:rFonts w:hint="eastAsia" w:ascii="宋体" w:hAnsi="宋体" w:cs="宋体"/>
          <w:b/>
          <w:i w:val="0"/>
          <w:iCs w:val="0"/>
          <w:color w:val="auto"/>
          <w:kern w:val="0"/>
          <w:sz w:val="32"/>
          <w:szCs w:val="32"/>
          <w:highlight w:val="none"/>
        </w:rPr>
        <w:t>联合体协议书</w:t>
      </w:r>
      <w:bookmarkEnd w:id="690"/>
    </w:p>
    <w:p w14:paraId="67954623">
      <w:pPr>
        <w:widowControl/>
        <w:spacing w:line="360" w:lineRule="auto"/>
        <w:ind w:firstLine="482" w:firstLineChars="200"/>
        <w:jc w:val="left"/>
        <w:rPr>
          <w:rFonts w:ascii="宋体" w:hAnsi="宋体" w:cs="宋体"/>
          <w:b/>
          <w:i w:val="0"/>
          <w:iCs w:val="0"/>
          <w:color w:val="auto"/>
          <w:sz w:val="24"/>
          <w:highlight w:val="none"/>
        </w:rPr>
      </w:pPr>
      <w:r>
        <w:rPr>
          <w:rFonts w:hint="eastAsia" w:ascii="宋体" w:hAnsi="宋体" w:cs="宋体"/>
          <w:b/>
          <w:i w:val="0"/>
          <w:iCs w:val="0"/>
          <w:color w:val="auto"/>
          <w:sz w:val="24"/>
          <w:highlight w:val="none"/>
        </w:rPr>
        <w:t>（以联合体形式</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的，提供联合</w:t>
      </w:r>
      <w:r>
        <w:rPr>
          <w:rFonts w:hint="eastAsia" w:cs="宋体"/>
          <w:b/>
          <w:i w:val="0"/>
          <w:iCs w:val="0"/>
          <w:color w:val="auto"/>
          <w:sz w:val="24"/>
          <w:highlight w:val="none"/>
          <w:lang w:val="en-US" w:eastAsia="zh-CN"/>
        </w:rPr>
        <w:t>体</w:t>
      </w:r>
      <w:r>
        <w:rPr>
          <w:rFonts w:hint="eastAsia" w:ascii="宋体" w:hAnsi="宋体" w:cs="宋体"/>
          <w:b/>
          <w:i w:val="0"/>
          <w:iCs w:val="0"/>
          <w:color w:val="auto"/>
          <w:sz w:val="24"/>
          <w:highlight w:val="none"/>
        </w:rPr>
        <w:t>协议</w:t>
      </w:r>
      <w:r>
        <w:rPr>
          <w:rFonts w:hint="eastAsia" w:cs="宋体"/>
          <w:b/>
          <w:i w:val="0"/>
          <w:iCs w:val="0"/>
          <w:color w:val="auto"/>
          <w:sz w:val="24"/>
          <w:highlight w:val="none"/>
          <w:lang w:val="en-US" w:eastAsia="zh-CN"/>
        </w:rPr>
        <w:t>书</w:t>
      </w:r>
      <w:r>
        <w:rPr>
          <w:rFonts w:hint="eastAsia" w:ascii="宋体" w:hAnsi="宋体" w:cs="宋体"/>
          <w:b/>
          <w:i w:val="0"/>
          <w:iCs w:val="0"/>
          <w:color w:val="auto"/>
          <w:sz w:val="24"/>
          <w:highlight w:val="none"/>
        </w:rPr>
        <w:t>；本项目不接受联合体</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或者</w:t>
      </w:r>
      <w:r>
        <w:rPr>
          <w:rFonts w:hint="eastAsia" w:cs="宋体"/>
          <w:b/>
          <w:i w:val="0"/>
          <w:iCs w:val="0"/>
          <w:color w:val="auto"/>
          <w:sz w:val="24"/>
          <w:highlight w:val="none"/>
          <w:lang w:val="en-US" w:eastAsia="zh-CN"/>
        </w:rPr>
        <w:t>供应商</w:t>
      </w:r>
      <w:r>
        <w:rPr>
          <w:rFonts w:hint="eastAsia" w:ascii="宋体" w:hAnsi="宋体" w:cs="宋体"/>
          <w:b/>
          <w:i w:val="0"/>
          <w:iCs w:val="0"/>
          <w:color w:val="auto"/>
          <w:sz w:val="24"/>
          <w:highlight w:val="none"/>
        </w:rPr>
        <w:t>不以联合体形式</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的，则不需要提供）</w:t>
      </w:r>
    </w:p>
    <w:p w14:paraId="14187E6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（联合体所有成员名称）</w:t>
      </w:r>
      <w:r>
        <w:rPr>
          <w:rFonts w:hint="eastAsia" w:ascii="宋体" w:hAnsi="宋体" w:cs="宋体"/>
          <w:i w:val="0"/>
          <w:iCs w:val="0"/>
          <w:color w:val="auto"/>
          <w:kern w:val="0"/>
          <w:sz w:val="24"/>
          <w:highlight w:val="none"/>
        </w:rPr>
        <w:t>自愿</w:t>
      </w:r>
      <w:r>
        <w:rPr>
          <w:rFonts w:hint="eastAsia" w:ascii="宋体" w:hAnsi="宋体" w:cs="宋体"/>
          <w:i w:val="0"/>
          <w:iCs w:val="0"/>
          <w:color w:val="auto"/>
          <w:kern w:val="0"/>
          <w:sz w:val="24"/>
          <w:highlight w:val="none"/>
          <w:lang w:val="zh-CN"/>
        </w:rPr>
        <w:t>组成一个联合体，以一个</w:t>
      </w:r>
      <w:r>
        <w:rPr>
          <w:rFonts w:hint="eastAsia" w:cs="宋体"/>
          <w:i w:val="0"/>
          <w:iCs w:val="0"/>
          <w:color w:val="auto"/>
          <w:kern w:val="0"/>
          <w:sz w:val="24"/>
          <w:highlight w:val="none"/>
          <w:lang w:val="en-US" w:eastAsia="zh-CN"/>
        </w:rPr>
        <w:t>供应商</w:t>
      </w:r>
      <w:r>
        <w:rPr>
          <w:rFonts w:hint="eastAsia" w:ascii="宋体" w:hAnsi="宋体" w:cs="宋体"/>
          <w:i w:val="0"/>
          <w:iCs w:val="0"/>
          <w:color w:val="auto"/>
          <w:kern w:val="0"/>
          <w:sz w:val="24"/>
          <w:highlight w:val="none"/>
          <w:lang w:val="zh-CN"/>
        </w:rPr>
        <w:t>的身份</w:t>
      </w:r>
      <w:r>
        <w:rPr>
          <w:rFonts w:hint="eastAsia" w:ascii="宋体" w:hAnsi="宋体" w:cs="宋体"/>
          <w:i w:val="0"/>
          <w:iCs w:val="0"/>
          <w:color w:val="auto"/>
          <w:kern w:val="0"/>
          <w:sz w:val="24"/>
          <w:highlight w:val="none"/>
        </w:rPr>
        <w:t>参加</w:t>
      </w:r>
      <w:r>
        <w:rPr>
          <w:rFonts w:hint="eastAsia" w:ascii="宋体" w:hAnsi="宋体" w:cs="宋体"/>
          <w:i w:val="0"/>
          <w:iCs w:val="0"/>
          <w:color w:val="auto"/>
          <w:sz w:val="24"/>
          <w:highlight w:val="none"/>
          <w:u w:val="single"/>
        </w:rPr>
        <w:t>（项目名称）</w:t>
      </w:r>
      <w:r>
        <w:rPr>
          <w:rFonts w:hint="eastAsia"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项目</w:t>
      </w:r>
      <w:r>
        <w:rPr>
          <w:rFonts w:hint="eastAsia" w:ascii="宋体" w:hAnsi="宋体" w:cs="宋体"/>
          <w:i w:val="0"/>
          <w:iCs w:val="0"/>
          <w:color w:val="auto"/>
          <w:sz w:val="24"/>
          <w:highlight w:val="none"/>
        </w:rPr>
        <w:t>编号</w:t>
      </w:r>
      <w:r>
        <w:rPr>
          <w:rFonts w:hint="eastAsia" w:cs="宋体"/>
          <w:i w:val="0"/>
          <w:iCs w:val="0"/>
          <w:color w:val="auto"/>
          <w:sz w:val="24"/>
          <w:highlight w:val="none"/>
          <w:lang w:val="en-US" w:eastAsia="zh-CN"/>
        </w:rPr>
        <w:t>/包号</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 xml:space="preserve">    </w:t>
      </w:r>
      <w:r>
        <w:rPr>
          <w:rFonts w:hint="eastAsia" w:ascii="宋体" w:hAnsi="宋体" w:cs="宋体"/>
          <w:i w:val="0"/>
          <w:iCs w:val="0"/>
          <w:color w:val="auto"/>
          <w:sz w:val="24"/>
          <w:highlight w:val="none"/>
        </w:rPr>
        <w:t>】</w:t>
      </w:r>
      <w:r>
        <w:rPr>
          <w:rFonts w:hint="eastAsia" w:cs="宋体"/>
          <w:i w:val="0"/>
          <w:iCs w:val="0"/>
          <w:color w:val="auto"/>
          <w:kern w:val="0"/>
          <w:sz w:val="24"/>
          <w:highlight w:val="none"/>
          <w:lang w:val="en-US" w:eastAsia="zh-CN"/>
        </w:rPr>
        <w:t>磋商</w:t>
      </w:r>
      <w:r>
        <w:rPr>
          <w:rFonts w:hint="eastAsia" w:ascii="宋体" w:hAnsi="宋体" w:cs="宋体"/>
          <w:i w:val="0"/>
          <w:iCs w:val="0"/>
          <w:color w:val="auto"/>
          <w:kern w:val="0"/>
          <w:sz w:val="24"/>
          <w:highlight w:val="none"/>
          <w:lang w:val="zh-CN"/>
        </w:rPr>
        <w:t xml:space="preserve">。 </w:t>
      </w:r>
    </w:p>
    <w:p w14:paraId="5649241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一、各方一致决定，</w:t>
      </w:r>
      <w:r>
        <w:rPr>
          <w:rFonts w:hint="eastAsia" w:ascii="宋体" w:hAnsi="宋体" w:cs="宋体"/>
          <w:i w:val="0"/>
          <w:iCs w:val="0"/>
          <w:color w:val="auto"/>
          <w:kern w:val="0"/>
          <w:sz w:val="24"/>
          <w:highlight w:val="none"/>
          <w:u w:val="single"/>
        </w:rPr>
        <w:t>（某联合体成员名称）</w:t>
      </w:r>
      <w:r>
        <w:rPr>
          <w:rFonts w:hint="eastAsia" w:ascii="宋体" w:hAnsi="宋体" w:cs="宋体"/>
          <w:i w:val="0"/>
          <w:iCs w:val="0"/>
          <w:color w:val="auto"/>
          <w:kern w:val="0"/>
          <w:sz w:val="24"/>
          <w:highlight w:val="none"/>
        </w:rPr>
        <w:t>为联合体</w:t>
      </w:r>
      <w:r>
        <w:rPr>
          <w:rFonts w:hint="eastAsia" w:ascii="宋体" w:hAnsi="宋体" w:cs="宋体"/>
          <w:i w:val="0"/>
          <w:iCs w:val="0"/>
          <w:color w:val="auto"/>
          <w:kern w:val="0"/>
          <w:sz w:val="24"/>
          <w:highlight w:val="none"/>
          <w:lang w:val="zh-CN"/>
        </w:rPr>
        <w:t>牵头人</w:t>
      </w:r>
      <w:r>
        <w:rPr>
          <w:rFonts w:hint="eastAsia" w:ascii="宋体" w:hAnsi="宋体" w:cs="宋体"/>
          <w:i w:val="0"/>
          <w:iCs w:val="0"/>
          <w:color w:val="auto"/>
          <w:sz w:val="24"/>
          <w:highlight w:val="none"/>
        </w:rPr>
        <w:t>，代表所有联合体</w:t>
      </w:r>
      <w:r>
        <w:rPr>
          <w:rFonts w:hint="eastAsia" w:ascii="宋体" w:hAnsi="宋体" w:eastAsia="宋体" w:cs="宋体"/>
          <w:i w:val="0"/>
          <w:iCs w:val="0"/>
          <w:color w:val="auto"/>
          <w:sz w:val="24"/>
          <w:highlight w:val="none"/>
        </w:rPr>
        <w:t>成员负责</w:t>
      </w:r>
      <w:r>
        <w:rPr>
          <w:rFonts w:hint="eastAsia" w:ascii="宋体" w:hAnsi="宋体" w:eastAsia="宋体" w:cs="宋体"/>
          <w:i w:val="0"/>
          <w:iCs w:val="0"/>
          <w:color w:val="auto"/>
          <w:sz w:val="24"/>
          <w:highlight w:val="none"/>
          <w:lang w:val="en-US" w:eastAsia="zh-CN"/>
        </w:rPr>
        <w:t>磋商响应</w:t>
      </w:r>
      <w:r>
        <w:rPr>
          <w:rFonts w:hint="eastAsia" w:ascii="宋体" w:hAnsi="宋体" w:eastAsia="宋体" w:cs="宋体"/>
          <w:i w:val="0"/>
          <w:iCs w:val="0"/>
          <w:color w:val="auto"/>
          <w:sz w:val="24"/>
          <w:highlight w:val="none"/>
        </w:rPr>
        <w:t>和合同实施阶段的</w:t>
      </w:r>
      <w:r>
        <w:rPr>
          <w:rFonts w:hint="eastAsia" w:ascii="宋体" w:hAnsi="宋体" w:cs="宋体"/>
          <w:i w:val="0"/>
          <w:iCs w:val="0"/>
          <w:color w:val="auto"/>
          <w:sz w:val="24"/>
          <w:highlight w:val="none"/>
        </w:rPr>
        <w:t>主办、协调工作</w:t>
      </w:r>
      <w:r>
        <w:rPr>
          <w:rFonts w:hint="eastAsia" w:ascii="宋体" w:hAnsi="宋体" w:cs="宋体"/>
          <w:i w:val="0"/>
          <w:iCs w:val="0"/>
          <w:color w:val="auto"/>
          <w:kern w:val="0"/>
          <w:sz w:val="24"/>
          <w:highlight w:val="none"/>
          <w:lang w:val="zh-CN"/>
        </w:rPr>
        <w:t>。</w:t>
      </w:r>
    </w:p>
    <w:p w14:paraId="0D56DBD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w:t>
      </w:r>
      <w:r>
        <w:rPr>
          <w:rFonts w:hint="eastAsia" w:ascii="宋体" w:hAnsi="宋体" w:cs="宋体"/>
          <w:i w:val="0"/>
          <w:iCs w:val="0"/>
          <w:color w:val="auto"/>
          <w:sz w:val="24"/>
          <w:highlight w:val="none"/>
        </w:rPr>
        <w:t>所有联合体成员各方签署授权书，授权书载明的</w:t>
      </w:r>
      <w:r>
        <w:rPr>
          <w:rFonts w:hint="eastAsia" w:ascii="宋体" w:hAnsi="宋体" w:cs="宋体"/>
          <w:i w:val="0"/>
          <w:iCs w:val="0"/>
          <w:color w:val="auto"/>
          <w:kern w:val="0"/>
          <w:sz w:val="24"/>
          <w:highlight w:val="none"/>
          <w:lang w:val="zh-CN"/>
        </w:rPr>
        <w:t>授权代表根据</w:t>
      </w:r>
      <w:r>
        <w:rPr>
          <w:rFonts w:hint="eastAsia" w:ascii="宋体" w:hAnsi="宋体" w:cs="宋体"/>
          <w:i w:val="0"/>
          <w:iCs w:val="0"/>
          <w:color w:val="auto"/>
          <w:kern w:val="0"/>
          <w:sz w:val="24"/>
          <w:highlight w:val="none"/>
          <w:lang w:val="zh-CN" w:eastAsia="zh-CN"/>
        </w:rPr>
        <w:t>竞争性磋商</w:t>
      </w:r>
      <w:r>
        <w:rPr>
          <w:rFonts w:hint="eastAsia" w:ascii="宋体" w:hAnsi="宋体" w:cs="宋体"/>
          <w:i w:val="0"/>
          <w:iCs w:val="0"/>
          <w:color w:val="auto"/>
          <w:kern w:val="0"/>
          <w:sz w:val="24"/>
          <w:highlight w:val="none"/>
          <w:lang w:val="zh-CN"/>
        </w:rPr>
        <w:t>文件规定及</w:t>
      </w:r>
      <w:r>
        <w:rPr>
          <w:rFonts w:hint="eastAsia" w:cs="宋体"/>
          <w:i w:val="0"/>
          <w:iCs w:val="0"/>
          <w:color w:val="auto"/>
          <w:kern w:val="0"/>
          <w:sz w:val="24"/>
          <w:highlight w:val="none"/>
          <w:lang w:val="en-US" w:eastAsia="zh-CN"/>
        </w:rPr>
        <w:t>响应</w:t>
      </w:r>
      <w:r>
        <w:rPr>
          <w:rFonts w:hint="eastAsia" w:ascii="宋体" w:hAnsi="宋体" w:cs="宋体"/>
          <w:i w:val="0"/>
          <w:iCs w:val="0"/>
          <w:color w:val="auto"/>
          <w:kern w:val="0"/>
          <w:sz w:val="24"/>
          <w:highlight w:val="none"/>
          <w:lang w:val="zh-CN"/>
        </w:rPr>
        <w:t>内容而对采购人、采购代理机构所作的任何合法承诺，包括书面澄清及相应等均对联合投标各方产生约束力。</w:t>
      </w:r>
    </w:p>
    <w:p w14:paraId="07A293CC">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三、本次联合</w:t>
      </w:r>
      <w:r>
        <w:rPr>
          <w:rFonts w:hint="eastAsia" w:cs="宋体"/>
          <w:i w:val="0"/>
          <w:iCs w:val="0"/>
          <w:color w:val="auto"/>
          <w:kern w:val="0"/>
          <w:sz w:val="24"/>
          <w:highlight w:val="none"/>
          <w:lang w:val="en-US" w:eastAsia="zh-CN"/>
        </w:rPr>
        <w:t>磋商响应</w:t>
      </w:r>
      <w:r>
        <w:rPr>
          <w:rFonts w:hint="eastAsia" w:ascii="宋体" w:hAnsi="宋体" w:cs="宋体"/>
          <w:i w:val="0"/>
          <w:iCs w:val="0"/>
          <w:color w:val="auto"/>
          <w:kern w:val="0"/>
          <w:sz w:val="24"/>
          <w:highlight w:val="none"/>
          <w:lang w:val="zh-CN"/>
        </w:rPr>
        <w:t>中，分工如下：</w:t>
      </w:r>
    </w:p>
    <w:p w14:paraId="1C5D81AB">
      <w:pPr>
        <w:snapToGrid w:val="0"/>
        <w:spacing w:line="360" w:lineRule="auto"/>
        <w:ind w:firstLine="576"/>
        <w:rPr>
          <w:rFonts w:ascii="宋体" w:hAnsi="宋体" w:cs="宋体"/>
          <w:i w:val="0"/>
          <w:iCs w:val="0"/>
          <w:color w:val="auto"/>
          <w:kern w:val="0"/>
          <w:sz w:val="24"/>
          <w:highlight w:val="none"/>
          <w:lang w:val="zh-CN"/>
        </w:rPr>
      </w:pPr>
      <w:bookmarkStart w:id="691" w:name="_Hlk101134295"/>
      <w:r>
        <w:rPr>
          <w:rFonts w:hint="eastAsia" w:ascii="宋体" w:hAnsi="宋体" w:cs="宋体"/>
          <w:i w:val="0"/>
          <w:iCs w:val="0"/>
          <w:color w:val="auto"/>
          <w:kern w:val="0"/>
          <w:sz w:val="24"/>
          <w:highlight w:val="none"/>
          <w:u w:val="single"/>
        </w:rPr>
        <w:t>（联合体成员1）</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lang w:val="zh-CN"/>
        </w:rPr>
        <w:t>承担</w:t>
      </w:r>
      <w:r>
        <w:rPr>
          <w:rFonts w:hint="eastAsia" w:ascii="宋体" w:hAnsi="宋体" w:cs="宋体"/>
          <w:i w:val="0"/>
          <w:iCs w:val="0"/>
          <w:color w:val="auto"/>
          <w:kern w:val="0"/>
          <w:sz w:val="24"/>
          <w:highlight w:val="none"/>
          <w:lang w:val="en-US" w:eastAsia="zh-CN"/>
        </w:rPr>
        <w:t>项目采购合同金额的</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u w:val="none"/>
          <w:lang w:val="en-US" w:eastAsia="zh-CN"/>
        </w:rPr>
        <w:t>，负责</w:t>
      </w:r>
      <w:r>
        <w:rPr>
          <w:rFonts w:hint="eastAsia" w:ascii="宋体" w:hAnsi="宋体" w:cs="宋体"/>
          <w:i w:val="0"/>
          <w:iCs w:val="0"/>
          <w:color w:val="auto"/>
          <w:kern w:val="0"/>
          <w:sz w:val="24"/>
          <w:highlight w:val="none"/>
          <w:lang w:val="zh-CN"/>
        </w:rPr>
        <w:t>的工作和义务为：</w:t>
      </w: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w:t>
      </w:r>
    </w:p>
    <w:p w14:paraId="3BADC44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2</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lang w:val="zh-CN"/>
        </w:rPr>
        <w:t>承担</w:t>
      </w:r>
      <w:r>
        <w:rPr>
          <w:rFonts w:hint="eastAsia" w:ascii="宋体" w:hAnsi="宋体" w:cs="宋体"/>
          <w:i w:val="0"/>
          <w:iCs w:val="0"/>
          <w:color w:val="auto"/>
          <w:kern w:val="0"/>
          <w:sz w:val="24"/>
          <w:highlight w:val="none"/>
          <w:lang w:val="en-US" w:eastAsia="zh-CN"/>
        </w:rPr>
        <w:t>项目采购合同金额的</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u w:val="none"/>
          <w:lang w:val="en-US" w:eastAsia="zh-CN"/>
        </w:rPr>
        <w:t>，负责</w:t>
      </w:r>
      <w:r>
        <w:rPr>
          <w:rFonts w:hint="eastAsia" w:ascii="宋体" w:hAnsi="宋体" w:cs="宋体"/>
          <w:i w:val="0"/>
          <w:iCs w:val="0"/>
          <w:color w:val="auto"/>
          <w:kern w:val="0"/>
          <w:sz w:val="24"/>
          <w:highlight w:val="none"/>
          <w:lang w:val="zh-CN"/>
        </w:rPr>
        <w:t>的工作和义务为：</w:t>
      </w: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w:t>
      </w:r>
    </w:p>
    <w:p w14:paraId="67CB0AD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w:t>
      </w:r>
    </w:p>
    <w:bookmarkEnd w:id="691"/>
    <w:p w14:paraId="15AF1CA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四、联合体成员中小企业合同份额。</w:t>
      </w:r>
    </w:p>
    <w:p w14:paraId="3CA3168E">
      <w:pPr>
        <w:snapToGrid w:val="0"/>
        <w:spacing w:line="360" w:lineRule="auto"/>
        <w:ind w:firstLine="576"/>
        <w:rPr>
          <w:rFonts w:ascii="宋体" w:hAnsi="宋体" w:cs="宋体"/>
          <w:b/>
          <w:i w:val="0"/>
          <w:iCs w:val="0"/>
          <w:color w:val="auto"/>
          <w:kern w:val="0"/>
          <w:sz w:val="24"/>
          <w:highlight w:val="none"/>
          <w:lang w:val="zh-CN"/>
        </w:rPr>
      </w:pPr>
      <w:r>
        <w:rPr>
          <w:rFonts w:hint="eastAsia" w:ascii="宋体" w:hAnsi="宋体" w:cs="宋体"/>
          <w:i w:val="0"/>
          <w:iCs w:val="0"/>
          <w:color w:val="auto"/>
          <w:kern w:val="0"/>
          <w:sz w:val="24"/>
          <w:highlight w:val="none"/>
          <w:lang w:val="zh-CN"/>
        </w:rPr>
        <w:t>1、</w:t>
      </w:r>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X,</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rPr>
        <w:t>提供的全部</w:t>
      </w:r>
      <w:r>
        <w:rPr>
          <w:rFonts w:hint="eastAsia" w:cs="宋体"/>
          <w:i w:val="0"/>
          <w:iCs w:val="0"/>
          <w:color w:val="auto"/>
          <w:kern w:val="0"/>
          <w:sz w:val="24"/>
          <w:highlight w:val="none"/>
          <w:lang w:val="en-US" w:eastAsia="zh-CN"/>
        </w:rPr>
        <w:t>服务及包含的</w:t>
      </w:r>
      <w:r>
        <w:rPr>
          <w:rFonts w:hint="eastAsia" w:ascii="宋体" w:hAnsi="宋体" w:cs="宋体"/>
          <w:i w:val="0"/>
          <w:iCs w:val="0"/>
          <w:color w:val="auto"/>
          <w:kern w:val="0"/>
          <w:sz w:val="24"/>
          <w:highlight w:val="none"/>
        </w:rPr>
        <w:t>货物由小微企业制造，其合同份额占到合同总金额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kern w:val="0"/>
          <w:sz w:val="24"/>
          <w:highlight w:val="none"/>
          <w:lang w:val="zh-CN"/>
        </w:rPr>
        <w:t>……。</w:t>
      </w:r>
      <w:r>
        <w:rPr>
          <w:rFonts w:hint="eastAsia" w:ascii="宋体" w:hAnsi="宋体" w:cs="宋体"/>
          <w:b/>
          <w:i w:val="0"/>
          <w:iCs w:val="0"/>
          <w:color w:val="auto"/>
          <w:kern w:val="0"/>
          <w:sz w:val="24"/>
          <w:highlight w:val="none"/>
          <w:lang w:val="zh-CN"/>
        </w:rPr>
        <w:t>（未预留份额专门面向中小企业采购的采购项目，以及预留份额中的非预留部分采购包，接受联合体投标的，联合</w:t>
      </w:r>
      <w:r>
        <w:rPr>
          <w:rFonts w:hint="eastAsia" w:cs="宋体"/>
          <w:b/>
          <w:i w:val="0"/>
          <w:iCs w:val="0"/>
          <w:color w:val="auto"/>
          <w:kern w:val="0"/>
          <w:sz w:val="24"/>
          <w:highlight w:val="none"/>
          <w:lang w:val="en-US" w:eastAsia="zh-CN"/>
        </w:rPr>
        <w:t>体</w:t>
      </w:r>
      <w:r>
        <w:rPr>
          <w:rFonts w:hint="eastAsia" w:ascii="宋体" w:hAnsi="宋体" w:cs="宋体"/>
          <w:b/>
          <w:i w:val="0"/>
          <w:iCs w:val="0"/>
          <w:color w:val="auto"/>
          <w:kern w:val="0"/>
          <w:sz w:val="24"/>
          <w:highlight w:val="none"/>
          <w:lang w:val="zh-CN"/>
        </w:rPr>
        <w:t>协议</w:t>
      </w:r>
      <w:r>
        <w:rPr>
          <w:rFonts w:hint="eastAsia" w:cs="宋体"/>
          <w:b/>
          <w:i w:val="0"/>
          <w:iCs w:val="0"/>
          <w:color w:val="auto"/>
          <w:kern w:val="0"/>
          <w:sz w:val="24"/>
          <w:highlight w:val="none"/>
          <w:lang w:val="en-US" w:eastAsia="zh-CN"/>
        </w:rPr>
        <w:t>书</w:t>
      </w:r>
      <w:r>
        <w:rPr>
          <w:rFonts w:hint="eastAsia" w:ascii="宋体" w:hAnsi="宋体" w:cs="宋体"/>
          <w:b/>
          <w:i w:val="0"/>
          <w:iCs w:val="0"/>
          <w:color w:val="auto"/>
          <w:kern w:val="0"/>
          <w:sz w:val="24"/>
          <w:highlight w:val="none"/>
          <w:lang w:val="zh-CN"/>
        </w:rPr>
        <w:t>约定小微企业的合同份额占到合同总金额30%以上的，对联合体报价按评</w:t>
      </w:r>
      <w:r>
        <w:rPr>
          <w:rFonts w:hint="eastAsia" w:cs="宋体"/>
          <w:b/>
          <w:i w:val="0"/>
          <w:iCs w:val="0"/>
          <w:color w:val="auto"/>
          <w:kern w:val="0"/>
          <w:sz w:val="24"/>
          <w:highlight w:val="none"/>
          <w:lang w:val="en-US" w:eastAsia="zh-CN"/>
        </w:rPr>
        <w:t>审</w:t>
      </w:r>
      <w:r>
        <w:rPr>
          <w:rFonts w:hint="eastAsia" w:ascii="宋体" w:hAnsi="宋体" w:cs="宋体"/>
          <w:b/>
          <w:i w:val="0"/>
          <w:iCs w:val="0"/>
          <w:color w:val="auto"/>
          <w:kern w:val="0"/>
          <w:sz w:val="24"/>
          <w:highlight w:val="none"/>
          <w:lang w:val="zh-CN"/>
        </w:rPr>
        <w:t>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47752F4F">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sz w:val="24"/>
          <w:highlight w:val="none"/>
        </w:rPr>
        <w:t>2、中小企业合同金额达到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%，其中小微企业合同金额达到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要求以联合体形式参加的项目或采购包，供应商按</w:t>
      </w:r>
      <w:r>
        <w:rPr>
          <w:rFonts w:hint="eastAsia" w:cs="宋体"/>
          <w:b/>
          <w:bCs/>
          <w:i w:val="0"/>
          <w:iCs w:val="0"/>
          <w:color w:val="auto"/>
          <w:sz w:val="24"/>
          <w:highlight w:val="none"/>
          <w:lang w:val="en-US" w:eastAsia="zh-CN"/>
        </w:rPr>
        <w:t>竞争性磋商</w:t>
      </w:r>
      <w:r>
        <w:rPr>
          <w:rFonts w:hint="eastAsia" w:ascii="宋体" w:hAnsi="宋体" w:cs="宋体"/>
          <w:b/>
          <w:bCs/>
          <w:i w:val="0"/>
          <w:iCs w:val="0"/>
          <w:color w:val="auto"/>
          <w:sz w:val="24"/>
          <w:highlight w:val="none"/>
        </w:rPr>
        <w:t>文件第一部分</w:t>
      </w:r>
      <w:r>
        <w:rPr>
          <w:rFonts w:hint="eastAsia" w:cs="宋体"/>
          <w:b/>
          <w:bCs/>
          <w:i w:val="0"/>
          <w:iCs w:val="0"/>
          <w:color w:val="auto"/>
          <w:sz w:val="24"/>
          <w:highlight w:val="none"/>
          <w:lang w:val="en-US" w:eastAsia="zh-CN"/>
        </w:rPr>
        <w:t>竞争性磋商</w:t>
      </w:r>
      <w:r>
        <w:rPr>
          <w:rFonts w:hint="eastAsia" w:ascii="宋体" w:hAnsi="宋体" w:cs="宋体"/>
          <w:b/>
          <w:bCs/>
          <w:i w:val="0"/>
          <w:iCs w:val="0"/>
          <w:color w:val="auto"/>
          <w:sz w:val="24"/>
          <w:highlight w:val="none"/>
        </w:rPr>
        <w:t>公告申请人的资格要求中规定的联合</w:t>
      </w:r>
      <w:r>
        <w:rPr>
          <w:rFonts w:hint="eastAsia" w:cs="宋体"/>
          <w:b/>
          <w:bCs/>
          <w:i w:val="0"/>
          <w:iCs w:val="0"/>
          <w:color w:val="auto"/>
          <w:sz w:val="24"/>
          <w:highlight w:val="none"/>
          <w:lang w:val="en-US" w:eastAsia="zh-CN"/>
        </w:rPr>
        <w:t>体</w:t>
      </w:r>
      <w:r>
        <w:rPr>
          <w:rFonts w:hint="eastAsia" w:ascii="宋体" w:hAnsi="宋体" w:cs="宋体"/>
          <w:b/>
          <w:bCs/>
          <w:i w:val="0"/>
          <w:iCs w:val="0"/>
          <w:color w:val="auto"/>
          <w:sz w:val="24"/>
          <w:highlight w:val="none"/>
        </w:rPr>
        <w:t>协议</w:t>
      </w:r>
      <w:r>
        <w:rPr>
          <w:rFonts w:hint="eastAsia" w:cs="宋体"/>
          <w:b/>
          <w:bCs/>
          <w:i w:val="0"/>
          <w:iCs w:val="0"/>
          <w:color w:val="auto"/>
          <w:sz w:val="24"/>
          <w:highlight w:val="none"/>
          <w:lang w:val="en-US" w:eastAsia="zh-CN"/>
        </w:rPr>
        <w:t>书</w:t>
      </w:r>
      <w:r>
        <w:rPr>
          <w:rFonts w:hint="eastAsia" w:ascii="宋体" w:hAnsi="宋体" w:cs="宋体"/>
          <w:b/>
          <w:bCs/>
          <w:i w:val="0"/>
          <w:iCs w:val="0"/>
          <w:color w:val="auto"/>
          <w:sz w:val="24"/>
          <w:highlight w:val="none"/>
        </w:rPr>
        <w:t>中中小企业、小微企业合同金额应当达到的比例要求填写。</w:t>
      </w:r>
      <w:r>
        <w:rPr>
          <w:rFonts w:hint="eastAsia" w:ascii="宋体" w:hAnsi="宋体" w:cs="宋体"/>
          <w:b/>
          <w:bCs/>
          <w:i w:val="0"/>
          <w:iCs w:val="0"/>
          <w:color w:val="auto"/>
          <w:kern w:val="0"/>
          <w:sz w:val="24"/>
          <w:highlight w:val="none"/>
          <w:lang w:val="zh-CN"/>
        </w:rPr>
        <w:t>）</w:t>
      </w:r>
    </w:p>
    <w:p w14:paraId="37189879">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五、如果</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sz w:val="24"/>
          <w:highlight w:val="none"/>
        </w:rPr>
        <w:t>联合体各成员方共同与采购人签订</w:t>
      </w:r>
      <w:r>
        <w:rPr>
          <w:rFonts w:hint="eastAsia" w:ascii="宋体" w:hAnsi="宋体" w:cs="宋体"/>
          <w:i w:val="0"/>
          <w:iCs w:val="0"/>
          <w:color w:val="auto"/>
          <w:sz w:val="24"/>
          <w:highlight w:val="none"/>
          <w:lang w:val="en-US" w:eastAsia="zh-CN"/>
        </w:rPr>
        <w:t>采购</w:t>
      </w:r>
      <w:r>
        <w:rPr>
          <w:rFonts w:hint="eastAsia" w:ascii="宋体" w:hAnsi="宋体" w:cs="宋体"/>
          <w:i w:val="0"/>
          <w:iCs w:val="0"/>
          <w:color w:val="auto"/>
          <w:sz w:val="24"/>
          <w:highlight w:val="none"/>
        </w:rPr>
        <w:t>合同，并就采购合同约定的事项对采购人承担连带责任。</w:t>
      </w:r>
    </w:p>
    <w:p w14:paraId="4189AEE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六、有关本次联合</w:t>
      </w:r>
      <w:r>
        <w:rPr>
          <w:rFonts w:hint="eastAsia" w:cs="宋体"/>
          <w:i w:val="0"/>
          <w:iCs w:val="0"/>
          <w:color w:val="auto"/>
          <w:kern w:val="0"/>
          <w:sz w:val="24"/>
          <w:highlight w:val="none"/>
          <w:lang w:val="en-US" w:eastAsia="zh-CN"/>
        </w:rPr>
        <w:t>磋商响应</w:t>
      </w:r>
      <w:r>
        <w:rPr>
          <w:rFonts w:hint="eastAsia" w:ascii="宋体" w:hAnsi="宋体" w:cs="宋体"/>
          <w:i w:val="0"/>
          <w:iCs w:val="0"/>
          <w:color w:val="auto"/>
          <w:kern w:val="0"/>
          <w:sz w:val="24"/>
          <w:highlight w:val="none"/>
          <w:lang w:val="zh-CN"/>
        </w:rPr>
        <w:t>的其他事宜：</w:t>
      </w:r>
    </w:p>
    <w:p w14:paraId="0314761C">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1、联合体各方不再单独参加或者与其他供应商另外组成联合体参加同一合同项下的政府采购活动。</w:t>
      </w:r>
    </w:p>
    <w:p w14:paraId="7802B51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2、联合体中有同类资质的各方按照联合体分工承担相同工作的，按照资质等级较低的供应商确定资质等级。</w:t>
      </w:r>
    </w:p>
    <w:p w14:paraId="288D0668">
      <w:pPr>
        <w:snapToGrid w:val="0"/>
        <w:spacing w:line="360" w:lineRule="auto"/>
        <w:ind w:firstLine="576"/>
        <w:rPr>
          <w:rFonts w:hint="eastAsia"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3、本协议提交采购人、采购代理机构后，联合体各方不得以任何形式对上述内容进行修改或撤销。</w:t>
      </w:r>
    </w:p>
    <w:p w14:paraId="6D0ADF90">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4、</w:t>
      </w:r>
      <w:r>
        <w:rPr>
          <w:rFonts w:hint="eastAsia" w:ascii="宋体" w:hAnsi="宋体" w:cs="宋体"/>
          <w:i w:val="0"/>
          <w:iCs w:val="0"/>
          <w:color w:val="auto"/>
          <w:kern w:val="0"/>
          <w:sz w:val="24"/>
          <w:highlight w:val="none"/>
          <w:lang w:val="zh-CN"/>
        </w:rPr>
        <w:t>其他：……</w:t>
      </w:r>
    </w:p>
    <w:p w14:paraId="43009373">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5、</w:t>
      </w:r>
      <w:r>
        <w:rPr>
          <w:rFonts w:hint="eastAsia" w:ascii="宋体" w:hAnsi="宋体" w:cs="宋体"/>
          <w:i w:val="0"/>
          <w:iCs w:val="0"/>
          <w:color w:val="auto"/>
          <w:kern w:val="0"/>
          <w:sz w:val="24"/>
          <w:highlight w:val="none"/>
          <w:lang w:val="zh-CN"/>
        </w:rPr>
        <w:t>本协议书自签署之日起生效，若未</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，自本</w:t>
      </w:r>
      <w:r>
        <w:rPr>
          <w:rFonts w:hint="eastAsia" w:cs="宋体"/>
          <w:i w:val="0"/>
          <w:iCs w:val="0"/>
          <w:color w:val="auto"/>
          <w:kern w:val="0"/>
          <w:sz w:val="24"/>
          <w:highlight w:val="none"/>
          <w:lang w:val="en-US" w:eastAsia="zh-CN"/>
        </w:rPr>
        <w:t>响应文件</w:t>
      </w:r>
      <w:r>
        <w:rPr>
          <w:rFonts w:hint="eastAsia" w:ascii="宋体" w:hAnsi="宋体" w:cs="宋体"/>
          <w:i w:val="0"/>
          <w:iCs w:val="0"/>
          <w:color w:val="auto"/>
          <w:kern w:val="0"/>
          <w:sz w:val="24"/>
          <w:highlight w:val="none"/>
          <w:lang w:val="zh-CN"/>
        </w:rPr>
        <w:t>有效期结束后自行失效；若</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，自合同书规定的期限之后自行失效。</w:t>
      </w:r>
    </w:p>
    <w:p w14:paraId="580F475F">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6、</w:t>
      </w:r>
      <w:r>
        <w:rPr>
          <w:rFonts w:hint="eastAsia" w:ascii="宋体" w:hAnsi="宋体" w:cs="宋体"/>
          <w:i w:val="0"/>
          <w:iCs w:val="0"/>
          <w:color w:val="auto"/>
          <w:kern w:val="0"/>
          <w:sz w:val="24"/>
          <w:highlight w:val="none"/>
          <w:lang w:val="zh-CN"/>
        </w:rPr>
        <w:t>本协议书正本一式</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份，联合体成员各执</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份；副本一式</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份，联合体成员各执</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w:t>
      </w:r>
    </w:p>
    <w:p w14:paraId="1797DC92">
      <w:pPr>
        <w:pStyle w:val="4"/>
        <w:rPr>
          <w:i w:val="0"/>
          <w:iCs w:val="0"/>
          <w:color w:val="auto"/>
          <w:highlight w:val="none"/>
          <w:lang w:val="zh-CN"/>
        </w:rPr>
      </w:pPr>
    </w:p>
    <w:p w14:paraId="6A1B5B57">
      <w:pPr>
        <w:snapToGrid w:val="0"/>
        <w:spacing w:line="360" w:lineRule="auto"/>
        <w:ind w:firstLine="3840" w:firstLineChars="16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lang w:val="zh-CN"/>
        </w:rPr>
        <w:t>名称(公章)：</w:t>
      </w:r>
    </w:p>
    <w:p w14:paraId="21DBA726">
      <w:pPr>
        <w:snapToGrid w:val="0"/>
        <w:spacing w:line="360" w:lineRule="auto"/>
        <w:ind w:firstLine="3840" w:firstLineChars="16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w:t>
      </w:r>
      <w:r>
        <w:rPr>
          <w:rFonts w:hint="eastAsia" w:ascii="宋体" w:hAnsi="宋体" w:cs="宋体"/>
          <w:i w:val="0"/>
          <w:iCs w:val="0"/>
          <w:color w:val="auto"/>
          <w:kern w:val="0"/>
          <w:sz w:val="24"/>
          <w:highlight w:val="none"/>
          <w:lang w:val="en-US" w:eastAsia="zh-CN"/>
        </w:rPr>
        <w:t>2</w:t>
      </w:r>
      <w:r>
        <w:rPr>
          <w:rFonts w:hint="eastAsia" w:ascii="宋体" w:hAnsi="宋体" w:cs="宋体"/>
          <w:i w:val="0"/>
          <w:iCs w:val="0"/>
          <w:color w:val="auto"/>
          <w:kern w:val="0"/>
          <w:sz w:val="24"/>
          <w:highlight w:val="none"/>
          <w:lang w:val="zh-CN"/>
        </w:rPr>
        <w:t>名称(公章)：</w:t>
      </w:r>
    </w:p>
    <w:p w14:paraId="2C01AA77">
      <w:pPr>
        <w:snapToGrid w:val="0"/>
        <w:spacing w:line="360" w:lineRule="auto"/>
        <w:ind w:right="960"/>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w:t>
      </w:r>
    </w:p>
    <w:p w14:paraId="64D03F6B">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日期：  年  月   日</w:t>
      </w:r>
    </w:p>
    <w:p w14:paraId="69BB115A">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1"/>
          <w:szCs w:val="21"/>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cs="Tahoma"/>
          <w:i w:val="0"/>
          <w:iCs w:val="0"/>
          <w:color w:val="auto"/>
          <w:highlight w:val="none"/>
          <w:u w:val="single"/>
        </w:rPr>
      </w:pPr>
      <w:r>
        <w:rPr>
          <w:rFonts w:cs="Tahoma"/>
          <w:i w:val="0"/>
          <w:iCs w:val="0"/>
          <w:color w:val="auto"/>
          <w:highlight w:val="none"/>
          <w:u w:val="single"/>
        </w:rPr>
        <w:br w:type="page"/>
      </w:r>
    </w:p>
    <w:p w14:paraId="75121566">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zh-CN" w:eastAsia="zh-CN" w:bidi="ar-SA"/>
        </w:rPr>
      </w:pPr>
      <w:bookmarkStart w:id="692" w:name="_Toc162299566"/>
      <w:bookmarkStart w:id="693" w:name="_Toc10112"/>
      <w:bookmarkStart w:id="694" w:name="_Toc156490356"/>
      <w:bookmarkStart w:id="695" w:name="_Hlk101169080"/>
      <w:r>
        <w:rPr>
          <w:rFonts w:hint="eastAsia" w:cstheme="majorBidi"/>
          <w:b/>
          <w:bCs/>
          <w:i w:val="0"/>
          <w:iCs w:val="0"/>
          <w:color w:val="auto"/>
          <w:kern w:val="2"/>
          <w:sz w:val="28"/>
          <w:szCs w:val="28"/>
          <w:highlight w:val="none"/>
          <w:lang w:val="en-US" w:eastAsia="zh-CN" w:bidi="ar-SA"/>
        </w:rPr>
        <w:t>三</w:t>
      </w:r>
      <w:r>
        <w:rPr>
          <w:rFonts w:hint="eastAsia" w:eastAsia="宋体" w:asciiTheme="majorHAnsi" w:hAnsiTheme="majorHAnsi" w:cstheme="majorBidi"/>
          <w:b/>
          <w:bCs/>
          <w:i w:val="0"/>
          <w:iCs w:val="0"/>
          <w:color w:val="auto"/>
          <w:kern w:val="2"/>
          <w:sz w:val="28"/>
          <w:szCs w:val="28"/>
          <w:highlight w:val="none"/>
          <w:lang w:val="en-US" w:eastAsia="zh-CN" w:bidi="ar-SA"/>
        </w:rPr>
        <w:t>、</w:t>
      </w:r>
      <w:r>
        <w:rPr>
          <w:rFonts w:hint="eastAsia" w:eastAsia="宋体" w:asciiTheme="majorHAnsi" w:hAnsiTheme="majorHAnsi" w:cstheme="majorBidi"/>
          <w:b/>
          <w:bCs/>
          <w:i w:val="0"/>
          <w:iCs w:val="0"/>
          <w:color w:val="auto"/>
          <w:kern w:val="2"/>
          <w:sz w:val="28"/>
          <w:szCs w:val="28"/>
          <w:highlight w:val="none"/>
          <w:lang w:val="zh-CN" w:eastAsia="zh-CN" w:bidi="ar-SA"/>
        </w:rPr>
        <w:t>分包意向协议书</w:t>
      </w:r>
      <w:r>
        <w:rPr>
          <w:rFonts w:hint="eastAsia" w:ascii="宋体" w:hAnsi="宋体" w:eastAsia="宋体" w:cstheme="minorBidi"/>
          <w:b w:val="0"/>
          <w:bCs w:val="0"/>
          <w:i w:val="0"/>
          <w:iCs w:val="0"/>
          <w:color w:val="auto"/>
          <w:kern w:val="2"/>
          <w:sz w:val="28"/>
          <w:szCs w:val="28"/>
          <w:highlight w:val="none"/>
          <w:lang w:val="zh-CN" w:eastAsia="zh-CN" w:bidi="ar-SA"/>
        </w:rPr>
        <w:t>【如适用】</w:t>
      </w:r>
      <w:bookmarkEnd w:id="692"/>
      <w:bookmarkEnd w:id="693"/>
      <w:bookmarkEnd w:id="694"/>
    </w:p>
    <w:p w14:paraId="51ED9DD2">
      <w:pPr>
        <w:snapToGrid w:val="0"/>
        <w:spacing w:line="360" w:lineRule="auto"/>
        <w:jc w:val="center"/>
        <w:outlineLvl w:val="0"/>
        <w:rPr>
          <w:rFonts w:hint="eastAsia" w:ascii="宋体" w:hAnsi="宋体" w:eastAsia="宋体" w:cs="宋体"/>
          <w:b/>
          <w:i w:val="0"/>
          <w:iCs w:val="0"/>
          <w:color w:val="auto"/>
          <w:kern w:val="0"/>
          <w:sz w:val="32"/>
          <w:szCs w:val="32"/>
          <w:highlight w:val="none"/>
          <w:lang w:val="en-US" w:eastAsia="zh-CN"/>
        </w:rPr>
      </w:pPr>
      <w:bookmarkStart w:id="696" w:name="_Toc21028"/>
      <w:r>
        <w:rPr>
          <w:rFonts w:hint="eastAsia" w:ascii="宋体" w:hAnsi="宋体" w:cs="宋体"/>
          <w:b/>
          <w:i w:val="0"/>
          <w:iCs w:val="0"/>
          <w:color w:val="auto"/>
          <w:kern w:val="0"/>
          <w:sz w:val="32"/>
          <w:szCs w:val="32"/>
          <w:highlight w:val="none"/>
        </w:rPr>
        <w:t>分包意向协议</w:t>
      </w:r>
      <w:r>
        <w:rPr>
          <w:rFonts w:hint="eastAsia" w:ascii="宋体" w:hAnsi="宋体" w:cs="宋体"/>
          <w:b/>
          <w:i w:val="0"/>
          <w:iCs w:val="0"/>
          <w:color w:val="auto"/>
          <w:kern w:val="0"/>
          <w:sz w:val="32"/>
          <w:szCs w:val="32"/>
          <w:highlight w:val="none"/>
          <w:lang w:val="en-US" w:eastAsia="zh-CN"/>
        </w:rPr>
        <w:t>书</w:t>
      </w:r>
      <w:bookmarkEnd w:id="696"/>
    </w:p>
    <w:p w14:paraId="4E9F0BF4">
      <w:pPr>
        <w:widowControl/>
        <w:spacing w:line="360" w:lineRule="auto"/>
        <w:ind w:firstLine="120" w:firstLineChars="5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hint="eastAsia" w:cs="宋体"/>
          <w:b/>
          <w:i w:val="0"/>
          <w:iCs w:val="0"/>
          <w:color w:val="auto"/>
          <w:sz w:val="24"/>
          <w:highlight w:val="none"/>
          <w:lang w:val="en-US" w:eastAsia="zh-CN"/>
        </w:rPr>
        <w:t>成交</w:t>
      </w:r>
      <w:r>
        <w:rPr>
          <w:rFonts w:hint="eastAsia" w:ascii="宋体" w:hAnsi="宋体" w:cs="宋体"/>
          <w:b/>
          <w:i w:val="0"/>
          <w:iCs w:val="0"/>
          <w:color w:val="auto"/>
          <w:sz w:val="24"/>
          <w:highlight w:val="none"/>
        </w:rPr>
        <w:t>后以分包方式履行合同的，提供分包意向协议</w:t>
      </w:r>
      <w:r>
        <w:rPr>
          <w:rFonts w:hint="eastAsia" w:cs="宋体"/>
          <w:b/>
          <w:i w:val="0"/>
          <w:iCs w:val="0"/>
          <w:color w:val="auto"/>
          <w:sz w:val="24"/>
          <w:highlight w:val="none"/>
          <w:lang w:val="en-US" w:eastAsia="zh-CN"/>
        </w:rPr>
        <w:t>书</w:t>
      </w:r>
      <w:r>
        <w:rPr>
          <w:rFonts w:hint="eastAsia" w:ascii="宋体" w:hAnsi="宋体" w:cs="宋体"/>
          <w:b/>
          <w:i w:val="0"/>
          <w:iCs w:val="0"/>
          <w:color w:val="auto"/>
          <w:sz w:val="24"/>
          <w:highlight w:val="none"/>
        </w:rPr>
        <w:t>；采购人不同意分包或者</w:t>
      </w:r>
      <w:r>
        <w:rPr>
          <w:rFonts w:hint="eastAsia" w:cs="宋体"/>
          <w:b/>
          <w:i w:val="0"/>
          <w:iCs w:val="0"/>
          <w:color w:val="auto"/>
          <w:sz w:val="24"/>
          <w:highlight w:val="none"/>
          <w:lang w:val="en-US" w:eastAsia="zh-CN"/>
        </w:rPr>
        <w:t>供应商成交</w:t>
      </w:r>
      <w:r>
        <w:rPr>
          <w:rFonts w:hint="eastAsia" w:ascii="宋体" w:hAnsi="宋体" w:cs="宋体"/>
          <w:b/>
          <w:i w:val="0"/>
          <w:iCs w:val="0"/>
          <w:color w:val="auto"/>
          <w:sz w:val="24"/>
          <w:highlight w:val="none"/>
        </w:rPr>
        <w:t>后不以分包方式履行合同的，则不需要提供。</w:t>
      </w:r>
      <w:r>
        <w:rPr>
          <w:rFonts w:hint="eastAsia" w:ascii="宋体" w:hAnsi="宋体" w:cs="宋体"/>
          <w:i w:val="0"/>
          <w:iCs w:val="0"/>
          <w:color w:val="auto"/>
          <w:sz w:val="24"/>
          <w:highlight w:val="none"/>
        </w:rPr>
        <w:t>）</w:t>
      </w:r>
    </w:p>
    <w:p w14:paraId="5791A4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u w:val="single"/>
        </w:rPr>
        <w:t>（项目名称）</w:t>
      </w:r>
      <w:r>
        <w:rPr>
          <w:rFonts w:hint="eastAsia"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项目</w:t>
      </w:r>
      <w:r>
        <w:rPr>
          <w:rFonts w:hint="eastAsia" w:ascii="宋体" w:hAnsi="宋体" w:cs="宋体"/>
          <w:i w:val="0"/>
          <w:iCs w:val="0"/>
          <w:color w:val="auto"/>
          <w:sz w:val="24"/>
          <w:highlight w:val="none"/>
        </w:rPr>
        <w:t>编号</w:t>
      </w:r>
      <w:r>
        <w:rPr>
          <w:rFonts w:hint="eastAsia" w:cs="宋体"/>
          <w:i w:val="0"/>
          <w:iCs w:val="0"/>
          <w:color w:val="auto"/>
          <w:sz w:val="24"/>
          <w:highlight w:val="none"/>
          <w:lang w:val="en-US" w:eastAsia="zh-CN"/>
        </w:rPr>
        <w:t>/包号</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的</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供应商，将依法采取分包方式履行合同。</w:t>
      </w: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cs="宋体"/>
          <w:i w:val="0"/>
          <w:iCs w:val="0"/>
          <w:color w:val="auto"/>
          <w:kern w:val="0"/>
          <w:sz w:val="24"/>
          <w:highlight w:val="none"/>
          <w:lang w:val="en-US" w:eastAsia="zh-CN"/>
        </w:rPr>
        <w:t>书</w:t>
      </w:r>
      <w:r>
        <w:rPr>
          <w:rFonts w:hint="eastAsia" w:ascii="宋体" w:hAnsi="宋体" w:cs="宋体"/>
          <w:i w:val="0"/>
          <w:iCs w:val="0"/>
          <w:color w:val="auto"/>
          <w:kern w:val="0"/>
          <w:sz w:val="24"/>
          <w:highlight w:val="none"/>
          <w:lang w:val="zh-CN"/>
        </w:rPr>
        <w:t xml:space="preserve">。 </w:t>
      </w:r>
    </w:p>
    <w:p w14:paraId="545E9079">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一、分包标的及数量</w:t>
      </w:r>
    </w:p>
    <w:p w14:paraId="5E08737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lang w:val="zh-CN"/>
        </w:rPr>
        <w:t>具备承</w:t>
      </w:r>
      <w:r>
        <w:rPr>
          <w:rFonts w:hint="eastAsia" w:ascii="宋体" w:hAnsi="宋体" w:cs="宋体"/>
          <w:i w:val="0"/>
          <w:iCs w:val="0"/>
          <w:color w:val="auto"/>
          <w:kern w:val="0"/>
          <w:sz w:val="24"/>
          <w:highlight w:val="none"/>
        </w:rPr>
        <w:t>担</w:t>
      </w:r>
      <w:r>
        <w:rPr>
          <w:rFonts w:hint="eastAsia" w:ascii="宋体" w:hAnsi="宋体" w:cs="宋体"/>
          <w:i w:val="0"/>
          <w:iCs w:val="0"/>
          <w:color w:val="auto"/>
          <w:kern w:val="0"/>
          <w:sz w:val="24"/>
          <w:highlight w:val="none"/>
          <w:u w:val="single"/>
          <w:lang w:val="zh-CN"/>
        </w:rPr>
        <w:t>XX工作内容</w:t>
      </w:r>
      <w:r>
        <w:rPr>
          <w:rFonts w:hint="eastAsia" w:ascii="宋体" w:hAnsi="宋体" w:cs="宋体"/>
          <w:i w:val="0"/>
          <w:iCs w:val="0"/>
          <w:color w:val="auto"/>
          <w:kern w:val="0"/>
          <w:sz w:val="24"/>
          <w:highlight w:val="none"/>
          <w:lang w:val="zh-CN"/>
        </w:rPr>
        <w:t>相应资质条件且不得再次分包；</w:t>
      </w:r>
    </w:p>
    <w:p w14:paraId="37B916C5">
      <w:pPr>
        <w:pStyle w:val="4"/>
        <w:tabs>
          <w:tab w:val="left" w:pos="432"/>
        </w:tabs>
        <w:ind w:left="758" w:leftChars="316" w:firstLine="229" w:firstLineChars="95"/>
        <w:rPr>
          <w:rFonts w:ascii="宋体" w:hAnsi="宋体" w:eastAsia="宋体" w:cs="宋体"/>
          <w:i w:val="0"/>
          <w:iCs w:val="0"/>
          <w:color w:val="auto"/>
          <w:kern w:val="0"/>
          <w:sz w:val="24"/>
          <w:szCs w:val="24"/>
          <w:highlight w:val="none"/>
        </w:rPr>
      </w:pPr>
      <w:bookmarkStart w:id="697" w:name="_Toc12110"/>
      <w:r>
        <w:rPr>
          <w:rFonts w:hint="eastAsia" w:ascii="宋体" w:hAnsi="宋体" w:eastAsia="宋体" w:cs="宋体"/>
          <w:i w:val="0"/>
          <w:iCs w:val="0"/>
          <w:color w:val="auto"/>
          <w:kern w:val="0"/>
          <w:sz w:val="24"/>
          <w:szCs w:val="24"/>
          <w:highlight w:val="none"/>
        </w:rPr>
        <w:t>……</w:t>
      </w:r>
      <w:bookmarkEnd w:id="697"/>
    </w:p>
    <w:p w14:paraId="042688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p>
    <w:p w14:paraId="188898B5">
      <w:pPr>
        <w:snapToGrid w:val="0"/>
        <w:spacing w:line="360" w:lineRule="auto"/>
        <w:ind w:firstLine="576"/>
        <w:rPr>
          <w:rFonts w:ascii="宋体" w:hAnsi="宋体" w:cs="宋体"/>
          <w:b/>
          <w:i w:val="0"/>
          <w:iCs w:val="0"/>
          <w:color w:val="auto"/>
          <w:kern w:val="0"/>
          <w:sz w:val="24"/>
          <w:highlight w:val="none"/>
          <w:lang w:val="zh-CN"/>
        </w:rPr>
      </w:pPr>
      <w:r>
        <w:rPr>
          <w:rFonts w:ascii="宋体" w:hAnsi="宋体" w:cs="宋体"/>
          <w:i w:val="0"/>
          <w:iCs w:val="0"/>
          <w:color w:val="auto"/>
          <w:kern w:val="0"/>
          <w:sz w:val="24"/>
          <w:highlight w:val="none"/>
        </w:rPr>
        <w:t>1、</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w:t>
      </w:r>
      <w:r>
        <w:rPr>
          <w:rFonts w:hint="eastAsia" w:cs="宋体"/>
          <w:i w:val="0"/>
          <w:iCs w:val="0"/>
          <w:color w:val="auto"/>
          <w:kern w:val="0"/>
          <w:sz w:val="24"/>
          <w:highlight w:val="none"/>
          <w:u w:val="single"/>
          <w:lang w:val="en-US" w:eastAsia="zh-CN"/>
        </w:rPr>
        <w:t>服务</w:t>
      </w:r>
      <w:r>
        <w:rPr>
          <w:rFonts w:hint="eastAsia" w:ascii="宋体" w:hAnsi="宋体" w:cs="宋体"/>
          <w:i w:val="0"/>
          <w:iCs w:val="0"/>
          <w:color w:val="auto"/>
          <w:kern w:val="0"/>
          <w:sz w:val="24"/>
          <w:highlight w:val="none"/>
          <w:u w:val="single"/>
        </w:rPr>
        <w:t>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（未预留份额专门面向中小企业采购的采购项目，以及预留份额中的非预留部分采购包，允许分包的，分包意向协议</w:t>
      </w:r>
      <w:r>
        <w:rPr>
          <w:rFonts w:hint="eastAsia" w:cs="宋体"/>
          <w:b/>
          <w:i w:val="0"/>
          <w:iCs w:val="0"/>
          <w:color w:val="auto"/>
          <w:kern w:val="0"/>
          <w:sz w:val="24"/>
          <w:highlight w:val="none"/>
          <w:lang w:val="en-US" w:eastAsia="zh-CN"/>
        </w:rPr>
        <w:t>书</w:t>
      </w:r>
      <w:r>
        <w:rPr>
          <w:rFonts w:hint="eastAsia" w:ascii="宋体" w:hAnsi="宋体" w:cs="宋体"/>
          <w:b/>
          <w:i w:val="0"/>
          <w:iCs w:val="0"/>
          <w:color w:val="auto"/>
          <w:kern w:val="0"/>
          <w:sz w:val="24"/>
          <w:highlight w:val="none"/>
          <w:lang w:val="zh-CN"/>
        </w:rPr>
        <w:t>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45FF207">
      <w:pPr>
        <w:spacing w:line="360" w:lineRule="auto"/>
        <w:ind w:firstLine="480" w:firstLineChars="200"/>
        <w:rPr>
          <w:rFonts w:ascii="宋体" w:hAnsi="宋体" w:cs="宋体"/>
          <w:b/>
          <w:bCs/>
          <w:i w:val="0"/>
          <w:iCs w:val="0"/>
          <w:color w:val="auto"/>
          <w:kern w:val="0"/>
          <w:sz w:val="24"/>
          <w:highlight w:val="none"/>
          <w:lang w:val="zh-CN"/>
        </w:rPr>
      </w:pPr>
      <w:r>
        <w:rPr>
          <w:rFonts w:hint="eastAsia" w:ascii="宋体" w:hAnsi="宋体" w:cs="宋体"/>
          <w:i w:val="0"/>
          <w:iCs w:val="0"/>
          <w:color w:val="auto"/>
          <w:sz w:val="24"/>
          <w:highlight w:val="none"/>
        </w:rPr>
        <w:t>2、</w:t>
      </w:r>
      <w:bookmarkStart w:id="698"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%，其中小微企业合同金额达到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cs="宋体"/>
          <w:b/>
          <w:i w:val="0"/>
          <w:iCs w:val="0"/>
          <w:color w:val="auto"/>
          <w:kern w:val="0"/>
          <w:sz w:val="24"/>
          <w:highlight w:val="none"/>
          <w:lang w:val="en-US" w:eastAsia="zh-CN"/>
        </w:rPr>
        <w:t>书</w:t>
      </w:r>
      <w:r>
        <w:rPr>
          <w:rFonts w:hint="eastAsia" w:ascii="宋体" w:hAnsi="宋体" w:cs="宋体"/>
          <w:b/>
          <w:bCs/>
          <w:i w:val="0"/>
          <w:iCs w:val="0"/>
          <w:color w:val="auto"/>
          <w:sz w:val="24"/>
          <w:highlight w:val="none"/>
        </w:rPr>
        <w:t>中中小企业、小微企业合同金额应当达到的比例要求填写。</w:t>
      </w:r>
      <w:r>
        <w:rPr>
          <w:rFonts w:hint="eastAsia" w:ascii="宋体" w:hAnsi="宋体" w:cs="宋体"/>
          <w:b/>
          <w:bCs/>
          <w:i w:val="0"/>
          <w:iCs w:val="0"/>
          <w:color w:val="auto"/>
          <w:kern w:val="0"/>
          <w:sz w:val="24"/>
          <w:highlight w:val="none"/>
          <w:lang w:val="zh-CN"/>
        </w:rPr>
        <w:t>）</w:t>
      </w:r>
      <w:bookmarkEnd w:id="698"/>
    </w:p>
    <w:p w14:paraId="51C56E7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7F26E4A3">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7925029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7369B1B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0E7AB092">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32B92C8">
      <w:pPr>
        <w:snapToGrid w:val="0"/>
        <w:spacing w:line="360" w:lineRule="auto"/>
        <w:ind w:left="655"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0C79FAF7">
      <w:pPr>
        <w:snapToGrid w:val="0"/>
        <w:spacing w:line="360" w:lineRule="auto"/>
        <w:ind w:left="655"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17F77B9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2CBB9B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5D83C45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A9066DF">
      <w:pPr>
        <w:snapToGrid w:val="0"/>
        <w:spacing w:line="360" w:lineRule="auto"/>
        <w:ind w:left="5861" w:leftChars="342" w:hanging="5040" w:hangingChars="21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w:t>
      </w:r>
      <w:r>
        <w:rPr>
          <w:rFonts w:hint="eastAsia" w:cs="宋体"/>
          <w:i w:val="0"/>
          <w:iCs w:val="0"/>
          <w:color w:val="auto"/>
          <w:kern w:val="0"/>
          <w:sz w:val="24"/>
          <w:highlight w:val="none"/>
          <w:lang w:val="en-US" w:eastAsia="zh-CN"/>
        </w:rPr>
        <w:t>供应商</w:t>
      </w:r>
      <w:r>
        <w:rPr>
          <w:rFonts w:hint="eastAsia" w:ascii="宋体" w:hAnsi="宋体" w:cs="宋体"/>
          <w:i w:val="0"/>
          <w:iCs w:val="0"/>
          <w:color w:val="auto"/>
          <w:kern w:val="0"/>
          <w:sz w:val="24"/>
          <w:highlight w:val="none"/>
          <w:lang w:val="zh-CN"/>
        </w:rPr>
        <w:t>名称(</w:t>
      </w:r>
      <w:r>
        <w:rPr>
          <w:rFonts w:hint="eastAsia" w:cs="宋体"/>
          <w:i w:val="0"/>
          <w:iCs w:val="0"/>
          <w:color w:val="auto"/>
          <w:kern w:val="0"/>
          <w:sz w:val="24"/>
          <w:highlight w:val="none"/>
          <w:lang w:val="zh-CN"/>
        </w:rPr>
        <w:t>公章</w:t>
      </w:r>
      <w:r>
        <w:rPr>
          <w:rFonts w:hint="eastAsia" w:ascii="宋体" w:hAnsi="宋体" w:cs="宋体"/>
          <w:i w:val="0"/>
          <w:iCs w:val="0"/>
          <w:color w:val="auto"/>
          <w:kern w:val="0"/>
          <w:sz w:val="24"/>
          <w:highlight w:val="none"/>
          <w:lang w:val="zh-CN"/>
        </w:rPr>
        <w:t>)：</w:t>
      </w:r>
    </w:p>
    <w:p w14:paraId="665C464B">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分包供应商名称(公章)：</w:t>
      </w:r>
    </w:p>
    <w:p w14:paraId="102F6BD9">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22C38D7A">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49A2F910">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1"/>
          <w:szCs w:val="21"/>
          <w:highlight w:val="none"/>
        </w:rPr>
        <w:t>注：按本格式和要求提供。</w:t>
      </w:r>
    </w:p>
    <w:p w14:paraId="7F0D76CC">
      <w:pPr>
        <w:topLinePunct/>
        <w:ind w:firstLine="480" w:firstLineChars="200"/>
        <w:rPr>
          <w:rFonts w:hint="eastAsia"/>
          <w:i w:val="0"/>
          <w:iCs w:val="0"/>
          <w:color w:val="auto"/>
          <w:szCs w:val="32"/>
          <w:highlight w:val="none"/>
        </w:rPr>
      </w:pPr>
    </w:p>
    <w:p w14:paraId="5F400CB9">
      <w:pPr>
        <w:topLinePunct/>
        <w:ind w:firstLine="480" w:firstLineChars="200"/>
        <w:rPr>
          <w:rFonts w:hint="eastAsia"/>
          <w:i w:val="0"/>
          <w:iCs w:val="0"/>
          <w:color w:val="auto"/>
          <w:szCs w:val="32"/>
          <w:highlight w:val="none"/>
        </w:rPr>
      </w:pPr>
    </w:p>
    <w:p w14:paraId="11CAF290">
      <w:pPr>
        <w:topLinePunct/>
        <w:ind w:firstLine="480" w:firstLineChars="200"/>
        <w:rPr>
          <w:rFonts w:hint="eastAsia"/>
          <w:i w:val="0"/>
          <w:iCs w:val="0"/>
          <w:color w:val="auto"/>
          <w:szCs w:val="32"/>
          <w:highlight w:val="none"/>
        </w:rPr>
      </w:pPr>
    </w:p>
    <w:p w14:paraId="35CFE103">
      <w:pPr>
        <w:topLinePunct/>
        <w:ind w:firstLine="480" w:firstLineChars="200"/>
        <w:rPr>
          <w:rFonts w:hint="eastAsia"/>
          <w:i w:val="0"/>
          <w:iCs w:val="0"/>
          <w:color w:val="auto"/>
          <w:szCs w:val="32"/>
          <w:highlight w:val="none"/>
        </w:rPr>
      </w:pPr>
    </w:p>
    <w:bookmarkEnd w:id="695"/>
    <w:p w14:paraId="5775F461">
      <w:pPr>
        <w:ind w:left="2520" w:leftChars="1050"/>
        <w:rPr>
          <w:i w:val="0"/>
          <w:iCs w:val="0"/>
          <w:color w:val="auto"/>
          <w:highlight w:val="none"/>
        </w:rPr>
      </w:pPr>
      <w:r>
        <w:rPr>
          <w:rFonts w:cs="Courier New"/>
          <w:i w:val="0"/>
          <w:iCs w:val="0"/>
          <w:color w:val="auto"/>
          <w:szCs w:val="24"/>
          <w:highlight w:val="none"/>
        </w:rPr>
        <w:br w:type="page"/>
      </w:r>
    </w:p>
    <w:p w14:paraId="27442EE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699" w:name="_Toc163492926"/>
      <w:bookmarkStart w:id="700" w:name="_Toc155185932"/>
      <w:bookmarkStart w:id="701" w:name="_Toc26686"/>
      <w:r>
        <w:rPr>
          <w:rFonts w:hint="eastAsia" w:cstheme="majorBidi"/>
          <w:b/>
          <w:bCs/>
          <w:i w:val="0"/>
          <w:iCs w:val="0"/>
          <w:color w:val="auto"/>
          <w:kern w:val="2"/>
          <w:sz w:val="28"/>
          <w:szCs w:val="28"/>
          <w:highlight w:val="none"/>
          <w:lang w:val="en-US" w:eastAsia="zh-CN" w:bidi="ar-SA"/>
        </w:rPr>
        <w:t>四</w:t>
      </w:r>
      <w:r>
        <w:rPr>
          <w:rFonts w:hint="eastAsia" w:eastAsia="宋体" w:asciiTheme="majorHAnsi" w:hAnsiTheme="majorHAnsi" w:cstheme="majorBidi"/>
          <w:b/>
          <w:bCs/>
          <w:i w:val="0"/>
          <w:iCs w:val="0"/>
          <w:color w:val="auto"/>
          <w:kern w:val="2"/>
          <w:sz w:val="28"/>
          <w:szCs w:val="28"/>
          <w:highlight w:val="none"/>
          <w:lang w:val="en-US" w:eastAsia="zh-CN" w:bidi="ar-SA"/>
        </w:rPr>
        <w:t>、</w:t>
      </w:r>
      <w:bookmarkEnd w:id="699"/>
      <w:bookmarkEnd w:id="700"/>
      <w:r>
        <w:rPr>
          <w:rFonts w:hint="eastAsia" w:eastAsia="宋体" w:asciiTheme="majorHAnsi" w:hAnsiTheme="majorHAnsi" w:cstheme="majorBidi"/>
          <w:b/>
          <w:bCs/>
          <w:i w:val="0"/>
          <w:iCs w:val="0"/>
          <w:color w:val="auto"/>
          <w:kern w:val="2"/>
          <w:sz w:val="28"/>
          <w:szCs w:val="28"/>
          <w:highlight w:val="none"/>
          <w:lang w:val="en-US" w:eastAsia="zh-CN" w:bidi="ar-SA"/>
        </w:rPr>
        <w:t>落实政府采购政策相关证明文件</w:t>
      </w:r>
      <w:bookmarkEnd w:id="701"/>
    </w:p>
    <w:p w14:paraId="0BDCE4AB">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702" w:name="_Toc163492938"/>
      <w:bookmarkStart w:id="703" w:name="_Toc21782"/>
      <w:r>
        <w:rPr>
          <w:rFonts w:hint="eastAsia" w:ascii="宋体" w:hAnsi="宋体" w:eastAsia="宋体" w:cs="宋体"/>
          <w:b/>
          <w:bCs/>
          <w:i w:val="0"/>
          <w:iCs w:val="0"/>
          <w:color w:val="auto"/>
          <w:kern w:val="2"/>
          <w:sz w:val="24"/>
          <w:szCs w:val="24"/>
          <w:highlight w:val="none"/>
          <w:lang w:val="en-US" w:eastAsia="zh-CN" w:bidi="ar-SA"/>
        </w:rPr>
        <w:t>（一）节能环保产品清单及证明材料</w:t>
      </w:r>
      <w:r>
        <w:rPr>
          <w:rFonts w:hint="eastAsia" w:ascii="宋体" w:hAnsi="宋体" w:eastAsia="宋体" w:cs="宋体"/>
          <w:b w:val="0"/>
          <w:bCs w:val="0"/>
          <w:i w:val="0"/>
          <w:iCs w:val="0"/>
          <w:color w:val="auto"/>
          <w:kern w:val="2"/>
          <w:sz w:val="24"/>
          <w:szCs w:val="24"/>
          <w:highlight w:val="none"/>
          <w:lang w:val="en-US" w:eastAsia="zh-CN" w:bidi="ar-SA"/>
        </w:rPr>
        <w:t>【如适用】</w:t>
      </w:r>
      <w:bookmarkEnd w:id="702"/>
      <w:bookmarkEnd w:id="703"/>
    </w:p>
    <w:p w14:paraId="738C7A23">
      <w:pPr>
        <w:spacing w:line="300" w:lineRule="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p>
    <w:p w14:paraId="74728550">
      <w:pPr>
        <w:spacing w:line="30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节能产品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0D7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FCF36A0">
            <w:pPr>
              <w:pStyle w:val="46"/>
              <w:jc w:val="center"/>
              <w:rPr>
                <w:i w:val="0"/>
                <w:iCs w:val="0"/>
                <w:color w:val="auto"/>
                <w:sz w:val="21"/>
                <w:szCs w:val="21"/>
                <w:highlight w:val="none"/>
              </w:rPr>
            </w:pPr>
            <w:r>
              <w:rPr>
                <w:rFonts w:hint="eastAsia"/>
                <w:i w:val="0"/>
                <w:iCs w:val="0"/>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54C6998">
            <w:pPr>
              <w:pStyle w:val="46"/>
              <w:jc w:val="center"/>
              <w:rPr>
                <w:i w:val="0"/>
                <w:iCs w:val="0"/>
                <w:color w:val="auto"/>
                <w:sz w:val="21"/>
                <w:szCs w:val="21"/>
                <w:highlight w:val="none"/>
              </w:rPr>
            </w:pPr>
            <w:r>
              <w:rPr>
                <w:rFonts w:hint="eastAsia"/>
                <w:i w:val="0"/>
                <w:iCs w:val="0"/>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4BB5F633">
            <w:pPr>
              <w:pStyle w:val="46"/>
              <w:jc w:val="center"/>
              <w:rPr>
                <w:i w:val="0"/>
                <w:iCs w:val="0"/>
                <w:color w:val="auto"/>
                <w:sz w:val="21"/>
                <w:szCs w:val="21"/>
                <w:highlight w:val="none"/>
              </w:rPr>
            </w:pPr>
            <w:r>
              <w:rPr>
                <w:rFonts w:hint="eastAsia"/>
                <w:i w:val="0"/>
                <w:iCs w:val="0"/>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05539A93">
            <w:pPr>
              <w:pStyle w:val="46"/>
              <w:jc w:val="center"/>
              <w:rPr>
                <w:i w:val="0"/>
                <w:iCs w:val="0"/>
                <w:color w:val="auto"/>
                <w:sz w:val="21"/>
                <w:szCs w:val="21"/>
                <w:highlight w:val="none"/>
              </w:rPr>
            </w:pPr>
            <w:r>
              <w:rPr>
                <w:rFonts w:hint="eastAsia"/>
                <w:i w:val="0"/>
                <w:iCs w:val="0"/>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0DDEEF99">
            <w:pPr>
              <w:pStyle w:val="46"/>
              <w:jc w:val="center"/>
              <w:rPr>
                <w:i w:val="0"/>
                <w:iCs w:val="0"/>
                <w:color w:val="auto"/>
                <w:sz w:val="21"/>
                <w:szCs w:val="21"/>
                <w:highlight w:val="none"/>
              </w:rPr>
            </w:pPr>
            <w:r>
              <w:rPr>
                <w:rFonts w:hint="eastAsia"/>
                <w:i w:val="0"/>
                <w:iCs w:val="0"/>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3F9D9ED4">
            <w:pPr>
              <w:pStyle w:val="46"/>
              <w:jc w:val="center"/>
              <w:rPr>
                <w:i w:val="0"/>
                <w:iCs w:val="0"/>
                <w:color w:val="auto"/>
                <w:sz w:val="21"/>
                <w:szCs w:val="21"/>
                <w:highlight w:val="none"/>
              </w:rPr>
            </w:pPr>
            <w:r>
              <w:rPr>
                <w:rFonts w:hint="eastAsia"/>
                <w:i w:val="0"/>
                <w:iCs w:val="0"/>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46E5422B">
            <w:pPr>
              <w:pStyle w:val="46"/>
              <w:jc w:val="center"/>
              <w:rPr>
                <w:i w:val="0"/>
                <w:iCs w:val="0"/>
                <w:color w:val="auto"/>
                <w:sz w:val="21"/>
                <w:szCs w:val="21"/>
                <w:highlight w:val="none"/>
              </w:rPr>
            </w:pPr>
            <w:r>
              <w:rPr>
                <w:rFonts w:hint="eastAsia"/>
                <w:i w:val="0"/>
                <w:iCs w:val="0"/>
                <w:color w:val="auto"/>
                <w:sz w:val="21"/>
                <w:szCs w:val="21"/>
                <w:highlight w:val="none"/>
              </w:rPr>
              <w:t>单价</w:t>
            </w:r>
          </w:p>
          <w:p w14:paraId="4D8AC9C4">
            <w:pPr>
              <w:pStyle w:val="46"/>
              <w:jc w:val="center"/>
              <w:rPr>
                <w:i w:val="0"/>
                <w:iCs w:val="0"/>
                <w:color w:val="auto"/>
                <w:sz w:val="21"/>
                <w:szCs w:val="21"/>
                <w:highlight w:val="none"/>
              </w:rPr>
            </w:pPr>
            <w:r>
              <w:rPr>
                <w:rFonts w:hint="eastAsia"/>
                <w:i w:val="0"/>
                <w:iCs w:val="0"/>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514FB4B3">
            <w:pPr>
              <w:pStyle w:val="46"/>
              <w:jc w:val="center"/>
              <w:rPr>
                <w:i w:val="0"/>
                <w:iCs w:val="0"/>
                <w:color w:val="auto"/>
                <w:sz w:val="21"/>
                <w:szCs w:val="21"/>
                <w:highlight w:val="none"/>
              </w:rPr>
            </w:pPr>
            <w:r>
              <w:rPr>
                <w:rFonts w:hint="eastAsia"/>
                <w:i w:val="0"/>
                <w:iCs w:val="0"/>
                <w:color w:val="auto"/>
                <w:sz w:val="21"/>
                <w:szCs w:val="21"/>
                <w:highlight w:val="none"/>
              </w:rPr>
              <w:t>总价</w:t>
            </w:r>
          </w:p>
          <w:p w14:paraId="4637FB3E">
            <w:pPr>
              <w:pStyle w:val="46"/>
              <w:jc w:val="center"/>
              <w:rPr>
                <w:i w:val="0"/>
                <w:iCs w:val="0"/>
                <w:color w:val="auto"/>
                <w:sz w:val="21"/>
                <w:szCs w:val="21"/>
                <w:highlight w:val="none"/>
              </w:rPr>
            </w:pPr>
            <w:r>
              <w:rPr>
                <w:rFonts w:hint="eastAsia"/>
                <w:i w:val="0"/>
                <w:iCs w:val="0"/>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3D113D7A">
            <w:pPr>
              <w:pStyle w:val="46"/>
              <w:jc w:val="center"/>
              <w:rPr>
                <w:i w:val="0"/>
                <w:iCs w:val="0"/>
                <w:color w:val="auto"/>
                <w:sz w:val="21"/>
                <w:szCs w:val="21"/>
                <w:highlight w:val="none"/>
              </w:rPr>
            </w:pPr>
            <w:r>
              <w:rPr>
                <w:rFonts w:hint="eastAsia"/>
                <w:i w:val="0"/>
                <w:iCs w:val="0"/>
                <w:color w:val="auto"/>
                <w:sz w:val="21"/>
                <w:szCs w:val="21"/>
                <w:highlight w:val="none"/>
              </w:rPr>
              <w:t>属强制采购或优先采购</w:t>
            </w:r>
          </w:p>
        </w:tc>
      </w:tr>
      <w:tr w14:paraId="18D7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95B8E6D">
            <w:pPr>
              <w:pStyle w:val="46"/>
              <w:numPr>
                <w:ilvl w:val="0"/>
                <w:numId w:val="2"/>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532E04E">
            <w:pPr>
              <w:pStyle w:val="46"/>
              <w:jc w:val="center"/>
              <w:rPr>
                <w:i w:val="0"/>
                <w:iCs w:val="0"/>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3CDFCC5">
            <w:pPr>
              <w:pStyle w:val="46"/>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A4E845A">
            <w:pPr>
              <w:pStyle w:val="46"/>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348699">
            <w:pPr>
              <w:pStyle w:val="46"/>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CEBECC8">
            <w:pPr>
              <w:pStyle w:val="46"/>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782F642">
            <w:pPr>
              <w:pStyle w:val="46"/>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2EADA19A">
            <w:pPr>
              <w:pStyle w:val="46"/>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BC80F3F">
            <w:pPr>
              <w:pStyle w:val="46"/>
              <w:jc w:val="center"/>
              <w:rPr>
                <w:i w:val="0"/>
                <w:iCs w:val="0"/>
                <w:color w:val="auto"/>
                <w:sz w:val="21"/>
                <w:szCs w:val="21"/>
                <w:highlight w:val="none"/>
              </w:rPr>
            </w:pPr>
          </w:p>
        </w:tc>
      </w:tr>
      <w:tr w14:paraId="13A5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09443BF">
            <w:pPr>
              <w:pStyle w:val="46"/>
              <w:numPr>
                <w:ilvl w:val="0"/>
                <w:numId w:val="2"/>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FB1FB35">
            <w:pPr>
              <w:pStyle w:val="46"/>
              <w:jc w:val="center"/>
              <w:rPr>
                <w:i w:val="0"/>
                <w:iCs w:val="0"/>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219D569">
            <w:pPr>
              <w:pStyle w:val="46"/>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9AEC486">
            <w:pPr>
              <w:pStyle w:val="46"/>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046AFD5">
            <w:pPr>
              <w:pStyle w:val="46"/>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19C65DA">
            <w:pPr>
              <w:pStyle w:val="46"/>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6B1B3EB9">
            <w:pPr>
              <w:pStyle w:val="46"/>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894FDF6">
            <w:pPr>
              <w:pStyle w:val="46"/>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C379112">
            <w:pPr>
              <w:pStyle w:val="46"/>
              <w:jc w:val="center"/>
              <w:rPr>
                <w:i w:val="0"/>
                <w:iCs w:val="0"/>
                <w:color w:val="auto"/>
                <w:sz w:val="21"/>
                <w:szCs w:val="21"/>
                <w:highlight w:val="none"/>
              </w:rPr>
            </w:pPr>
          </w:p>
        </w:tc>
      </w:tr>
      <w:tr w14:paraId="1A3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14FA40F">
            <w:pPr>
              <w:pStyle w:val="46"/>
              <w:numPr>
                <w:ilvl w:val="0"/>
                <w:numId w:val="2"/>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87F5988">
            <w:pPr>
              <w:pStyle w:val="46"/>
              <w:jc w:val="center"/>
              <w:rPr>
                <w:i w:val="0"/>
                <w:iCs w:val="0"/>
                <w:color w:val="auto"/>
                <w:sz w:val="21"/>
                <w:szCs w:val="21"/>
                <w:highlight w:val="none"/>
              </w:rPr>
            </w:pPr>
            <w:r>
              <w:rPr>
                <w:i w:val="0"/>
                <w:iCs w:val="0"/>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90E1A28">
            <w:pPr>
              <w:pStyle w:val="46"/>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A0864AE">
            <w:pPr>
              <w:pStyle w:val="46"/>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C9F1D0">
            <w:pPr>
              <w:pStyle w:val="46"/>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0686AC29">
            <w:pPr>
              <w:pStyle w:val="46"/>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1343A306">
            <w:pPr>
              <w:pStyle w:val="46"/>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A6317B8">
            <w:pPr>
              <w:pStyle w:val="46"/>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E24D072">
            <w:pPr>
              <w:pStyle w:val="46"/>
              <w:jc w:val="center"/>
              <w:rPr>
                <w:i w:val="0"/>
                <w:iCs w:val="0"/>
                <w:color w:val="auto"/>
                <w:sz w:val="21"/>
                <w:szCs w:val="21"/>
                <w:highlight w:val="none"/>
              </w:rPr>
            </w:pPr>
          </w:p>
        </w:tc>
      </w:tr>
    </w:tbl>
    <w:p w14:paraId="2831E0BE">
      <w:pPr>
        <w:spacing w:line="300" w:lineRule="auto"/>
        <w:rPr>
          <w:rFonts w:ascii="Arial" w:hAnsi="Arial" w:cs="Arial"/>
          <w:i w:val="0"/>
          <w:iCs w:val="0"/>
          <w:color w:val="auto"/>
          <w:szCs w:val="21"/>
          <w:highlight w:val="none"/>
        </w:rPr>
      </w:pPr>
    </w:p>
    <w:p w14:paraId="60D44E3F">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环保产品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1D2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57131EF">
            <w:pPr>
              <w:pStyle w:val="46"/>
              <w:jc w:val="center"/>
              <w:rPr>
                <w:i w:val="0"/>
                <w:iCs w:val="0"/>
                <w:color w:val="auto"/>
                <w:sz w:val="21"/>
                <w:szCs w:val="21"/>
                <w:highlight w:val="none"/>
              </w:rPr>
            </w:pPr>
            <w:r>
              <w:rPr>
                <w:rFonts w:hint="eastAsia"/>
                <w:i w:val="0"/>
                <w:iCs w:val="0"/>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B75546E">
            <w:pPr>
              <w:pStyle w:val="46"/>
              <w:jc w:val="center"/>
              <w:rPr>
                <w:i w:val="0"/>
                <w:iCs w:val="0"/>
                <w:color w:val="auto"/>
                <w:sz w:val="21"/>
                <w:szCs w:val="21"/>
                <w:highlight w:val="none"/>
              </w:rPr>
            </w:pPr>
            <w:r>
              <w:rPr>
                <w:rFonts w:hint="eastAsia"/>
                <w:i w:val="0"/>
                <w:iCs w:val="0"/>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48807FE9">
            <w:pPr>
              <w:pStyle w:val="46"/>
              <w:jc w:val="center"/>
              <w:rPr>
                <w:i w:val="0"/>
                <w:iCs w:val="0"/>
                <w:color w:val="auto"/>
                <w:sz w:val="21"/>
                <w:szCs w:val="21"/>
                <w:highlight w:val="none"/>
              </w:rPr>
            </w:pPr>
            <w:r>
              <w:rPr>
                <w:rFonts w:hint="eastAsia"/>
                <w:i w:val="0"/>
                <w:iCs w:val="0"/>
                <w:color w:val="auto"/>
                <w:sz w:val="21"/>
                <w:szCs w:val="21"/>
                <w:highlight w:val="none"/>
              </w:rPr>
              <w:t>制造商</w:t>
            </w:r>
          </w:p>
          <w:p w14:paraId="6871D586">
            <w:pPr>
              <w:pStyle w:val="46"/>
              <w:jc w:val="center"/>
              <w:rPr>
                <w:i w:val="0"/>
                <w:iCs w:val="0"/>
                <w:color w:val="auto"/>
                <w:sz w:val="21"/>
                <w:szCs w:val="21"/>
                <w:highlight w:val="none"/>
              </w:rPr>
            </w:pPr>
            <w:r>
              <w:rPr>
                <w:rFonts w:hint="eastAsia"/>
                <w:i w:val="0"/>
                <w:iCs w:val="0"/>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63CB73BC">
            <w:pPr>
              <w:pStyle w:val="46"/>
              <w:jc w:val="center"/>
              <w:rPr>
                <w:i w:val="0"/>
                <w:iCs w:val="0"/>
                <w:color w:val="auto"/>
                <w:sz w:val="21"/>
                <w:szCs w:val="21"/>
                <w:highlight w:val="none"/>
              </w:rPr>
            </w:pPr>
            <w:r>
              <w:rPr>
                <w:rFonts w:hint="eastAsia"/>
                <w:i w:val="0"/>
                <w:iCs w:val="0"/>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6FFC544">
            <w:pPr>
              <w:pStyle w:val="46"/>
              <w:jc w:val="center"/>
              <w:rPr>
                <w:i w:val="0"/>
                <w:iCs w:val="0"/>
                <w:color w:val="auto"/>
                <w:sz w:val="21"/>
                <w:szCs w:val="21"/>
                <w:highlight w:val="none"/>
              </w:rPr>
            </w:pPr>
            <w:r>
              <w:rPr>
                <w:rFonts w:hint="eastAsia"/>
                <w:i w:val="0"/>
                <w:iCs w:val="0"/>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067CEFC8">
            <w:pPr>
              <w:pStyle w:val="46"/>
              <w:jc w:val="center"/>
              <w:rPr>
                <w:i w:val="0"/>
                <w:iCs w:val="0"/>
                <w:color w:val="auto"/>
                <w:sz w:val="21"/>
                <w:szCs w:val="21"/>
                <w:highlight w:val="none"/>
              </w:rPr>
            </w:pPr>
            <w:r>
              <w:rPr>
                <w:rFonts w:hint="eastAsia"/>
                <w:i w:val="0"/>
                <w:iCs w:val="0"/>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37A87868">
            <w:pPr>
              <w:pStyle w:val="46"/>
              <w:jc w:val="center"/>
              <w:rPr>
                <w:i w:val="0"/>
                <w:iCs w:val="0"/>
                <w:color w:val="auto"/>
                <w:sz w:val="21"/>
                <w:szCs w:val="21"/>
                <w:highlight w:val="none"/>
              </w:rPr>
            </w:pPr>
            <w:r>
              <w:rPr>
                <w:rFonts w:hint="eastAsia"/>
                <w:i w:val="0"/>
                <w:iCs w:val="0"/>
                <w:color w:val="auto"/>
                <w:sz w:val="21"/>
                <w:szCs w:val="21"/>
                <w:highlight w:val="none"/>
              </w:rPr>
              <w:t>单价</w:t>
            </w:r>
          </w:p>
          <w:p w14:paraId="09FBCB92">
            <w:pPr>
              <w:pStyle w:val="46"/>
              <w:jc w:val="center"/>
              <w:rPr>
                <w:i w:val="0"/>
                <w:iCs w:val="0"/>
                <w:color w:val="auto"/>
                <w:sz w:val="21"/>
                <w:szCs w:val="21"/>
                <w:highlight w:val="none"/>
              </w:rPr>
            </w:pPr>
            <w:r>
              <w:rPr>
                <w:rFonts w:hint="eastAsia"/>
                <w:i w:val="0"/>
                <w:iCs w:val="0"/>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0A825EE6">
            <w:pPr>
              <w:pStyle w:val="46"/>
              <w:jc w:val="center"/>
              <w:rPr>
                <w:i w:val="0"/>
                <w:iCs w:val="0"/>
                <w:color w:val="auto"/>
                <w:sz w:val="21"/>
                <w:szCs w:val="21"/>
                <w:highlight w:val="none"/>
              </w:rPr>
            </w:pPr>
            <w:r>
              <w:rPr>
                <w:rFonts w:hint="eastAsia"/>
                <w:i w:val="0"/>
                <w:iCs w:val="0"/>
                <w:color w:val="auto"/>
                <w:sz w:val="21"/>
                <w:szCs w:val="21"/>
                <w:highlight w:val="none"/>
              </w:rPr>
              <w:t>总价</w:t>
            </w:r>
          </w:p>
          <w:p w14:paraId="33CDE01B">
            <w:pPr>
              <w:pStyle w:val="46"/>
              <w:jc w:val="center"/>
              <w:rPr>
                <w:i w:val="0"/>
                <w:iCs w:val="0"/>
                <w:color w:val="auto"/>
                <w:sz w:val="21"/>
                <w:szCs w:val="21"/>
                <w:highlight w:val="none"/>
              </w:rPr>
            </w:pPr>
            <w:r>
              <w:rPr>
                <w:rFonts w:hint="eastAsia"/>
                <w:i w:val="0"/>
                <w:iCs w:val="0"/>
                <w:color w:val="auto"/>
                <w:sz w:val="21"/>
                <w:szCs w:val="21"/>
                <w:highlight w:val="none"/>
              </w:rPr>
              <w:t>（万元）</w:t>
            </w:r>
          </w:p>
        </w:tc>
      </w:tr>
      <w:tr w14:paraId="7304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6FF683B">
            <w:pPr>
              <w:pStyle w:val="46"/>
              <w:numPr>
                <w:ilvl w:val="0"/>
                <w:numId w:val="3"/>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2A116FE">
            <w:pPr>
              <w:pStyle w:val="46"/>
              <w:jc w:val="center"/>
              <w:rPr>
                <w:i w:val="0"/>
                <w:iCs w:val="0"/>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37EAFD8">
            <w:pPr>
              <w:pStyle w:val="46"/>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148B80C">
            <w:pPr>
              <w:pStyle w:val="46"/>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6C9D21">
            <w:pPr>
              <w:pStyle w:val="46"/>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6E01E2C">
            <w:pPr>
              <w:pStyle w:val="46"/>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EBB7355">
            <w:pPr>
              <w:pStyle w:val="46"/>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00014CA">
            <w:pPr>
              <w:pStyle w:val="46"/>
              <w:jc w:val="center"/>
              <w:rPr>
                <w:i w:val="0"/>
                <w:iCs w:val="0"/>
                <w:color w:val="auto"/>
                <w:sz w:val="21"/>
                <w:szCs w:val="21"/>
                <w:highlight w:val="none"/>
              </w:rPr>
            </w:pPr>
          </w:p>
        </w:tc>
      </w:tr>
      <w:tr w14:paraId="7D1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AE9564A">
            <w:pPr>
              <w:pStyle w:val="46"/>
              <w:numPr>
                <w:ilvl w:val="0"/>
                <w:numId w:val="3"/>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7E2EB56">
            <w:pPr>
              <w:pStyle w:val="46"/>
              <w:jc w:val="center"/>
              <w:rPr>
                <w:i w:val="0"/>
                <w:iCs w:val="0"/>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8C31A9">
            <w:pPr>
              <w:pStyle w:val="46"/>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90A4A93">
            <w:pPr>
              <w:pStyle w:val="46"/>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6DA7E15">
            <w:pPr>
              <w:pStyle w:val="46"/>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37ECDB">
            <w:pPr>
              <w:pStyle w:val="46"/>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23BD0E45">
            <w:pPr>
              <w:pStyle w:val="46"/>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5D0710D8">
            <w:pPr>
              <w:pStyle w:val="46"/>
              <w:jc w:val="center"/>
              <w:rPr>
                <w:i w:val="0"/>
                <w:iCs w:val="0"/>
                <w:color w:val="auto"/>
                <w:sz w:val="21"/>
                <w:szCs w:val="21"/>
                <w:highlight w:val="none"/>
              </w:rPr>
            </w:pPr>
          </w:p>
        </w:tc>
      </w:tr>
      <w:tr w14:paraId="7AC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31B4FC">
            <w:pPr>
              <w:pStyle w:val="46"/>
              <w:numPr>
                <w:ilvl w:val="0"/>
                <w:numId w:val="3"/>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83E45D">
            <w:pPr>
              <w:pStyle w:val="46"/>
              <w:jc w:val="center"/>
              <w:rPr>
                <w:i w:val="0"/>
                <w:iCs w:val="0"/>
                <w:color w:val="auto"/>
                <w:sz w:val="21"/>
                <w:szCs w:val="21"/>
                <w:highlight w:val="none"/>
              </w:rPr>
            </w:pPr>
            <w:r>
              <w:rPr>
                <w:i w:val="0"/>
                <w:iCs w:val="0"/>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13CA41C">
            <w:pPr>
              <w:pStyle w:val="46"/>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553DA88">
            <w:pPr>
              <w:pStyle w:val="46"/>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DE0615D">
            <w:pPr>
              <w:pStyle w:val="46"/>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874A069">
            <w:pPr>
              <w:pStyle w:val="46"/>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65BE9E4">
            <w:pPr>
              <w:pStyle w:val="46"/>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2910C53">
            <w:pPr>
              <w:pStyle w:val="46"/>
              <w:jc w:val="center"/>
              <w:rPr>
                <w:i w:val="0"/>
                <w:iCs w:val="0"/>
                <w:color w:val="auto"/>
                <w:sz w:val="21"/>
                <w:szCs w:val="21"/>
                <w:highlight w:val="none"/>
              </w:rPr>
            </w:pPr>
          </w:p>
        </w:tc>
      </w:tr>
    </w:tbl>
    <w:p w14:paraId="141E07B3">
      <w:pPr>
        <w:spacing w:line="300" w:lineRule="auto"/>
        <w:rPr>
          <w:rFonts w:ascii="Arial" w:hAnsi="Arial" w:cs="Arial"/>
          <w:i w:val="0"/>
          <w:iCs w:val="0"/>
          <w:color w:val="auto"/>
          <w:szCs w:val="21"/>
          <w:highlight w:val="none"/>
        </w:rPr>
      </w:pPr>
    </w:p>
    <w:p w14:paraId="606E5A08">
      <w:pPr>
        <w:rPr>
          <w:rFonts w:ascii="Arial" w:hAnsi="Arial" w:cs="Arial"/>
          <w:b/>
          <w:i w:val="0"/>
          <w:iCs w:val="0"/>
          <w:color w:val="auto"/>
          <w:szCs w:val="21"/>
          <w:highlight w:val="none"/>
        </w:rPr>
      </w:pPr>
      <w:r>
        <w:rPr>
          <w:rFonts w:hint="eastAsia" w:ascii="Arial" w:hAnsi="Arial" w:cs="Arial"/>
          <w:b/>
          <w:i w:val="0"/>
          <w:iCs w:val="0"/>
          <w:color w:val="auto"/>
          <w:sz w:val="21"/>
          <w:szCs w:val="21"/>
          <w:highlight w:val="none"/>
        </w:rPr>
        <w:t>特别说明：</w:t>
      </w:r>
      <w:r>
        <w:rPr>
          <w:rFonts w:hint="eastAsia" w:ascii="Arial" w:hAnsi="Arial" w:cs="Arial"/>
          <w:b/>
          <w:i w:val="0"/>
          <w:iCs w:val="0"/>
          <w:color w:val="auto"/>
          <w:sz w:val="21"/>
          <w:szCs w:val="21"/>
          <w:highlight w:val="none"/>
          <w:lang w:val="en-US" w:eastAsia="zh-CN"/>
        </w:rPr>
        <w:t>供应商</w:t>
      </w:r>
      <w:r>
        <w:rPr>
          <w:rFonts w:hint="eastAsia" w:ascii="Arial" w:hAnsi="Arial" w:cs="Arial"/>
          <w:b/>
          <w:i w:val="0"/>
          <w:iCs w:val="0"/>
          <w:color w:val="auto"/>
          <w:sz w:val="21"/>
          <w:szCs w:val="21"/>
          <w:highlight w:val="none"/>
        </w:rPr>
        <w:t>应将所投产品中节能、环保产品分别列入上表中，并按本</w:t>
      </w:r>
      <w:r>
        <w:rPr>
          <w:rFonts w:hint="eastAsia" w:ascii="Arial" w:hAnsi="Arial" w:cs="Arial"/>
          <w:b/>
          <w:i w:val="0"/>
          <w:iCs w:val="0"/>
          <w:color w:val="auto"/>
          <w:sz w:val="21"/>
          <w:szCs w:val="21"/>
          <w:highlight w:val="none"/>
          <w:lang w:val="en-US" w:eastAsia="zh-CN"/>
        </w:rPr>
        <w:t>竞争性磋商</w:t>
      </w:r>
      <w:r>
        <w:rPr>
          <w:rFonts w:hint="eastAsia" w:ascii="Arial" w:hAnsi="Arial" w:cs="Arial"/>
          <w:b/>
          <w:i w:val="0"/>
          <w:iCs w:val="0"/>
          <w:color w:val="auto"/>
          <w:sz w:val="21"/>
          <w:szCs w:val="21"/>
          <w:highlight w:val="none"/>
        </w:rPr>
        <w:t>文件</w:t>
      </w:r>
      <w:r>
        <w:rPr>
          <w:rFonts w:hint="eastAsia" w:ascii="Arial" w:hAnsi="Arial" w:eastAsia="宋体" w:cs="Arial"/>
          <w:b/>
          <w:i w:val="0"/>
          <w:iCs w:val="0"/>
          <w:color w:val="auto"/>
          <w:sz w:val="21"/>
          <w:szCs w:val="21"/>
          <w:highlight w:val="none"/>
          <w:lang w:val="en-US" w:eastAsia="zh-CN"/>
        </w:rPr>
        <w:t>“</w:t>
      </w:r>
      <w:r>
        <w:rPr>
          <w:rFonts w:hint="eastAsia" w:ascii="Arial" w:hAnsi="Arial" w:eastAsia="宋体" w:cs="Arial"/>
          <w:b/>
          <w:i w:val="0"/>
          <w:iCs w:val="0"/>
          <w:color w:val="auto"/>
          <w:sz w:val="21"/>
          <w:szCs w:val="21"/>
          <w:highlight w:val="none"/>
        </w:rPr>
        <w:t>第二章</w:t>
      </w:r>
      <w:r>
        <w:rPr>
          <w:rFonts w:hint="eastAsia" w:ascii="Arial" w:hAnsi="Arial" w:eastAsia="宋体" w:cs="Arial"/>
          <w:b/>
          <w:i w:val="0"/>
          <w:iCs w:val="0"/>
          <w:color w:val="auto"/>
          <w:sz w:val="21"/>
          <w:szCs w:val="21"/>
          <w:highlight w:val="none"/>
          <w:lang w:val="en-US" w:eastAsia="zh-CN"/>
        </w:rPr>
        <w:t>供应商须知”</w:t>
      </w:r>
      <w:r>
        <w:rPr>
          <w:rFonts w:hint="eastAsia" w:ascii="Arial" w:hAnsi="Arial" w:eastAsia="宋体" w:cs="Arial"/>
          <w:b/>
          <w:i w:val="0"/>
          <w:iCs w:val="0"/>
          <w:color w:val="auto"/>
          <w:sz w:val="21"/>
          <w:szCs w:val="21"/>
          <w:highlight w:val="none"/>
        </w:rPr>
        <w:t>提</w:t>
      </w:r>
      <w:r>
        <w:rPr>
          <w:rFonts w:hint="eastAsia" w:ascii="Arial" w:hAnsi="Arial" w:cs="Arial"/>
          <w:b/>
          <w:i w:val="0"/>
          <w:iCs w:val="0"/>
          <w:color w:val="auto"/>
          <w:sz w:val="21"/>
          <w:szCs w:val="21"/>
          <w:highlight w:val="none"/>
        </w:rPr>
        <w:t>供相关证明材料，未填写本表或未提供有效认证证书</w:t>
      </w:r>
      <w:r>
        <w:rPr>
          <w:rFonts w:ascii="Arial" w:hAnsi="Arial" w:cs="Arial"/>
          <w:b/>
          <w:i w:val="0"/>
          <w:iCs w:val="0"/>
          <w:color w:val="auto"/>
          <w:sz w:val="21"/>
          <w:szCs w:val="21"/>
          <w:highlight w:val="none"/>
        </w:rPr>
        <w:t>的</w:t>
      </w:r>
      <w:r>
        <w:rPr>
          <w:rFonts w:hint="eastAsia" w:ascii="Arial" w:hAnsi="Arial" w:cs="Arial"/>
          <w:b/>
          <w:i w:val="0"/>
          <w:iCs w:val="0"/>
          <w:color w:val="auto"/>
          <w:sz w:val="21"/>
          <w:szCs w:val="21"/>
          <w:highlight w:val="none"/>
        </w:rPr>
        <w:t>不给予</w:t>
      </w:r>
      <w:r>
        <w:rPr>
          <w:rFonts w:ascii="Arial" w:hAnsi="Arial" w:cs="Arial"/>
          <w:b/>
          <w:i w:val="0"/>
          <w:iCs w:val="0"/>
          <w:color w:val="auto"/>
          <w:sz w:val="21"/>
          <w:szCs w:val="21"/>
          <w:highlight w:val="none"/>
        </w:rPr>
        <w:t>价格扣除</w:t>
      </w:r>
      <w:r>
        <w:rPr>
          <w:rFonts w:hint="eastAsia" w:ascii="Arial" w:hAnsi="Arial" w:cs="Arial"/>
          <w:b/>
          <w:i w:val="0"/>
          <w:iCs w:val="0"/>
          <w:color w:val="auto"/>
          <w:sz w:val="21"/>
          <w:szCs w:val="21"/>
          <w:highlight w:val="none"/>
        </w:rPr>
        <w:t>。</w:t>
      </w:r>
    </w:p>
    <w:p w14:paraId="675C9164">
      <w:pPr>
        <w:spacing w:line="300" w:lineRule="auto"/>
        <w:rPr>
          <w:rFonts w:ascii="Arial" w:hAnsi="Arial" w:cs="Arial"/>
          <w:i w:val="0"/>
          <w:iCs w:val="0"/>
          <w:color w:val="auto"/>
          <w:szCs w:val="21"/>
          <w:highlight w:val="none"/>
        </w:rPr>
      </w:pPr>
    </w:p>
    <w:p w14:paraId="0FCB6BFD">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247AFE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70617D68">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711C0C58">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i w:val="0"/>
          <w:iCs w:val="0"/>
          <w:color w:val="auto"/>
          <w:kern w:val="2"/>
          <w:sz w:val="24"/>
          <w:szCs w:val="24"/>
          <w:highlight w:val="none"/>
          <w:lang w:val="en-US" w:eastAsia="zh-CN" w:bidi="ar-SA"/>
        </w:rPr>
      </w:pPr>
      <w:bookmarkStart w:id="704" w:name="_Toc163492939"/>
      <w:bookmarkStart w:id="705" w:name="_Toc27847"/>
      <w:r>
        <w:rPr>
          <w:rFonts w:hint="eastAsia" w:ascii="宋体" w:hAnsi="宋体" w:eastAsia="宋体" w:cstheme="minorBidi"/>
          <w:b/>
          <w:bCs/>
          <w:i w:val="0"/>
          <w:iCs w:val="0"/>
          <w:color w:val="auto"/>
          <w:kern w:val="2"/>
          <w:sz w:val="24"/>
          <w:szCs w:val="24"/>
          <w:highlight w:val="none"/>
          <w:lang w:val="en-US" w:eastAsia="zh-CN" w:bidi="ar-SA"/>
        </w:rPr>
        <w:t>（二）中小企业声明函</w:t>
      </w:r>
      <w:r>
        <w:rPr>
          <w:rFonts w:hint="eastAsia" w:ascii="宋体" w:hAnsi="宋体" w:eastAsia="宋体" w:cstheme="minorBidi"/>
          <w:b w:val="0"/>
          <w:bCs w:val="0"/>
          <w:i w:val="0"/>
          <w:i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i w:val="0"/>
          <w:iCs w:val="0"/>
          <w:color w:val="auto"/>
          <w:kern w:val="2"/>
          <w:sz w:val="24"/>
          <w:szCs w:val="24"/>
          <w:highlight w:val="none"/>
          <w:lang w:val="en-US" w:eastAsia="zh-CN" w:bidi="ar-SA"/>
        </w:rPr>
        <w:t>】</w:t>
      </w:r>
      <w:bookmarkEnd w:id="704"/>
      <w:bookmarkEnd w:id="705"/>
    </w:p>
    <w:p w14:paraId="17DF8322">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i w:val="0"/>
          <w:iCs w:val="0"/>
          <w:color w:val="auto"/>
          <w:sz w:val="32"/>
          <w:szCs w:val="32"/>
          <w:highlight w:val="none"/>
        </w:rPr>
      </w:pPr>
    </w:p>
    <w:p w14:paraId="3E31A8EB">
      <w:pPr>
        <w:pStyle w:val="39"/>
        <w:numPr>
          <w:ilvl w:val="0"/>
          <w:numId w:val="0"/>
        </w:numPr>
        <w:ind w:left="420" w:leftChars="0" w:hanging="420" w:firstLineChars="0"/>
        <w:jc w:val="center"/>
        <w:rPr>
          <w:b/>
          <w:bCs/>
          <w:i w:val="0"/>
          <w:iCs w:val="0"/>
          <w:color w:val="auto"/>
          <w:sz w:val="32"/>
          <w:szCs w:val="32"/>
          <w:highlight w:val="none"/>
        </w:rPr>
      </w:pPr>
      <w:r>
        <w:rPr>
          <w:rFonts w:hint="eastAsia"/>
          <w:b/>
          <w:bCs/>
          <w:i w:val="0"/>
          <w:iCs w:val="0"/>
          <w:color w:val="auto"/>
          <w:sz w:val="32"/>
          <w:szCs w:val="32"/>
          <w:highlight w:val="none"/>
        </w:rPr>
        <w:t>中小企业声明函</w:t>
      </w:r>
    </w:p>
    <w:p w14:paraId="78BC1CF1">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本公司（联合体）郑重声明，根据《政府采购促进中小企业发展管理办法》（财库﹝2020﹞46 号）的规定，本公司（联合体）参加</w:t>
      </w:r>
      <w:r>
        <w:rPr>
          <w:rFonts w:hint="eastAsia" w:cs="宋体"/>
          <w:i w:val="0"/>
          <w:iCs w:val="0"/>
          <w:color w:val="auto"/>
          <w:spacing w:val="6"/>
          <w:szCs w:val="24"/>
          <w:highlight w:val="none"/>
          <w:u w:val="single"/>
        </w:rPr>
        <w:t xml:space="preserve"> （单位名称）</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u w:val="single"/>
        </w:rPr>
        <w:t xml:space="preserve"> </w:t>
      </w:r>
      <w:r>
        <w:rPr>
          <w:rFonts w:hint="eastAsia" w:cs="宋体"/>
          <w:i w:val="0"/>
          <w:iCs w:val="0"/>
          <w:color w:val="auto"/>
          <w:spacing w:val="6"/>
          <w:szCs w:val="24"/>
          <w:highlight w:val="none"/>
        </w:rPr>
        <w:t xml:space="preserve">的 </w:t>
      </w:r>
      <w:r>
        <w:rPr>
          <w:rFonts w:hint="eastAsia" w:cs="宋体"/>
          <w:i w:val="0"/>
          <w:iCs w:val="0"/>
          <w:color w:val="auto"/>
          <w:spacing w:val="6"/>
          <w:szCs w:val="24"/>
          <w:highlight w:val="none"/>
          <w:u w:val="single"/>
        </w:rPr>
        <w:t xml:space="preserve">（项目名称） </w:t>
      </w:r>
      <w:r>
        <w:rPr>
          <w:rFonts w:hint="eastAsia" w:cs="宋体"/>
          <w:i w:val="0"/>
          <w:iCs w:val="0"/>
          <w:color w:val="auto"/>
          <w:spacing w:val="6"/>
          <w:szCs w:val="24"/>
          <w:highlight w:val="none"/>
        </w:rPr>
        <w:t>采购活动，服务全部由符合政策要求的中小企业承接。相关企业（含联合体中的中小企业、签订分包意向协议</w:t>
      </w:r>
      <w:r>
        <w:rPr>
          <w:rFonts w:hint="eastAsia" w:cs="宋体"/>
          <w:i w:val="0"/>
          <w:iCs w:val="0"/>
          <w:color w:val="auto"/>
          <w:spacing w:val="6"/>
          <w:szCs w:val="24"/>
          <w:highlight w:val="none"/>
          <w:lang w:val="en-US" w:eastAsia="zh-CN"/>
        </w:rPr>
        <w:t>书</w:t>
      </w:r>
      <w:r>
        <w:rPr>
          <w:rFonts w:hint="eastAsia" w:cs="宋体"/>
          <w:i w:val="0"/>
          <w:iCs w:val="0"/>
          <w:color w:val="auto"/>
          <w:spacing w:val="6"/>
          <w:szCs w:val="24"/>
          <w:highlight w:val="none"/>
        </w:rPr>
        <w:t>的中小企业）的具体情况如下：</w:t>
      </w:r>
    </w:p>
    <w:p w14:paraId="5FCC96F1">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1.</w:t>
      </w:r>
      <w:r>
        <w:rPr>
          <w:rFonts w:hint="eastAsia" w:cs="宋体"/>
          <w:i w:val="0"/>
          <w:iCs w:val="0"/>
          <w:color w:val="auto"/>
          <w:spacing w:val="6"/>
          <w:szCs w:val="24"/>
          <w:highlight w:val="none"/>
          <w:u w:val="single"/>
        </w:rPr>
        <w:t xml:space="preserve"> （标的名称） </w:t>
      </w:r>
      <w:r>
        <w:rPr>
          <w:rFonts w:hint="eastAsia" w:cs="宋体"/>
          <w:i w:val="0"/>
          <w:iCs w:val="0"/>
          <w:color w:val="auto"/>
          <w:spacing w:val="6"/>
          <w:szCs w:val="24"/>
          <w:highlight w:val="none"/>
        </w:rPr>
        <w:t>，属于</w:t>
      </w:r>
      <w:r>
        <w:rPr>
          <w:rFonts w:hint="eastAsia" w:cs="宋体"/>
          <w:i w:val="0"/>
          <w:iCs w:val="0"/>
          <w:color w:val="auto"/>
          <w:spacing w:val="6"/>
          <w:szCs w:val="24"/>
          <w:highlight w:val="none"/>
          <w:u w:val="single"/>
        </w:rPr>
        <w:t xml:space="preserve"> （采购文件中明确的所属行业）</w:t>
      </w:r>
      <w:r>
        <w:rPr>
          <w:rFonts w:hint="eastAsia" w:cs="宋体"/>
          <w:i w:val="0"/>
          <w:iCs w:val="0"/>
          <w:color w:val="auto"/>
          <w:spacing w:val="6"/>
          <w:szCs w:val="24"/>
          <w:highlight w:val="none"/>
        </w:rPr>
        <w:t>行业 ；承接企业为</w:t>
      </w:r>
      <w:r>
        <w:rPr>
          <w:rFonts w:hint="eastAsia" w:cs="宋体"/>
          <w:i w:val="0"/>
          <w:iCs w:val="0"/>
          <w:color w:val="auto"/>
          <w:spacing w:val="6"/>
          <w:szCs w:val="24"/>
          <w:highlight w:val="none"/>
          <w:u w:val="single"/>
        </w:rPr>
        <w:t xml:space="preserve"> （企业名称） </w:t>
      </w:r>
      <w:r>
        <w:rPr>
          <w:rFonts w:hint="eastAsia" w:cs="宋体"/>
          <w:i w:val="0"/>
          <w:iCs w:val="0"/>
          <w:color w:val="auto"/>
          <w:spacing w:val="6"/>
          <w:szCs w:val="24"/>
          <w:highlight w:val="none"/>
        </w:rPr>
        <w:t>，从业人员</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人，营业收入为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万元，资产总额为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万元，属于</w:t>
      </w:r>
      <w:r>
        <w:rPr>
          <w:rFonts w:hint="eastAsia" w:cs="宋体"/>
          <w:i w:val="0"/>
          <w:iCs w:val="0"/>
          <w:color w:val="auto"/>
          <w:spacing w:val="6"/>
          <w:szCs w:val="24"/>
          <w:highlight w:val="none"/>
          <w:u w:val="single"/>
        </w:rPr>
        <w:t xml:space="preserve"> （中型企业、小型企业、微型企业）</w:t>
      </w:r>
      <w:r>
        <w:rPr>
          <w:rFonts w:hint="eastAsia" w:cs="宋体"/>
          <w:i w:val="0"/>
          <w:iCs w:val="0"/>
          <w:color w:val="auto"/>
          <w:spacing w:val="6"/>
          <w:szCs w:val="24"/>
          <w:highlight w:val="none"/>
        </w:rPr>
        <w:t>；</w:t>
      </w:r>
    </w:p>
    <w:p w14:paraId="1D01E102">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2.</w:t>
      </w:r>
      <w:r>
        <w:rPr>
          <w:rFonts w:hint="eastAsia" w:cs="宋体"/>
          <w:i w:val="0"/>
          <w:iCs w:val="0"/>
          <w:color w:val="auto"/>
          <w:spacing w:val="6"/>
          <w:szCs w:val="24"/>
          <w:highlight w:val="none"/>
          <w:u w:val="single"/>
        </w:rPr>
        <w:t xml:space="preserve"> （标的名称） </w:t>
      </w:r>
      <w:r>
        <w:rPr>
          <w:rFonts w:hint="eastAsia" w:cs="宋体"/>
          <w:i w:val="0"/>
          <w:iCs w:val="0"/>
          <w:color w:val="auto"/>
          <w:spacing w:val="6"/>
          <w:szCs w:val="24"/>
          <w:highlight w:val="none"/>
        </w:rPr>
        <w:t>，属于</w:t>
      </w:r>
      <w:r>
        <w:rPr>
          <w:rFonts w:hint="eastAsia" w:cs="宋体"/>
          <w:i w:val="0"/>
          <w:iCs w:val="0"/>
          <w:color w:val="auto"/>
          <w:spacing w:val="6"/>
          <w:szCs w:val="24"/>
          <w:highlight w:val="none"/>
          <w:u w:val="single"/>
        </w:rPr>
        <w:t xml:space="preserve"> （采购文件中明确的所属行业）</w:t>
      </w:r>
      <w:r>
        <w:rPr>
          <w:rFonts w:hint="eastAsia" w:cs="宋体"/>
          <w:i w:val="0"/>
          <w:iCs w:val="0"/>
          <w:color w:val="auto"/>
          <w:spacing w:val="6"/>
          <w:szCs w:val="24"/>
          <w:highlight w:val="none"/>
        </w:rPr>
        <w:t>行业 ；承接企业为</w:t>
      </w:r>
      <w:r>
        <w:rPr>
          <w:rFonts w:hint="eastAsia" w:cs="宋体"/>
          <w:i w:val="0"/>
          <w:iCs w:val="0"/>
          <w:color w:val="auto"/>
          <w:spacing w:val="6"/>
          <w:szCs w:val="24"/>
          <w:highlight w:val="none"/>
          <w:u w:val="single"/>
        </w:rPr>
        <w:t xml:space="preserve"> （企业名称） </w:t>
      </w:r>
      <w:r>
        <w:rPr>
          <w:rFonts w:hint="eastAsia" w:cs="宋体"/>
          <w:i w:val="0"/>
          <w:iCs w:val="0"/>
          <w:color w:val="auto"/>
          <w:spacing w:val="6"/>
          <w:szCs w:val="24"/>
          <w:highlight w:val="none"/>
        </w:rPr>
        <w:t>，从业人员</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人，营业收入为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万元，资产总额为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万元，属于</w:t>
      </w:r>
      <w:r>
        <w:rPr>
          <w:rFonts w:hint="eastAsia" w:cs="宋体"/>
          <w:i w:val="0"/>
          <w:iCs w:val="0"/>
          <w:color w:val="auto"/>
          <w:spacing w:val="6"/>
          <w:szCs w:val="24"/>
          <w:highlight w:val="none"/>
          <w:u w:val="single"/>
        </w:rPr>
        <w:t xml:space="preserve"> （中型企业、小型企业、微型企业）</w:t>
      </w:r>
      <w:r>
        <w:rPr>
          <w:rFonts w:hint="eastAsia" w:cs="宋体"/>
          <w:i w:val="0"/>
          <w:iCs w:val="0"/>
          <w:color w:val="auto"/>
          <w:spacing w:val="6"/>
          <w:szCs w:val="24"/>
          <w:highlight w:val="none"/>
        </w:rPr>
        <w:t>；</w:t>
      </w:r>
    </w:p>
    <w:p w14:paraId="7CB1DD8C">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w:t>
      </w:r>
    </w:p>
    <w:p w14:paraId="776FE44A">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以上企业，不属于大企业的分支机构，不存在控股股东为大企业的情形，也不存在与大企业的负责人为同一人的情形。</w:t>
      </w:r>
    </w:p>
    <w:p w14:paraId="3A720EA2">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本企业对上述声明内容的真实性负责。如有虚假，将依法承担相应责任。</w:t>
      </w:r>
    </w:p>
    <w:p w14:paraId="5A6D844B">
      <w:pPr>
        <w:ind w:right="1008" w:firstLine="4788" w:firstLineChars="1900"/>
        <w:rPr>
          <w:rFonts w:cs="宋体"/>
          <w:i w:val="0"/>
          <w:iCs w:val="0"/>
          <w:color w:val="auto"/>
          <w:spacing w:val="6"/>
          <w:szCs w:val="24"/>
          <w:highlight w:val="none"/>
        </w:rPr>
      </w:pPr>
    </w:p>
    <w:p w14:paraId="165AEE2D">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5183E380">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7BA8C73B">
      <w:pPr>
        <w:ind w:firstLine="504" w:firstLineChars="200"/>
        <w:rPr>
          <w:rFonts w:cs="宋体"/>
          <w:i w:val="0"/>
          <w:iCs w:val="0"/>
          <w:color w:val="auto"/>
          <w:spacing w:val="6"/>
          <w:szCs w:val="24"/>
          <w:highlight w:val="none"/>
        </w:rPr>
      </w:pPr>
    </w:p>
    <w:p w14:paraId="748B4DD4">
      <w:pPr>
        <w:spacing w:line="360" w:lineRule="auto"/>
        <w:rPr>
          <w:rFonts w:hint="default" w:cs="宋体"/>
          <w:b/>
          <w:bCs/>
          <w:i w:val="0"/>
          <w:iCs w:val="0"/>
          <w:color w:val="auto"/>
          <w:spacing w:val="6"/>
          <w:sz w:val="21"/>
          <w:szCs w:val="21"/>
          <w:highlight w:val="none"/>
          <w:lang w:val="en-US" w:eastAsia="zh-CN"/>
        </w:rPr>
      </w:pPr>
      <w:r>
        <w:rPr>
          <w:rFonts w:hint="eastAsia" w:cs="宋体"/>
          <w:b/>
          <w:bCs/>
          <w:i w:val="0"/>
          <w:iCs w:val="0"/>
          <w:color w:val="auto"/>
          <w:spacing w:val="6"/>
          <w:sz w:val="21"/>
          <w:szCs w:val="21"/>
          <w:highlight w:val="none"/>
        </w:rPr>
        <w:t>说明：</w:t>
      </w:r>
      <w:r>
        <w:rPr>
          <w:rFonts w:hint="eastAsia" w:cs="宋体"/>
          <w:b/>
          <w:bCs/>
          <w:i w:val="0"/>
          <w:iCs w:val="0"/>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30478923">
      <w:pPr>
        <w:spacing w:line="360" w:lineRule="auto"/>
        <w:ind w:firstLine="446" w:firstLineChars="200"/>
        <w:rPr>
          <w:rFonts w:hint="eastAsia" w:cs="宋体"/>
          <w:i w:val="0"/>
          <w:iCs w:val="0"/>
          <w:color w:val="auto"/>
          <w:spacing w:val="6"/>
          <w:sz w:val="24"/>
          <w:szCs w:val="24"/>
          <w:highlight w:val="none"/>
        </w:rPr>
      </w:pPr>
      <w:r>
        <w:rPr>
          <w:rFonts w:hint="eastAsia" w:cs="宋体"/>
          <w:b/>
          <w:bCs/>
          <w:i w:val="0"/>
          <w:iCs w:val="0"/>
          <w:color w:val="auto"/>
          <w:spacing w:val="6"/>
          <w:sz w:val="21"/>
          <w:szCs w:val="21"/>
          <w:highlight w:val="none"/>
          <w:lang w:val="en-US" w:eastAsia="zh-CN"/>
        </w:rPr>
        <w:t>2.</w:t>
      </w:r>
      <w:r>
        <w:rPr>
          <w:rFonts w:hint="eastAsia" w:cs="宋体"/>
          <w:i w:val="0"/>
          <w:iCs w:val="0"/>
          <w:color w:val="auto"/>
          <w:spacing w:val="6"/>
          <w:sz w:val="21"/>
          <w:szCs w:val="21"/>
          <w:highlight w:val="none"/>
        </w:rPr>
        <w:t>从业人员、营业收入、资产总额填报上一年度数据，无上一年度数据的新成立企业可不填报。</w:t>
      </w:r>
    </w:p>
    <w:p w14:paraId="645259F9">
      <w:pPr>
        <w:rPr>
          <w:rFonts w:cs="宋体"/>
          <w:i w:val="0"/>
          <w:iCs w:val="0"/>
          <w:color w:val="auto"/>
          <w:spacing w:val="6"/>
          <w:sz w:val="21"/>
          <w:szCs w:val="21"/>
          <w:highlight w:val="none"/>
        </w:rPr>
      </w:pPr>
    </w:p>
    <w:p w14:paraId="38D889F8">
      <w:pPr>
        <w:rPr>
          <w:rFonts w:cs="宋体"/>
          <w:i w:val="0"/>
          <w:iCs w:val="0"/>
          <w:color w:val="auto"/>
          <w:spacing w:val="6"/>
          <w:sz w:val="21"/>
          <w:szCs w:val="21"/>
          <w:highlight w:val="none"/>
        </w:rPr>
      </w:pPr>
    </w:p>
    <w:p w14:paraId="501C8029">
      <w:pPr>
        <w:rPr>
          <w:rFonts w:cs="宋体"/>
          <w:i w:val="0"/>
          <w:iCs w:val="0"/>
          <w:color w:val="auto"/>
          <w:spacing w:val="6"/>
          <w:sz w:val="21"/>
          <w:szCs w:val="21"/>
          <w:highlight w:val="none"/>
        </w:rPr>
      </w:pPr>
    </w:p>
    <w:p w14:paraId="325BBB21">
      <w:pPr>
        <w:rPr>
          <w:rFonts w:cs="宋体"/>
          <w:i w:val="0"/>
          <w:iCs w:val="0"/>
          <w:color w:val="auto"/>
          <w:spacing w:val="6"/>
          <w:sz w:val="21"/>
          <w:szCs w:val="21"/>
          <w:highlight w:val="none"/>
        </w:rPr>
      </w:pPr>
    </w:p>
    <w:p w14:paraId="7006C7B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i w:val="0"/>
          <w:iCs w:val="0"/>
          <w:color w:val="auto"/>
          <w:highlight w:val="none"/>
          <w:lang w:val="en-US" w:eastAsia="zh-CN"/>
        </w:rPr>
      </w:pPr>
      <w:r>
        <w:rPr>
          <w:rFonts w:hint="eastAsia"/>
          <w:b/>
          <w:bCs/>
          <w:i w:val="0"/>
          <w:iCs w:val="0"/>
          <w:color w:val="auto"/>
          <w:highlight w:val="none"/>
          <w:lang w:val="en-US" w:eastAsia="zh-CN"/>
        </w:rPr>
        <w:t xml:space="preserve">附件1 </w:t>
      </w:r>
    </w:p>
    <w:p w14:paraId="2318C2EC">
      <w:pPr>
        <w:keepNext w:val="0"/>
        <w:keepLines w:val="0"/>
        <w:widowControl/>
        <w:suppressLineNumbers w:val="0"/>
        <w:ind w:firstLine="482" w:firstLineChars="200"/>
        <w:jc w:val="left"/>
        <w:rPr>
          <w:rStyle w:val="32"/>
          <w:rFonts w:hint="eastAsia" w:ascii="宋体" w:hAnsi="宋体" w:eastAsia="宋体" w:cs="宋体"/>
          <w:i w:val="0"/>
          <w:iCs w:val="0"/>
          <w:color w:val="auto"/>
          <w:kern w:val="0"/>
          <w:sz w:val="28"/>
          <w:szCs w:val="28"/>
          <w:highlight w:val="none"/>
          <w:lang w:val="en-US" w:eastAsia="zh-CN" w:bidi="ar"/>
        </w:rPr>
      </w:pPr>
      <w:r>
        <w:rPr>
          <w:rStyle w:val="32"/>
          <w:rFonts w:hint="eastAsia" w:ascii="宋体" w:hAnsi="宋体" w:eastAsia="宋体" w:cs="宋体"/>
          <w:i w:val="0"/>
          <w:iCs w:val="0"/>
          <w:color w:val="auto"/>
          <w:kern w:val="0"/>
          <w:sz w:val="24"/>
          <w:szCs w:val="24"/>
          <w:highlight w:val="none"/>
          <w:lang w:val="en-US" w:eastAsia="zh-CN" w:bidi="ar"/>
        </w:rPr>
        <w:t>（一）关于</w:t>
      </w:r>
      <w:r>
        <w:rPr>
          <w:rStyle w:val="32"/>
          <w:rFonts w:hint="eastAsia" w:cs="宋体"/>
          <w:i w:val="0"/>
          <w:iCs w:val="0"/>
          <w:color w:val="auto"/>
          <w:kern w:val="0"/>
          <w:sz w:val="24"/>
          <w:szCs w:val="24"/>
          <w:highlight w:val="none"/>
          <w:lang w:val="en-US" w:eastAsia="zh-CN" w:bidi="ar"/>
        </w:rPr>
        <w:t>“</w:t>
      </w:r>
      <w:r>
        <w:rPr>
          <w:rStyle w:val="32"/>
          <w:rFonts w:hint="eastAsia" w:ascii="宋体" w:hAnsi="宋体" w:eastAsia="宋体" w:cs="宋体"/>
          <w:i w:val="0"/>
          <w:iCs w:val="0"/>
          <w:color w:val="auto"/>
          <w:kern w:val="0"/>
          <w:sz w:val="24"/>
          <w:szCs w:val="24"/>
          <w:highlight w:val="none"/>
          <w:lang w:val="en-US" w:eastAsia="zh-CN" w:bidi="ar"/>
        </w:rPr>
        <w:t>中小企业声明函</w:t>
      </w:r>
      <w:r>
        <w:rPr>
          <w:rStyle w:val="32"/>
          <w:rFonts w:hint="eastAsia" w:cs="宋体"/>
          <w:i w:val="0"/>
          <w:iCs w:val="0"/>
          <w:color w:val="auto"/>
          <w:kern w:val="0"/>
          <w:sz w:val="24"/>
          <w:szCs w:val="24"/>
          <w:highlight w:val="none"/>
          <w:lang w:val="en-US" w:eastAsia="zh-CN" w:bidi="ar"/>
        </w:rPr>
        <w:t>”</w:t>
      </w:r>
      <w:r>
        <w:rPr>
          <w:rStyle w:val="32"/>
          <w:rFonts w:hint="eastAsia" w:ascii="宋体" w:hAnsi="宋体" w:eastAsia="宋体" w:cs="宋体"/>
          <w:i w:val="0"/>
          <w:iCs w:val="0"/>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2"/>
          <w:rFonts w:hint="eastAsia" w:ascii="宋体" w:hAnsi="宋体" w:eastAsia="宋体" w:cs="宋体"/>
          <w:i w:val="0"/>
          <w:iCs w:val="0"/>
          <w:color w:val="auto"/>
          <w:kern w:val="0"/>
          <w:sz w:val="24"/>
          <w:szCs w:val="24"/>
          <w:highlight w:val="none"/>
          <w:lang w:val="en-US" w:eastAsia="zh-CN" w:bidi="ar"/>
        </w:rPr>
      </w:pPr>
      <w:r>
        <w:rPr>
          <w:rStyle w:val="32"/>
          <w:rFonts w:hint="eastAsia" w:ascii="宋体" w:hAnsi="宋体" w:eastAsia="宋体" w:cs="宋体"/>
          <w:i w:val="0"/>
          <w:iCs w:val="0"/>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1.投标（响应）供应商对</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5309701E">
      <w:pPr>
        <w:ind w:firstLine="480" w:firstLineChars="200"/>
        <w:rPr>
          <w:rFonts w:cs="宋体"/>
          <w:i w:val="0"/>
          <w:iCs w:val="0"/>
          <w:color w:val="auto"/>
          <w:spacing w:val="6"/>
          <w:sz w:val="21"/>
          <w:szCs w:val="21"/>
          <w:highlight w:val="none"/>
        </w:rPr>
      </w:pPr>
      <w:r>
        <w:rPr>
          <w:rFonts w:hint="eastAsia" w:ascii="宋体" w:hAnsi="宋体" w:eastAsia="宋体" w:cs="宋体"/>
          <w:i w:val="0"/>
          <w:iCs w:val="0"/>
          <w:color w:val="auto"/>
          <w:kern w:val="0"/>
          <w:sz w:val="24"/>
          <w:szCs w:val="28"/>
          <w:highlight w:val="none"/>
          <w:lang w:val="en-US" w:eastAsia="zh-CN" w:bidi="ar"/>
        </w:rPr>
        <w:t>3.如供应商提供的</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46E8A2">
      <w:pPr>
        <w:rPr>
          <w:rFonts w:cs="宋体"/>
          <w:i w:val="0"/>
          <w:iCs w:val="0"/>
          <w:color w:val="auto"/>
          <w:spacing w:val="6"/>
          <w:sz w:val="21"/>
          <w:szCs w:val="21"/>
          <w:highlight w:val="none"/>
        </w:rPr>
      </w:pPr>
    </w:p>
    <w:p w14:paraId="395668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i w:val="0"/>
          <w:iCs w:val="0"/>
          <w:color w:val="auto"/>
          <w:highlight w:val="none"/>
          <w:lang w:val="en-US" w:eastAsia="zh-CN"/>
        </w:rPr>
        <w:sectPr>
          <w:pgSz w:w="11905" w:h="16840"/>
          <w:pgMar w:top="1440" w:right="1797" w:bottom="1440" w:left="1797" w:header="851" w:footer="850" w:gutter="0"/>
          <w:pgBorders>
            <w:top w:val="none" w:sz="0" w:space="0"/>
            <w:left w:val="none" w:sz="0" w:space="0"/>
            <w:bottom w:val="none" w:sz="0" w:space="0"/>
            <w:right w:val="none" w:sz="0" w:space="0"/>
          </w:pgBorders>
          <w:pgNumType w:fmt="numberInDash"/>
          <w:cols w:space="720" w:num="1"/>
        </w:sect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i w:val="0"/>
          <w:iCs w:val="0"/>
          <w:color w:val="auto"/>
          <w:highlight w:val="none"/>
          <w:lang w:val="en-US" w:eastAsia="zh-CN"/>
        </w:rPr>
      </w:pPr>
      <w:r>
        <w:rPr>
          <w:rFonts w:hint="eastAsia"/>
          <w:b/>
          <w:bCs/>
          <w:i w:val="0"/>
          <w:iCs w:val="0"/>
          <w:color w:val="auto"/>
          <w:highlight w:val="none"/>
          <w:lang w:val="en-US" w:eastAsia="zh-CN"/>
        </w:rPr>
        <w:t>附件2：</w:t>
      </w:r>
    </w:p>
    <w:p w14:paraId="243BB2FE">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关于印发中小企业划型标准规定的通知</w:t>
      </w:r>
    </w:p>
    <w:p w14:paraId="7FFC0F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i w:val="0"/>
          <w:iCs w:val="0"/>
          <w:color w:val="auto"/>
          <w:sz w:val="24"/>
          <w:szCs w:val="24"/>
          <w:highlight w:val="none"/>
        </w:rPr>
      </w:pPr>
      <w:r>
        <w:rPr>
          <w:rStyle w:val="32"/>
          <w:rFonts w:hint="eastAsia" w:ascii="宋体" w:hAnsi="宋体" w:eastAsia="宋体" w:cs="宋体"/>
          <w:b w:val="0"/>
          <w:i w:val="0"/>
          <w:iCs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i w:val="0"/>
          <w:iCs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i w:val="0"/>
          <w:iCs w:val="0"/>
          <w:color w:val="auto"/>
          <w:sz w:val="24"/>
          <w:szCs w:val="24"/>
          <w:highlight w:val="none"/>
        </w:rPr>
      </w:pPr>
      <w:r>
        <w:rPr>
          <w:rStyle w:val="32"/>
          <w:rFonts w:hint="eastAsia" w:ascii="宋体" w:hAnsi="宋体" w:eastAsia="宋体" w:cs="宋体"/>
          <w:b w:val="0"/>
          <w:i w:val="0"/>
          <w:iCs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2"/>
          <w:rFonts w:hint="eastAsia" w:ascii="宋体" w:hAnsi="宋体" w:eastAsia="宋体" w:cs="宋体"/>
          <w:b/>
          <w:bCs w:val="0"/>
          <w:i w:val="0"/>
          <w:iCs w:val="0"/>
          <w:color w:val="auto"/>
          <w:sz w:val="28"/>
          <w:szCs w:val="28"/>
          <w:highlight w:val="none"/>
        </w:rPr>
      </w:pPr>
      <w:r>
        <w:rPr>
          <w:rStyle w:val="32"/>
          <w:rFonts w:hint="eastAsia" w:ascii="宋体" w:hAnsi="宋体" w:eastAsia="宋体" w:cs="宋体"/>
          <w:b/>
          <w:bCs w:val="0"/>
          <w:i w:val="0"/>
          <w:i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i w:val="0"/>
          <w:iCs w:val="0"/>
          <w:color w:val="auto"/>
          <w:spacing w:val="6"/>
          <w:sz w:val="21"/>
          <w:szCs w:val="21"/>
          <w:highlight w:val="none"/>
        </w:rPr>
      </w:pPr>
      <w:r>
        <w:rPr>
          <w:rStyle w:val="32"/>
          <w:rFonts w:hint="eastAsia" w:ascii="宋体" w:hAnsi="宋体" w:eastAsia="宋体" w:cs="宋体"/>
          <w:b w:val="0"/>
          <w:bCs w:val="0"/>
          <w:i w:val="0"/>
          <w:iCs w:val="0"/>
          <w:color w:val="auto"/>
          <w:sz w:val="24"/>
          <w:szCs w:val="24"/>
          <w:highlight w:val="none"/>
        </w:rPr>
        <w:t>十、本规定自发布之日起执行，原国家经贸委、原国家计委、财政部和国家统计局2003年颁布的《中小企业标准暂行规定》同时废止。</w:t>
      </w:r>
    </w:p>
    <w:p w14:paraId="5BCE9D64">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p w14:paraId="5FA7D1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i w:val="0"/>
          <w:iCs w:val="0"/>
          <w:color w:val="auto"/>
          <w:highlight w:val="none"/>
          <w:lang w:val="en-US" w:eastAsia="zh-CN"/>
        </w:rPr>
      </w:pPr>
      <w:bookmarkStart w:id="706" w:name="_Toc163492940"/>
      <w:r>
        <w:rPr>
          <w:rFonts w:hint="eastAsia"/>
          <w:b/>
          <w:bCs/>
          <w:i w:val="0"/>
          <w:iCs w:val="0"/>
          <w:color w:val="auto"/>
          <w:highlight w:val="none"/>
          <w:lang w:val="en-US" w:eastAsia="zh-CN"/>
        </w:rPr>
        <w:t>附件3：</w:t>
      </w:r>
    </w:p>
    <w:p w14:paraId="1AF7C83B">
      <w:pPr>
        <w:rPr>
          <w:rFonts w:hint="eastAsia" w:cs="宋体"/>
          <w:i w:val="0"/>
          <w:iCs w:val="0"/>
          <w:color w:val="auto"/>
          <w:spacing w:val="6"/>
          <w:sz w:val="21"/>
          <w:szCs w:val="21"/>
          <w:highlight w:val="none"/>
        </w:rPr>
      </w:pPr>
    </w:p>
    <w:p w14:paraId="134F6EBF">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关于印发《金融业企业划型标准规定》的通知</w:t>
      </w:r>
    </w:p>
    <w:p w14:paraId="60239E26">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Style w:val="32"/>
          <w:rFonts w:hint="eastAsia" w:ascii="宋体" w:hAnsi="宋体" w:eastAsia="宋体" w:cs="宋体"/>
          <w:b w:val="0"/>
          <w:i w:val="0"/>
          <w:iCs w:val="0"/>
          <w:color w:val="auto"/>
          <w:sz w:val="24"/>
          <w:szCs w:val="24"/>
          <w:highlight w:val="none"/>
        </w:rPr>
      </w:pPr>
      <w:r>
        <w:rPr>
          <w:rStyle w:val="32"/>
          <w:rFonts w:hint="eastAsia" w:ascii="宋体" w:hAnsi="宋体" w:eastAsia="宋体" w:cs="宋体"/>
          <w:b w:val="0"/>
          <w:i w:val="0"/>
          <w:iCs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i w:val="0"/>
          <w:i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i w:val="0"/>
          <w:iCs w:val="0"/>
          <w:color w:val="auto"/>
          <w:sz w:val="24"/>
          <w:szCs w:val="24"/>
          <w:highlight w:val="none"/>
        </w:rPr>
      </w:pPr>
      <w:r>
        <w:rPr>
          <w:rFonts w:hint="eastAsia" w:cs="宋体"/>
          <w:i w:val="0"/>
          <w:iCs w:val="0"/>
          <w:color w:val="auto"/>
          <w:spacing w:val="6"/>
          <w:sz w:val="24"/>
          <w:szCs w:val="24"/>
          <w:highlight w:val="none"/>
        </w:rPr>
        <w:t>                                      </w:t>
      </w:r>
      <w:r>
        <w:rPr>
          <w:rStyle w:val="32"/>
          <w:rFonts w:hint="eastAsia" w:ascii="宋体" w:hAnsi="宋体" w:eastAsia="宋体" w:cs="宋体"/>
          <w:b w:val="0"/>
          <w:bCs w:val="0"/>
          <w:i w:val="0"/>
          <w:iCs w:val="0"/>
          <w:color w:val="auto"/>
          <w:sz w:val="24"/>
          <w:szCs w:val="24"/>
          <w:highlight w:val="none"/>
        </w:rPr>
        <w:t>       </w:t>
      </w:r>
      <w:r>
        <w:rPr>
          <w:rStyle w:val="32"/>
          <w:rFonts w:hint="eastAsia" w:cs="宋体"/>
          <w:b w:val="0"/>
          <w:bCs w:val="0"/>
          <w:i w:val="0"/>
          <w:iCs w:val="0"/>
          <w:color w:val="auto"/>
          <w:sz w:val="24"/>
          <w:szCs w:val="24"/>
          <w:highlight w:val="none"/>
          <w:lang w:val="en-US" w:eastAsia="zh-CN"/>
        </w:rPr>
        <w:t xml:space="preserve">                            </w:t>
      </w:r>
      <w:r>
        <w:rPr>
          <w:rStyle w:val="32"/>
          <w:rFonts w:hint="eastAsia" w:ascii="宋体" w:hAnsi="宋体" w:eastAsia="宋体" w:cs="宋体"/>
          <w:b w:val="0"/>
          <w:bCs w:val="0"/>
          <w:i w:val="0"/>
          <w:i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                                                     </w:t>
      </w:r>
      <w:r>
        <w:rPr>
          <w:rStyle w:val="32"/>
          <w:rFonts w:hint="eastAsia" w:cs="宋体"/>
          <w:b w:val="0"/>
          <w:bCs w:val="0"/>
          <w:i w:val="0"/>
          <w:iCs w:val="0"/>
          <w:color w:val="auto"/>
          <w:sz w:val="24"/>
          <w:szCs w:val="24"/>
          <w:highlight w:val="none"/>
          <w:lang w:val="en-US" w:eastAsia="zh-CN"/>
        </w:rPr>
        <w:t xml:space="preserve">     </w:t>
      </w:r>
      <w:r>
        <w:rPr>
          <w:rStyle w:val="32"/>
          <w:rFonts w:hint="eastAsia" w:ascii="宋体" w:hAnsi="宋体" w:eastAsia="宋体" w:cs="宋体"/>
          <w:b w:val="0"/>
          <w:bCs w:val="0"/>
          <w:i w:val="0"/>
          <w:iCs w:val="0"/>
          <w:color w:val="auto"/>
          <w:sz w:val="24"/>
          <w:szCs w:val="24"/>
          <w:highlight w:val="none"/>
        </w:rPr>
        <w:t> 2015年9月28日</w:t>
      </w:r>
    </w:p>
    <w:p w14:paraId="2D875BF0">
      <w:pPr>
        <w:rPr>
          <w:rFonts w:hint="eastAsia" w:cs="宋体"/>
          <w:i w:val="0"/>
          <w:iCs w:val="0"/>
          <w:color w:val="auto"/>
          <w:spacing w:val="6"/>
          <w:sz w:val="21"/>
          <w:szCs w:val="21"/>
          <w:highlight w:val="none"/>
        </w:rPr>
      </w:pPr>
    </w:p>
    <w:p w14:paraId="3D3E2F07">
      <w:pPr>
        <w:rPr>
          <w:rFonts w:hint="eastAsia" w:cs="宋体"/>
          <w:i w:val="0"/>
          <w:iCs w:val="0"/>
          <w:color w:val="auto"/>
          <w:spacing w:val="6"/>
          <w:sz w:val="21"/>
          <w:szCs w:val="21"/>
          <w:highlight w:val="none"/>
          <w:lang w:val="en-US" w:eastAsia="zh-CN"/>
        </w:rPr>
      </w:pPr>
    </w:p>
    <w:p w14:paraId="7D55D2C4">
      <w:pPr>
        <w:rPr>
          <w:rFonts w:hint="eastAsia" w:cs="宋体"/>
          <w:i w:val="0"/>
          <w:iCs w:val="0"/>
          <w:color w:val="auto"/>
          <w:spacing w:val="6"/>
          <w:sz w:val="21"/>
          <w:szCs w:val="21"/>
          <w:highlight w:val="none"/>
          <w:lang w:val="en-US" w:eastAsia="zh-CN"/>
        </w:rPr>
      </w:pPr>
    </w:p>
    <w:p w14:paraId="535B7B3C">
      <w:pPr>
        <w:rPr>
          <w:rFonts w:hint="eastAsia" w:cs="宋体"/>
          <w:i w:val="0"/>
          <w:iCs w:val="0"/>
          <w:color w:val="auto"/>
          <w:spacing w:val="6"/>
          <w:sz w:val="21"/>
          <w:szCs w:val="21"/>
          <w:highlight w:val="none"/>
          <w:lang w:val="en-US" w:eastAsia="zh-CN"/>
        </w:rPr>
      </w:pPr>
    </w:p>
    <w:p w14:paraId="0003DA46">
      <w:pPr>
        <w:rPr>
          <w:rFonts w:hint="eastAsia" w:cs="宋体"/>
          <w:i w:val="0"/>
          <w:iCs w:val="0"/>
          <w:color w:val="auto"/>
          <w:spacing w:val="6"/>
          <w:sz w:val="21"/>
          <w:szCs w:val="21"/>
          <w:highlight w:val="none"/>
          <w:lang w:val="en-US" w:eastAsia="zh-CN"/>
        </w:rPr>
      </w:pPr>
    </w:p>
    <w:p w14:paraId="2EB5298D">
      <w:pPr>
        <w:rPr>
          <w:rFonts w:hint="eastAsia" w:cs="宋体"/>
          <w:i w:val="0"/>
          <w:iCs w:val="0"/>
          <w:color w:val="auto"/>
          <w:spacing w:val="6"/>
          <w:sz w:val="21"/>
          <w:szCs w:val="21"/>
          <w:highlight w:val="none"/>
          <w:lang w:val="en-US" w:eastAsia="zh-CN"/>
        </w:rPr>
      </w:pPr>
    </w:p>
    <w:p w14:paraId="56C175D4">
      <w:pPr>
        <w:rPr>
          <w:rFonts w:hint="eastAsia" w:cs="宋体"/>
          <w:i w:val="0"/>
          <w:iCs w:val="0"/>
          <w:color w:val="auto"/>
          <w:spacing w:val="6"/>
          <w:sz w:val="21"/>
          <w:szCs w:val="21"/>
          <w:highlight w:val="none"/>
          <w:lang w:val="en-US" w:eastAsia="zh-CN"/>
        </w:rPr>
      </w:pPr>
    </w:p>
    <w:p w14:paraId="04253368">
      <w:pPr>
        <w:rPr>
          <w:rFonts w:hint="eastAsia" w:cs="宋体"/>
          <w:i w:val="0"/>
          <w:iCs w:val="0"/>
          <w:color w:val="auto"/>
          <w:spacing w:val="6"/>
          <w:sz w:val="21"/>
          <w:szCs w:val="21"/>
          <w:highlight w:val="none"/>
          <w:lang w:val="en-US" w:eastAsia="zh-CN"/>
        </w:rPr>
      </w:pPr>
    </w:p>
    <w:p w14:paraId="0C202F82">
      <w:pPr>
        <w:rPr>
          <w:rFonts w:hint="eastAsia" w:cs="宋体"/>
          <w:i w:val="0"/>
          <w:iCs w:val="0"/>
          <w:color w:val="auto"/>
          <w:spacing w:val="6"/>
          <w:sz w:val="21"/>
          <w:szCs w:val="21"/>
          <w:highlight w:val="none"/>
        </w:rPr>
      </w:pPr>
      <w:r>
        <w:rPr>
          <w:rFonts w:hint="eastAsia" w:cs="宋体"/>
          <w:i w:val="0"/>
          <w:iCs w:val="0"/>
          <w:color w:val="auto"/>
          <w:spacing w:val="6"/>
          <w:sz w:val="21"/>
          <w:szCs w:val="21"/>
          <w:highlight w:val="none"/>
          <w:lang w:val="en-US" w:eastAsia="zh-CN"/>
        </w:rPr>
        <w:t>附件</w:t>
      </w:r>
      <w:r>
        <w:rPr>
          <w:rFonts w:hint="eastAsia" w:cs="宋体"/>
          <w:i w:val="0"/>
          <w:iCs w:val="0"/>
          <w:color w:val="auto"/>
          <w:spacing w:val="6"/>
          <w:sz w:val="21"/>
          <w:szCs w:val="21"/>
          <w:highlight w:val="none"/>
        </w:rPr>
        <w:t>              </w:t>
      </w:r>
    </w:p>
    <w:p w14:paraId="197435F7">
      <w:pPr>
        <w:pStyle w:val="16"/>
        <w:keepNext w:val="0"/>
        <w:keepLines w:val="0"/>
        <w:pageBreakBefore w:val="0"/>
        <w:widowControl w:val="0"/>
        <w:kinsoku/>
        <w:wordWrap/>
        <w:overflowPunct/>
        <w:topLinePunct w:val="0"/>
        <w:autoSpaceDE/>
        <w:autoSpaceDN/>
        <w:bidi w:val="0"/>
        <w:adjustRightInd/>
        <w:snapToGrid/>
        <w:spacing w:before="0" w:beforeLines="50" w:after="0" w:afterLines="50"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i w:val="0"/>
          <w:i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lang w:eastAsia="zh-CN"/>
        </w:rPr>
      </w:pPr>
      <w:r>
        <w:rPr>
          <w:rStyle w:val="32"/>
          <w:rFonts w:hint="eastAsia" w:ascii="宋体" w:hAnsi="宋体" w:eastAsia="宋体" w:cs="宋体"/>
          <w:b w:val="0"/>
          <w:bCs w:val="0"/>
          <w:i w:val="0"/>
          <w:i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2"/>
          <w:rFonts w:hint="eastAsia" w:cs="宋体"/>
          <w:b w:val="0"/>
          <w:bCs w:val="0"/>
          <w:i w:val="0"/>
          <w:i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2"/>
          <w:rFonts w:hint="eastAsia" w:cs="宋体"/>
          <w:b w:val="0"/>
          <w:bCs w:val="0"/>
          <w:i w:val="0"/>
          <w:iCs w:val="0"/>
          <w:color w:val="auto"/>
          <w:sz w:val="24"/>
          <w:szCs w:val="24"/>
          <w:highlight w:val="none"/>
          <w:lang w:eastAsia="zh-CN"/>
        </w:rPr>
        <w:t>，</w:t>
      </w:r>
      <w:r>
        <w:rPr>
          <w:rStyle w:val="32"/>
          <w:rFonts w:hint="eastAsia" w:ascii="宋体" w:hAnsi="宋体" w:eastAsia="宋体" w:cs="宋体"/>
          <w:b w:val="0"/>
          <w:bCs w:val="0"/>
          <w:i w:val="0"/>
          <w:i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lang w:eastAsia="zh-CN"/>
        </w:rPr>
      </w:pPr>
      <w:r>
        <w:rPr>
          <w:rStyle w:val="32"/>
          <w:rFonts w:hint="eastAsia" w:ascii="宋体" w:hAnsi="宋体" w:eastAsia="宋体" w:cs="宋体"/>
          <w:b w:val="0"/>
          <w:bCs w:val="0"/>
          <w:i w:val="0"/>
          <w:i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2"/>
          <w:rFonts w:hint="eastAsia" w:cs="宋体"/>
          <w:b w:val="0"/>
          <w:bCs w:val="0"/>
          <w:i w:val="0"/>
          <w:i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lang w:eastAsia="zh-CN"/>
        </w:rPr>
      </w:pPr>
      <w:r>
        <w:rPr>
          <w:rStyle w:val="32"/>
          <w:rFonts w:hint="eastAsia" w:ascii="宋体" w:hAnsi="宋体" w:eastAsia="宋体" w:cs="宋体"/>
          <w:b w:val="0"/>
          <w:bCs w:val="0"/>
          <w:i w:val="0"/>
          <w:iCs w:val="0"/>
          <w:color w:val="auto"/>
          <w:sz w:val="24"/>
          <w:szCs w:val="24"/>
          <w:highlight w:val="none"/>
        </w:rPr>
        <w:t>九、融资担保公司参照本规定中“除贷款公司、小额贷款公司、典当行以外的其他金融机构”标准划型</w:t>
      </w:r>
      <w:r>
        <w:rPr>
          <w:rStyle w:val="32"/>
          <w:rFonts w:hint="eastAsia" w:cs="宋体"/>
          <w:b w:val="0"/>
          <w:bCs w:val="0"/>
          <w:i w:val="0"/>
          <w:i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十一、本规定自发布之日起实施,</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i w:val="0"/>
          <w:iCs w:val="0"/>
          <w:color w:val="auto"/>
          <w:sz w:val="24"/>
          <w:szCs w:val="24"/>
          <w:highlight w:val="none"/>
        </w:rPr>
      </w:pPr>
      <w:r>
        <w:rPr>
          <w:rStyle w:val="32"/>
          <w:rFonts w:hint="eastAsia" w:ascii="宋体" w:hAnsi="宋体" w:eastAsia="宋体" w:cs="宋体"/>
          <w:b w:val="0"/>
          <w:bCs w:val="0"/>
          <w:i w:val="0"/>
          <w:iCs w:val="0"/>
          <w:color w:val="auto"/>
          <w:sz w:val="24"/>
          <w:szCs w:val="24"/>
          <w:highlight w:val="none"/>
        </w:rPr>
        <w:t>附:金融业企业划型标准</w:t>
      </w:r>
    </w:p>
    <w:p w14:paraId="4CB94869">
      <w:pPr>
        <w:rPr>
          <w:rFonts w:cs="宋体"/>
          <w:i w:val="0"/>
          <w:iCs w:val="0"/>
          <w:color w:val="auto"/>
          <w:spacing w:val="6"/>
          <w:sz w:val="21"/>
          <w:szCs w:val="21"/>
          <w:highlight w:val="none"/>
        </w:rPr>
      </w:pPr>
    </w:p>
    <w:p w14:paraId="018058A8">
      <w:pPr>
        <w:rPr>
          <w:rFonts w:hint="eastAsia" w:cs="宋体"/>
          <w:i w:val="0"/>
          <w:iCs w:val="0"/>
          <w:color w:val="auto"/>
          <w:spacing w:val="6"/>
          <w:sz w:val="24"/>
          <w:szCs w:val="24"/>
          <w:highlight w:val="none"/>
          <w:lang w:val="en-US" w:eastAsia="zh-CN"/>
        </w:rPr>
      </w:pPr>
    </w:p>
    <w:p w14:paraId="5023B69E">
      <w:pPr>
        <w:rPr>
          <w:rFonts w:hint="eastAsia" w:cs="宋体"/>
          <w:i w:val="0"/>
          <w:iCs w:val="0"/>
          <w:color w:val="auto"/>
          <w:spacing w:val="6"/>
          <w:sz w:val="24"/>
          <w:szCs w:val="24"/>
          <w:highlight w:val="none"/>
          <w:lang w:val="en-US" w:eastAsia="zh-CN"/>
        </w:rPr>
      </w:pPr>
    </w:p>
    <w:p w14:paraId="5F7D4B83">
      <w:pPr>
        <w:rPr>
          <w:rFonts w:hint="eastAsia" w:cs="宋体"/>
          <w:i w:val="0"/>
          <w:iCs w:val="0"/>
          <w:color w:val="auto"/>
          <w:spacing w:val="6"/>
          <w:sz w:val="24"/>
          <w:szCs w:val="24"/>
          <w:highlight w:val="none"/>
          <w:lang w:val="en-US" w:eastAsia="zh-CN"/>
        </w:rPr>
      </w:pPr>
    </w:p>
    <w:p w14:paraId="20B74F82">
      <w:pPr>
        <w:rPr>
          <w:rFonts w:hint="eastAsia" w:cs="宋体"/>
          <w:i w:val="0"/>
          <w:iCs w:val="0"/>
          <w:color w:val="auto"/>
          <w:spacing w:val="6"/>
          <w:sz w:val="24"/>
          <w:szCs w:val="24"/>
          <w:highlight w:val="none"/>
          <w:lang w:val="en-US" w:eastAsia="zh-CN"/>
        </w:rPr>
      </w:pPr>
    </w:p>
    <w:p w14:paraId="2C0B2223">
      <w:pPr>
        <w:rPr>
          <w:rFonts w:hint="eastAsia" w:cs="宋体"/>
          <w:i w:val="0"/>
          <w:iCs w:val="0"/>
          <w:color w:val="auto"/>
          <w:spacing w:val="6"/>
          <w:sz w:val="24"/>
          <w:szCs w:val="24"/>
          <w:highlight w:val="none"/>
          <w:lang w:val="en-US" w:eastAsia="zh-CN"/>
        </w:rPr>
      </w:pPr>
    </w:p>
    <w:p w14:paraId="5D736742">
      <w:pPr>
        <w:rPr>
          <w:rFonts w:hint="eastAsia" w:cs="宋体"/>
          <w:i w:val="0"/>
          <w:iCs w:val="0"/>
          <w:color w:val="auto"/>
          <w:spacing w:val="6"/>
          <w:sz w:val="24"/>
          <w:szCs w:val="24"/>
          <w:highlight w:val="none"/>
          <w:lang w:val="en-US" w:eastAsia="zh-CN"/>
        </w:rPr>
      </w:pPr>
    </w:p>
    <w:p w14:paraId="226ECDE6">
      <w:pPr>
        <w:rPr>
          <w:rFonts w:hint="eastAsia" w:cs="宋体"/>
          <w:i w:val="0"/>
          <w:iCs w:val="0"/>
          <w:color w:val="auto"/>
          <w:spacing w:val="6"/>
          <w:sz w:val="24"/>
          <w:szCs w:val="24"/>
          <w:highlight w:val="none"/>
          <w:lang w:val="en-US" w:eastAsia="zh-CN"/>
        </w:rPr>
      </w:pPr>
      <w:r>
        <w:rPr>
          <w:rFonts w:hint="eastAsia" w:cs="宋体"/>
          <w:i w:val="0"/>
          <w:iCs w:val="0"/>
          <w:color w:val="auto"/>
          <w:spacing w:val="6"/>
          <w:sz w:val="24"/>
          <w:szCs w:val="24"/>
          <w:highlight w:val="none"/>
          <w:lang w:val="en-US" w:eastAsia="zh-CN"/>
        </w:rPr>
        <w:t>附</w:t>
      </w:r>
    </w:p>
    <w:p w14:paraId="14431C70">
      <w:pPr>
        <w:pStyle w:val="16"/>
        <w:keepNext w:val="0"/>
        <w:keepLines w:val="0"/>
        <w:pageBreakBefore w:val="0"/>
        <w:widowControl w:val="0"/>
        <w:kinsoku/>
        <w:wordWrap/>
        <w:overflowPunct/>
        <w:topLinePunct w:val="0"/>
        <w:autoSpaceDE/>
        <w:autoSpaceDN/>
        <w:bidi w:val="0"/>
        <w:adjustRightInd/>
        <w:snapToGrid/>
        <w:spacing w:before="0" w:beforeLines="50" w:after="0" w:afterLines="50"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i w:val="0"/>
          <w:iCs w:val="0"/>
          <w:color w:val="auto"/>
          <w:sz w:val="28"/>
          <w:szCs w:val="28"/>
          <w:highlight w:val="none"/>
        </w:rPr>
        <w:t>金融业企业划型标准</w:t>
      </w:r>
    </w:p>
    <w:tbl>
      <w:tblPr>
        <w:tblStyle w:val="30"/>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i w:val="0"/>
                <w:iCs w:val="0"/>
                <w:color w:val="auto"/>
                <w:spacing w:val="6"/>
                <w:sz w:val="21"/>
                <w:szCs w:val="21"/>
                <w:highlight w:val="none"/>
                <w:vertAlign w:val="baseline"/>
                <w:lang w:val="en-US"/>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bl>
    <w:p w14:paraId="18C696DB">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bookmarkEnd w:id="706"/>
    <w:p w14:paraId="639FE59E">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707" w:name="_Toc23416"/>
      <w:r>
        <w:rPr>
          <w:rFonts w:hint="eastAsia" w:ascii="宋体" w:hAnsi="宋体" w:eastAsia="宋体" w:cstheme="minorBidi"/>
          <w:b/>
          <w:bCs/>
          <w:i w:val="0"/>
          <w:iCs w:val="0"/>
          <w:color w:val="auto"/>
          <w:kern w:val="2"/>
          <w:sz w:val="24"/>
          <w:szCs w:val="24"/>
          <w:highlight w:val="none"/>
          <w:lang w:val="en-US" w:eastAsia="zh-CN" w:bidi="ar-SA"/>
        </w:rPr>
        <w:t>（三）监狱企业证明文件</w:t>
      </w:r>
      <w:r>
        <w:rPr>
          <w:rFonts w:hint="eastAsia" w:ascii="宋体" w:hAnsi="宋体" w:eastAsia="宋体" w:cstheme="minorBidi"/>
          <w:b w:val="0"/>
          <w:bCs w:val="0"/>
          <w:i w:val="0"/>
          <w:iCs w:val="0"/>
          <w:color w:val="auto"/>
          <w:kern w:val="2"/>
          <w:sz w:val="24"/>
          <w:szCs w:val="24"/>
          <w:highlight w:val="none"/>
          <w:lang w:val="en-US" w:eastAsia="zh-CN" w:bidi="ar-SA"/>
        </w:rPr>
        <w:t>【如适用】</w:t>
      </w:r>
      <w:bookmarkEnd w:id="707"/>
    </w:p>
    <w:p w14:paraId="2C3D834F">
      <w:pPr>
        <w:rPr>
          <w:rFonts w:cs="仿宋_GB2312"/>
          <w:b/>
          <w:i w:val="0"/>
          <w:iCs w:val="0"/>
          <w:color w:val="auto"/>
          <w:sz w:val="28"/>
          <w:szCs w:val="28"/>
          <w:highlight w:val="none"/>
        </w:rPr>
      </w:pPr>
    </w:p>
    <w:p w14:paraId="23D1BFCD">
      <w:pPr>
        <w:adjustRightInd w:val="0"/>
        <w:snapToGrid w:val="0"/>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i w:val="0"/>
          <w:iCs w:val="0"/>
          <w:color w:val="auto"/>
          <w:sz w:val="24"/>
          <w:szCs w:val="24"/>
          <w:highlight w:val="none"/>
          <w:lang w:val="en-US" w:eastAsia="zh-CN"/>
        </w:rPr>
        <w:t>如下</w:t>
      </w:r>
      <w:r>
        <w:rPr>
          <w:rFonts w:hint="eastAsia" w:ascii="宋体" w:hAnsi="宋体" w:eastAsia="宋体" w:cs="宋体"/>
          <w:i w:val="0"/>
          <w:iCs w:val="0"/>
          <w:color w:val="auto"/>
          <w:sz w:val="24"/>
          <w:szCs w:val="24"/>
          <w:highlight w:val="none"/>
        </w:rPr>
        <w:t>】。</w:t>
      </w:r>
    </w:p>
    <w:p w14:paraId="75238DB1">
      <w:pPr>
        <w:pStyle w:val="16"/>
        <w:spacing w:line="360" w:lineRule="auto"/>
        <w:jc w:val="center"/>
        <w:rPr>
          <w:rFonts w:hint="eastAsia" w:ascii="宋体" w:hAnsi="宋体" w:eastAsia="宋体" w:cs="宋体"/>
          <w:b/>
          <w:bCs w:val="0"/>
          <w:i w:val="0"/>
          <w:iCs w:val="0"/>
          <w:color w:val="auto"/>
          <w:sz w:val="32"/>
          <w:szCs w:val="32"/>
          <w:highlight w:val="none"/>
        </w:rPr>
      </w:pPr>
    </w:p>
    <w:p w14:paraId="3EAA5E2A">
      <w:pPr>
        <w:pStyle w:val="16"/>
        <w:spacing w:line="360" w:lineRule="auto"/>
        <w:jc w:val="center"/>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监狱企业证明函</w:t>
      </w:r>
    </w:p>
    <w:p w14:paraId="73EFA9C1">
      <w:pPr>
        <w:spacing w:line="360" w:lineRule="auto"/>
        <w:rPr>
          <w:rFonts w:hint="eastAsia" w:ascii="仿宋_GB2312" w:hAnsi="仿宋_GB2312" w:eastAsia="仿宋_GB2312" w:cs="仿宋_GB2312"/>
          <w:i w:val="0"/>
          <w:iCs w:val="0"/>
          <w:color w:val="auto"/>
          <w:sz w:val="32"/>
          <w:szCs w:val="32"/>
          <w:highlight w:val="none"/>
        </w:rPr>
      </w:pPr>
    </w:p>
    <w:p w14:paraId="7E6FDB37">
      <w:pPr>
        <w:ind w:firstLine="504" w:firstLineChars="200"/>
        <w:rPr>
          <w:rFonts w:hint="eastAsia" w:cs="宋体"/>
          <w:i w:val="0"/>
          <w:iCs w:val="0"/>
          <w:color w:val="auto"/>
          <w:spacing w:val="6"/>
          <w:szCs w:val="24"/>
          <w:highlight w:val="none"/>
        </w:rPr>
      </w:pPr>
      <w:r>
        <w:rPr>
          <w:rFonts w:hint="eastAsia" w:cs="宋体"/>
          <w:i w:val="0"/>
          <w:iCs w:val="0"/>
          <w:color w:val="auto"/>
          <w:spacing w:val="6"/>
          <w:szCs w:val="24"/>
          <w:highlight w:val="none"/>
        </w:rPr>
        <w:t>本公司郑重声明，根据财政部、司法部《关于政府采购支持监狱企业发展有关问题的通知》（财库【2014】68号）的规定，本公司为监狱企业。</w:t>
      </w:r>
    </w:p>
    <w:p w14:paraId="3C2CE4C6">
      <w:pPr>
        <w:spacing w:line="360" w:lineRule="auto"/>
        <w:rPr>
          <w:rFonts w:hint="eastAsia" w:ascii="宋体" w:hAnsi="宋体" w:eastAsia="宋体" w:cs="宋体"/>
          <w:i w:val="0"/>
          <w:iCs w:val="0"/>
          <w:color w:val="auto"/>
          <w:sz w:val="24"/>
          <w:szCs w:val="24"/>
          <w:highlight w:val="none"/>
        </w:rPr>
      </w:pPr>
    </w:p>
    <w:p w14:paraId="25406F97">
      <w:pPr>
        <w:ind w:firstLine="4440" w:firstLineChars="1850"/>
        <w:rPr>
          <w:rFonts w:hint="eastAsia" w:ascii="宋体" w:hAnsi="宋体" w:eastAsia="宋体" w:cs="宋体"/>
          <w:i w:val="0"/>
          <w:iCs w:val="0"/>
          <w:color w:val="auto"/>
          <w:sz w:val="24"/>
          <w:szCs w:val="24"/>
          <w:highlight w:val="none"/>
        </w:rPr>
      </w:pPr>
    </w:p>
    <w:p w14:paraId="44FF352C">
      <w:pPr>
        <w:ind w:firstLine="4440" w:firstLineChars="1850"/>
        <w:rPr>
          <w:rFonts w:hint="eastAsia" w:ascii="宋体" w:hAnsi="宋体" w:eastAsia="宋体" w:cs="宋体"/>
          <w:i w:val="0"/>
          <w:iCs w:val="0"/>
          <w:color w:val="auto"/>
          <w:sz w:val="24"/>
          <w:szCs w:val="24"/>
          <w:highlight w:val="none"/>
        </w:rPr>
      </w:pPr>
    </w:p>
    <w:p w14:paraId="22DEAA24">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38A830B4">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6C7FB09E">
      <w:pPr>
        <w:spacing w:line="360" w:lineRule="auto"/>
        <w:ind w:firstLine="240" w:firstLineChars="100"/>
        <w:rPr>
          <w:rFonts w:hint="eastAsia" w:ascii="宋体" w:hAnsi="宋体" w:eastAsia="宋体" w:cs="宋体"/>
          <w:i w:val="0"/>
          <w:iCs w:val="0"/>
          <w:color w:val="auto"/>
          <w:sz w:val="24"/>
          <w:szCs w:val="24"/>
          <w:highlight w:val="none"/>
        </w:rPr>
      </w:pPr>
    </w:p>
    <w:p w14:paraId="7B8735C9">
      <w:pPr>
        <w:spacing w:line="360" w:lineRule="auto"/>
        <w:ind w:firstLine="240" w:firstLineChars="100"/>
        <w:rPr>
          <w:rFonts w:hint="eastAsia" w:ascii="宋体" w:hAnsi="宋体" w:eastAsia="宋体" w:cs="宋体"/>
          <w:i w:val="0"/>
          <w:iCs w:val="0"/>
          <w:color w:val="auto"/>
          <w:sz w:val="24"/>
          <w:szCs w:val="24"/>
          <w:highlight w:val="none"/>
        </w:rPr>
      </w:pPr>
    </w:p>
    <w:p w14:paraId="32722C7E">
      <w:pPr>
        <w:spacing w:line="360" w:lineRule="auto"/>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省级以上监狱管理局、戒毒管理局</w:t>
      </w:r>
    </w:p>
    <w:p w14:paraId="20204BC0">
      <w:pPr>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（含新疆生产建设兵团）（盖章）：  </w:t>
      </w:r>
    </w:p>
    <w:p w14:paraId="4A414B41">
      <w:pPr>
        <w:ind w:firstLine="4320" w:firstLineChars="18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i w:val="0"/>
          <w:iCs w:val="0"/>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i w:val="0"/>
          <w:iCs w:val="0"/>
          <w:color w:val="auto"/>
          <w:sz w:val="32"/>
          <w:szCs w:val="32"/>
          <w:highlight w:val="none"/>
        </w:rPr>
      </w:pPr>
    </w:p>
    <w:p w14:paraId="206A9633">
      <w:pPr>
        <w:spacing w:line="360" w:lineRule="auto"/>
        <w:rPr>
          <w:rFonts w:hint="eastAsia" w:ascii="仿宋_GB2312" w:hAnsi="仿宋_GB2312" w:eastAsia="仿宋_GB2312" w:cs="仿宋_GB2312"/>
          <w:i w:val="0"/>
          <w:iCs w:val="0"/>
          <w:color w:val="auto"/>
          <w:sz w:val="32"/>
          <w:szCs w:val="32"/>
          <w:highlight w:val="none"/>
        </w:rPr>
      </w:pPr>
    </w:p>
    <w:p w14:paraId="283F77FC">
      <w:pPr>
        <w:widowControl/>
        <w:spacing w:before="100" w:beforeAutospacing="1" w:after="100" w:afterAutospacing="1"/>
        <w:rPr>
          <w:rFonts w:ascii="Arial" w:hAnsi="Arial" w:cs="Arial"/>
          <w:i w:val="0"/>
          <w:iCs w:val="0"/>
          <w:color w:val="auto"/>
          <w:sz w:val="21"/>
          <w:szCs w:val="21"/>
          <w:highlight w:val="none"/>
        </w:rPr>
      </w:pPr>
    </w:p>
    <w:p w14:paraId="3ACDD48E">
      <w:pPr>
        <w:widowControl/>
        <w:spacing w:before="100" w:beforeAutospacing="1" w:after="100" w:afterAutospacing="1"/>
        <w:rPr>
          <w:rFonts w:ascii="Arial" w:hAnsi="Arial" w:cs="Arial"/>
          <w:i w:val="0"/>
          <w:iCs w:val="0"/>
          <w:color w:val="auto"/>
          <w:sz w:val="21"/>
          <w:szCs w:val="21"/>
          <w:highlight w:val="none"/>
        </w:rPr>
      </w:pPr>
    </w:p>
    <w:p w14:paraId="22F7A202">
      <w:pPr>
        <w:widowControl/>
        <w:spacing w:before="100" w:beforeAutospacing="1" w:after="100" w:afterAutospacing="1"/>
        <w:rPr>
          <w:rFonts w:ascii="Arial" w:hAnsi="Arial" w:cs="Arial"/>
          <w:i w:val="0"/>
          <w:iCs w:val="0"/>
          <w:color w:val="auto"/>
          <w:sz w:val="21"/>
          <w:szCs w:val="21"/>
          <w:highlight w:val="none"/>
        </w:rPr>
      </w:pPr>
    </w:p>
    <w:p w14:paraId="69ACD5D5">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708" w:name="_Toc163492941"/>
      <w:bookmarkStart w:id="709" w:name="_Toc15561"/>
      <w:r>
        <w:rPr>
          <w:rFonts w:hint="eastAsia" w:ascii="宋体" w:hAnsi="宋体" w:eastAsia="宋体" w:cstheme="minorBidi"/>
          <w:b/>
          <w:bCs/>
          <w:i w:val="0"/>
          <w:iCs w:val="0"/>
          <w:color w:val="auto"/>
          <w:kern w:val="2"/>
          <w:sz w:val="24"/>
          <w:szCs w:val="24"/>
          <w:highlight w:val="none"/>
          <w:lang w:val="en-US" w:eastAsia="zh-CN" w:bidi="ar-SA"/>
        </w:rPr>
        <w:t>（四）残疾人福利性单位声明函</w:t>
      </w:r>
      <w:r>
        <w:rPr>
          <w:rFonts w:hint="eastAsia" w:ascii="宋体" w:hAnsi="宋体" w:eastAsia="宋体" w:cstheme="minorBidi"/>
          <w:b w:val="0"/>
          <w:bCs w:val="0"/>
          <w:i w:val="0"/>
          <w:iCs w:val="0"/>
          <w:color w:val="auto"/>
          <w:kern w:val="2"/>
          <w:sz w:val="24"/>
          <w:szCs w:val="24"/>
          <w:highlight w:val="none"/>
          <w:lang w:val="en-US" w:eastAsia="zh-CN" w:bidi="ar-SA"/>
        </w:rPr>
        <w:t>【如适用】</w:t>
      </w:r>
      <w:bookmarkEnd w:id="708"/>
      <w:bookmarkEnd w:id="709"/>
    </w:p>
    <w:p w14:paraId="57F303A4">
      <w:pPr>
        <w:pStyle w:val="39"/>
        <w:numPr>
          <w:ilvl w:val="0"/>
          <w:numId w:val="0"/>
        </w:numPr>
        <w:ind w:left="420" w:leftChars="0" w:hanging="420" w:firstLineChars="0"/>
        <w:jc w:val="center"/>
        <w:rPr>
          <w:rFonts w:hint="eastAsia"/>
          <w:b/>
          <w:bCs/>
          <w:i w:val="0"/>
          <w:iCs w:val="0"/>
          <w:color w:val="auto"/>
          <w:sz w:val="32"/>
          <w:szCs w:val="32"/>
          <w:highlight w:val="none"/>
        </w:rPr>
      </w:pPr>
    </w:p>
    <w:p w14:paraId="091B47EA">
      <w:pPr>
        <w:pStyle w:val="39"/>
        <w:numPr>
          <w:ilvl w:val="0"/>
          <w:numId w:val="0"/>
        </w:numPr>
        <w:ind w:left="420" w:leftChars="0" w:hanging="420" w:firstLineChars="0"/>
        <w:jc w:val="center"/>
        <w:rPr>
          <w:b/>
          <w:bCs/>
          <w:i w:val="0"/>
          <w:iCs w:val="0"/>
          <w:color w:val="auto"/>
          <w:sz w:val="32"/>
          <w:szCs w:val="32"/>
          <w:highlight w:val="none"/>
        </w:rPr>
      </w:pPr>
      <w:r>
        <w:rPr>
          <w:rFonts w:hint="eastAsia"/>
          <w:b/>
          <w:bCs/>
          <w:i w:val="0"/>
          <w:iCs w:val="0"/>
          <w:color w:val="auto"/>
          <w:sz w:val="32"/>
          <w:szCs w:val="32"/>
          <w:highlight w:val="none"/>
        </w:rPr>
        <w:t>残疾人福利性单位声明函</w:t>
      </w:r>
    </w:p>
    <w:p w14:paraId="28D13EE8">
      <w:pPr>
        <w:wordWrap w:val="0"/>
        <w:ind w:firstLine="480" w:firstLineChars="200"/>
        <w:rPr>
          <w:rFonts w:hint="eastAsia"/>
          <w:i w:val="0"/>
          <w:iCs w:val="0"/>
          <w:color w:val="auto"/>
          <w:szCs w:val="24"/>
          <w:highlight w:val="none"/>
        </w:rPr>
      </w:pPr>
    </w:p>
    <w:p w14:paraId="2B2B6A0A">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w:t>
      </w:r>
      <w:r>
        <w:rPr>
          <w:rFonts w:hint="eastAsia"/>
          <w:i w:val="0"/>
          <w:iCs w:val="0"/>
          <w:color w:val="auto"/>
          <w:szCs w:val="24"/>
          <w:highlight w:val="none"/>
          <w:lang w:val="en-US" w:eastAsia="zh-CN"/>
        </w:rPr>
        <w:t>服务</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w:t>
      </w:r>
      <w:r>
        <w:rPr>
          <w:rFonts w:hint="eastAsia"/>
          <w:b/>
          <w:i w:val="0"/>
          <w:iCs w:val="0"/>
          <w:color w:val="auto"/>
          <w:szCs w:val="24"/>
          <w:highlight w:val="none"/>
          <w:lang w:val="en-US" w:eastAsia="zh-CN"/>
        </w:rPr>
        <w:t>承接</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80" w:firstLineChars="200"/>
        <w:rPr>
          <w:i w:val="0"/>
          <w:iCs w:val="0"/>
          <w:color w:val="auto"/>
          <w:szCs w:val="24"/>
          <w:highlight w:val="none"/>
        </w:rPr>
      </w:pPr>
      <w:r>
        <w:rPr>
          <w:rFonts w:hint="eastAsia"/>
          <w:i w:val="0"/>
          <w:iCs w:val="0"/>
          <w:color w:val="auto"/>
          <w:szCs w:val="24"/>
          <w:highlight w:val="none"/>
        </w:rPr>
        <w:t>……</w:t>
      </w:r>
    </w:p>
    <w:p w14:paraId="7B8F3287">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44C7A080">
      <w:pPr>
        <w:wordWrap w:val="0"/>
        <w:ind w:left="1091" w:hanging="1091" w:hangingChars="453"/>
        <w:rPr>
          <w:b/>
          <w:bCs/>
          <w:i w:val="0"/>
          <w:iCs w:val="0"/>
          <w:color w:val="auto"/>
          <w:szCs w:val="24"/>
          <w:highlight w:val="none"/>
        </w:rPr>
      </w:pPr>
    </w:p>
    <w:p w14:paraId="43523196">
      <w:pPr>
        <w:wordWrap w:val="0"/>
        <w:ind w:left="1091" w:hanging="1091"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4"/>
          <w:highlight w:val="none"/>
          <w:lang w:val="en-US" w:eastAsia="zh-CN"/>
        </w:rPr>
        <w:t>服务</w:t>
      </w:r>
      <w:r>
        <w:rPr>
          <w:rFonts w:hint="eastAsia"/>
          <w:bCs/>
          <w:i w:val="0"/>
          <w:iCs w:val="0"/>
          <w:color w:val="auto"/>
          <w:szCs w:val="21"/>
          <w:highlight w:val="none"/>
          <w:lang w:val="zh-CN"/>
        </w:rPr>
        <w:t>应当全部由符合政策要求的残疾人福利性单位</w:t>
      </w:r>
      <w:r>
        <w:rPr>
          <w:rFonts w:hint="eastAsia"/>
          <w:bCs/>
          <w:i w:val="0"/>
          <w:iCs w:val="0"/>
          <w:color w:val="auto"/>
          <w:szCs w:val="21"/>
          <w:highlight w:val="none"/>
          <w:lang w:val="en-US" w:eastAsia="zh-CN"/>
        </w:rPr>
        <w:t>承接</w:t>
      </w:r>
      <w:r>
        <w:rPr>
          <w:rFonts w:hint="eastAsia"/>
          <w:bCs/>
          <w:i w:val="0"/>
          <w:iCs w:val="0"/>
          <w:color w:val="auto"/>
          <w:szCs w:val="21"/>
          <w:highlight w:val="none"/>
          <w:lang w:val="zh-CN"/>
        </w:rPr>
        <w:t>且使用该残疾人福利性单位商号或注册商标（与代理商或</w:t>
      </w:r>
      <w:r>
        <w:rPr>
          <w:rFonts w:hint="eastAsia"/>
          <w:bCs/>
          <w:i w:val="0"/>
          <w:iCs w:val="0"/>
          <w:color w:val="auto"/>
          <w:szCs w:val="21"/>
          <w:highlight w:val="none"/>
          <w:lang w:val="en-US" w:eastAsia="zh-CN"/>
        </w:rPr>
        <w:t>供应商</w:t>
      </w:r>
      <w:r>
        <w:rPr>
          <w:rFonts w:hint="eastAsia"/>
          <w:bCs/>
          <w:i w:val="0"/>
          <w:iCs w:val="0"/>
          <w:color w:val="auto"/>
          <w:szCs w:val="21"/>
          <w:highlight w:val="none"/>
          <w:lang w:val="zh-CN"/>
        </w:rPr>
        <w:t>无关）；应当严格按上述格式及内容进行填写（应当明确每个</w:t>
      </w:r>
      <w:r>
        <w:rPr>
          <w:rFonts w:hint="eastAsia"/>
          <w:bCs/>
          <w:i w:val="0"/>
          <w:iCs w:val="0"/>
          <w:color w:val="auto"/>
          <w:szCs w:val="21"/>
          <w:highlight w:val="none"/>
          <w:lang w:val="en-US" w:eastAsia="zh-CN"/>
        </w:rPr>
        <w:t>包</w:t>
      </w:r>
      <w:r>
        <w:rPr>
          <w:rFonts w:hint="eastAsia"/>
          <w:bCs/>
          <w:i w:val="0"/>
          <w:iCs w:val="0"/>
          <w:color w:val="auto"/>
          <w:szCs w:val="21"/>
          <w:highlight w:val="none"/>
          <w:lang w:val="zh-CN"/>
        </w:rPr>
        <w:t>的的</w:t>
      </w:r>
      <w:r>
        <w:rPr>
          <w:rFonts w:hint="eastAsia"/>
          <w:bCs/>
          <w:i w:val="0"/>
          <w:iCs w:val="0"/>
          <w:color w:val="auto"/>
          <w:szCs w:val="21"/>
          <w:highlight w:val="none"/>
          <w:lang w:val="en-US" w:eastAsia="zh-CN"/>
        </w:rPr>
        <w:t>承接</w:t>
      </w:r>
      <w:r>
        <w:rPr>
          <w:rFonts w:hint="eastAsia"/>
          <w:bCs/>
          <w:i w:val="0"/>
          <w:iCs w:val="0"/>
          <w:color w:val="auto"/>
          <w:szCs w:val="21"/>
          <w:highlight w:val="none"/>
          <w:lang w:val="zh-CN"/>
        </w:rPr>
        <w:t>企业类型及相关数据），否则导致的后果由</w:t>
      </w:r>
      <w:r>
        <w:rPr>
          <w:rFonts w:hint="eastAsia"/>
          <w:bCs/>
          <w:i w:val="0"/>
          <w:iCs w:val="0"/>
          <w:color w:val="auto"/>
          <w:szCs w:val="21"/>
          <w:highlight w:val="none"/>
          <w:lang w:val="en-US" w:eastAsia="zh-CN"/>
        </w:rPr>
        <w:t>供应商</w:t>
      </w:r>
      <w:r>
        <w:rPr>
          <w:rFonts w:hint="eastAsia"/>
          <w:bCs/>
          <w:i w:val="0"/>
          <w:iCs w:val="0"/>
          <w:color w:val="auto"/>
          <w:szCs w:val="21"/>
          <w:highlight w:val="none"/>
          <w:lang w:val="zh-CN"/>
        </w:rPr>
        <w:t>自行承担；</w:t>
      </w:r>
    </w:p>
    <w:p w14:paraId="2288B711">
      <w:pPr>
        <w:wordWrap w:val="0"/>
        <w:ind w:left="1087" w:hanging="1087" w:hangingChars="453"/>
        <w:rPr>
          <w:rFonts w:cs="Courier New"/>
          <w:i w:val="0"/>
          <w:iCs w:val="0"/>
          <w:color w:val="auto"/>
          <w:szCs w:val="21"/>
          <w:highlight w:val="none"/>
        </w:rPr>
      </w:pPr>
      <w:r>
        <w:rPr>
          <w:rFonts w:hint="eastAsia"/>
          <w:bCs/>
          <w:i w:val="0"/>
          <w:iCs w:val="0"/>
          <w:color w:val="auto"/>
          <w:szCs w:val="21"/>
          <w:highlight w:val="none"/>
          <w:lang w:val="zh-CN"/>
        </w:rPr>
        <w:t xml:space="preserve">      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71983F83">
      <w:pPr>
        <w:wordWrap w:val="0"/>
        <w:spacing w:before="100" w:beforeAutospacing="1" w:after="100" w:afterAutospacing="1"/>
        <w:ind w:firstLine="3316" w:firstLineChars="1382"/>
        <w:rPr>
          <w:bCs/>
          <w:i w:val="0"/>
          <w:iCs w:val="0"/>
          <w:color w:val="auto"/>
          <w:szCs w:val="21"/>
          <w:highlight w:val="none"/>
          <w:lang w:val="zh-CN"/>
        </w:rPr>
      </w:pPr>
      <w:r>
        <w:rPr>
          <w:rFonts w:hint="eastAsia"/>
          <w:bCs/>
          <w:i w:val="0"/>
          <w:iCs w:val="0"/>
          <w:color w:val="auto"/>
          <w:szCs w:val="21"/>
          <w:highlight w:val="none"/>
          <w:lang w:val="en-US" w:eastAsia="zh-CN"/>
        </w:rPr>
        <w:t>供应商</w:t>
      </w:r>
      <w:r>
        <w:rPr>
          <w:rFonts w:hint="eastAsia" w:ascii="宋体" w:hAnsi="宋体" w:eastAsia="宋体"/>
          <w:bCs/>
          <w:i w:val="0"/>
          <w:iCs w:val="0"/>
          <w:color w:val="auto"/>
          <w:szCs w:val="21"/>
          <w:highlight w:val="none"/>
          <w:lang w:val="en-US" w:eastAsia="zh-CN"/>
        </w:rPr>
        <w:t>名称</w:t>
      </w:r>
      <w:r>
        <w:rPr>
          <w:rFonts w:hint="eastAsia"/>
          <w:bCs/>
          <w:i w:val="0"/>
          <w:iCs w:val="0"/>
          <w:color w:val="auto"/>
          <w:szCs w:val="21"/>
          <w:highlight w:val="none"/>
          <w:lang w:val="en-US" w:eastAsia="zh-CN"/>
        </w:rPr>
        <w:t>（公章）</w:t>
      </w:r>
      <w:r>
        <w:rPr>
          <w:rFonts w:hint="eastAsia"/>
          <w:bCs/>
          <w:i w:val="0"/>
          <w:iCs w:val="0"/>
          <w:color w:val="auto"/>
          <w:szCs w:val="21"/>
          <w:highlight w:val="none"/>
          <w:lang w:val="zh-CN"/>
        </w:rPr>
        <w:t>：</w:t>
      </w:r>
      <w:r>
        <w:rPr>
          <w:rFonts w:hint="eastAsia"/>
          <w:bCs/>
          <w:i w:val="0"/>
          <w:iCs w:val="0"/>
          <w:color w:val="auto"/>
          <w:szCs w:val="21"/>
          <w:highlight w:val="none"/>
          <w:u w:val="single"/>
          <w:lang w:val="zh-CN"/>
        </w:rPr>
        <w:t xml:space="preserve">              </w:t>
      </w:r>
    </w:p>
    <w:p w14:paraId="3A972AC9">
      <w:pPr>
        <w:wordWrap w:val="0"/>
        <w:spacing w:before="100" w:beforeAutospacing="1" w:after="100" w:afterAutospacing="1"/>
        <w:ind w:firstLine="3316" w:firstLineChars="1382"/>
        <w:rPr>
          <w:i w:val="0"/>
          <w:iCs w:val="0"/>
          <w:color w:val="auto"/>
          <w:highlight w:val="none"/>
        </w:rPr>
      </w:pPr>
      <w:r>
        <w:rPr>
          <w:rFonts w:hint="eastAsia"/>
          <w:i w:val="0"/>
          <w:iCs w:val="0"/>
          <w:color w:val="auto"/>
          <w:szCs w:val="24"/>
          <w:highlight w:val="none"/>
        </w:rPr>
        <w:t>日</w:t>
      </w:r>
      <w:r>
        <w:rPr>
          <w:i w:val="0"/>
          <w:iCs w:val="0"/>
          <w:color w:val="auto"/>
          <w:szCs w:val="24"/>
          <w:highlight w:val="none"/>
        </w:rPr>
        <w:t xml:space="preserve">  </w:t>
      </w:r>
      <w:r>
        <w:rPr>
          <w:rFonts w:hint="eastAsia"/>
          <w:i w:val="0"/>
          <w:iCs w:val="0"/>
          <w:color w:val="auto"/>
          <w:szCs w:val="24"/>
          <w:highlight w:val="none"/>
        </w:rPr>
        <w:t>期：</w:t>
      </w:r>
      <w:r>
        <w:rPr>
          <w:bCs/>
          <w:i w:val="0"/>
          <w:iCs w:val="0"/>
          <w:color w:val="auto"/>
          <w:szCs w:val="24"/>
          <w:highlight w:val="none"/>
          <w:u w:val="single"/>
        </w:rPr>
        <w:t xml:space="preserve">                         </w:t>
      </w:r>
    </w:p>
    <w:p w14:paraId="6F5F8DCA">
      <w:pPr>
        <w:ind w:left="4620" w:firstLine="281" w:firstLineChars="100"/>
        <w:rPr>
          <w:rFonts w:cs="仿宋_GB2312"/>
          <w:b/>
          <w:i w:val="0"/>
          <w:iCs w:val="0"/>
          <w:color w:val="auto"/>
          <w:sz w:val="28"/>
          <w:szCs w:val="28"/>
          <w:highlight w:val="none"/>
        </w:rPr>
      </w:pPr>
    </w:p>
    <w:p w14:paraId="7BDD1A80">
      <w:pPr>
        <w:rPr>
          <w:i w:val="0"/>
          <w:iCs w:val="0"/>
          <w:color w:val="auto"/>
          <w:highlight w:val="none"/>
        </w:rPr>
      </w:pPr>
      <w:r>
        <w:rPr>
          <w:i w:val="0"/>
          <w:iCs w:val="0"/>
          <w:color w:val="auto"/>
          <w:highlight w:val="none"/>
        </w:rPr>
        <w:br w:type="page"/>
      </w:r>
    </w:p>
    <w:p w14:paraId="14689676">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i w:val="0"/>
          <w:iCs w:val="0"/>
          <w:color w:val="auto"/>
          <w:kern w:val="2"/>
          <w:sz w:val="28"/>
          <w:szCs w:val="28"/>
          <w:highlight w:val="none"/>
          <w:lang w:val="en-US" w:eastAsia="zh-CN" w:bidi="ar-SA"/>
        </w:rPr>
      </w:pPr>
      <w:bookmarkStart w:id="710" w:name="_Toc25754"/>
      <w:r>
        <w:rPr>
          <w:rFonts w:hint="eastAsia" w:cstheme="majorBidi"/>
          <w:b/>
          <w:bCs/>
          <w:i w:val="0"/>
          <w:iCs w:val="0"/>
          <w:color w:val="auto"/>
          <w:kern w:val="2"/>
          <w:sz w:val="28"/>
          <w:szCs w:val="28"/>
          <w:highlight w:val="none"/>
          <w:lang w:val="en-US" w:eastAsia="zh-CN" w:bidi="ar-SA"/>
        </w:rPr>
        <w:t>五、不参与围标串标承诺书</w:t>
      </w:r>
      <w:bookmarkEnd w:id="710"/>
    </w:p>
    <w:p w14:paraId="415F309A">
      <w:pPr>
        <w:pStyle w:val="4"/>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p>
    <w:p w14:paraId="1FE71F6D">
      <w:pPr>
        <w:jc w:val="center"/>
        <w:rPr>
          <w:rFonts w:hint="eastAsia"/>
          <w:i w:val="0"/>
          <w:iCs w:val="0"/>
          <w:color w:val="auto"/>
          <w:highlight w:val="none"/>
          <w:lang w:val="en-US" w:eastAsia="zh-CN"/>
        </w:rPr>
      </w:pPr>
      <w:r>
        <w:rPr>
          <w:rFonts w:hint="eastAsia" w:cstheme="majorBidi"/>
          <w:b/>
          <w:bCs/>
          <w:i w:val="0"/>
          <w:iCs w:val="0"/>
          <w:color w:val="auto"/>
          <w:kern w:val="2"/>
          <w:sz w:val="32"/>
          <w:szCs w:val="32"/>
          <w:highlight w:val="none"/>
          <w:lang w:val="en-US" w:eastAsia="zh-CN" w:bidi="ar-SA"/>
        </w:rPr>
        <w:t>不参与围标串标承诺书</w:t>
      </w:r>
    </w:p>
    <w:p w14:paraId="2DC5E9C8">
      <w:pPr>
        <w:rPr>
          <w:rFonts w:hint="eastAsia"/>
          <w:i w:val="0"/>
          <w:iCs w:val="0"/>
          <w:color w:val="auto"/>
          <w:highlight w:val="none"/>
          <w:lang w:val="en-US" w:eastAsia="zh-CN"/>
        </w:rPr>
      </w:pPr>
      <w:r>
        <w:rPr>
          <w:rFonts w:hint="eastAsia"/>
          <w:i w:val="0"/>
          <w:iCs w:val="0"/>
          <w:color w:val="auto"/>
          <w:highlight w:val="none"/>
          <w:lang w:val="en-US" w:eastAsia="zh-CN"/>
        </w:rPr>
        <w:t>  </w:t>
      </w:r>
    </w:p>
    <w:p w14:paraId="338C56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本人作为经授权的供应商代表,清楚知晓我单位参与本项目竞争性磋商活动,对以下事项作出承诺：</w:t>
      </w:r>
    </w:p>
    <w:p w14:paraId="0FD000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p>
    <w:p w14:paraId="5E3346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一、我单位和我本人遵循公开透明、公平竞争、公正和诚实信用的原则,依法依规参与本项目竞标。</w:t>
      </w:r>
    </w:p>
    <w:p w14:paraId="13CE2D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二、我单位和我本人在本项目政府采购竞争性磋商活动中,未参与围标串标。</w:t>
      </w:r>
    </w:p>
    <w:p w14:paraId="21D04E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2AF251D5">
      <w:pPr>
        <w:pStyle w:val="12"/>
        <w:rPr>
          <w:rFonts w:hint="eastAsia"/>
          <w:i w:val="0"/>
          <w:iCs w:val="0"/>
          <w:color w:val="auto"/>
          <w:highlight w:val="none"/>
          <w:lang w:val="en-US" w:eastAsia="zh-CN"/>
        </w:rPr>
      </w:pPr>
    </w:p>
    <w:p w14:paraId="3F7EEDEF">
      <w:pPr>
        <w:spacing w:line="560" w:lineRule="exact"/>
        <w:rPr>
          <w:rFonts w:hint="eastAsia" w:ascii="宋体" w:hAnsi="宋体" w:eastAsia="宋体" w:cs="宋体"/>
          <w:i w:val="0"/>
          <w:iCs w:val="0"/>
          <w:color w:val="auto"/>
          <w:kern w:val="0"/>
          <w:sz w:val="24"/>
          <w:szCs w:val="24"/>
          <w:highlight w:val="none"/>
        </w:rPr>
      </w:pPr>
    </w:p>
    <w:p w14:paraId="663E933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w:t>
      </w:r>
      <w:r>
        <w:rPr>
          <w:rFonts w:hint="eastAsia" w:ascii="宋体" w:hAnsi="宋体" w:eastAsia="宋体" w:cs="宋体"/>
          <w:i w:val="0"/>
          <w:iCs w:val="0"/>
          <w:color w:val="auto"/>
          <w:kern w:val="0"/>
          <w:sz w:val="24"/>
          <w:szCs w:val="24"/>
          <w:highlight w:val="none"/>
          <w:lang w:eastAsia="zh-CN"/>
        </w:rPr>
        <w:t>章）</w:t>
      </w:r>
      <w:r>
        <w:rPr>
          <w:rFonts w:hint="eastAsia" w:ascii="宋体" w:hAnsi="宋体" w:eastAsia="宋体" w:cs="宋体"/>
          <w:i w:val="0"/>
          <w:iCs w:val="0"/>
          <w:color w:val="auto"/>
          <w:kern w:val="0"/>
          <w:sz w:val="24"/>
          <w:szCs w:val="24"/>
          <w:highlight w:val="none"/>
        </w:rPr>
        <w:t>：</w:t>
      </w:r>
    </w:p>
    <w:p w14:paraId="7D2617C5">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签字或印章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7156FA6">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 年 月 日</w:t>
      </w:r>
    </w:p>
    <w:p w14:paraId="55EFB222">
      <w:pPr>
        <w:spacing w:line="560" w:lineRule="exact"/>
        <w:rPr>
          <w:rFonts w:hint="eastAsia" w:ascii="宋体" w:hAnsi="宋体" w:eastAsia="宋体" w:cs="宋体"/>
          <w:i w:val="0"/>
          <w:iCs w:val="0"/>
          <w:color w:val="auto"/>
          <w:kern w:val="0"/>
          <w:sz w:val="24"/>
          <w:szCs w:val="24"/>
          <w:highlight w:val="none"/>
        </w:rPr>
      </w:pPr>
    </w:p>
    <w:p w14:paraId="13DA43E0">
      <w:pPr>
        <w:widowControl/>
        <w:spacing w:line="560" w:lineRule="exact"/>
        <w:ind w:firstLine="630"/>
        <w:jc w:val="left"/>
        <w:rPr>
          <w:rFonts w:hint="eastAsia" w:ascii="宋体" w:hAnsi="宋体" w:eastAsia="宋体" w:cs="宋体"/>
          <w:i w:val="0"/>
          <w:iCs w:val="0"/>
          <w:color w:val="auto"/>
          <w:kern w:val="0"/>
          <w:sz w:val="24"/>
          <w:szCs w:val="24"/>
          <w:highlight w:val="none"/>
        </w:rPr>
      </w:pPr>
    </w:p>
    <w:p w14:paraId="7CD72A88">
      <w:pPr>
        <w:pStyle w:val="12"/>
        <w:rPr>
          <w:rFonts w:hint="eastAsia"/>
          <w:i w:val="0"/>
          <w:iCs w:val="0"/>
          <w:color w:val="auto"/>
          <w:highlight w:val="none"/>
          <w:lang w:val="en-US" w:eastAsia="zh-CN"/>
        </w:rPr>
      </w:pPr>
    </w:p>
    <w:p w14:paraId="6FC519D1">
      <w:pPr>
        <w:pStyle w:val="12"/>
        <w:rPr>
          <w:rFonts w:hint="eastAsia"/>
          <w:i w:val="0"/>
          <w:iCs w:val="0"/>
          <w:color w:val="auto"/>
          <w:highlight w:val="none"/>
          <w:lang w:val="en-US" w:eastAsia="zh-CN"/>
        </w:rPr>
      </w:pPr>
    </w:p>
    <w:p w14:paraId="7500053D">
      <w:pPr>
        <w:pStyle w:val="12"/>
        <w:rPr>
          <w:rFonts w:hint="eastAsia"/>
          <w:i w:val="0"/>
          <w:iCs w:val="0"/>
          <w:color w:val="auto"/>
          <w:highlight w:val="none"/>
          <w:lang w:val="en-US" w:eastAsia="zh-CN"/>
        </w:rPr>
      </w:pPr>
    </w:p>
    <w:p w14:paraId="5BF64493">
      <w:pPr>
        <w:pStyle w:val="12"/>
        <w:rPr>
          <w:rFonts w:hint="eastAsia"/>
          <w:i w:val="0"/>
          <w:iCs w:val="0"/>
          <w:color w:val="auto"/>
          <w:highlight w:val="none"/>
          <w:lang w:val="en-US" w:eastAsia="zh-CN"/>
        </w:rPr>
      </w:pPr>
    </w:p>
    <w:p w14:paraId="5CA01A8B">
      <w:pPr>
        <w:pStyle w:val="12"/>
        <w:rPr>
          <w:rFonts w:hint="eastAsia"/>
          <w:i w:val="0"/>
          <w:iCs w:val="0"/>
          <w:color w:val="auto"/>
          <w:highlight w:val="none"/>
          <w:lang w:val="en-US" w:eastAsia="zh-CN"/>
        </w:rPr>
      </w:pPr>
    </w:p>
    <w:p w14:paraId="029F743D">
      <w:pPr>
        <w:pStyle w:val="12"/>
        <w:rPr>
          <w:rFonts w:hint="eastAsia"/>
          <w:i w:val="0"/>
          <w:iCs w:val="0"/>
          <w:color w:val="auto"/>
          <w:highlight w:val="none"/>
          <w:lang w:val="en-US" w:eastAsia="zh-CN"/>
        </w:rPr>
      </w:pPr>
    </w:p>
    <w:p w14:paraId="41587146">
      <w:pPr>
        <w:pStyle w:val="12"/>
        <w:rPr>
          <w:rFonts w:hint="eastAsia"/>
          <w:i w:val="0"/>
          <w:iCs w:val="0"/>
          <w:color w:val="auto"/>
          <w:highlight w:val="none"/>
          <w:lang w:val="en-US" w:eastAsia="zh-CN"/>
        </w:rPr>
      </w:pPr>
    </w:p>
    <w:p w14:paraId="34406338">
      <w:pPr>
        <w:widowControl/>
        <w:spacing w:before="100" w:beforeAutospacing="1" w:after="100" w:afterAutospacing="1"/>
        <w:rPr>
          <w:rFonts w:hint="eastAsia" w:ascii="Arial" w:hAnsi="Arial" w:cs="Arial"/>
          <w:i w:val="0"/>
          <w:iCs w:val="0"/>
          <w:color w:val="auto"/>
          <w:sz w:val="21"/>
          <w:szCs w:val="21"/>
          <w:highlight w:val="none"/>
          <w:lang w:val="en-US" w:eastAsia="zh-CN"/>
        </w:rPr>
      </w:pPr>
    </w:p>
    <w:p w14:paraId="2F6D1729">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i w:val="0"/>
          <w:iCs w:val="0"/>
          <w:color w:val="auto"/>
          <w:kern w:val="2"/>
          <w:sz w:val="28"/>
          <w:szCs w:val="28"/>
          <w:highlight w:val="none"/>
          <w:lang w:val="zh-CN" w:eastAsia="zh-CN" w:bidi="ar-SA"/>
        </w:rPr>
      </w:pPr>
      <w:bookmarkStart w:id="711" w:name="_Toc19980"/>
      <w:r>
        <w:rPr>
          <w:rFonts w:hint="eastAsia" w:cstheme="majorBidi"/>
          <w:b/>
          <w:bCs/>
          <w:i w:val="0"/>
          <w:iCs w:val="0"/>
          <w:color w:val="auto"/>
          <w:kern w:val="2"/>
          <w:sz w:val="28"/>
          <w:szCs w:val="28"/>
          <w:highlight w:val="none"/>
          <w:lang w:val="en-US" w:eastAsia="zh-CN" w:bidi="ar-SA"/>
        </w:rPr>
        <w:t>六</w:t>
      </w:r>
      <w:r>
        <w:rPr>
          <w:rFonts w:hint="eastAsia" w:eastAsia="宋体" w:asciiTheme="majorHAnsi" w:hAnsiTheme="majorHAnsi" w:cstheme="majorBidi"/>
          <w:b/>
          <w:bCs/>
          <w:i w:val="0"/>
          <w:iCs w:val="0"/>
          <w:color w:val="auto"/>
          <w:kern w:val="2"/>
          <w:sz w:val="28"/>
          <w:szCs w:val="28"/>
          <w:highlight w:val="none"/>
          <w:lang w:val="en-US" w:eastAsia="zh-CN" w:bidi="ar-SA"/>
        </w:rPr>
        <w:t>、</w:t>
      </w:r>
      <w:r>
        <w:rPr>
          <w:rFonts w:hint="eastAsia" w:eastAsia="宋体" w:asciiTheme="majorHAnsi" w:hAnsiTheme="majorHAnsi" w:cstheme="majorBidi"/>
          <w:b/>
          <w:bCs/>
          <w:i w:val="0"/>
          <w:iCs w:val="0"/>
          <w:color w:val="auto"/>
          <w:kern w:val="2"/>
          <w:sz w:val="28"/>
          <w:szCs w:val="28"/>
          <w:highlight w:val="none"/>
          <w:lang w:val="zh-CN" w:eastAsia="zh-CN" w:bidi="ar-SA"/>
        </w:rPr>
        <w:t>其他资格证明文件</w:t>
      </w:r>
      <w:bookmarkEnd w:id="711"/>
    </w:p>
    <w:p w14:paraId="0C24F0AE">
      <w:pPr>
        <w:pStyle w:val="35"/>
        <w:rPr>
          <w:rFonts w:hint="eastAsia"/>
          <w:i w:val="0"/>
          <w:iCs w:val="0"/>
          <w:color w:val="auto"/>
          <w:highlight w:val="none"/>
        </w:rPr>
      </w:pPr>
      <w:r>
        <w:rPr>
          <w:rFonts w:hint="eastAsia" w:cs="Courier New"/>
          <w:i w:val="0"/>
          <w:iCs w:val="0"/>
          <w:color w:val="auto"/>
          <w:szCs w:val="24"/>
          <w:highlight w:val="none"/>
          <w:lang w:val="en-US" w:eastAsia="zh-CN"/>
        </w:rPr>
        <w:t>供应商</w:t>
      </w:r>
      <w:r>
        <w:rPr>
          <w:rFonts w:hint="eastAsia" w:cs="Courier New"/>
          <w:i w:val="0"/>
          <w:iCs w:val="0"/>
          <w:color w:val="auto"/>
          <w:szCs w:val="24"/>
          <w:highlight w:val="none"/>
        </w:rPr>
        <w:t>认为需提供的其它相关资格证明材料</w:t>
      </w:r>
    </w:p>
    <w:p w14:paraId="7C2C3E83">
      <w:pPr>
        <w:pStyle w:val="35"/>
        <w:rPr>
          <w:rFonts w:hint="eastAsia"/>
          <w:i w:val="0"/>
          <w:iCs w:val="0"/>
          <w:color w:val="auto"/>
          <w:highlight w:val="none"/>
        </w:rPr>
      </w:pPr>
    </w:p>
    <w:p w14:paraId="58A36194">
      <w:pPr>
        <w:pStyle w:val="35"/>
        <w:rPr>
          <w:rFonts w:hint="eastAsia"/>
          <w:i w:val="0"/>
          <w:iCs w:val="0"/>
          <w:color w:val="auto"/>
          <w:highlight w:val="none"/>
        </w:rPr>
      </w:pPr>
    </w:p>
    <w:p w14:paraId="3553B395">
      <w:pPr>
        <w:pStyle w:val="35"/>
        <w:rPr>
          <w:rFonts w:hint="eastAsia"/>
          <w:i w:val="0"/>
          <w:iCs w:val="0"/>
          <w:color w:val="auto"/>
          <w:highlight w:val="none"/>
        </w:rPr>
      </w:pPr>
    </w:p>
    <w:p w14:paraId="49D404FC">
      <w:pPr>
        <w:pStyle w:val="35"/>
        <w:rPr>
          <w:rFonts w:hint="eastAsia"/>
          <w:i w:val="0"/>
          <w:iCs w:val="0"/>
          <w:color w:val="auto"/>
          <w:highlight w:val="none"/>
        </w:rPr>
      </w:pPr>
    </w:p>
    <w:p w14:paraId="4B98E4B6">
      <w:pPr>
        <w:pStyle w:val="35"/>
        <w:rPr>
          <w:rFonts w:hint="eastAsia"/>
          <w:i w:val="0"/>
          <w:iCs w:val="0"/>
          <w:color w:val="auto"/>
          <w:highlight w:val="none"/>
        </w:rPr>
      </w:pPr>
    </w:p>
    <w:p w14:paraId="737FEDD3">
      <w:pPr>
        <w:pStyle w:val="35"/>
        <w:rPr>
          <w:rFonts w:hint="eastAsia"/>
          <w:i w:val="0"/>
          <w:iCs w:val="0"/>
          <w:color w:val="auto"/>
          <w:highlight w:val="none"/>
        </w:rPr>
      </w:pPr>
    </w:p>
    <w:p w14:paraId="1C876135">
      <w:pPr>
        <w:pStyle w:val="35"/>
        <w:rPr>
          <w:rFonts w:hint="eastAsia"/>
          <w:i w:val="0"/>
          <w:iCs w:val="0"/>
          <w:color w:val="auto"/>
          <w:highlight w:val="none"/>
        </w:rPr>
      </w:pPr>
    </w:p>
    <w:p w14:paraId="7E85C842">
      <w:pPr>
        <w:pStyle w:val="35"/>
        <w:rPr>
          <w:rFonts w:hint="eastAsia"/>
          <w:i w:val="0"/>
          <w:iCs w:val="0"/>
          <w:color w:val="auto"/>
          <w:highlight w:val="none"/>
        </w:rPr>
      </w:pPr>
    </w:p>
    <w:p w14:paraId="4CBE3B0D">
      <w:pPr>
        <w:pStyle w:val="35"/>
        <w:rPr>
          <w:rFonts w:hint="eastAsia"/>
          <w:i w:val="0"/>
          <w:iCs w:val="0"/>
          <w:color w:val="auto"/>
          <w:highlight w:val="none"/>
        </w:rPr>
      </w:pPr>
    </w:p>
    <w:p w14:paraId="2E6E451F">
      <w:pPr>
        <w:pStyle w:val="35"/>
        <w:rPr>
          <w:rFonts w:hint="eastAsia"/>
          <w:i w:val="0"/>
          <w:iCs w:val="0"/>
          <w:color w:val="auto"/>
          <w:highlight w:val="none"/>
        </w:rPr>
      </w:pPr>
    </w:p>
    <w:p w14:paraId="38DC2C55">
      <w:pPr>
        <w:pStyle w:val="35"/>
        <w:rPr>
          <w:rFonts w:hint="eastAsia"/>
          <w:i w:val="0"/>
          <w:iCs w:val="0"/>
          <w:color w:val="auto"/>
          <w:highlight w:val="none"/>
        </w:rPr>
      </w:pPr>
    </w:p>
    <w:p w14:paraId="04DAFD3C">
      <w:pPr>
        <w:pStyle w:val="35"/>
        <w:rPr>
          <w:rFonts w:hint="eastAsia"/>
          <w:i w:val="0"/>
          <w:iCs w:val="0"/>
          <w:color w:val="auto"/>
          <w:highlight w:val="none"/>
        </w:rPr>
      </w:pPr>
    </w:p>
    <w:p w14:paraId="51E24CDC">
      <w:pPr>
        <w:pStyle w:val="35"/>
        <w:rPr>
          <w:rFonts w:hint="eastAsia"/>
          <w:i w:val="0"/>
          <w:iCs w:val="0"/>
          <w:color w:val="auto"/>
          <w:highlight w:val="none"/>
        </w:rPr>
      </w:pPr>
    </w:p>
    <w:p w14:paraId="1AC1942E">
      <w:pPr>
        <w:pStyle w:val="35"/>
        <w:rPr>
          <w:rFonts w:hint="eastAsia"/>
          <w:i w:val="0"/>
          <w:iCs w:val="0"/>
          <w:color w:val="auto"/>
          <w:highlight w:val="none"/>
        </w:rPr>
      </w:pPr>
    </w:p>
    <w:p w14:paraId="4722E259">
      <w:pPr>
        <w:pStyle w:val="35"/>
        <w:rPr>
          <w:rFonts w:hint="eastAsia"/>
          <w:i w:val="0"/>
          <w:iCs w:val="0"/>
          <w:color w:val="auto"/>
          <w:highlight w:val="none"/>
        </w:rPr>
      </w:pPr>
    </w:p>
    <w:p w14:paraId="07033BD3">
      <w:pPr>
        <w:pStyle w:val="35"/>
        <w:rPr>
          <w:rFonts w:hint="eastAsia"/>
          <w:i w:val="0"/>
          <w:iCs w:val="0"/>
          <w:color w:val="auto"/>
          <w:highlight w:val="none"/>
        </w:rPr>
      </w:pPr>
    </w:p>
    <w:p w14:paraId="6E1D094D">
      <w:pPr>
        <w:pStyle w:val="35"/>
        <w:rPr>
          <w:rFonts w:hint="eastAsia"/>
          <w:i w:val="0"/>
          <w:iCs w:val="0"/>
          <w:color w:val="auto"/>
          <w:highlight w:val="none"/>
        </w:rPr>
      </w:pPr>
    </w:p>
    <w:p w14:paraId="23B0DB54">
      <w:pPr>
        <w:pStyle w:val="35"/>
        <w:rPr>
          <w:rFonts w:hint="eastAsia"/>
          <w:i w:val="0"/>
          <w:iCs w:val="0"/>
          <w:color w:val="auto"/>
          <w:highlight w:val="none"/>
        </w:rPr>
      </w:pPr>
    </w:p>
    <w:p w14:paraId="07159DF6">
      <w:pPr>
        <w:pStyle w:val="35"/>
        <w:rPr>
          <w:rFonts w:hint="eastAsia"/>
          <w:i w:val="0"/>
          <w:iCs w:val="0"/>
          <w:color w:val="auto"/>
          <w:highlight w:val="none"/>
        </w:rPr>
      </w:pPr>
    </w:p>
    <w:p w14:paraId="44B3A5AA">
      <w:pPr>
        <w:pStyle w:val="35"/>
        <w:rPr>
          <w:rFonts w:hint="eastAsia"/>
          <w:i w:val="0"/>
          <w:iCs w:val="0"/>
          <w:color w:val="auto"/>
          <w:highlight w:val="none"/>
        </w:rPr>
      </w:pPr>
    </w:p>
    <w:p w14:paraId="05BB178A">
      <w:pPr>
        <w:pStyle w:val="35"/>
        <w:rPr>
          <w:rFonts w:hint="eastAsia"/>
          <w:i w:val="0"/>
          <w:iCs w:val="0"/>
          <w:color w:val="auto"/>
          <w:highlight w:val="none"/>
        </w:rPr>
      </w:pPr>
    </w:p>
    <w:p w14:paraId="0E7980AB">
      <w:pPr>
        <w:pStyle w:val="35"/>
        <w:rPr>
          <w:rFonts w:hint="eastAsia"/>
          <w:i w:val="0"/>
          <w:iCs w:val="0"/>
          <w:color w:val="auto"/>
          <w:highlight w:val="none"/>
        </w:rPr>
      </w:pPr>
    </w:p>
    <w:p w14:paraId="5A09B930">
      <w:pPr>
        <w:pStyle w:val="35"/>
        <w:rPr>
          <w:rFonts w:hint="eastAsia"/>
          <w:i w:val="0"/>
          <w:iCs w:val="0"/>
          <w:color w:val="auto"/>
          <w:highlight w:val="none"/>
        </w:rPr>
      </w:pPr>
    </w:p>
    <w:p w14:paraId="3FB1F62E">
      <w:pPr>
        <w:pStyle w:val="35"/>
        <w:rPr>
          <w:rFonts w:hint="eastAsia"/>
          <w:i w:val="0"/>
          <w:iCs w:val="0"/>
          <w:color w:val="auto"/>
          <w:highlight w:val="none"/>
        </w:rPr>
      </w:pPr>
    </w:p>
    <w:p w14:paraId="674D4B47">
      <w:pPr>
        <w:pStyle w:val="35"/>
        <w:rPr>
          <w:rFonts w:hint="eastAsia"/>
          <w:i w:val="0"/>
          <w:iCs w:val="0"/>
          <w:color w:val="auto"/>
          <w:highlight w:val="none"/>
        </w:rPr>
      </w:pPr>
    </w:p>
    <w:p w14:paraId="29F4C723">
      <w:pPr>
        <w:pStyle w:val="35"/>
        <w:rPr>
          <w:rFonts w:hint="eastAsia"/>
          <w:i w:val="0"/>
          <w:iCs w:val="0"/>
          <w:color w:val="auto"/>
          <w:highlight w:val="none"/>
        </w:rPr>
      </w:pPr>
    </w:p>
    <w:p w14:paraId="1047D3EE">
      <w:pPr>
        <w:pStyle w:val="61"/>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043C901F">
      <w:pPr>
        <w:rPr>
          <w:rFonts w:hint="eastAsia" w:cs="仿宋_GB2312"/>
          <w:i w:val="0"/>
          <w:iCs w:val="0"/>
          <w:color w:val="auto"/>
          <w:szCs w:val="24"/>
          <w:highlight w:val="none"/>
          <w:lang w:val="zh-CN"/>
        </w:rPr>
        <w:sectPr>
          <w:pgSz w:w="11905" w:h="16840"/>
          <w:pgMar w:top="1440" w:right="1797" w:bottom="1440" w:left="1797" w:header="851" w:footer="850" w:gutter="0"/>
          <w:pgBorders>
            <w:top w:val="none" w:sz="0" w:space="0"/>
            <w:left w:val="none" w:sz="0" w:space="0"/>
            <w:bottom w:val="none" w:sz="0" w:space="0"/>
            <w:right w:val="none" w:sz="0" w:space="0"/>
          </w:pgBorders>
          <w:pgNumType w:fmt="numberInDash"/>
          <w:cols w:space="720" w:num="1"/>
        </w:sectPr>
      </w:pPr>
    </w:p>
    <w:p w14:paraId="730DA0B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712" w:name="_Toc10882"/>
      <w:r>
        <w:rPr>
          <w:rFonts w:hint="eastAsia" w:cstheme="majorBidi"/>
          <w:b/>
          <w:bCs/>
          <w:i w:val="0"/>
          <w:iCs w:val="0"/>
          <w:color w:val="auto"/>
          <w:kern w:val="2"/>
          <w:sz w:val="32"/>
          <w:szCs w:val="32"/>
          <w:highlight w:val="none"/>
          <w:lang w:val="en-US" w:eastAsia="zh-CN" w:bidi="ar-SA"/>
        </w:rPr>
        <w:t>七、报价一览表</w:t>
      </w:r>
      <w:bookmarkEnd w:id="712"/>
    </w:p>
    <w:p w14:paraId="2AB3D72A">
      <w:pPr>
        <w:spacing w:line="300" w:lineRule="auto"/>
        <w:rPr>
          <w:rFonts w:cs="仿宋_GB2312"/>
          <w:i w:val="0"/>
          <w:iCs w:val="0"/>
          <w:color w:val="auto"/>
          <w:szCs w:val="24"/>
          <w:highlight w:val="none"/>
        </w:rPr>
      </w:pPr>
    </w:p>
    <w:p w14:paraId="2E702B28">
      <w:pPr>
        <w:rPr>
          <w:b w:val="0"/>
          <w:bCs/>
          <w:i w:val="0"/>
          <w:iCs w:val="0"/>
          <w:color w:val="auto"/>
          <w:szCs w:val="21"/>
          <w:highlight w:val="none"/>
          <w:lang w:val="zh-CN"/>
        </w:rPr>
      </w:pPr>
      <w:r>
        <w:rPr>
          <w:rFonts w:hint="eastAsia"/>
          <w:b w:val="0"/>
          <w:bCs/>
          <w:i w:val="0"/>
          <w:iCs w:val="0"/>
          <w:color w:val="auto"/>
          <w:szCs w:val="21"/>
          <w:highlight w:val="none"/>
          <w:lang w:val="zh-CN"/>
        </w:rPr>
        <w:t>项目名称：</w:t>
      </w:r>
      <w:r>
        <w:rPr>
          <w:rFonts w:hint="eastAsia"/>
          <w:b w:val="0"/>
          <w:bCs/>
          <w:i w:val="0"/>
          <w:iCs w:val="0"/>
          <w:color w:val="auto"/>
          <w:szCs w:val="21"/>
          <w:highlight w:val="none"/>
          <w:u w:val="single"/>
          <w:lang w:val="zh-CN"/>
        </w:rPr>
        <w:t xml:space="preserve">                     </w:t>
      </w:r>
    </w:p>
    <w:p w14:paraId="573A0361">
      <w:pPr>
        <w:rPr>
          <w:b w:val="0"/>
          <w:bCs/>
          <w:i w:val="0"/>
          <w:iCs w:val="0"/>
          <w:color w:val="auto"/>
          <w:szCs w:val="21"/>
          <w:highlight w:val="none"/>
          <w:u w:val="single"/>
          <w:lang w:val="zh-CN"/>
        </w:rPr>
      </w:pPr>
      <w:r>
        <w:rPr>
          <w:rFonts w:hint="eastAsia"/>
          <w:b w:val="0"/>
          <w:bCs/>
          <w:i w:val="0"/>
          <w:iCs w:val="0"/>
          <w:color w:val="auto"/>
          <w:szCs w:val="21"/>
          <w:highlight w:val="none"/>
          <w:lang w:val="zh-CN"/>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r>
        <w:rPr>
          <w:rFonts w:hint="eastAsia"/>
          <w:b w:val="0"/>
          <w:bCs/>
          <w:i w:val="0"/>
          <w:iCs w:val="0"/>
          <w:color w:val="auto"/>
          <w:szCs w:val="21"/>
          <w:highlight w:val="none"/>
          <w:u w:val="single"/>
          <w:lang w:val="zh-CN"/>
        </w:rPr>
        <w:t xml:space="preserve">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jc w:val="center"/>
              <w:textAlignment w:val="bottom"/>
              <w:rPr>
                <w:i w:val="0"/>
                <w:iCs w:val="0"/>
                <w:color w:val="auto"/>
                <w:szCs w:val="21"/>
                <w:highlight w:val="none"/>
              </w:rPr>
            </w:pPr>
            <w:r>
              <w:rPr>
                <w:rFonts w:hint="eastAsia"/>
                <w:i w:val="0"/>
                <w:iCs w:val="0"/>
                <w:color w:val="auto"/>
                <w:szCs w:val="21"/>
                <w:highlight w:val="none"/>
              </w:rPr>
              <w:t>序号</w:t>
            </w:r>
          </w:p>
        </w:tc>
        <w:tc>
          <w:tcPr>
            <w:tcW w:w="2352" w:type="dxa"/>
            <w:vAlign w:val="center"/>
          </w:tcPr>
          <w:p w14:paraId="5D10FF2E">
            <w:pPr>
              <w:widowControl/>
              <w:autoSpaceDE w:val="0"/>
              <w:autoSpaceDN w:val="0"/>
              <w:ind w:left="851" w:hanging="851"/>
              <w:jc w:val="center"/>
              <w:textAlignment w:val="bottom"/>
              <w:rPr>
                <w:i w:val="0"/>
                <w:iCs w:val="0"/>
                <w:color w:val="auto"/>
                <w:szCs w:val="21"/>
                <w:highlight w:val="none"/>
              </w:rPr>
            </w:pPr>
            <w:r>
              <w:rPr>
                <w:rFonts w:hint="eastAsia"/>
                <w:i w:val="0"/>
                <w:iCs w:val="0"/>
                <w:color w:val="auto"/>
                <w:szCs w:val="21"/>
                <w:highlight w:val="none"/>
                <w:lang w:val="en-US" w:eastAsia="zh-CN"/>
              </w:rPr>
              <w:t>磋商</w:t>
            </w:r>
            <w:r>
              <w:rPr>
                <w:rFonts w:hint="eastAsia"/>
                <w:i w:val="0"/>
                <w:iCs w:val="0"/>
                <w:color w:val="auto"/>
                <w:szCs w:val="21"/>
                <w:highlight w:val="none"/>
              </w:rPr>
              <w:t>报价</w:t>
            </w:r>
          </w:p>
        </w:tc>
        <w:tc>
          <w:tcPr>
            <w:tcW w:w="2161" w:type="dxa"/>
            <w:vAlign w:val="center"/>
          </w:tcPr>
          <w:p w14:paraId="48CC1886">
            <w:pPr>
              <w:widowControl/>
              <w:autoSpaceDE w:val="0"/>
              <w:autoSpaceDN w:val="0"/>
              <w:ind w:left="851" w:hanging="851"/>
              <w:jc w:val="center"/>
              <w:textAlignment w:val="bottom"/>
              <w:rPr>
                <w:i w:val="0"/>
                <w:iCs w:val="0"/>
                <w:color w:val="auto"/>
                <w:szCs w:val="21"/>
                <w:highlight w:val="none"/>
              </w:rPr>
            </w:pPr>
            <w:r>
              <w:rPr>
                <w:rFonts w:hint="eastAsia"/>
                <w:i w:val="0"/>
                <w:iCs w:val="0"/>
                <w:color w:val="auto"/>
                <w:szCs w:val="21"/>
                <w:highlight w:val="none"/>
                <w:lang w:val="en-US" w:eastAsia="zh-CN"/>
              </w:rPr>
              <w:t>服务</w:t>
            </w:r>
            <w:r>
              <w:rPr>
                <w:rFonts w:hint="eastAsia"/>
                <w:i w:val="0"/>
                <w:iCs w:val="0"/>
                <w:color w:val="auto"/>
                <w:szCs w:val="21"/>
                <w:highlight w:val="none"/>
              </w:rPr>
              <w:t>期限</w:t>
            </w:r>
          </w:p>
        </w:tc>
        <w:tc>
          <w:tcPr>
            <w:tcW w:w="2611" w:type="dxa"/>
            <w:vAlign w:val="center"/>
          </w:tcPr>
          <w:p w14:paraId="620875ED">
            <w:pPr>
              <w:widowControl/>
              <w:autoSpaceDE w:val="0"/>
              <w:autoSpaceDN w:val="0"/>
              <w:jc w:val="center"/>
              <w:textAlignment w:val="bottom"/>
              <w:rPr>
                <w:i w:val="0"/>
                <w:iCs w:val="0"/>
                <w:color w:val="auto"/>
                <w:szCs w:val="21"/>
                <w:highlight w:val="none"/>
              </w:rPr>
            </w:pPr>
            <w:r>
              <w:rPr>
                <w:rFonts w:hint="eastAsia"/>
                <w:i w:val="0"/>
                <w:iCs w:val="0"/>
                <w:color w:val="auto"/>
                <w:szCs w:val="21"/>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jc w:val="center"/>
              <w:rPr>
                <w:i w:val="0"/>
                <w:iCs w:val="0"/>
                <w:color w:val="auto"/>
                <w:sz w:val="28"/>
                <w:highlight w:val="none"/>
              </w:rPr>
            </w:pPr>
          </w:p>
        </w:tc>
        <w:tc>
          <w:tcPr>
            <w:tcW w:w="2352" w:type="dxa"/>
            <w:vAlign w:val="center"/>
          </w:tcPr>
          <w:p w14:paraId="5670501B">
            <w:pPr>
              <w:widowControl/>
              <w:autoSpaceDE w:val="0"/>
              <w:autoSpaceDN w:val="0"/>
              <w:spacing w:line="240" w:lineRule="auto"/>
              <w:ind w:left="851" w:hanging="851"/>
              <w:jc w:val="left"/>
              <w:textAlignment w:val="bottom"/>
              <w:rPr>
                <w:rFonts w:hint="eastAsia"/>
                <w:i w:val="0"/>
                <w:iCs w:val="0"/>
                <w:color w:val="auto"/>
                <w:szCs w:val="21"/>
                <w:highlight w:val="none"/>
                <w:lang w:val="en-US" w:eastAsia="zh-CN"/>
              </w:rPr>
            </w:pPr>
            <w:r>
              <w:rPr>
                <w:rFonts w:hint="eastAsia"/>
                <w:i w:val="0"/>
                <w:iCs w:val="0"/>
                <w:color w:val="auto"/>
                <w:szCs w:val="21"/>
                <w:highlight w:val="none"/>
                <w:lang w:val="en-US" w:eastAsia="zh-CN"/>
              </w:rPr>
              <w:t>小写：</w:t>
            </w:r>
          </w:p>
          <w:p w14:paraId="5238C712">
            <w:pPr>
              <w:jc w:val="left"/>
              <w:rPr>
                <w:i w:val="0"/>
                <w:iCs w:val="0"/>
                <w:color w:val="auto"/>
                <w:sz w:val="28"/>
                <w:highlight w:val="none"/>
              </w:rPr>
            </w:pPr>
            <w:r>
              <w:rPr>
                <w:rFonts w:hint="eastAsia"/>
                <w:i w:val="0"/>
                <w:iCs w:val="0"/>
                <w:color w:val="auto"/>
                <w:szCs w:val="21"/>
                <w:highlight w:val="none"/>
                <w:lang w:val="en-US" w:eastAsia="zh-CN"/>
              </w:rPr>
              <w:t>大写：</w:t>
            </w:r>
          </w:p>
        </w:tc>
        <w:tc>
          <w:tcPr>
            <w:tcW w:w="2161" w:type="dxa"/>
            <w:vAlign w:val="center"/>
          </w:tcPr>
          <w:p w14:paraId="3409D243">
            <w:pPr>
              <w:jc w:val="center"/>
              <w:rPr>
                <w:i w:val="0"/>
                <w:iCs w:val="0"/>
                <w:color w:val="auto"/>
                <w:sz w:val="28"/>
                <w:highlight w:val="none"/>
              </w:rPr>
            </w:pPr>
          </w:p>
        </w:tc>
        <w:tc>
          <w:tcPr>
            <w:tcW w:w="2611" w:type="dxa"/>
            <w:vAlign w:val="center"/>
          </w:tcPr>
          <w:p w14:paraId="35602B49">
            <w:pPr>
              <w:jc w:val="center"/>
              <w:rPr>
                <w:i w:val="0"/>
                <w:iCs w:val="0"/>
                <w:color w:val="auto"/>
                <w:sz w:val="28"/>
                <w:highlight w:val="none"/>
              </w:rPr>
            </w:pPr>
          </w:p>
        </w:tc>
      </w:tr>
    </w:tbl>
    <w:p w14:paraId="35185EF7">
      <w:pPr>
        <w:spacing w:line="300" w:lineRule="auto"/>
        <w:rPr>
          <w:rFonts w:ascii="Arial" w:hAnsi="Arial" w:cs="Arial"/>
          <w:i w:val="0"/>
          <w:iCs w:val="0"/>
          <w:color w:val="auto"/>
          <w:szCs w:val="21"/>
          <w:highlight w:val="none"/>
          <w:u w:val="single"/>
        </w:rPr>
      </w:pPr>
    </w:p>
    <w:p w14:paraId="0D79AA68">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5DD29C0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4CB5297">
      <w:pPr>
        <w:rPr>
          <w:rFonts w:cs="Arial"/>
          <w:i w:val="0"/>
          <w:iCs w:val="0"/>
          <w:color w:val="auto"/>
          <w:szCs w:val="24"/>
          <w:highlight w:val="none"/>
        </w:rPr>
      </w:pPr>
    </w:p>
    <w:p w14:paraId="21BB3A26">
      <w:pPr>
        <w:pStyle w:val="12"/>
        <w:rPr>
          <w:rFonts w:cs="Arial"/>
          <w:i w:val="0"/>
          <w:iCs w:val="0"/>
          <w:color w:val="auto"/>
          <w:szCs w:val="24"/>
          <w:highlight w:val="none"/>
        </w:rPr>
      </w:pPr>
    </w:p>
    <w:p w14:paraId="4C551945">
      <w:pPr>
        <w:pStyle w:val="12"/>
        <w:rPr>
          <w:rFonts w:cs="Arial"/>
          <w:i w:val="0"/>
          <w:iCs w:val="0"/>
          <w:color w:val="auto"/>
          <w:szCs w:val="24"/>
          <w:highlight w:val="none"/>
        </w:rPr>
      </w:pPr>
    </w:p>
    <w:p w14:paraId="09ACCEBB">
      <w:pPr>
        <w:pStyle w:val="12"/>
        <w:rPr>
          <w:rFonts w:cs="Arial"/>
          <w:i w:val="0"/>
          <w:iCs w:val="0"/>
          <w:color w:val="auto"/>
          <w:szCs w:val="24"/>
          <w:highlight w:val="none"/>
        </w:rPr>
      </w:pPr>
    </w:p>
    <w:p w14:paraId="54CAC625">
      <w:pPr>
        <w:pStyle w:val="12"/>
        <w:rPr>
          <w:rFonts w:cs="Arial"/>
          <w:i w:val="0"/>
          <w:iCs w:val="0"/>
          <w:color w:val="auto"/>
          <w:szCs w:val="24"/>
          <w:highlight w:val="none"/>
        </w:rPr>
      </w:pPr>
    </w:p>
    <w:p w14:paraId="5D119674">
      <w:pPr>
        <w:spacing w:line="360" w:lineRule="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lang w:eastAsia="zh-CN"/>
        </w:rPr>
        <w:t>注：</w:t>
      </w:r>
    </w:p>
    <w:p w14:paraId="1266F1C5">
      <w:pPr>
        <w:pStyle w:val="12"/>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1.表中磋商报价即为分项报价表中的报价合计。</w:t>
      </w:r>
    </w:p>
    <w:p w14:paraId="26C7BD91">
      <w:pPr>
        <w:pStyle w:val="12"/>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2.特殊事项在备注中注明。</w:t>
      </w:r>
    </w:p>
    <w:p w14:paraId="59649CE5">
      <w:pPr>
        <w:pStyle w:val="12"/>
        <w:ind w:firstLine="420" w:firstLineChars="200"/>
        <w:rPr>
          <w:rFonts w:hint="eastAsia" w:ascii="宋体" w:hAnsi="宋体" w:eastAsia="宋体" w:cs="宋体"/>
          <w:i w:val="0"/>
          <w:iCs w:val="0"/>
          <w:color w:val="auto"/>
          <w:sz w:val="21"/>
          <w:szCs w:val="21"/>
          <w:highlight w:val="none"/>
        </w:rPr>
        <w:sectPr>
          <w:pgSz w:w="11905" w:h="16840"/>
          <w:pgMar w:top="1440" w:right="1797" w:bottom="1440" w:left="1797" w:header="851" w:footer="85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i w:val="0"/>
          <w:iCs w:val="0"/>
          <w:color w:val="auto"/>
          <w:sz w:val="21"/>
          <w:szCs w:val="21"/>
          <w:highlight w:val="none"/>
          <w:lang w:val="en-US" w:eastAsia="zh-CN"/>
        </w:rPr>
        <w:t>3.表中大写与小写不一致的，以大写为准</w:t>
      </w:r>
      <w:r>
        <w:rPr>
          <w:rFonts w:hint="eastAsia" w:ascii="宋体" w:hAnsi="宋体" w:eastAsia="宋体" w:cs="宋体"/>
          <w:i w:val="0"/>
          <w:iCs w:val="0"/>
          <w:color w:val="auto"/>
          <w:sz w:val="21"/>
          <w:szCs w:val="21"/>
          <w:highlight w:val="none"/>
        </w:rPr>
        <w:t>。</w:t>
      </w:r>
    </w:p>
    <w:p w14:paraId="7B2B178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713" w:name="_Toc27300"/>
      <w:r>
        <w:rPr>
          <w:rFonts w:hint="eastAsia" w:cstheme="majorBidi"/>
          <w:b/>
          <w:bCs/>
          <w:i w:val="0"/>
          <w:iCs w:val="0"/>
          <w:color w:val="auto"/>
          <w:kern w:val="2"/>
          <w:sz w:val="32"/>
          <w:szCs w:val="32"/>
          <w:highlight w:val="none"/>
          <w:lang w:val="en-US" w:eastAsia="zh-CN" w:bidi="ar-SA"/>
        </w:rPr>
        <w:t>八、分项报价表</w:t>
      </w:r>
      <w:bookmarkEnd w:id="713"/>
    </w:p>
    <w:p w14:paraId="36B29882">
      <w:pPr>
        <w:rPr>
          <w:b w:val="0"/>
          <w:bCs/>
          <w:i w:val="0"/>
          <w:iCs w:val="0"/>
          <w:color w:val="auto"/>
          <w:szCs w:val="21"/>
          <w:highlight w:val="none"/>
          <w:lang w:val="zh-CN"/>
        </w:rPr>
      </w:pPr>
      <w:r>
        <w:rPr>
          <w:rFonts w:hint="eastAsia"/>
          <w:b w:val="0"/>
          <w:bCs/>
          <w:i w:val="0"/>
          <w:iCs w:val="0"/>
          <w:color w:val="auto"/>
          <w:szCs w:val="21"/>
          <w:highlight w:val="none"/>
          <w:lang w:val="zh-CN"/>
        </w:rPr>
        <w:t>项目名称：</w:t>
      </w:r>
      <w:r>
        <w:rPr>
          <w:rFonts w:hint="eastAsia"/>
          <w:b w:val="0"/>
          <w:bCs/>
          <w:i w:val="0"/>
          <w:iCs w:val="0"/>
          <w:color w:val="auto"/>
          <w:szCs w:val="21"/>
          <w:highlight w:val="none"/>
          <w:u w:val="single"/>
          <w:lang w:val="zh-CN"/>
        </w:rPr>
        <w:t xml:space="preserve">                  </w:t>
      </w:r>
      <w:r>
        <w:rPr>
          <w:rFonts w:hint="eastAsia"/>
          <w:b w:val="0"/>
          <w:bCs/>
          <w:i w:val="0"/>
          <w:iCs w:val="0"/>
          <w:color w:val="auto"/>
          <w:szCs w:val="21"/>
          <w:highlight w:val="none"/>
          <w:u w:val="single"/>
          <w:lang w:val="en-US" w:eastAsia="zh-CN"/>
        </w:rPr>
        <w:t xml:space="preserve">     </w:t>
      </w:r>
      <w:r>
        <w:rPr>
          <w:rFonts w:hint="eastAsia"/>
          <w:b w:val="0"/>
          <w:bCs/>
          <w:i w:val="0"/>
          <w:iCs w:val="0"/>
          <w:color w:val="auto"/>
          <w:szCs w:val="21"/>
          <w:highlight w:val="none"/>
          <w:u w:val="single"/>
          <w:lang w:val="zh-CN"/>
        </w:rPr>
        <w:t xml:space="preserve">   </w:t>
      </w:r>
    </w:p>
    <w:p w14:paraId="369D32C9">
      <w:pPr>
        <w:rPr>
          <w:rFonts w:hint="eastAsia"/>
          <w:b w:val="0"/>
          <w:bCs/>
          <w:i w:val="0"/>
          <w:iCs w:val="0"/>
          <w:color w:val="auto"/>
          <w:szCs w:val="21"/>
          <w:highlight w:val="none"/>
          <w:u w:val="single"/>
          <w:lang w:val="zh-CN"/>
        </w:rPr>
      </w:pPr>
      <w:r>
        <w:rPr>
          <w:rFonts w:hint="eastAsia"/>
          <w:b w:val="0"/>
          <w:bCs/>
          <w:i w:val="0"/>
          <w:iCs w:val="0"/>
          <w:color w:val="auto"/>
          <w:szCs w:val="21"/>
          <w:highlight w:val="none"/>
          <w:lang w:val="zh-CN"/>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r>
        <w:rPr>
          <w:rFonts w:hint="eastAsia"/>
          <w:b w:val="0"/>
          <w:bCs/>
          <w:i w:val="0"/>
          <w:iCs w:val="0"/>
          <w:color w:val="auto"/>
          <w:szCs w:val="21"/>
          <w:highlight w:val="none"/>
          <w:u w:val="single"/>
          <w:lang w:val="zh-CN"/>
        </w:rPr>
        <w:t xml:space="preserve">                     </w:t>
      </w:r>
    </w:p>
    <w:tbl>
      <w:tblPr>
        <w:tblStyle w:val="2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59B3E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序号</w:t>
            </w:r>
          </w:p>
        </w:tc>
        <w:tc>
          <w:tcPr>
            <w:tcW w:w="3720" w:type="dxa"/>
            <w:vAlign w:val="center"/>
          </w:tcPr>
          <w:p w14:paraId="088C5C1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名称</w:t>
            </w:r>
          </w:p>
        </w:tc>
        <w:tc>
          <w:tcPr>
            <w:tcW w:w="1065" w:type="dxa"/>
            <w:vAlign w:val="center"/>
          </w:tcPr>
          <w:p w14:paraId="73E9587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数量</w:t>
            </w:r>
          </w:p>
        </w:tc>
        <w:tc>
          <w:tcPr>
            <w:tcW w:w="1065" w:type="dxa"/>
            <w:vAlign w:val="center"/>
          </w:tcPr>
          <w:p w14:paraId="46AE39CD">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单价（元）</w:t>
            </w:r>
          </w:p>
        </w:tc>
        <w:tc>
          <w:tcPr>
            <w:tcW w:w="1066" w:type="dxa"/>
            <w:vAlign w:val="center"/>
          </w:tcPr>
          <w:p w14:paraId="39D5688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总价</w:t>
            </w:r>
          </w:p>
        </w:tc>
        <w:tc>
          <w:tcPr>
            <w:tcW w:w="947" w:type="dxa"/>
            <w:vAlign w:val="center"/>
          </w:tcPr>
          <w:p w14:paraId="7A26779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备注</w:t>
            </w:r>
          </w:p>
        </w:tc>
      </w:tr>
      <w:tr w14:paraId="467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5FF6D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1</w:t>
            </w:r>
          </w:p>
        </w:tc>
        <w:tc>
          <w:tcPr>
            <w:tcW w:w="3720" w:type="dxa"/>
            <w:vAlign w:val="center"/>
          </w:tcPr>
          <w:p w14:paraId="07A38CC0">
            <w:pPr>
              <w:adjustRightInd w:val="0"/>
              <w:snapToGrid w:val="0"/>
              <w:spacing w:line="240" w:lineRule="auto"/>
              <w:jc w:val="center"/>
              <w:rPr>
                <w:i w:val="0"/>
                <w:iCs w:val="0"/>
                <w:color w:val="auto"/>
                <w:szCs w:val="21"/>
                <w:highlight w:val="none"/>
              </w:rPr>
            </w:pPr>
          </w:p>
        </w:tc>
        <w:tc>
          <w:tcPr>
            <w:tcW w:w="1065" w:type="dxa"/>
            <w:vAlign w:val="center"/>
          </w:tcPr>
          <w:p w14:paraId="0D2CE283">
            <w:pPr>
              <w:adjustRightInd w:val="0"/>
              <w:snapToGrid w:val="0"/>
              <w:spacing w:line="240" w:lineRule="auto"/>
              <w:jc w:val="center"/>
              <w:rPr>
                <w:i w:val="0"/>
                <w:iCs w:val="0"/>
                <w:color w:val="auto"/>
                <w:szCs w:val="21"/>
                <w:highlight w:val="none"/>
              </w:rPr>
            </w:pPr>
          </w:p>
        </w:tc>
        <w:tc>
          <w:tcPr>
            <w:tcW w:w="1065" w:type="dxa"/>
            <w:vAlign w:val="center"/>
          </w:tcPr>
          <w:p w14:paraId="347A98B0">
            <w:pPr>
              <w:adjustRightInd w:val="0"/>
              <w:snapToGrid w:val="0"/>
              <w:spacing w:line="240" w:lineRule="auto"/>
              <w:jc w:val="center"/>
              <w:rPr>
                <w:i w:val="0"/>
                <w:iCs w:val="0"/>
                <w:color w:val="auto"/>
                <w:szCs w:val="21"/>
                <w:highlight w:val="none"/>
              </w:rPr>
            </w:pPr>
          </w:p>
        </w:tc>
        <w:tc>
          <w:tcPr>
            <w:tcW w:w="1066" w:type="dxa"/>
            <w:vAlign w:val="center"/>
          </w:tcPr>
          <w:p w14:paraId="439055D0">
            <w:pPr>
              <w:adjustRightInd w:val="0"/>
              <w:snapToGrid w:val="0"/>
              <w:spacing w:line="240" w:lineRule="auto"/>
              <w:jc w:val="center"/>
              <w:rPr>
                <w:i w:val="0"/>
                <w:iCs w:val="0"/>
                <w:color w:val="auto"/>
                <w:szCs w:val="21"/>
                <w:highlight w:val="none"/>
              </w:rPr>
            </w:pPr>
          </w:p>
        </w:tc>
        <w:tc>
          <w:tcPr>
            <w:tcW w:w="947" w:type="dxa"/>
            <w:vAlign w:val="center"/>
          </w:tcPr>
          <w:p w14:paraId="53350EE9">
            <w:pPr>
              <w:adjustRightInd w:val="0"/>
              <w:snapToGrid w:val="0"/>
              <w:spacing w:line="240" w:lineRule="auto"/>
              <w:jc w:val="center"/>
              <w:rPr>
                <w:i w:val="0"/>
                <w:iCs w:val="0"/>
                <w:color w:val="auto"/>
                <w:szCs w:val="21"/>
                <w:highlight w:val="none"/>
              </w:rPr>
            </w:pPr>
          </w:p>
        </w:tc>
      </w:tr>
      <w:tr w14:paraId="510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E786EF">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2</w:t>
            </w:r>
          </w:p>
        </w:tc>
        <w:tc>
          <w:tcPr>
            <w:tcW w:w="3720" w:type="dxa"/>
            <w:vAlign w:val="center"/>
          </w:tcPr>
          <w:p w14:paraId="19F17531">
            <w:pPr>
              <w:adjustRightInd w:val="0"/>
              <w:snapToGrid w:val="0"/>
              <w:spacing w:line="240" w:lineRule="auto"/>
              <w:jc w:val="center"/>
              <w:rPr>
                <w:i w:val="0"/>
                <w:iCs w:val="0"/>
                <w:color w:val="auto"/>
                <w:szCs w:val="21"/>
                <w:highlight w:val="none"/>
              </w:rPr>
            </w:pPr>
          </w:p>
        </w:tc>
        <w:tc>
          <w:tcPr>
            <w:tcW w:w="1065" w:type="dxa"/>
            <w:vAlign w:val="center"/>
          </w:tcPr>
          <w:p w14:paraId="5FA2A257">
            <w:pPr>
              <w:adjustRightInd w:val="0"/>
              <w:snapToGrid w:val="0"/>
              <w:spacing w:line="240" w:lineRule="auto"/>
              <w:jc w:val="center"/>
              <w:rPr>
                <w:i w:val="0"/>
                <w:iCs w:val="0"/>
                <w:color w:val="auto"/>
                <w:szCs w:val="21"/>
                <w:highlight w:val="none"/>
              </w:rPr>
            </w:pPr>
          </w:p>
        </w:tc>
        <w:tc>
          <w:tcPr>
            <w:tcW w:w="1065" w:type="dxa"/>
            <w:vAlign w:val="center"/>
          </w:tcPr>
          <w:p w14:paraId="634862ED">
            <w:pPr>
              <w:adjustRightInd w:val="0"/>
              <w:snapToGrid w:val="0"/>
              <w:spacing w:line="240" w:lineRule="auto"/>
              <w:jc w:val="center"/>
              <w:rPr>
                <w:i w:val="0"/>
                <w:iCs w:val="0"/>
                <w:color w:val="auto"/>
                <w:szCs w:val="21"/>
                <w:highlight w:val="none"/>
              </w:rPr>
            </w:pPr>
          </w:p>
        </w:tc>
        <w:tc>
          <w:tcPr>
            <w:tcW w:w="1066" w:type="dxa"/>
            <w:vAlign w:val="center"/>
          </w:tcPr>
          <w:p w14:paraId="604070DF">
            <w:pPr>
              <w:adjustRightInd w:val="0"/>
              <w:snapToGrid w:val="0"/>
              <w:spacing w:line="240" w:lineRule="auto"/>
              <w:jc w:val="center"/>
              <w:rPr>
                <w:i w:val="0"/>
                <w:iCs w:val="0"/>
                <w:color w:val="auto"/>
                <w:szCs w:val="21"/>
                <w:highlight w:val="none"/>
              </w:rPr>
            </w:pPr>
          </w:p>
        </w:tc>
        <w:tc>
          <w:tcPr>
            <w:tcW w:w="947" w:type="dxa"/>
            <w:vAlign w:val="center"/>
          </w:tcPr>
          <w:p w14:paraId="45B52869">
            <w:pPr>
              <w:adjustRightInd w:val="0"/>
              <w:snapToGrid w:val="0"/>
              <w:spacing w:line="240" w:lineRule="auto"/>
              <w:jc w:val="center"/>
              <w:rPr>
                <w:i w:val="0"/>
                <w:iCs w:val="0"/>
                <w:color w:val="auto"/>
                <w:szCs w:val="21"/>
                <w:highlight w:val="none"/>
              </w:rPr>
            </w:pPr>
          </w:p>
        </w:tc>
      </w:tr>
      <w:tr w14:paraId="102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47A33D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3</w:t>
            </w:r>
          </w:p>
        </w:tc>
        <w:tc>
          <w:tcPr>
            <w:tcW w:w="3720" w:type="dxa"/>
            <w:vAlign w:val="center"/>
          </w:tcPr>
          <w:p w14:paraId="7605B56B">
            <w:pPr>
              <w:adjustRightInd w:val="0"/>
              <w:snapToGrid w:val="0"/>
              <w:spacing w:line="240" w:lineRule="auto"/>
              <w:jc w:val="center"/>
              <w:rPr>
                <w:i w:val="0"/>
                <w:iCs w:val="0"/>
                <w:color w:val="auto"/>
                <w:szCs w:val="21"/>
                <w:highlight w:val="none"/>
              </w:rPr>
            </w:pPr>
          </w:p>
        </w:tc>
        <w:tc>
          <w:tcPr>
            <w:tcW w:w="1065" w:type="dxa"/>
            <w:vAlign w:val="center"/>
          </w:tcPr>
          <w:p w14:paraId="2DB12A28">
            <w:pPr>
              <w:adjustRightInd w:val="0"/>
              <w:snapToGrid w:val="0"/>
              <w:spacing w:line="240" w:lineRule="auto"/>
              <w:jc w:val="center"/>
              <w:rPr>
                <w:i w:val="0"/>
                <w:iCs w:val="0"/>
                <w:color w:val="auto"/>
                <w:szCs w:val="21"/>
                <w:highlight w:val="none"/>
              </w:rPr>
            </w:pPr>
          </w:p>
        </w:tc>
        <w:tc>
          <w:tcPr>
            <w:tcW w:w="1065" w:type="dxa"/>
            <w:vAlign w:val="center"/>
          </w:tcPr>
          <w:p w14:paraId="317BFF74">
            <w:pPr>
              <w:adjustRightInd w:val="0"/>
              <w:snapToGrid w:val="0"/>
              <w:spacing w:line="240" w:lineRule="auto"/>
              <w:jc w:val="center"/>
              <w:rPr>
                <w:i w:val="0"/>
                <w:iCs w:val="0"/>
                <w:color w:val="auto"/>
                <w:szCs w:val="21"/>
                <w:highlight w:val="none"/>
              </w:rPr>
            </w:pPr>
          </w:p>
        </w:tc>
        <w:tc>
          <w:tcPr>
            <w:tcW w:w="1066" w:type="dxa"/>
            <w:vAlign w:val="center"/>
          </w:tcPr>
          <w:p w14:paraId="4B6F17D3">
            <w:pPr>
              <w:adjustRightInd w:val="0"/>
              <w:snapToGrid w:val="0"/>
              <w:spacing w:line="240" w:lineRule="auto"/>
              <w:jc w:val="center"/>
              <w:rPr>
                <w:i w:val="0"/>
                <w:iCs w:val="0"/>
                <w:color w:val="auto"/>
                <w:szCs w:val="21"/>
                <w:highlight w:val="none"/>
              </w:rPr>
            </w:pPr>
          </w:p>
        </w:tc>
        <w:tc>
          <w:tcPr>
            <w:tcW w:w="947" w:type="dxa"/>
            <w:vAlign w:val="center"/>
          </w:tcPr>
          <w:p w14:paraId="1E8ED10E">
            <w:pPr>
              <w:adjustRightInd w:val="0"/>
              <w:snapToGrid w:val="0"/>
              <w:spacing w:line="240" w:lineRule="auto"/>
              <w:jc w:val="center"/>
              <w:rPr>
                <w:i w:val="0"/>
                <w:iCs w:val="0"/>
                <w:color w:val="auto"/>
                <w:szCs w:val="21"/>
                <w:highlight w:val="none"/>
              </w:rPr>
            </w:pPr>
          </w:p>
        </w:tc>
      </w:tr>
      <w:tr w14:paraId="353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B358B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4</w:t>
            </w:r>
          </w:p>
        </w:tc>
        <w:tc>
          <w:tcPr>
            <w:tcW w:w="3720" w:type="dxa"/>
            <w:vAlign w:val="center"/>
          </w:tcPr>
          <w:p w14:paraId="0B0031F2">
            <w:pPr>
              <w:adjustRightInd w:val="0"/>
              <w:snapToGrid w:val="0"/>
              <w:spacing w:line="240" w:lineRule="auto"/>
              <w:jc w:val="center"/>
              <w:rPr>
                <w:i w:val="0"/>
                <w:iCs w:val="0"/>
                <w:color w:val="auto"/>
                <w:szCs w:val="21"/>
                <w:highlight w:val="none"/>
              </w:rPr>
            </w:pPr>
          </w:p>
        </w:tc>
        <w:tc>
          <w:tcPr>
            <w:tcW w:w="1065" w:type="dxa"/>
            <w:vAlign w:val="center"/>
          </w:tcPr>
          <w:p w14:paraId="1A9AB905">
            <w:pPr>
              <w:adjustRightInd w:val="0"/>
              <w:snapToGrid w:val="0"/>
              <w:spacing w:line="240" w:lineRule="auto"/>
              <w:jc w:val="center"/>
              <w:rPr>
                <w:i w:val="0"/>
                <w:iCs w:val="0"/>
                <w:color w:val="auto"/>
                <w:szCs w:val="21"/>
                <w:highlight w:val="none"/>
              </w:rPr>
            </w:pPr>
          </w:p>
        </w:tc>
        <w:tc>
          <w:tcPr>
            <w:tcW w:w="1065" w:type="dxa"/>
            <w:vAlign w:val="center"/>
          </w:tcPr>
          <w:p w14:paraId="20C40B8C">
            <w:pPr>
              <w:adjustRightInd w:val="0"/>
              <w:snapToGrid w:val="0"/>
              <w:spacing w:line="240" w:lineRule="auto"/>
              <w:jc w:val="center"/>
              <w:rPr>
                <w:i w:val="0"/>
                <w:iCs w:val="0"/>
                <w:color w:val="auto"/>
                <w:szCs w:val="21"/>
                <w:highlight w:val="none"/>
              </w:rPr>
            </w:pPr>
          </w:p>
        </w:tc>
        <w:tc>
          <w:tcPr>
            <w:tcW w:w="1066" w:type="dxa"/>
            <w:vAlign w:val="center"/>
          </w:tcPr>
          <w:p w14:paraId="7FDFD679">
            <w:pPr>
              <w:adjustRightInd w:val="0"/>
              <w:snapToGrid w:val="0"/>
              <w:spacing w:line="240" w:lineRule="auto"/>
              <w:jc w:val="center"/>
              <w:rPr>
                <w:i w:val="0"/>
                <w:iCs w:val="0"/>
                <w:color w:val="auto"/>
                <w:szCs w:val="21"/>
                <w:highlight w:val="none"/>
              </w:rPr>
            </w:pPr>
          </w:p>
        </w:tc>
        <w:tc>
          <w:tcPr>
            <w:tcW w:w="947" w:type="dxa"/>
            <w:vAlign w:val="center"/>
          </w:tcPr>
          <w:p w14:paraId="3C259360">
            <w:pPr>
              <w:adjustRightInd w:val="0"/>
              <w:snapToGrid w:val="0"/>
              <w:spacing w:line="240" w:lineRule="auto"/>
              <w:jc w:val="center"/>
              <w:rPr>
                <w:i w:val="0"/>
                <w:iCs w:val="0"/>
                <w:color w:val="auto"/>
                <w:szCs w:val="21"/>
                <w:highlight w:val="none"/>
              </w:rPr>
            </w:pPr>
          </w:p>
        </w:tc>
      </w:tr>
      <w:tr w14:paraId="51C6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D2AC16">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5</w:t>
            </w:r>
          </w:p>
        </w:tc>
        <w:tc>
          <w:tcPr>
            <w:tcW w:w="3720" w:type="dxa"/>
            <w:vAlign w:val="center"/>
          </w:tcPr>
          <w:p w14:paraId="2B6E9910">
            <w:pPr>
              <w:adjustRightInd w:val="0"/>
              <w:snapToGrid w:val="0"/>
              <w:spacing w:line="240" w:lineRule="auto"/>
              <w:jc w:val="center"/>
              <w:rPr>
                <w:i w:val="0"/>
                <w:iCs w:val="0"/>
                <w:color w:val="auto"/>
                <w:szCs w:val="21"/>
                <w:highlight w:val="none"/>
              </w:rPr>
            </w:pPr>
          </w:p>
        </w:tc>
        <w:tc>
          <w:tcPr>
            <w:tcW w:w="1065" w:type="dxa"/>
            <w:vAlign w:val="center"/>
          </w:tcPr>
          <w:p w14:paraId="34E951A1">
            <w:pPr>
              <w:adjustRightInd w:val="0"/>
              <w:snapToGrid w:val="0"/>
              <w:spacing w:line="240" w:lineRule="auto"/>
              <w:jc w:val="center"/>
              <w:rPr>
                <w:i w:val="0"/>
                <w:iCs w:val="0"/>
                <w:color w:val="auto"/>
                <w:szCs w:val="21"/>
                <w:highlight w:val="none"/>
              </w:rPr>
            </w:pPr>
          </w:p>
        </w:tc>
        <w:tc>
          <w:tcPr>
            <w:tcW w:w="1065" w:type="dxa"/>
            <w:vAlign w:val="center"/>
          </w:tcPr>
          <w:p w14:paraId="5D9FC8D6">
            <w:pPr>
              <w:adjustRightInd w:val="0"/>
              <w:snapToGrid w:val="0"/>
              <w:spacing w:line="240" w:lineRule="auto"/>
              <w:jc w:val="center"/>
              <w:rPr>
                <w:i w:val="0"/>
                <w:iCs w:val="0"/>
                <w:color w:val="auto"/>
                <w:szCs w:val="21"/>
                <w:highlight w:val="none"/>
              </w:rPr>
            </w:pPr>
          </w:p>
        </w:tc>
        <w:tc>
          <w:tcPr>
            <w:tcW w:w="1066" w:type="dxa"/>
            <w:vAlign w:val="center"/>
          </w:tcPr>
          <w:p w14:paraId="7745BDE0">
            <w:pPr>
              <w:adjustRightInd w:val="0"/>
              <w:snapToGrid w:val="0"/>
              <w:spacing w:line="240" w:lineRule="auto"/>
              <w:jc w:val="center"/>
              <w:rPr>
                <w:i w:val="0"/>
                <w:iCs w:val="0"/>
                <w:color w:val="auto"/>
                <w:szCs w:val="21"/>
                <w:highlight w:val="none"/>
              </w:rPr>
            </w:pPr>
          </w:p>
        </w:tc>
        <w:tc>
          <w:tcPr>
            <w:tcW w:w="947" w:type="dxa"/>
            <w:vAlign w:val="center"/>
          </w:tcPr>
          <w:p w14:paraId="2F20BA25">
            <w:pPr>
              <w:adjustRightInd w:val="0"/>
              <w:snapToGrid w:val="0"/>
              <w:spacing w:line="240" w:lineRule="auto"/>
              <w:jc w:val="center"/>
              <w:rPr>
                <w:i w:val="0"/>
                <w:iCs w:val="0"/>
                <w:color w:val="auto"/>
                <w:szCs w:val="21"/>
                <w:highlight w:val="none"/>
              </w:rPr>
            </w:pPr>
          </w:p>
        </w:tc>
      </w:tr>
      <w:tr w14:paraId="054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9BF07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6</w:t>
            </w:r>
          </w:p>
        </w:tc>
        <w:tc>
          <w:tcPr>
            <w:tcW w:w="3720" w:type="dxa"/>
            <w:vAlign w:val="center"/>
          </w:tcPr>
          <w:p w14:paraId="63E7761B">
            <w:pPr>
              <w:adjustRightInd w:val="0"/>
              <w:snapToGrid w:val="0"/>
              <w:spacing w:line="240" w:lineRule="auto"/>
              <w:jc w:val="center"/>
              <w:rPr>
                <w:i w:val="0"/>
                <w:iCs w:val="0"/>
                <w:color w:val="auto"/>
                <w:szCs w:val="21"/>
                <w:highlight w:val="none"/>
              </w:rPr>
            </w:pPr>
          </w:p>
        </w:tc>
        <w:tc>
          <w:tcPr>
            <w:tcW w:w="1065" w:type="dxa"/>
            <w:vAlign w:val="center"/>
          </w:tcPr>
          <w:p w14:paraId="3BA61A9A">
            <w:pPr>
              <w:adjustRightInd w:val="0"/>
              <w:snapToGrid w:val="0"/>
              <w:spacing w:line="240" w:lineRule="auto"/>
              <w:jc w:val="center"/>
              <w:rPr>
                <w:i w:val="0"/>
                <w:iCs w:val="0"/>
                <w:color w:val="auto"/>
                <w:szCs w:val="21"/>
                <w:highlight w:val="none"/>
              </w:rPr>
            </w:pPr>
          </w:p>
        </w:tc>
        <w:tc>
          <w:tcPr>
            <w:tcW w:w="1065" w:type="dxa"/>
            <w:vAlign w:val="center"/>
          </w:tcPr>
          <w:p w14:paraId="7DCA522F">
            <w:pPr>
              <w:adjustRightInd w:val="0"/>
              <w:snapToGrid w:val="0"/>
              <w:spacing w:line="240" w:lineRule="auto"/>
              <w:jc w:val="center"/>
              <w:rPr>
                <w:i w:val="0"/>
                <w:iCs w:val="0"/>
                <w:color w:val="auto"/>
                <w:szCs w:val="21"/>
                <w:highlight w:val="none"/>
              </w:rPr>
            </w:pPr>
          </w:p>
        </w:tc>
        <w:tc>
          <w:tcPr>
            <w:tcW w:w="1066" w:type="dxa"/>
            <w:vAlign w:val="center"/>
          </w:tcPr>
          <w:p w14:paraId="68A27993">
            <w:pPr>
              <w:adjustRightInd w:val="0"/>
              <w:snapToGrid w:val="0"/>
              <w:spacing w:line="240" w:lineRule="auto"/>
              <w:jc w:val="center"/>
              <w:rPr>
                <w:i w:val="0"/>
                <w:iCs w:val="0"/>
                <w:color w:val="auto"/>
                <w:szCs w:val="21"/>
                <w:highlight w:val="none"/>
              </w:rPr>
            </w:pPr>
          </w:p>
        </w:tc>
        <w:tc>
          <w:tcPr>
            <w:tcW w:w="947" w:type="dxa"/>
            <w:vAlign w:val="center"/>
          </w:tcPr>
          <w:p w14:paraId="33A904F9">
            <w:pPr>
              <w:adjustRightInd w:val="0"/>
              <w:snapToGrid w:val="0"/>
              <w:spacing w:line="240" w:lineRule="auto"/>
              <w:jc w:val="center"/>
              <w:rPr>
                <w:i w:val="0"/>
                <w:iCs w:val="0"/>
                <w:color w:val="auto"/>
                <w:szCs w:val="21"/>
                <w:highlight w:val="none"/>
              </w:rPr>
            </w:pPr>
          </w:p>
        </w:tc>
      </w:tr>
      <w:tr w14:paraId="57BA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8C27991">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7</w:t>
            </w:r>
          </w:p>
        </w:tc>
        <w:tc>
          <w:tcPr>
            <w:tcW w:w="3720" w:type="dxa"/>
            <w:vAlign w:val="center"/>
          </w:tcPr>
          <w:p w14:paraId="7864625B">
            <w:pPr>
              <w:adjustRightInd w:val="0"/>
              <w:snapToGrid w:val="0"/>
              <w:spacing w:line="240" w:lineRule="auto"/>
              <w:jc w:val="center"/>
              <w:rPr>
                <w:i w:val="0"/>
                <w:iCs w:val="0"/>
                <w:color w:val="auto"/>
                <w:szCs w:val="21"/>
                <w:highlight w:val="none"/>
              </w:rPr>
            </w:pPr>
          </w:p>
        </w:tc>
        <w:tc>
          <w:tcPr>
            <w:tcW w:w="1065" w:type="dxa"/>
            <w:vAlign w:val="center"/>
          </w:tcPr>
          <w:p w14:paraId="2B4D906C">
            <w:pPr>
              <w:adjustRightInd w:val="0"/>
              <w:snapToGrid w:val="0"/>
              <w:spacing w:line="240" w:lineRule="auto"/>
              <w:jc w:val="center"/>
              <w:rPr>
                <w:i w:val="0"/>
                <w:iCs w:val="0"/>
                <w:color w:val="auto"/>
                <w:szCs w:val="21"/>
                <w:highlight w:val="none"/>
              </w:rPr>
            </w:pPr>
          </w:p>
        </w:tc>
        <w:tc>
          <w:tcPr>
            <w:tcW w:w="1065" w:type="dxa"/>
            <w:vAlign w:val="center"/>
          </w:tcPr>
          <w:p w14:paraId="6A8DF27F">
            <w:pPr>
              <w:adjustRightInd w:val="0"/>
              <w:snapToGrid w:val="0"/>
              <w:spacing w:line="240" w:lineRule="auto"/>
              <w:jc w:val="center"/>
              <w:rPr>
                <w:i w:val="0"/>
                <w:iCs w:val="0"/>
                <w:color w:val="auto"/>
                <w:szCs w:val="21"/>
                <w:highlight w:val="none"/>
              </w:rPr>
            </w:pPr>
          </w:p>
        </w:tc>
        <w:tc>
          <w:tcPr>
            <w:tcW w:w="1066" w:type="dxa"/>
            <w:vAlign w:val="center"/>
          </w:tcPr>
          <w:p w14:paraId="54C5FBF7">
            <w:pPr>
              <w:adjustRightInd w:val="0"/>
              <w:snapToGrid w:val="0"/>
              <w:spacing w:line="240" w:lineRule="auto"/>
              <w:jc w:val="center"/>
              <w:rPr>
                <w:i w:val="0"/>
                <w:iCs w:val="0"/>
                <w:color w:val="auto"/>
                <w:szCs w:val="21"/>
                <w:highlight w:val="none"/>
              </w:rPr>
            </w:pPr>
          </w:p>
        </w:tc>
        <w:tc>
          <w:tcPr>
            <w:tcW w:w="947" w:type="dxa"/>
            <w:vAlign w:val="center"/>
          </w:tcPr>
          <w:p w14:paraId="2690F475">
            <w:pPr>
              <w:adjustRightInd w:val="0"/>
              <w:snapToGrid w:val="0"/>
              <w:spacing w:line="240" w:lineRule="auto"/>
              <w:jc w:val="center"/>
              <w:rPr>
                <w:i w:val="0"/>
                <w:iCs w:val="0"/>
                <w:color w:val="auto"/>
                <w:szCs w:val="21"/>
                <w:highlight w:val="none"/>
              </w:rPr>
            </w:pPr>
          </w:p>
        </w:tc>
      </w:tr>
      <w:tr w14:paraId="27F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F06304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8</w:t>
            </w:r>
          </w:p>
        </w:tc>
        <w:tc>
          <w:tcPr>
            <w:tcW w:w="3720" w:type="dxa"/>
            <w:vAlign w:val="center"/>
          </w:tcPr>
          <w:p w14:paraId="7C3908AC">
            <w:pPr>
              <w:adjustRightInd w:val="0"/>
              <w:snapToGrid w:val="0"/>
              <w:spacing w:line="240" w:lineRule="auto"/>
              <w:jc w:val="center"/>
              <w:rPr>
                <w:i w:val="0"/>
                <w:iCs w:val="0"/>
                <w:color w:val="auto"/>
                <w:szCs w:val="21"/>
                <w:highlight w:val="none"/>
              </w:rPr>
            </w:pPr>
          </w:p>
        </w:tc>
        <w:tc>
          <w:tcPr>
            <w:tcW w:w="1065" w:type="dxa"/>
            <w:vAlign w:val="center"/>
          </w:tcPr>
          <w:p w14:paraId="362E8E82">
            <w:pPr>
              <w:adjustRightInd w:val="0"/>
              <w:snapToGrid w:val="0"/>
              <w:spacing w:line="240" w:lineRule="auto"/>
              <w:jc w:val="center"/>
              <w:rPr>
                <w:i w:val="0"/>
                <w:iCs w:val="0"/>
                <w:color w:val="auto"/>
                <w:szCs w:val="21"/>
                <w:highlight w:val="none"/>
              </w:rPr>
            </w:pPr>
          </w:p>
        </w:tc>
        <w:tc>
          <w:tcPr>
            <w:tcW w:w="1065" w:type="dxa"/>
            <w:vAlign w:val="center"/>
          </w:tcPr>
          <w:p w14:paraId="6F2704AB">
            <w:pPr>
              <w:adjustRightInd w:val="0"/>
              <w:snapToGrid w:val="0"/>
              <w:spacing w:line="240" w:lineRule="auto"/>
              <w:jc w:val="center"/>
              <w:rPr>
                <w:i w:val="0"/>
                <w:iCs w:val="0"/>
                <w:color w:val="auto"/>
                <w:szCs w:val="21"/>
                <w:highlight w:val="none"/>
              </w:rPr>
            </w:pPr>
          </w:p>
        </w:tc>
        <w:tc>
          <w:tcPr>
            <w:tcW w:w="1066" w:type="dxa"/>
            <w:vAlign w:val="center"/>
          </w:tcPr>
          <w:p w14:paraId="79394E0B">
            <w:pPr>
              <w:adjustRightInd w:val="0"/>
              <w:snapToGrid w:val="0"/>
              <w:spacing w:line="240" w:lineRule="auto"/>
              <w:jc w:val="center"/>
              <w:rPr>
                <w:i w:val="0"/>
                <w:iCs w:val="0"/>
                <w:color w:val="auto"/>
                <w:szCs w:val="21"/>
                <w:highlight w:val="none"/>
              </w:rPr>
            </w:pPr>
          </w:p>
        </w:tc>
        <w:tc>
          <w:tcPr>
            <w:tcW w:w="947" w:type="dxa"/>
            <w:vAlign w:val="center"/>
          </w:tcPr>
          <w:p w14:paraId="5A8DCEE1">
            <w:pPr>
              <w:adjustRightInd w:val="0"/>
              <w:snapToGrid w:val="0"/>
              <w:spacing w:line="240" w:lineRule="auto"/>
              <w:jc w:val="center"/>
              <w:rPr>
                <w:i w:val="0"/>
                <w:iCs w:val="0"/>
                <w:color w:val="auto"/>
                <w:szCs w:val="21"/>
                <w:highlight w:val="none"/>
              </w:rPr>
            </w:pPr>
          </w:p>
        </w:tc>
      </w:tr>
      <w:tr w14:paraId="2D0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shd w:val="clear" w:color="auto" w:fill="auto"/>
            <w:vAlign w:val="center"/>
          </w:tcPr>
          <w:p w14:paraId="36B30C90">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3720" w:type="dxa"/>
            <w:shd w:val="clear" w:color="auto" w:fill="auto"/>
            <w:vAlign w:val="center"/>
          </w:tcPr>
          <w:p w14:paraId="547CA859">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1065" w:type="dxa"/>
            <w:vAlign w:val="center"/>
          </w:tcPr>
          <w:p w14:paraId="7B9DBE1E">
            <w:pPr>
              <w:adjustRightInd w:val="0"/>
              <w:snapToGrid w:val="0"/>
              <w:spacing w:line="240" w:lineRule="auto"/>
              <w:jc w:val="center"/>
              <w:rPr>
                <w:i w:val="0"/>
                <w:iCs w:val="0"/>
                <w:color w:val="auto"/>
                <w:szCs w:val="21"/>
                <w:highlight w:val="none"/>
              </w:rPr>
            </w:pPr>
          </w:p>
        </w:tc>
        <w:tc>
          <w:tcPr>
            <w:tcW w:w="1065" w:type="dxa"/>
            <w:vAlign w:val="center"/>
          </w:tcPr>
          <w:p w14:paraId="6851C226">
            <w:pPr>
              <w:adjustRightInd w:val="0"/>
              <w:snapToGrid w:val="0"/>
              <w:spacing w:line="240" w:lineRule="auto"/>
              <w:jc w:val="center"/>
              <w:rPr>
                <w:i w:val="0"/>
                <w:iCs w:val="0"/>
                <w:color w:val="auto"/>
                <w:szCs w:val="21"/>
                <w:highlight w:val="none"/>
              </w:rPr>
            </w:pPr>
          </w:p>
        </w:tc>
        <w:tc>
          <w:tcPr>
            <w:tcW w:w="1066" w:type="dxa"/>
            <w:vAlign w:val="center"/>
          </w:tcPr>
          <w:p w14:paraId="39505459">
            <w:pPr>
              <w:adjustRightInd w:val="0"/>
              <w:snapToGrid w:val="0"/>
              <w:spacing w:line="240" w:lineRule="auto"/>
              <w:jc w:val="center"/>
              <w:rPr>
                <w:i w:val="0"/>
                <w:iCs w:val="0"/>
                <w:color w:val="auto"/>
                <w:szCs w:val="21"/>
                <w:highlight w:val="none"/>
              </w:rPr>
            </w:pPr>
          </w:p>
        </w:tc>
        <w:tc>
          <w:tcPr>
            <w:tcW w:w="947" w:type="dxa"/>
            <w:vAlign w:val="center"/>
          </w:tcPr>
          <w:p w14:paraId="14D910E3">
            <w:pPr>
              <w:adjustRightInd w:val="0"/>
              <w:snapToGrid w:val="0"/>
              <w:spacing w:line="240" w:lineRule="auto"/>
              <w:jc w:val="center"/>
              <w:rPr>
                <w:i w:val="0"/>
                <w:iCs w:val="0"/>
                <w:color w:val="auto"/>
                <w:szCs w:val="21"/>
                <w:highlight w:val="none"/>
              </w:rPr>
            </w:pPr>
          </w:p>
        </w:tc>
      </w:tr>
      <w:tr w14:paraId="0CA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727E85">
            <w:pPr>
              <w:adjustRightInd w:val="0"/>
              <w:snapToGrid w:val="0"/>
              <w:spacing w:line="240" w:lineRule="auto"/>
              <w:jc w:val="center"/>
              <w:rPr>
                <w:i w:val="0"/>
                <w:iCs w:val="0"/>
                <w:color w:val="auto"/>
                <w:szCs w:val="21"/>
                <w:highlight w:val="none"/>
              </w:rPr>
            </w:pPr>
          </w:p>
        </w:tc>
        <w:tc>
          <w:tcPr>
            <w:tcW w:w="3720" w:type="dxa"/>
            <w:vAlign w:val="center"/>
          </w:tcPr>
          <w:p w14:paraId="6E3D4C24">
            <w:pPr>
              <w:adjustRightInd w:val="0"/>
              <w:snapToGrid w:val="0"/>
              <w:spacing w:line="240" w:lineRule="auto"/>
              <w:jc w:val="center"/>
              <w:rPr>
                <w:i w:val="0"/>
                <w:iCs w:val="0"/>
                <w:color w:val="auto"/>
                <w:szCs w:val="21"/>
                <w:highlight w:val="none"/>
              </w:rPr>
            </w:pPr>
            <w:r>
              <w:rPr>
                <w:rFonts w:hint="eastAsia" w:asciiTheme="minorEastAsia" w:hAnsiTheme="minorEastAsia" w:eastAsiaTheme="minorEastAsia"/>
                <w:i w:val="0"/>
                <w:iCs w:val="0"/>
                <w:color w:val="auto"/>
                <w:highlight w:val="none"/>
              </w:rPr>
              <w:t>其他费用</w:t>
            </w:r>
          </w:p>
        </w:tc>
        <w:tc>
          <w:tcPr>
            <w:tcW w:w="1065" w:type="dxa"/>
            <w:vAlign w:val="center"/>
          </w:tcPr>
          <w:p w14:paraId="34269FA2">
            <w:pPr>
              <w:adjustRightInd w:val="0"/>
              <w:snapToGrid w:val="0"/>
              <w:spacing w:line="240" w:lineRule="auto"/>
              <w:jc w:val="center"/>
              <w:rPr>
                <w:i w:val="0"/>
                <w:iCs w:val="0"/>
                <w:color w:val="auto"/>
                <w:szCs w:val="21"/>
                <w:highlight w:val="none"/>
              </w:rPr>
            </w:pPr>
          </w:p>
        </w:tc>
        <w:tc>
          <w:tcPr>
            <w:tcW w:w="1065" w:type="dxa"/>
            <w:vAlign w:val="center"/>
          </w:tcPr>
          <w:p w14:paraId="646717F9">
            <w:pPr>
              <w:adjustRightInd w:val="0"/>
              <w:snapToGrid w:val="0"/>
              <w:spacing w:line="240" w:lineRule="auto"/>
              <w:jc w:val="center"/>
              <w:rPr>
                <w:i w:val="0"/>
                <w:iCs w:val="0"/>
                <w:color w:val="auto"/>
                <w:szCs w:val="21"/>
                <w:highlight w:val="none"/>
              </w:rPr>
            </w:pPr>
          </w:p>
        </w:tc>
        <w:tc>
          <w:tcPr>
            <w:tcW w:w="1066" w:type="dxa"/>
            <w:vAlign w:val="center"/>
          </w:tcPr>
          <w:p w14:paraId="61629B6A">
            <w:pPr>
              <w:adjustRightInd w:val="0"/>
              <w:snapToGrid w:val="0"/>
              <w:spacing w:line="240" w:lineRule="auto"/>
              <w:jc w:val="center"/>
              <w:rPr>
                <w:i w:val="0"/>
                <w:iCs w:val="0"/>
                <w:color w:val="auto"/>
                <w:szCs w:val="21"/>
                <w:highlight w:val="none"/>
              </w:rPr>
            </w:pPr>
          </w:p>
        </w:tc>
        <w:tc>
          <w:tcPr>
            <w:tcW w:w="947" w:type="dxa"/>
            <w:vAlign w:val="center"/>
          </w:tcPr>
          <w:p w14:paraId="7F337C52">
            <w:pPr>
              <w:adjustRightInd w:val="0"/>
              <w:snapToGrid w:val="0"/>
              <w:spacing w:line="240" w:lineRule="auto"/>
              <w:jc w:val="center"/>
              <w:rPr>
                <w:i w:val="0"/>
                <w:iCs w:val="0"/>
                <w:color w:val="auto"/>
                <w:szCs w:val="21"/>
                <w:highlight w:val="none"/>
              </w:rPr>
            </w:pPr>
          </w:p>
        </w:tc>
      </w:tr>
      <w:tr w14:paraId="209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55F28">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3720" w:type="dxa"/>
            <w:vAlign w:val="center"/>
          </w:tcPr>
          <w:p w14:paraId="5D4BF5AE">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1065" w:type="dxa"/>
            <w:vAlign w:val="center"/>
          </w:tcPr>
          <w:p w14:paraId="3E6B6F32">
            <w:pPr>
              <w:adjustRightInd w:val="0"/>
              <w:snapToGrid w:val="0"/>
              <w:spacing w:line="240" w:lineRule="auto"/>
              <w:jc w:val="center"/>
              <w:rPr>
                <w:i w:val="0"/>
                <w:iCs w:val="0"/>
                <w:color w:val="auto"/>
                <w:szCs w:val="21"/>
                <w:highlight w:val="none"/>
              </w:rPr>
            </w:pPr>
          </w:p>
        </w:tc>
        <w:tc>
          <w:tcPr>
            <w:tcW w:w="1065" w:type="dxa"/>
            <w:vAlign w:val="center"/>
          </w:tcPr>
          <w:p w14:paraId="02B6CE3C">
            <w:pPr>
              <w:adjustRightInd w:val="0"/>
              <w:snapToGrid w:val="0"/>
              <w:spacing w:line="240" w:lineRule="auto"/>
              <w:jc w:val="center"/>
              <w:rPr>
                <w:i w:val="0"/>
                <w:iCs w:val="0"/>
                <w:color w:val="auto"/>
                <w:szCs w:val="21"/>
                <w:highlight w:val="none"/>
              </w:rPr>
            </w:pPr>
          </w:p>
        </w:tc>
        <w:tc>
          <w:tcPr>
            <w:tcW w:w="1066" w:type="dxa"/>
            <w:vAlign w:val="center"/>
          </w:tcPr>
          <w:p w14:paraId="15025601">
            <w:pPr>
              <w:adjustRightInd w:val="0"/>
              <w:snapToGrid w:val="0"/>
              <w:spacing w:line="240" w:lineRule="auto"/>
              <w:jc w:val="center"/>
              <w:rPr>
                <w:i w:val="0"/>
                <w:iCs w:val="0"/>
                <w:color w:val="auto"/>
                <w:szCs w:val="21"/>
                <w:highlight w:val="none"/>
              </w:rPr>
            </w:pPr>
          </w:p>
        </w:tc>
        <w:tc>
          <w:tcPr>
            <w:tcW w:w="947" w:type="dxa"/>
            <w:vAlign w:val="center"/>
          </w:tcPr>
          <w:p w14:paraId="39116035">
            <w:pPr>
              <w:adjustRightInd w:val="0"/>
              <w:snapToGrid w:val="0"/>
              <w:spacing w:line="240" w:lineRule="auto"/>
              <w:jc w:val="center"/>
              <w:rPr>
                <w:i w:val="0"/>
                <w:iCs w:val="0"/>
                <w:color w:val="auto"/>
                <w:szCs w:val="21"/>
                <w:highlight w:val="none"/>
              </w:rPr>
            </w:pPr>
          </w:p>
        </w:tc>
      </w:tr>
      <w:tr w14:paraId="16F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DD5DA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报价合计（元）</w:t>
            </w:r>
          </w:p>
        </w:tc>
        <w:tc>
          <w:tcPr>
            <w:tcW w:w="2013" w:type="dxa"/>
            <w:gridSpan w:val="2"/>
            <w:vAlign w:val="center"/>
          </w:tcPr>
          <w:p w14:paraId="0609C717">
            <w:pPr>
              <w:adjustRightInd w:val="0"/>
              <w:snapToGrid w:val="0"/>
              <w:spacing w:line="240" w:lineRule="auto"/>
              <w:jc w:val="center"/>
              <w:rPr>
                <w:i w:val="0"/>
                <w:iCs w:val="0"/>
                <w:color w:val="auto"/>
                <w:szCs w:val="21"/>
                <w:highlight w:val="none"/>
              </w:rPr>
            </w:pPr>
          </w:p>
        </w:tc>
      </w:tr>
    </w:tbl>
    <w:p w14:paraId="76D9FA12">
      <w:pPr>
        <w:pStyle w:val="12"/>
        <w:rPr>
          <w:rFonts w:hint="eastAsia"/>
          <w:b w:val="0"/>
          <w:bCs/>
          <w:i w:val="0"/>
          <w:iCs w:val="0"/>
          <w:color w:val="auto"/>
          <w:szCs w:val="21"/>
          <w:highlight w:val="none"/>
          <w:u w:val="single"/>
          <w:lang w:val="zh-CN"/>
        </w:rPr>
      </w:pPr>
    </w:p>
    <w:p w14:paraId="4ADE4675">
      <w:pPr>
        <w:spacing w:line="300" w:lineRule="auto"/>
        <w:rPr>
          <w:rFonts w:ascii="Arial" w:hAnsi="Arial" w:cs="Arial"/>
          <w:i w:val="0"/>
          <w:iCs w:val="0"/>
          <w:color w:val="auto"/>
          <w:szCs w:val="21"/>
          <w:highlight w:val="none"/>
        </w:rPr>
      </w:pPr>
    </w:p>
    <w:p w14:paraId="7856DF79">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10A8DB8">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F99A5A5">
      <w:pPr>
        <w:spacing w:line="300" w:lineRule="auto"/>
        <w:rPr>
          <w:rFonts w:ascii="Arial" w:hAnsi="Arial" w:cs="Arial"/>
          <w:i w:val="0"/>
          <w:iCs w:val="0"/>
          <w:color w:val="auto"/>
          <w:szCs w:val="21"/>
          <w:highlight w:val="none"/>
        </w:rPr>
      </w:pPr>
    </w:p>
    <w:p w14:paraId="19373AA9">
      <w:pPr>
        <w:spacing w:line="360" w:lineRule="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lang w:eastAsia="zh-CN"/>
        </w:rPr>
        <w:t>注：</w:t>
      </w:r>
    </w:p>
    <w:p w14:paraId="4681585F">
      <w:pPr>
        <w:spacing w:line="360" w:lineRule="auto"/>
        <w:ind w:firstLine="435"/>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default" w:ascii="宋体" w:hAnsi="宋体" w:eastAsia="宋体" w:cs="宋体"/>
          <w:i w:val="0"/>
          <w:iCs w:val="0"/>
          <w:color w:val="auto"/>
          <w:sz w:val="21"/>
          <w:szCs w:val="21"/>
          <w:highlight w:val="none"/>
          <w:lang w:val="en-US" w:eastAsia="zh-CN"/>
        </w:rPr>
        <w:t>按照本表填写的各项目的报价合计填写到</w:t>
      </w:r>
      <w:r>
        <w:rPr>
          <w:rFonts w:hint="eastAsia" w:ascii="宋体" w:hAnsi="宋体" w:eastAsia="宋体" w:cs="宋体"/>
          <w:i w:val="0"/>
          <w:iCs w:val="0"/>
          <w:color w:val="auto"/>
          <w:sz w:val="21"/>
          <w:szCs w:val="21"/>
          <w:highlight w:val="none"/>
          <w:lang w:val="en-US" w:eastAsia="zh-CN"/>
        </w:rPr>
        <w:t>“</w:t>
      </w:r>
      <w:r>
        <w:rPr>
          <w:rFonts w:hint="eastAsia" w:cs="宋体"/>
          <w:i w:val="0"/>
          <w:iCs w:val="0"/>
          <w:color w:val="auto"/>
          <w:sz w:val="21"/>
          <w:szCs w:val="21"/>
          <w:highlight w:val="none"/>
          <w:lang w:val="en-US" w:eastAsia="zh-CN"/>
        </w:rPr>
        <w:t>报价</w:t>
      </w:r>
      <w:r>
        <w:rPr>
          <w:rFonts w:hint="eastAsia" w:ascii="宋体" w:hAnsi="宋体" w:eastAsia="宋体" w:cs="宋体"/>
          <w:i w:val="0"/>
          <w:iCs w:val="0"/>
          <w:color w:val="auto"/>
          <w:sz w:val="21"/>
          <w:szCs w:val="21"/>
          <w:highlight w:val="none"/>
          <w:lang w:val="en-US" w:eastAsia="zh-CN"/>
        </w:rPr>
        <w:t>一览表”</w:t>
      </w:r>
      <w:r>
        <w:rPr>
          <w:rFonts w:hint="default" w:ascii="宋体" w:hAnsi="宋体" w:eastAsia="宋体" w:cs="宋体"/>
          <w:i w:val="0"/>
          <w:iCs w:val="0"/>
          <w:color w:val="auto"/>
          <w:sz w:val="21"/>
          <w:szCs w:val="21"/>
          <w:highlight w:val="none"/>
          <w:lang w:val="en-US" w:eastAsia="zh-CN"/>
        </w:rPr>
        <w:t>中对应的</w:t>
      </w:r>
      <w:r>
        <w:rPr>
          <w:rFonts w:hint="eastAsia" w:cs="宋体"/>
          <w:i w:val="0"/>
          <w:iCs w:val="0"/>
          <w:color w:val="auto"/>
          <w:sz w:val="21"/>
          <w:szCs w:val="21"/>
          <w:highlight w:val="none"/>
          <w:lang w:val="en-US" w:eastAsia="zh-CN"/>
        </w:rPr>
        <w:t>“磋商报价”</w:t>
      </w:r>
      <w:r>
        <w:rPr>
          <w:rFonts w:hint="default" w:ascii="宋体" w:hAnsi="宋体" w:eastAsia="宋体" w:cs="宋体"/>
          <w:i w:val="0"/>
          <w:iCs w:val="0"/>
          <w:color w:val="auto"/>
          <w:sz w:val="21"/>
          <w:szCs w:val="21"/>
          <w:highlight w:val="none"/>
          <w:lang w:val="en-US" w:eastAsia="zh-CN"/>
        </w:rPr>
        <w:t>栏中。</w:t>
      </w:r>
    </w:p>
    <w:p w14:paraId="6B43AF2E">
      <w:pPr>
        <w:spacing w:line="360" w:lineRule="auto"/>
        <w:ind w:firstLine="435"/>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.所列服务为对应本项目需求的全部服务内容。如有漏项或缺项，</w:t>
      </w:r>
      <w:r>
        <w:rPr>
          <w:rFonts w:hint="eastAsia"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承担全部责任。</w:t>
      </w:r>
    </w:p>
    <w:p w14:paraId="4A59D451">
      <w:pPr>
        <w:pStyle w:val="61"/>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7B71C0B3">
      <w:pPr>
        <w:pStyle w:val="61"/>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5A56E26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14" w:name="_Toc155185921"/>
      <w:bookmarkStart w:id="715" w:name="_Toc16679"/>
      <w:bookmarkStart w:id="716" w:name="_Toc109900327"/>
      <w:bookmarkStart w:id="717" w:name="_Toc109899489"/>
      <w:bookmarkStart w:id="718" w:name="_Toc109899908"/>
      <w:bookmarkStart w:id="719" w:name="_Toc25402"/>
      <w:bookmarkStart w:id="720" w:name="_Toc3577"/>
      <w:bookmarkStart w:id="721" w:name="_Toc140132831"/>
      <w:r>
        <w:rPr>
          <w:rFonts w:hint="eastAsia" w:cstheme="majorBidi"/>
          <w:b/>
          <w:bCs/>
          <w:i w:val="0"/>
          <w:iCs w:val="0"/>
          <w:color w:val="auto"/>
          <w:kern w:val="2"/>
          <w:sz w:val="32"/>
          <w:szCs w:val="32"/>
          <w:highlight w:val="none"/>
          <w:lang w:val="en-US" w:eastAsia="zh-CN" w:bidi="ar-SA"/>
        </w:rPr>
        <w:t>九</w:t>
      </w:r>
      <w:r>
        <w:rPr>
          <w:rFonts w:hint="eastAsia" w:eastAsia="宋体" w:asciiTheme="majorHAnsi" w:hAnsiTheme="majorHAnsi" w:cstheme="majorBidi"/>
          <w:b/>
          <w:bCs/>
          <w:i w:val="0"/>
          <w:iCs w:val="0"/>
          <w:color w:val="auto"/>
          <w:kern w:val="2"/>
          <w:sz w:val="32"/>
          <w:szCs w:val="32"/>
          <w:highlight w:val="none"/>
          <w:lang w:val="en-US" w:eastAsia="zh-CN" w:bidi="ar-SA"/>
        </w:rPr>
        <w:t>、</w:t>
      </w:r>
      <w:r>
        <w:rPr>
          <w:rFonts w:hint="eastAsia" w:cstheme="majorBidi"/>
          <w:b/>
          <w:bCs/>
          <w:i w:val="0"/>
          <w:iCs w:val="0"/>
          <w:color w:val="auto"/>
          <w:kern w:val="2"/>
          <w:sz w:val="32"/>
          <w:szCs w:val="32"/>
          <w:highlight w:val="none"/>
          <w:lang w:val="en-US" w:eastAsia="zh-CN" w:bidi="ar-SA"/>
        </w:rPr>
        <w:t>响应</w:t>
      </w:r>
      <w:r>
        <w:rPr>
          <w:rFonts w:hint="eastAsia" w:eastAsia="宋体" w:asciiTheme="majorHAnsi" w:hAnsiTheme="majorHAnsi" w:cstheme="majorBidi"/>
          <w:b/>
          <w:bCs/>
          <w:i w:val="0"/>
          <w:iCs w:val="0"/>
          <w:color w:val="auto"/>
          <w:kern w:val="2"/>
          <w:sz w:val="32"/>
          <w:szCs w:val="32"/>
          <w:highlight w:val="none"/>
          <w:lang w:val="en-US" w:eastAsia="zh-CN" w:bidi="ar-SA"/>
        </w:rPr>
        <w:t>函</w:t>
      </w:r>
      <w:bookmarkEnd w:id="714"/>
      <w:bookmarkEnd w:id="715"/>
      <w:bookmarkEnd w:id="716"/>
      <w:bookmarkEnd w:id="717"/>
      <w:bookmarkEnd w:id="718"/>
      <w:bookmarkEnd w:id="719"/>
      <w:bookmarkEnd w:id="720"/>
      <w:bookmarkEnd w:id="721"/>
    </w:p>
    <w:p w14:paraId="69ABB720">
      <w:pPr>
        <w:rPr>
          <w:i w:val="0"/>
          <w:iCs w:val="0"/>
          <w:color w:val="auto"/>
          <w:highlight w:val="none"/>
        </w:rPr>
      </w:pPr>
      <w:r>
        <w:rPr>
          <w:rFonts w:hint="eastAsia"/>
          <w:i w:val="0"/>
          <w:iCs w:val="0"/>
          <w:color w:val="auto"/>
          <w:highlight w:val="none"/>
        </w:rPr>
        <w:t>致：（采购人）</w:t>
      </w:r>
    </w:p>
    <w:p w14:paraId="35C4266A">
      <w:pPr>
        <w:ind w:firstLine="480" w:firstLineChars="200"/>
        <w:rPr>
          <w:rFonts w:cs="仿宋_GB2312"/>
          <w:b/>
          <w:bCs/>
          <w:i w:val="0"/>
          <w:iCs w:val="0"/>
          <w:color w:val="auto"/>
          <w:szCs w:val="24"/>
          <w:highlight w:val="none"/>
        </w:rPr>
      </w:pPr>
      <w:r>
        <w:rPr>
          <w:rFonts w:hint="eastAsia" w:cs="仿宋_GB2312"/>
          <w:i w:val="0"/>
          <w:iCs w:val="0"/>
          <w:color w:val="auto"/>
          <w:szCs w:val="24"/>
          <w:highlight w:val="none"/>
        </w:rPr>
        <w:t>根据贵方</w:t>
      </w:r>
      <w:r>
        <w:rPr>
          <w:rFonts w:hint="eastAsia" w:cs="仿宋_GB2312"/>
          <w:i w:val="0"/>
          <w:iCs w:val="0"/>
          <w:color w:val="auto"/>
          <w:szCs w:val="24"/>
          <w:highlight w:val="none"/>
          <w:u w:val="single"/>
        </w:rPr>
        <w:t>（项目名称）（项目编号</w:t>
      </w:r>
      <w:r>
        <w:rPr>
          <w:rFonts w:hint="eastAsia" w:cs="仿宋_GB2312"/>
          <w:i w:val="0"/>
          <w:iCs w:val="0"/>
          <w:color w:val="auto"/>
          <w:szCs w:val="24"/>
          <w:highlight w:val="none"/>
          <w:u w:val="single"/>
          <w:lang w:val="en-US" w:eastAsia="zh-CN"/>
        </w:rPr>
        <w:t>/包号</w:t>
      </w:r>
      <w:r>
        <w:rPr>
          <w:rFonts w:hint="eastAsia" w:cs="仿宋_GB2312"/>
          <w:i w:val="0"/>
          <w:iCs w:val="0"/>
          <w:color w:val="auto"/>
          <w:szCs w:val="24"/>
          <w:highlight w:val="none"/>
          <w:u w:val="single"/>
        </w:rPr>
        <w:t>）</w:t>
      </w:r>
      <w:r>
        <w:rPr>
          <w:rFonts w:hint="eastAsia" w:cs="仿宋_GB2312"/>
          <w:i w:val="0"/>
          <w:iCs w:val="0"/>
          <w:color w:val="auto"/>
          <w:szCs w:val="24"/>
          <w:highlight w:val="none"/>
          <w:lang w:val="en-US" w:eastAsia="zh-CN"/>
        </w:rPr>
        <w:t>项目</w:t>
      </w:r>
      <w:r>
        <w:rPr>
          <w:rFonts w:hint="eastAsia" w:cs="仿宋_GB2312"/>
          <w:i w:val="0"/>
          <w:iCs w:val="0"/>
          <w:color w:val="auto"/>
          <w:szCs w:val="24"/>
          <w:highlight w:val="none"/>
        </w:rPr>
        <w:t>的</w:t>
      </w:r>
      <w:r>
        <w:rPr>
          <w:rFonts w:hint="eastAsia" w:cs="仿宋_GB2312"/>
          <w:i w:val="0"/>
          <w:iCs w:val="0"/>
          <w:color w:val="auto"/>
          <w:szCs w:val="24"/>
          <w:highlight w:val="none"/>
          <w:lang w:val="en-US" w:eastAsia="zh-CN"/>
        </w:rPr>
        <w:t>竞争性磋商公告</w:t>
      </w:r>
      <w:r>
        <w:rPr>
          <w:rFonts w:hint="eastAsia" w:cs="仿宋_GB2312"/>
          <w:i w:val="0"/>
          <w:iCs w:val="0"/>
          <w:color w:val="auto"/>
          <w:szCs w:val="24"/>
          <w:highlight w:val="none"/>
        </w:rPr>
        <w:t>，签字代表</w:t>
      </w:r>
      <w:r>
        <w:rPr>
          <w:rFonts w:hint="eastAsia" w:cs="仿宋_GB2312"/>
          <w:i w:val="0"/>
          <w:iCs w:val="0"/>
          <w:color w:val="auto"/>
          <w:szCs w:val="24"/>
          <w:highlight w:val="none"/>
          <w:u w:val="single"/>
        </w:rPr>
        <w:t>（姓名、职务）</w:t>
      </w:r>
      <w:r>
        <w:rPr>
          <w:rFonts w:hint="eastAsia" w:cs="仿宋_GB2312"/>
          <w:i w:val="0"/>
          <w:iCs w:val="0"/>
          <w:color w:val="auto"/>
          <w:szCs w:val="24"/>
          <w:highlight w:val="none"/>
        </w:rPr>
        <w:t>经正式授权并代表</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u w:val="single"/>
        </w:rPr>
        <w:t>（</w:t>
      </w:r>
      <w:r>
        <w:rPr>
          <w:rFonts w:hint="eastAsia" w:cs="仿宋_GB2312"/>
          <w:i w:val="0"/>
          <w:iCs w:val="0"/>
          <w:color w:val="auto"/>
          <w:szCs w:val="24"/>
          <w:highlight w:val="none"/>
          <w:u w:val="single"/>
          <w:lang w:val="en-US" w:eastAsia="zh-CN"/>
        </w:rPr>
        <w:t>供应商</w:t>
      </w:r>
      <w:r>
        <w:rPr>
          <w:rFonts w:hint="eastAsia" w:cs="仿宋_GB2312"/>
          <w:i w:val="0"/>
          <w:iCs w:val="0"/>
          <w:color w:val="auto"/>
          <w:szCs w:val="24"/>
          <w:highlight w:val="none"/>
          <w:u w:val="single"/>
        </w:rPr>
        <w:t>名称、地址）</w:t>
      </w:r>
      <w:r>
        <w:rPr>
          <w:rFonts w:hint="eastAsia" w:cs="仿宋_GB2312"/>
          <w:i w:val="0"/>
          <w:iCs w:val="0"/>
          <w:color w:val="auto"/>
          <w:szCs w:val="24"/>
          <w:highlight w:val="none"/>
        </w:rPr>
        <w:t>提交下述文件</w:t>
      </w:r>
      <w:r>
        <w:rPr>
          <w:rFonts w:hint="eastAsia" w:cs="仿宋_GB2312"/>
          <w:b/>
          <w:bCs/>
          <w:i w:val="0"/>
          <w:iCs w:val="0"/>
          <w:color w:val="auto"/>
          <w:szCs w:val="24"/>
          <w:highlight w:val="none"/>
        </w:rPr>
        <w:t>：</w:t>
      </w:r>
    </w:p>
    <w:p w14:paraId="31DE4B23">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1.资格证明文件；</w:t>
      </w:r>
    </w:p>
    <w:p w14:paraId="7E086E9D">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2.报价文件；</w:t>
      </w:r>
    </w:p>
    <w:p w14:paraId="7C008F28">
      <w:pPr>
        <w:numPr>
          <w:ilvl w:val="0"/>
          <w:numId w:val="0"/>
        </w:numPr>
        <w:spacing w:line="324" w:lineRule="auto"/>
        <w:ind w:firstLine="480" w:firstLineChars="200"/>
        <w:jc w:val="both"/>
        <w:rPr>
          <w:rFonts w:cs="Arial"/>
          <w:i w:val="0"/>
          <w:iCs w:val="0"/>
          <w:color w:val="auto"/>
          <w:szCs w:val="24"/>
          <w:highlight w:val="none"/>
        </w:rPr>
      </w:pPr>
      <w:r>
        <w:rPr>
          <w:rFonts w:hint="eastAsia" w:cs="Arial"/>
          <w:i w:val="0"/>
          <w:iCs w:val="0"/>
          <w:color w:val="auto"/>
          <w:szCs w:val="24"/>
          <w:highlight w:val="none"/>
          <w:lang w:val="en-US" w:eastAsia="zh-CN"/>
        </w:rPr>
        <w:t>3.商务技术文件</w:t>
      </w:r>
      <w:r>
        <w:rPr>
          <w:rFonts w:cs="Arial"/>
          <w:i w:val="0"/>
          <w:iCs w:val="0"/>
          <w:color w:val="auto"/>
          <w:szCs w:val="24"/>
          <w:highlight w:val="none"/>
        </w:rPr>
        <w:t>。</w:t>
      </w:r>
    </w:p>
    <w:p w14:paraId="2038C573">
      <w:pPr>
        <w:spacing w:line="324" w:lineRule="auto"/>
        <w:ind w:firstLine="480" w:firstLineChars="200"/>
        <w:rPr>
          <w:rFonts w:cs="Arial"/>
          <w:i w:val="0"/>
          <w:iCs w:val="0"/>
          <w:color w:val="auto"/>
          <w:szCs w:val="24"/>
          <w:highlight w:val="none"/>
        </w:rPr>
      </w:pPr>
      <w:r>
        <w:rPr>
          <w:rFonts w:cs="Arial"/>
          <w:i w:val="0"/>
          <w:iCs w:val="0"/>
          <w:color w:val="auto"/>
          <w:szCs w:val="24"/>
          <w:highlight w:val="none"/>
        </w:rPr>
        <w:t>根据此函，签字代表宣布同意如下：</w:t>
      </w:r>
    </w:p>
    <w:p w14:paraId="7021F25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1.</w:t>
      </w:r>
      <w:r>
        <w:rPr>
          <w:rFonts w:cs="Arial"/>
          <w:i w:val="0"/>
          <w:iCs w:val="0"/>
          <w:color w:val="auto"/>
          <w:szCs w:val="24"/>
          <w:highlight w:val="none"/>
        </w:rPr>
        <w:t>所附</w:t>
      </w:r>
      <w:r>
        <w:rPr>
          <w:rFonts w:hint="eastAsia" w:cs="Arial"/>
          <w:i w:val="0"/>
          <w:iCs w:val="0"/>
          <w:color w:val="auto"/>
          <w:szCs w:val="24"/>
          <w:highlight w:val="none"/>
          <w:lang w:val="en-US" w:eastAsia="zh-CN"/>
        </w:rPr>
        <w:t>报价一览</w:t>
      </w:r>
      <w:r>
        <w:rPr>
          <w:rFonts w:cs="Arial"/>
          <w:i w:val="0"/>
          <w:iCs w:val="0"/>
          <w:color w:val="auto"/>
          <w:szCs w:val="24"/>
          <w:highlight w:val="none"/>
        </w:rPr>
        <w:t>表中规定的应提交和交付的服务和</w:t>
      </w:r>
      <w:r>
        <w:rPr>
          <w:rFonts w:hint="eastAsia"/>
          <w:i w:val="0"/>
          <w:iCs w:val="0"/>
          <w:color w:val="auto"/>
          <w:szCs w:val="24"/>
          <w:highlight w:val="none"/>
          <w:lang w:val="en-US" w:eastAsia="zh-CN"/>
        </w:rPr>
        <w:t>包含的</w:t>
      </w:r>
      <w:r>
        <w:rPr>
          <w:rFonts w:hint="eastAsia" w:cs="Arial"/>
          <w:i w:val="0"/>
          <w:iCs w:val="0"/>
          <w:color w:val="auto"/>
          <w:szCs w:val="24"/>
          <w:highlight w:val="none"/>
        </w:rPr>
        <w:t>货物（如有）</w:t>
      </w:r>
      <w:r>
        <w:rPr>
          <w:rFonts w:cs="Arial"/>
          <w:i w:val="0"/>
          <w:iCs w:val="0"/>
          <w:color w:val="auto"/>
          <w:szCs w:val="24"/>
          <w:highlight w:val="none"/>
        </w:rPr>
        <w:t>的</w:t>
      </w:r>
      <w:r>
        <w:rPr>
          <w:rFonts w:hint="eastAsia" w:cs="Arial"/>
          <w:i w:val="0"/>
          <w:iCs w:val="0"/>
          <w:color w:val="auto"/>
          <w:szCs w:val="24"/>
          <w:highlight w:val="none"/>
        </w:rPr>
        <w:t>报价</w:t>
      </w:r>
      <w:r>
        <w:rPr>
          <w:rFonts w:cs="Arial"/>
          <w:i w:val="0"/>
          <w:iCs w:val="0"/>
          <w:color w:val="auto"/>
          <w:szCs w:val="24"/>
          <w:highlight w:val="none"/>
        </w:rPr>
        <w:t>为</w:t>
      </w:r>
      <w:r>
        <w:rPr>
          <w:rFonts w:hint="eastAsia" w:cs="Arial"/>
          <w:i w:val="0"/>
          <w:iCs w:val="0"/>
          <w:color w:val="auto"/>
          <w:szCs w:val="24"/>
          <w:highlight w:val="none"/>
        </w:rPr>
        <w:t xml:space="preserve"> </w:t>
      </w:r>
      <w:r>
        <w:rPr>
          <w:rFonts w:hint="eastAsia" w:cs="Arial"/>
          <w:i w:val="0"/>
          <w:iCs w:val="0"/>
          <w:color w:val="auto"/>
          <w:szCs w:val="24"/>
          <w:highlight w:val="none"/>
          <w:u w:val="single"/>
        </w:rPr>
        <w:t xml:space="preserve">                  </w:t>
      </w:r>
      <w:r>
        <w:rPr>
          <w:rFonts w:cs="Arial"/>
          <w:i w:val="0"/>
          <w:iCs w:val="0"/>
          <w:color w:val="auto"/>
          <w:szCs w:val="24"/>
          <w:highlight w:val="none"/>
        </w:rPr>
        <w:t>。</w:t>
      </w:r>
    </w:p>
    <w:p w14:paraId="3FF1B405">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2.</w:t>
      </w:r>
      <w:r>
        <w:rPr>
          <w:rFonts w:hint="eastAsia" w:cs="Arial"/>
          <w:i w:val="0"/>
          <w:iCs w:val="0"/>
          <w:color w:val="auto"/>
          <w:szCs w:val="24"/>
          <w:highlight w:val="none"/>
        </w:rPr>
        <w:t>我方</w:t>
      </w:r>
      <w:r>
        <w:rPr>
          <w:rFonts w:cs="Arial"/>
          <w:i w:val="0"/>
          <w:iCs w:val="0"/>
          <w:color w:val="auto"/>
          <w:szCs w:val="24"/>
          <w:highlight w:val="none"/>
        </w:rPr>
        <w:t>将按</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3.</w:t>
      </w:r>
      <w:r>
        <w:rPr>
          <w:rFonts w:hint="eastAsia" w:cs="Arial"/>
          <w:i w:val="0"/>
          <w:iCs w:val="0"/>
          <w:color w:val="auto"/>
          <w:szCs w:val="24"/>
          <w:highlight w:val="none"/>
        </w:rPr>
        <w:t>我方</w:t>
      </w:r>
      <w:r>
        <w:rPr>
          <w:rFonts w:cs="Arial"/>
          <w:i w:val="0"/>
          <w:iCs w:val="0"/>
          <w:color w:val="auto"/>
          <w:szCs w:val="24"/>
          <w:highlight w:val="none"/>
        </w:rPr>
        <w:t>已详细审查全部</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文件，包括第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响应有效期为自提交响应文件的截止之日起</w:t>
      </w:r>
      <w:r>
        <w:rPr>
          <w:rFonts w:hint="eastAsia" w:cs="Arial"/>
          <w:i w:val="0"/>
          <w:iCs w:val="0"/>
          <w:color w:val="auto"/>
          <w:szCs w:val="24"/>
          <w:highlight w:val="none"/>
          <w:u w:val="single"/>
        </w:rPr>
        <w:t xml:space="preserve"> （由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竞争性磋商</w:t>
      </w:r>
      <w:r>
        <w:rPr>
          <w:rFonts w:hint="eastAsia" w:cs="Arial"/>
          <w:i w:val="0"/>
          <w:iCs w:val="0"/>
          <w:color w:val="auto"/>
          <w:szCs w:val="24"/>
          <w:highlight w:val="none"/>
        </w:rPr>
        <w:t>文件</w:t>
      </w:r>
      <w:r>
        <w:rPr>
          <w:rFonts w:cs="Arial"/>
          <w:i w:val="0"/>
          <w:iCs w:val="0"/>
          <w:color w:val="auto"/>
          <w:szCs w:val="24"/>
          <w:highlight w:val="none"/>
        </w:rPr>
        <w:t>要求的与其</w:t>
      </w:r>
      <w:r>
        <w:rPr>
          <w:rFonts w:hint="eastAsia" w:cs="Arial"/>
          <w:i w:val="0"/>
          <w:iCs w:val="0"/>
          <w:color w:val="auto"/>
          <w:szCs w:val="24"/>
          <w:highlight w:val="none"/>
          <w:lang w:val="en-US" w:eastAsia="zh-CN"/>
        </w:rPr>
        <w:t>磋商响应</w:t>
      </w:r>
      <w:r>
        <w:rPr>
          <w:rFonts w:cs="Arial"/>
          <w:i w:val="0"/>
          <w:iCs w:val="0"/>
          <w:color w:val="auto"/>
          <w:szCs w:val="24"/>
          <w:highlight w:val="none"/>
        </w:rPr>
        <w:t>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w:t>
      </w:r>
      <w:r>
        <w:rPr>
          <w:rFonts w:hint="eastAsia" w:cs="Arial"/>
          <w:i w:val="0"/>
          <w:iCs w:val="0"/>
          <w:color w:val="auto"/>
          <w:szCs w:val="24"/>
          <w:highlight w:val="none"/>
          <w:lang w:val="en-US" w:eastAsia="zh-CN"/>
        </w:rPr>
        <w:t>响应</w:t>
      </w:r>
      <w:r>
        <w:rPr>
          <w:rFonts w:cs="Arial"/>
          <w:i w:val="0"/>
          <w:iCs w:val="0"/>
          <w:color w:val="auto"/>
          <w:szCs w:val="24"/>
          <w:highlight w:val="none"/>
        </w:rPr>
        <w:t>。</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w:t>
      </w:r>
      <w:r>
        <w:rPr>
          <w:rFonts w:hint="eastAsia" w:cs="Arial"/>
          <w:i w:val="0"/>
          <w:iCs w:val="0"/>
          <w:color w:val="auto"/>
          <w:szCs w:val="24"/>
          <w:highlight w:val="none"/>
          <w:lang w:val="en-US" w:eastAsia="zh-CN"/>
        </w:rPr>
        <w:t>成交</w:t>
      </w:r>
      <w:r>
        <w:rPr>
          <w:rFonts w:hint="eastAsia" w:cs="Arial"/>
          <w:i w:val="0"/>
          <w:iCs w:val="0"/>
          <w:color w:val="auto"/>
          <w:szCs w:val="24"/>
          <w:highlight w:val="none"/>
        </w:rPr>
        <w:t>人支付采购代理服务费，我方同意按</w:t>
      </w:r>
      <w:r>
        <w:rPr>
          <w:rFonts w:hint="eastAsia" w:cs="Arial"/>
          <w:i w:val="0"/>
          <w:iCs w:val="0"/>
          <w:color w:val="auto"/>
          <w:szCs w:val="24"/>
          <w:highlight w:val="none"/>
          <w:lang w:val="en-US" w:eastAsia="zh-CN"/>
        </w:rPr>
        <w:t>供应商</w:t>
      </w:r>
      <w:r>
        <w:rPr>
          <w:rFonts w:hint="eastAsia" w:cs="Arial"/>
          <w:i w:val="0"/>
          <w:iCs w:val="0"/>
          <w:color w:val="auto"/>
          <w:szCs w:val="24"/>
          <w:highlight w:val="none"/>
        </w:rPr>
        <w:t>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无；□有，具体单位名称为：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无；□有，已提供的具体服务内容为：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4FC84088">
      <w:pPr>
        <w:spacing w:line="324" w:lineRule="auto"/>
        <w:ind w:firstLine="480" w:firstLineChars="200"/>
        <w:rPr>
          <w:i w:val="0"/>
          <w:iCs w:val="0"/>
          <w:color w:val="auto"/>
          <w:szCs w:val="24"/>
          <w:highlight w:val="none"/>
        </w:rPr>
      </w:pPr>
      <w:r>
        <w:rPr>
          <w:rFonts w:hint="eastAsia"/>
          <w:i w:val="0"/>
          <w:iCs w:val="0"/>
          <w:color w:val="auto"/>
          <w:szCs w:val="24"/>
          <w:highlight w:val="none"/>
        </w:rPr>
        <w:t>（备注：以上</w:t>
      </w:r>
      <w:r>
        <w:rPr>
          <w:i w:val="0"/>
          <w:iCs w:val="0"/>
          <w:color w:val="auto"/>
          <w:szCs w:val="24"/>
          <w:highlight w:val="none"/>
        </w:rPr>
        <w:t>3</w:t>
      </w:r>
      <w:r>
        <w:rPr>
          <w:rFonts w:hint="eastAsia"/>
          <w:i w:val="0"/>
          <w:iCs w:val="0"/>
          <w:color w:val="auto"/>
          <w:szCs w:val="24"/>
          <w:highlight w:val="none"/>
        </w:rPr>
        <w:t>项声明，必须如实选择，选中项用</w:t>
      </w:r>
      <w:r>
        <w:rPr>
          <w:rFonts w:hint="eastAsia"/>
          <w:i w:val="0"/>
          <w:iCs w:val="0"/>
          <w:color w:val="auto"/>
          <w:szCs w:val="24"/>
          <w:highlight w:val="none"/>
          <w:lang w:eastAsia="zh-CN"/>
        </w:rPr>
        <w:t>☑</w:t>
      </w:r>
      <w:r>
        <w:rPr>
          <w:rFonts w:hint="eastAsia"/>
          <w:i w:val="0"/>
          <w:iCs w:val="0"/>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4）我方在本</w:t>
      </w:r>
      <w:r>
        <w:rPr>
          <w:rFonts w:hint="eastAsia"/>
          <w:i w:val="0"/>
          <w:iCs w:val="0"/>
          <w:color w:val="auto"/>
          <w:szCs w:val="24"/>
          <w:highlight w:val="none"/>
          <w:lang w:val="en-US" w:eastAsia="zh-CN"/>
        </w:rPr>
        <w:t>响应</w:t>
      </w:r>
      <w:r>
        <w:rPr>
          <w:rFonts w:hint="eastAsia"/>
          <w:i w:val="0"/>
          <w:iCs w:val="0"/>
          <w:color w:val="auto"/>
          <w:szCs w:val="24"/>
          <w:highlight w:val="none"/>
        </w:rPr>
        <w:t>文件中所提供的全部资料均真实有效，我方承诺对其真实性负责并承担相应后果。</w:t>
      </w:r>
    </w:p>
    <w:p w14:paraId="5FB2607B">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5）我方承诺本《</w:t>
      </w:r>
      <w:r>
        <w:rPr>
          <w:rFonts w:hint="eastAsia"/>
          <w:i w:val="0"/>
          <w:iCs w:val="0"/>
          <w:color w:val="auto"/>
          <w:szCs w:val="24"/>
          <w:highlight w:val="none"/>
          <w:lang w:val="en-US" w:eastAsia="zh-CN"/>
        </w:rPr>
        <w:t>响应</w:t>
      </w:r>
      <w:r>
        <w:rPr>
          <w:rFonts w:hint="eastAsia"/>
          <w:i w:val="0"/>
          <w:iCs w:val="0"/>
          <w:color w:val="auto"/>
          <w:szCs w:val="24"/>
          <w:highlight w:val="none"/>
        </w:rPr>
        <w:t>函》的签章对本</w:t>
      </w:r>
      <w:r>
        <w:rPr>
          <w:rFonts w:hint="eastAsia"/>
          <w:i w:val="0"/>
          <w:iCs w:val="0"/>
          <w:color w:val="auto"/>
          <w:szCs w:val="24"/>
          <w:highlight w:val="none"/>
          <w:lang w:val="en-US" w:eastAsia="zh-CN"/>
        </w:rPr>
        <w:t>响应</w:t>
      </w:r>
      <w:r>
        <w:rPr>
          <w:rFonts w:hint="eastAsia"/>
          <w:i w:val="0"/>
          <w:iCs w:val="0"/>
          <w:color w:val="auto"/>
          <w:szCs w:val="24"/>
          <w:highlight w:val="none"/>
        </w:rPr>
        <w:t>文件全部内容具有约束力并承担法律责任。</w:t>
      </w:r>
    </w:p>
    <w:p w14:paraId="2A195747">
      <w:pPr>
        <w:spacing w:line="300" w:lineRule="auto"/>
        <w:rPr>
          <w:rFonts w:cs="Arial"/>
          <w:i w:val="0"/>
          <w:iCs w:val="0"/>
          <w:color w:val="auto"/>
          <w:szCs w:val="24"/>
          <w:highlight w:val="none"/>
        </w:rPr>
      </w:pPr>
    </w:p>
    <w:p w14:paraId="3F664789">
      <w:pPr>
        <w:spacing w:line="300" w:lineRule="auto"/>
        <w:rPr>
          <w:rFonts w:cs="Arial"/>
          <w:i w:val="0"/>
          <w:iCs w:val="0"/>
          <w:color w:val="auto"/>
          <w:szCs w:val="24"/>
          <w:highlight w:val="none"/>
        </w:rPr>
      </w:pPr>
    </w:p>
    <w:p w14:paraId="6C365FF0">
      <w:pPr>
        <w:spacing w:line="300" w:lineRule="auto"/>
        <w:rPr>
          <w:rFonts w:cs="Arial"/>
          <w:i w:val="0"/>
          <w:iCs w:val="0"/>
          <w:color w:val="auto"/>
          <w:szCs w:val="24"/>
          <w:highlight w:val="none"/>
        </w:rPr>
      </w:pPr>
    </w:p>
    <w:p w14:paraId="42CE30DE">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lang w:val="en-US" w:eastAsia="zh-CN"/>
        </w:rPr>
        <w:t>供应商名称</w:t>
      </w:r>
      <w:r>
        <w:rPr>
          <w:rFonts w:hint="eastAsia" w:cs="宋体"/>
          <w:i w:val="0"/>
          <w:iCs w:val="0"/>
          <w:color w:val="auto"/>
          <w:highlight w:val="none"/>
        </w:rPr>
        <w:t>（公章）：</w:t>
      </w:r>
    </w:p>
    <w:p w14:paraId="1ADA86FC">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通  讯  地  址：</w:t>
      </w:r>
    </w:p>
    <w:p w14:paraId="336D3074">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 xml:space="preserve">传       </w:t>
      </w:r>
      <w:r>
        <w:rPr>
          <w:rFonts w:cs="宋体"/>
          <w:i w:val="0"/>
          <w:iCs w:val="0"/>
          <w:color w:val="auto"/>
          <w:highlight w:val="none"/>
        </w:rPr>
        <w:t xml:space="preserve">   </w:t>
      </w:r>
      <w:r>
        <w:rPr>
          <w:rFonts w:hint="eastAsia" w:cs="宋体"/>
          <w:i w:val="0"/>
          <w:iCs w:val="0"/>
          <w:color w:val="auto"/>
          <w:highlight w:val="none"/>
        </w:rPr>
        <w:t>真：</w:t>
      </w:r>
    </w:p>
    <w:p w14:paraId="3362611B">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电          话：</w:t>
      </w:r>
    </w:p>
    <w:p w14:paraId="0CD23DFA">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 xml:space="preserve">授 </w:t>
      </w:r>
      <w:r>
        <w:rPr>
          <w:rFonts w:cs="宋体"/>
          <w:i w:val="0"/>
          <w:iCs w:val="0"/>
          <w:color w:val="auto"/>
          <w:highlight w:val="none"/>
        </w:rPr>
        <w:t xml:space="preserve"> </w:t>
      </w:r>
      <w:r>
        <w:rPr>
          <w:rFonts w:hint="eastAsia" w:cs="宋体"/>
          <w:i w:val="0"/>
          <w:iCs w:val="0"/>
          <w:color w:val="auto"/>
          <w:highlight w:val="none"/>
        </w:rPr>
        <w:t xml:space="preserve">权 </w:t>
      </w:r>
      <w:r>
        <w:rPr>
          <w:rFonts w:cs="宋体"/>
          <w:i w:val="0"/>
          <w:iCs w:val="0"/>
          <w:color w:val="auto"/>
          <w:highlight w:val="none"/>
        </w:rPr>
        <w:t xml:space="preserve"> </w:t>
      </w:r>
      <w:r>
        <w:rPr>
          <w:rFonts w:hint="eastAsia" w:cs="宋体"/>
          <w:i w:val="0"/>
          <w:iCs w:val="0"/>
          <w:color w:val="auto"/>
          <w:highlight w:val="none"/>
        </w:rPr>
        <w:t xml:space="preserve">代 </w:t>
      </w:r>
      <w:r>
        <w:rPr>
          <w:rFonts w:cs="宋体"/>
          <w:i w:val="0"/>
          <w:iCs w:val="0"/>
          <w:color w:val="auto"/>
          <w:highlight w:val="none"/>
        </w:rPr>
        <w:t xml:space="preserve"> </w:t>
      </w:r>
      <w:r>
        <w:rPr>
          <w:rFonts w:hint="eastAsia" w:cs="宋体"/>
          <w:i w:val="0"/>
          <w:iCs w:val="0"/>
          <w:color w:val="auto"/>
          <w:highlight w:val="none"/>
        </w:rPr>
        <w:t>表：</w:t>
      </w:r>
    </w:p>
    <w:p w14:paraId="63C92097">
      <w:pPr>
        <w:ind w:firstLine="480" w:firstLineChars="200"/>
        <w:rPr>
          <w:rFonts w:cs="Arial"/>
          <w:i w:val="0"/>
          <w:iCs w:val="0"/>
          <w:color w:val="auto"/>
          <w:szCs w:val="24"/>
          <w:highlight w:val="none"/>
        </w:rPr>
      </w:pPr>
      <w:r>
        <w:rPr>
          <w:rFonts w:hint="eastAsia" w:cs="宋体"/>
          <w:i w:val="0"/>
          <w:iCs w:val="0"/>
          <w:color w:val="auto"/>
          <w:highlight w:val="none"/>
        </w:rPr>
        <w:t xml:space="preserve">日    </w:t>
      </w:r>
      <w:r>
        <w:rPr>
          <w:rFonts w:cs="宋体"/>
          <w:i w:val="0"/>
          <w:iCs w:val="0"/>
          <w:color w:val="auto"/>
          <w:highlight w:val="none"/>
        </w:rPr>
        <w:t xml:space="preserve">  </w:t>
      </w:r>
      <w:r>
        <w:rPr>
          <w:rFonts w:hint="eastAsia" w:cs="宋体"/>
          <w:i w:val="0"/>
          <w:iCs w:val="0"/>
          <w:color w:val="auto"/>
          <w:highlight w:val="none"/>
        </w:rPr>
        <w:t xml:space="preserve">    期：</w:t>
      </w:r>
    </w:p>
    <w:p w14:paraId="6674502E">
      <w:pPr>
        <w:rPr>
          <w:rFonts w:cs="Arial"/>
          <w:i w:val="0"/>
          <w:iCs w:val="0"/>
          <w:color w:val="auto"/>
          <w:szCs w:val="24"/>
          <w:highlight w:val="none"/>
          <w:u w:val="single"/>
        </w:rPr>
      </w:pPr>
    </w:p>
    <w:p w14:paraId="478BFBB8">
      <w:pPr>
        <w:rPr>
          <w:rFonts w:cs="Arial"/>
          <w:i w:val="0"/>
          <w:iCs w:val="0"/>
          <w:color w:val="auto"/>
          <w:szCs w:val="24"/>
          <w:highlight w:val="none"/>
          <w:u w:val="single"/>
        </w:rPr>
      </w:pPr>
      <w:r>
        <w:rPr>
          <w:rFonts w:cs="Arial"/>
          <w:i w:val="0"/>
          <w:iCs w:val="0"/>
          <w:color w:val="auto"/>
          <w:szCs w:val="24"/>
          <w:highlight w:val="none"/>
          <w:u w:val="single"/>
        </w:rPr>
        <w:br w:type="page"/>
      </w:r>
    </w:p>
    <w:p w14:paraId="24B4BD65">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2" w:name="_Toc2702"/>
      <w:bookmarkStart w:id="723" w:name="_Toc155185924"/>
      <w:r>
        <w:rPr>
          <w:rFonts w:hint="eastAsia" w:cstheme="majorBidi"/>
          <w:b/>
          <w:bCs/>
          <w:i w:val="0"/>
          <w:iCs w:val="0"/>
          <w:color w:val="auto"/>
          <w:kern w:val="2"/>
          <w:sz w:val="32"/>
          <w:szCs w:val="32"/>
          <w:highlight w:val="none"/>
          <w:lang w:val="en-US" w:eastAsia="zh-CN" w:bidi="ar-SA"/>
        </w:rPr>
        <w:t>十</w:t>
      </w:r>
      <w:r>
        <w:rPr>
          <w:rFonts w:hint="eastAsia" w:eastAsia="宋体" w:asciiTheme="majorHAnsi" w:hAnsiTheme="majorHAnsi" w:cstheme="majorBidi"/>
          <w:b/>
          <w:bCs/>
          <w:i w:val="0"/>
          <w:iCs w:val="0"/>
          <w:color w:val="auto"/>
          <w:kern w:val="2"/>
          <w:sz w:val="32"/>
          <w:szCs w:val="32"/>
          <w:highlight w:val="none"/>
          <w:lang w:val="en-US" w:eastAsia="zh-CN" w:bidi="ar-SA"/>
        </w:rPr>
        <w:t>、法定代表人（单位负责人）身份证明</w:t>
      </w:r>
      <w:bookmarkEnd w:id="722"/>
      <w:bookmarkEnd w:id="723"/>
    </w:p>
    <w:p w14:paraId="46CF1AA3">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兹证明， </w:t>
      </w:r>
    </w:p>
    <w:p w14:paraId="1D36B9E0">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系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lang w:val="en-US" w:eastAsia="zh-CN"/>
        </w:rPr>
        <w:t xml:space="preserve">（供应商名称）的法定代表人（单位负责人）。 </w:t>
      </w:r>
    </w:p>
    <w:p w14:paraId="3B002BC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i w:val="0"/>
          <w:iCs w:val="0"/>
          <w:color w:val="auto"/>
          <w:szCs w:val="24"/>
          <w:highlight w:val="none"/>
        </w:rPr>
      </w:pPr>
    </w:p>
    <w:p w14:paraId="473563CD">
      <w:pPr>
        <w:rPr>
          <w:rFonts w:cs="Arial"/>
          <w:i w:val="0"/>
          <w:iCs w:val="0"/>
          <w:color w:val="auto"/>
          <w:sz w:val="21"/>
          <w:szCs w:val="21"/>
          <w:highlight w:val="none"/>
        </w:rPr>
      </w:pP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i w:val="0"/>
                <w:iCs w:val="0"/>
                <w:color w:val="auto"/>
                <w:highlight w:val="none"/>
              </w:rPr>
            </w:pPr>
          </w:p>
        </w:tc>
      </w:tr>
    </w:tbl>
    <w:p w14:paraId="76B5C725">
      <w:pPr>
        <w:ind w:firstLine="840" w:firstLineChars="350"/>
        <w:jc w:val="center"/>
        <w:rPr>
          <w:rFonts w:cs="Arial"/>
          <w:i w:val="0"/>
          <w:iCs w:val="0"/>
          <w:color w:val="auto"/>
          <w:highlight w:val="none"/>
        </w:rPr>
      </w:pPr>
    </w:p>
    <w:p w14:paraId="4AD74708">
      <w:pPr>
        <w:keepNext w:val="0"/>
        <w:keepLines w:val="0"/>
        <w:widowControl/>
        <w:suppressLineNumbers w:val="0"/>
        <w:jc w:val="left"/>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 xml:space="preserve">________________ </w:t>
      </w:r>
    </w:p>
    <w:p w14:paraId="364A1245">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i w:val="0"/>
          <w:iCs w:val="0"/>
          <w:color w:val="auto"/>
          <w:kern w:val="0"/>
          <w:sz w:val="24"/>
          <w:szCs w:val="24"/>
          <w:highlight w:val="none"/>
          <w:lang w:val="en-US" w:eastAsia="zh-CN" w:bidi="ar"/>
        </w:rPr>
      </w:pPr>
    </w:p>
    <w:p w14:paraId="7239FE13">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日</w:t>
      </w:r>
    </w:p>
    <w:p w14:paraId="6948CD78">
      <w:pPr>
        <w:rPr>
          <w:b/>
          <w:i w:val="0"/>
          <w:iCs w:val="0"/>
          <w:color w:val="auto"/>
          <w:sz w:val="28"/>
          <w:szCs w:val="28"/>
          <w:highlight w:val="none"/>
        </w:rPr>
      </w:pPr>
    </w:p>
    <w:p w14:paraId="04FDD702">
      <w:pPr>
        <w:rPr>
          <w:b/>
          <w:i w:val="0"/>
          <w:iCs w:val="0"/>
          <w:color w:val="auto"/>
          <w:sz w:val="28"/>
          <w:szCs w:val="28"/>
          <w:highlight w:val="none"/>
        </w:rPr>
      </w:pPr>
      <w:r>
        <w:rPr>
          <w:b/>
          <w:i w:val="0"/>
          <w:iCs w:val="0"/>
          <w:color w:val="auto"/>
          <w:sz w:val="28"/>
          <w:szCs w:val="28"/>
          <w:highlight w:val="none"/>
        </w:rPr>
        <w:br w:type="page"/>
      </w:r>
    </w:p>
    <w:p w14:paraId="0EEE8A23">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4" w:name="_Toc18159"/>
      <w:bookmarkStart w:id="725" w:name="_Toc155185925"/>
      <w:r>
        <w:rPr>
          <w:rFonts w:hint="eastAsia" w:cstheme="majorBidi"/>
          <w:b/>
          <w:bCs/>
          <w:i w:val="0"/>
          <w:iCs w:val="0"/>
          <w:color w:val="auto"/>
          <w:kern w:val="2"/>
          <w:sz w:val="32"/>
          <w:szCs w:val="32"/>
          <w:highlight w:val="none"/>
          <w:lang w:val="en-US" w:eastAsia="zh-CN" w:bidi="ar-SA"/>
        </w:rPr>
        <w:t>十一</w:t>
      </w:r>
      <w:r>
        <w:rPr>
          <w:rFonts w:hint="eastAsia" w:eastAsia="宋体" w:asciiTheme="majorHAnsi" w:hAnsiTheme="majorHAnsi" w:cstheme="majorBidi"/>
          <w:b/>
          <w:bCs/>
          <w:i w:val="0"/>
          <w:iCs w:val="0"/>
          <w:color w:val="auto"/>
          <w:kern w:val="2"/>
          <w:sz w:val="32"/>
          <w:szCs w:val="32"/>
          <w:highlight w:val="none"/>
          <w:lang w:val="en-US" w:eastAsia="zh-CN" w:bidi="ar-SA"/>
        </w:rPr>
        <w:t>、授权委托书</w:t>
      </w:r>
      <w:bookmarkEnd w:id="724"/>
      <w:bookmarkEnd w:id="725"/>
    </w:p>
    <w:p w14:paraId="593F068D">
      <w:pPr>
        <w:ind w:firstLine="480" w:firstLineChars="200"/>
        <w:rPr>
          <w:rFonts w:cs="仿宋_GB2312"/>
          <w:i w:val="0"/>
          <w:iCs w:val="0"/>
          <w:color w:val="auto"/>
          <w:szCs w:val="24"/>
          <w:highlight w:val="none"/>
        </w:rPr>
      </w:pPr>
      <w:r>
        <w:rPr>
          <w:rFonts w:hint="eastAsia" w:cs="仿宋_GB2312"/>
          <w:i w:val="0"/>
          <w:iCs w:val="0"/>
          <w:color w:val="auto"/>
          <w:szCs w:val="24"/>
          <w:highlight w:val="none"/>
        </w:rPr>
        <w:t>本人</w:t>
      </w:r>
      <w:r>
        <w:rPr>
          <w:rFonts w:cs="仿宋_GB2312"/>
          <w:i w:val="0"/>
          <w:iCs w:val="0"/>
          <w:color w:val="auto"/>
          <w:szCs w:val="24"/>
          <w:highlight w:val="none"/>
          <w:u w:val="single"/>
        </w:rPr>
        <w:t xml:space="preserve">     </w:t>
      </w:r>
      <w:r>
        <w:rPr>
          <w:rFonts w:hint="eastAsia" w:cs="仿宋_GB2312"/>
          <w:i w:val="0"/>
          <w:iCs w:val="0"/>
          <w:color w:val="auto"/>
          <w:szCs w:val="24"/>
          <w:highlight w:val="none"/>
          <w:u w:val="none"/>
        </w:rPr>
        <w:t>（姓名）</w:t>
      </w:r>
      <w:r>
        <w:rPr>
          <w:rFonts w:hint="eastAsia" w:cs="仿宋_GB2312"/>
          <w:i w:val="0"/>
          <w:iCs w:val="0"/>
          <w:color w:val="auto"/>
          <w:szCs w:val="24"/>
          <w:highlight w:val="none"/>
        </w:rPr>
        <w:t>系</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none"/>
        </w:rPr>
        <w:t>（</w:t>
      </w:r>
      <w:r>
        <w:rPr>
          <w:rFonts w:hint="eastAsia" w:cs="仿宋_GB2312"/>
          <w:i w:val="0"/>
          <w:iCs w:val="0"/>
          <w:color w:val="auto"/>
          <w:szCs w:val="24"/>
          <w:highlight w:val="none"/>
          <w:u w:val="none"/>
          <w:lang w:val="en-US" w:eastAsia="zh-CN"/>
        </w:rPr>
        <w:t>供应商</w:t>
      </w:r>
      <w:r>
        <w:rPr>
          <w:rFonts w:hint="eastAsia" w:cs="仿宋_GB2312"/>
          <w:i w:val="0"/>
          <w:iCs w:val="0"/>
          <w:color w:val="auto"/>
          <w:szCs w:val="24"/>
          <w:highlight w:val="none"/>
          <w:u w:val="none"/>
        </w:rPr>
        <w:t>名称）</w:t>
      </w:r>
      <w:r>
        <w:rPr>
          <w:rFonts w:hint="eastAsia" w:cs="仿宋_GB2312"/>
          <w:i w:val="0"/>
          <w:iCs w:val="0"/>
          <w:color w:val="auto"/>
          <w:szCs w:val="24"/>
          <w:highlight w:val="none"/>
        </w:rPr>
        <w:t>的法定代表人</w:t>
      </w:r>
      <w:r>
        <w:rPr>
          <w:rFonts w:hint="eastAsia"/>
          <w:i w:val="0"/>
          <w:iCs w:val="0"/>
          <w:color w:val="auto"/>
          <w:highlight w:val="none"/>
        </w:rPr>
        <w:t>（</w:t>
      </w:r>
      <w:r>
        <w:rPr>
          <w:rFonts w:hint="eastAsia"/>
          <w:i w:val="0"/>
          <w:iCs w:val="0"/>
          <w:color w:val="auto"/>
          <w:highlight w:val="none"/>
          <w:lang w:val="en-US" w:eastAsia="zh-CN"/>
        </w:rPr>
        <w:t>单位</w:t>
      </w:r>
      <w:r>
        <w:rPr>
          <w:rFonts w:hint="eastAsia"/>
          <w:i w:val="0"/>
          <w:iCs w:val="0"/>
          <w:color w:val="auto"/>
          <w:highlight w:val="none"/>
        </w:rPr>
        <w:t>负责人）</w:t>
      </w:r>
      <w:r>
        <w:rPr>
          <w:rFonts w:hint="eastAsia" w:cs="仿宋_GB2312"/>
          <w:i w:val="0"/>
          <w:iCs w:val="0"/>
          <w:color w:val="auto"/>
          <w:szCs w:val="24"/>
          <w:highlight w:val="none"/>
        </w:rPr>
        <w:t>，现委托</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rPr>
        <w:t>（姓名）为我方代理人。代理人根据授权，以我方名义签署、澄清</w:t>
      </w:r>
      <w:r>
        <w:rPr>
          <w:rFonts w:hint="eastAsia" w:cs="仿宋_GB2312"/>
          <w:i w:val="0"/>
          <w:iCs w:val="0"/>
          <w:color w:val="auto"/>
          <w:szCs w:val="24"/>
          <w:highlight w:val="none"/>
          <w:lang w:val="en-US" w:eastAsia="zh-CN"/>
        </w:rPr>
        <w:t>确认</w:t>
      </w:r>
      <w:r>
        <w:rPr>
          <w:rFonts w:hint="eastAsia" w:cs="仿宋_GB2312"/>
          <w:i w:val="0"/>
          <w:iCs w:val="0"/>
          <w:color w:val="auto"/>
          <w:szCs w:val="24"/>
          <w:highlight w:val="none"/>
        </w:rPr>
        <w:t>、说明、补正、递交、撤回、修改</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rPr>
        <w:t>（项目名称）</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rPr>
        <w:t>文件、签订合同和处理有关事宜，其法律后果由我方承担。</w:t>
      </w:r>
    </w:p>
    <w:p w14:paraId="56B80D1C">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rPr>
        <w:t>委托期限：</w:t>
      </w:r>
      <w:r>
        <w:rPr>
          <w:rFonts w:hint="eastAsia" w:cs="仿宋_GB2312"/>
          <w:i w:val="0"/>
          <w:iCs w:val="0"/>
          <w:color w:val="auto"/>
          <w:szCs w:val="24"/>
          <w:highlight w:val="none"/>
          <w:lang w:val="en-US" w:eastAsia="zh-CN"/>
        </w:rPr>
        <w:t>自本授权委托书签署之日起至响应文件有效期届满之日止。</w:t>
      </w:r>
    </w:p>
    <w:p w14:paraId="0A605ABE">
      <w:pPr>
        <w:ind w:firstLine="480" w:firstLineChars="200"/>
        <w:rPr>
          <w:rFonts w:cs="仿宋_GB2312"/>
          <w:i w:val="0"/>
          <w:iCs w:val="0"/>
          <w:color w:val="auto"/>
          <w:szCs w:val="24"/>
          <w:highlight w:val="none"/>
        </w:rPr>
      </w:pPr>
      <w:r>
        <w:rPr>
          <w:rFonts w:hint="eastAsia" w:cs="仿宋_GB2312"/>
          <w:i w:val="0"/>
          <w:iCs w:val="0"/>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i w:val="0"/>
          <w:iCs w:val="0"/>
          <w:color w:val="auto"/>
          <w:highlight w:val="none"/>
          <w:u w:val="single"/>
          <w:lang w:val="en-US"/>
        </w:rPr>
      </w:pPr>
      <w:r>
        <w:rPr>
          <w:rFonts w:hint="eastAsia" w:ascii="宋体" w:hAnsi="宋体" w:eastAsia="宋体" w:cs="宋体"/>
          <w:i w:val="0"/>
          <w:iCs w:val="0"/>
          <w:color w:val="auto"/>
          <w:kern w:val="0"/>
          <w:sz w:val="24"/>
          <w:szCs w:val="24"/>
          <w:highlight w:val="none"/>
          <w:lang w:val="en-US" w:eastAsia="zh-CN" w:bidi="ar"/>
        </w:rPr>
        <w:t>委托代理人（签字或签章）：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________________ </w:t>
      </w:r>
      <w:r>
        <w:rPr>
          <w:rFonts w:hint="eastAsia" w:ascii="DejaVuSans" w:hAnsi="DejaVuSans" w:eastAsia="DejaVuSans" w:cs="DejaVuSans"/>
          <w:i w:val="0"/>
          <w:iCs w:val="0"/>
          <w:color w:val="auto"/>
          <w:kern w:val="0"/>
          <w:sz w:val="24"/>
          <w:szCs w:val="24"/>
          <w:highlight w:val="none"/>
          <w:lang w:val="en-US" w:eastAsia="zh-CN" w:bidi="ar"/>
        </w:rPr>
        <w:t xml:space="preserve">  联系电话：</w:t>
      </w:r>
      <w:r>
        <w:rPr>
          <w:rFonts w:hint="eastAsia" w:ascii="DejaVuSans" w:hAnsi="DejaVuSans" w:eastAsia="DejaVuSans" w:cs="DejaVuSans"/>
          <w:i w:val="0"/>
          <w:iCs w:val="0"/>
          <w:color w:val="auto"/>
          <w:kern w:val="0"/>
          <w:sz w:val="24"/>
          <w:szCs w:val="24"/>
          <w:highlight w:val="none"/>
          <w:u w:val="singl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附：法定代表人及委托代理人身份证明文件电子件：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i w:val="0"/>
                <w:iCs w:val="0"/>
                <w:color w:val="auto"/>
                <w:highlight w:val="none"/>
              </w:rPr>
            </w:pPr>
          </w:p>
        </w:tc>
      </w:tr>
    </w:tbl>
    <w:p w14:paraId="003FC2D7">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说明： </w:t>
      </w:r>
    </w:p>
    <w:p w14:paraId="6A6FAC65">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1.若供应商为事业单位或其他组织或分支机构，则法定代表人（单位负责人）处的签署人可为单位负责人。 </w:t>
      </w:r>
    </w:p>
    <w:p w14:paraId="7579C425">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2.</w:t>
      </w:r>
      <w:r>
        <w:rPr>
          <w:rFonts w:hint="eastAsia" w:cs="仿宋_GB2312"/>
          <w:i w:val="0"/>
          <w:iCs w:val="0"/>
          <w:color w:val="auto"/>
          <w:szCs w:val="24"/>
          <w:highlight w:val="none"/>
          <w:lang w:val="en-US" w:eastAsia="zh-CN"/>
        </w:rPr>
        <w:t xml:space="preserve">若响应文件中签字之处均为法定代表人（单位负责人）本人签署，则可不提供本《授权委托书》，但须提供《法定代表人（单位负责人）身份证明》。 </w:t>
      </w:r>
    </w:p>
    <w:p w14:paraId="7D81952A">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3.</w:t>
      </w:r>
      <w:r>
        <w:rPr>
          <w:rFonts w:hint="eastAsia" w:cs="仿宋_GB2312"/>
          <w:i w:val="0"/>
          <w:iCs w:val="0"/>
          <w:color w:val="auto"/>
          <w:szCs w:val="24"/>
          <w:highlight w:val="none"/>
          <w:lang w:val="en-US" w:eastAsia="zh-CN"/>
        </w:rPr>
        <w:t xml:space="preserve">供应商为自然人的情形，可不提供本《授权委托书》。 </w:t>
      </w:r>
    </w:p>
    <w:p w14:paraId="16E91B57">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4.</w:t>
      </w:r>
      <w:r>
        <w:rPr>
          <w:rFonts w:hint="eastAsia" w:cs="仿宋_GB2312"/>
          <w:i w:val="0"/>
          <w:iCs w:val="0"/>
          <w:color w:val="auto"/>
          <w:szCs w:val="24"/>
          <w:highlight w:val="none"/>
          <w:lang w:val="en-US" w:eastAsia="zh-CN"/>
        </w:rPr>
        <w:t>供应商应随本《授权委托书》同时提供法定代表人（单位负责人）及委托代理人的有效的身份证、护照等身份证明文件电子件。提供身份证的，应同时提供身份证</w:t>
      </w:r>
      <w:r>
        <w:rPr>
          <w:rFonts w:hint="eastAsia" w:cs="仿宋_GB2312"/>
          <w:b/>
          <w:bCs/>
          <w:i w:val="0"/>
          <w:iCs w:val="0"/>
          <w:color w:val="auto"/>
          <w:szCs w:val="24"/>
          <w:highlight w:val="none"/>
          <w:lang w:val="en-US" w:eastAsia="zh-CN"/>
        </w:rPr>
        <w:t>双面</w:t>
      </w:r>
      <w:r>
        <w:rPr>
          <w:rFonts w:hint="eastAsia" w:cs="仿宋_GB2312"/>
          <w:i w:val="0"/>
          <w:iCs w:val="0"/>
          <w:color w:val="auto"/>
          <w:szCs w:val="24"/>
          <w:highlight w:val="none"/>
          <w:lang w:val="en-US" w:eastAsia="zh-CN"/>
        </w:rPr>
        <w:t>电子件。</w:t>
      </w:r>
    </w:p>
    <w:p w14:paraId="0B2EBA16">
      <w:pPr>
        <w:rPr>
          <w:i w:val="0"/>
          <w:iCs w:val="0"/>
          <w:color w:val="auto"/>
          <w:highlight w:val="none"/>
        </w:rPr>
      </w:pPr>
      <w:r>
        <w:rPr>
          <w:i w:val="0"/>
          <w:iCs w:val="0"/>
          <w:color w:val="auto"/>
          <w:highlight w:val="none"/>
        </w:rPr>
        <w:br w:type="page"/>
      </w:r>
    </w:p>
    <w:p w14:paraId="63CF304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6" w:name="_Toc155185934"/>
      <w:bookmarkStart w:id="727" w:name="_Toc163492928"/>
      <w:bookmarkStart w:id="728" w:name="_Toc27582"/>
      <w:r>
        <w:rPr>
          <w:rFonts w:hint="eastAsia" w:cstheme="majorBidi"/>
          <w:b/>
          <w:bCs/>
          <w:i w:val="0"/>
          <w:iCs w:val="0"/>
          <w:color w:val="auto"/>
          <w:kern w:val="2"/>
          <w:sz w:val="32"/>
          <w:szCs w:val="32"/>
          <w:highlight w:val="none"/>
          <w:lang w:val="en-US" w:eastAsia="zh-CN" w:bidi="ar-SA"/>
        </w:rPr>
        <w:t>十二</w:t>
      </w:r>
      <w:r>
        <w:rPr>
          <w:rFonts w:hint="eastAsia" w:eastAsia="宋体" w:asciiTheme="majorHAnsi" w:hAnsiTheme="majorHAnsi" w:cstheme="majorBidi"/>
          <w:b/>
          <w:bCs/>
          <w:i w:val="0"/>
          <w:iCs w:val="0"/>
          <w:color w:val="auto"/>
          <w:kern w:val="2"/>
          <w:sz w:val="32"/>
          <w:szCs w:val="32"/>
          <w:highlight w:val="none"/>
          <w:lang w:val="en-US" w:eastAsia="zh-CN" w:bidi="ar-SA"/>
        </w:rPr>
        <w:t>、</w:t>
      </w:r>
      <w:bookmarkEnd w:id="726"/>
      <w:bookmarkEnd w:id="727"/>
      <w:r>
        <w:rPr>
          <w:rFonts w:hint="eastAsia" w:eastAsia="宋体" w:asciiTheme="majorHAnsi" w:hAnsiTheme="majorHAnsi" w:cstheme="majorBidi"/>
          <w:b/>
          <w:bCs/>
          <w:i w:val="0"/>
          <w:iCs w:val="0"/>
          <w:color w:val="auto"/>
          <w:kern w:val="2"/>
          <w:sz w:val="32"/>
          <w:szCs w:val="32"/>
          <w:highlight w:val="none"/>
          <w:lang w:val="zh-CN" w:eastAsia="zh-CN" w:bidi="ar-SA"/>
        </w:rPr>
        <w:t>政府采购供应商廉洁自律承诺书</w:t>
      </w:r>
      <w:bookmarkEnd w:id="728"/>
    </w:p>
    <w:p w14:paraId="1993A163">
      <w:pPr>
        <w:pStyle w:val="12"/>
        <w:rPr>
          <w:i w:val="0"/>
          <w:iCs w:val="0"/>
          <w:color w:val="auto"/>
          <w:highlight w:val="none"/>
        </w:rPr>
      </w:pPr>
    </w:p>
    <w:p w14:paraId="2CE177B4">
      <w:pPr>
        <w:snapToGrid w:val="0"/>
        <w:spacing w:line="360" w:lineRule="auto"/>
        <w:rPr>
          <w:rFonts w:ascii="宋体" w:hAnsi="宋体" w:cs="宋体"/>
          <w:i w:val="0"/>
          <w:iCs w:val="0"/>
          <w:color w:val="auto"/>
          <w:kern w:val="0"/>
          <w:sz w:val="24"/>
          <w:szCs w:val="24"/>
          <w:highlight w:val="none"/>
        </w:rPr>
      </w:pPr>
      <w:r>
        <w:rPr>
          <w:rFonts w:hint="eastAsia" w:ascii="宋体" w:hAnsi="宋体" w:cs="宋体"/>
          <w:i w:val="0"/>
          <w:iCs w:val="0"/>
          <w:color w:val="auto"/>
          <w:sz w:val="24"/>
          <w:szCs w:val="24"/>
          <w:highlight w:val="none"/>
        </w:rPr>
        <w:t>（采购人）、（采购代理机构）</w:t>
      </w:r>
      <w:r>
        <w:rPr>
          <w:rFonts w:hint="eastAsia" w:ascii="宋体" w:hAnsi="宋体" w:cs="宋体"/>
          <w:i w:val="0"/>
          <w:iCs w:val="0"/>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我单位响应你</w:t>
      </w:r>
      <w:r>
        <w:rPr>
          <w:rFonts w:hint="eastAsia" w:ascii="宋体" w:hAnsi="宋体" w:cs="宋体"/>
          <w:i w:val="0"/>
          <w:iCs w:val="0"/>
          <w:color w:val="auto"/>
          <w:sz w:val="24"/>
          <w:szCs w:val="24"/>
          <w:highlight w:val="none"/>
        </w:rPr>
        <w:t>单位</w:t>
      </w:r>
      <w:r>
        <w:rPr>
          <w:rFonts w:hint="eastAsia" w:ascii="宋体" w:hAnsi="宋体" w:cs="宋体"/>
          <w:i w:val="0"/>
          <w:iCs w:val="0"/>
          <w:color w:val="auto"/>
          <w:kern w:val="0"/>
          <w:sz w:val="24"/>
          <w:szCs w:val="24"/>
          <w:highlight w:val="none"/>
          <w:lang w:val="zh-CN"/>
        </w:rPr>
        <w:t>项目</w:t>
      </w:r>
      <w:r>
        <w:rPr>
          <w:rFonts w:hint="eastAsia" w:cs="宋体"/>
          <w:i w:val="0"/>
          <w:iCs w:val="0"/>
          <w:color w:val="auto"/>
          <w:kern w:val="0"/>
          <w:sz w:val="24"/>
          <w:szCs w:val="24"/>
          <w:highlight w:val="none"/>
          <w:lang w:val="en-US" w:eastAsia="zh-CN"/>
        </w:rPr>
        <w:t>竞争性磋商</w:t>
      </w:r>
      <w:r>
        <w:rPr>
          <w:rFonts w:hint="eastAsia" w:ascii="宋体" w:hAnsi="宋体" w:cs="宋体"/>
          <w:i w:val="0"/>
          <w:iCs w:val="0"/>
          <w:color w:val="auto"/>
          <w:kern w:val="0"/>
          <w:sz w:val="24"/>
          <w:szCs w:val="24"/>
          <w:highlight w:val="none"/>
          <w:lang w:val="zh-CN"/>
        </w:rPr>
        <w:t>要求参加</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。在这次</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过程中和</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如违反上述承诺，你单位有权立即取消我单位</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或在建项目的建设资格，有权拒绝我单位在一定时期内进入你单位进行项目建设或其他经营活动，并通报财政局。由此引起的相应损失均由我单位承担。</w:t>
      </w:r>
    </w:p>
    <w:p w14:paraId="5E22ECB4">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914ACDE">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2E01AF0">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i w:val="0"/>
          <w:iCs w:val="0"/>
          <w:color w:val="auto"/>
          <w:kern w:val="0"/>
          <w:sz w:val="24"/>
          <w:szCs w:val="24"/>
          <w:highlight w:val="none"/>
          <w:lang w:val="zh-CN"/>
        </w:rPr>
      </w:pPr>
      <w:r>
        <w:rPr>
          <w:rFonts w:hint="eastAsia" w:cs="宋体"/>
          <w:i w:val="0"/>
          <w:iCs w:val="0"/>
          <w:color w:val="auto"/>
          <w:kern w:val="0"/>
          <w:sz w:val="24"/>
          <w:szCs w:val="24"/>
          <w:highlight w:val="none"/>
          <w:lang w:val="en-US" w:eastAsia="zh-CN"/>
        </w:rPr>
        <w:t>供应商</w:t>
      </w:r>
      <w:r>
        <w:rPr>
          <w:rFonts w:hint="eastAsia" w:ascii="宋体" w:hAnsi="宋体" w:cs="宋体"/>
          <w:i w:val="0"/>
          <w:iCs w:val="0"/>
          <w:color w:val="auto"/>
          <w:kern w:val="0"/>
          <w:sz w:val="24"/>
          <w:szCs w:val="24"/>
          <w:highlight w:val="none"/>
          <w:lang w:val="zh-CN"/>
        </w:rPr>
        <w:t>名称（</w:t>
      </w:r>
      <w:r>
        <w:rPr>
          <w:rFonts w:hint="eastAsia" w:cs="宋体"/>
          <w:i w:val="0"/>
          <w:iCs w:val="0"/>
          <w:color w:val="auto"/>
          <w:sz w:val="24"/>
          <w:szCs w:val="24"/>
          <w:highlight w:val="none"/>
          <w:lang w:eastAsia="zh-CN"/>
        </w:rPr>
        <w:t>公章</w:t>
      </w:r>
      <w:r>
        <w:rPr>
          <w:rFonts w:hint="eastAsia" w:ascii="宋体" w:hAnsi="宋体" w:cs="宋体"/>
          <w:i w:val="0"/>
          <w:iCs w:val="0"/>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i w:val="0"/>
          <w:iCs w:val="0"/>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lang w:val="zh-CN"/>
        </w:rPr>
        <w:t>日期</w:t>
      </w:r>
      <w:r>
        <w:rPr>
          <w:rFonts w:hint="eastAsia" w:ascii="宋体" w:hAnsi="宋体" w:cs="宋体"/>
          <w:i w:val="0"/>
          <w:iCs w:val="0"/>
          <w:color w:val="auto"/>
          <w:kern w:val="0"/>
          <w:sz w:val="24"/>
          <w:szCs w:val="24"/>
          <w:highlight w:val="none"/>
        </w:rPr>
        <w:t>：</w:t>
      </w:r>
      <w:r>
        <w:rPr>
          <w:rFonts w:hint="eastAsia" w:ascii="宋体" w:hAnsi="宋体" w:cs="宋体"/>
          <w:i w:val="0"/>
          <w:iCs w:val="0"/>
          <w:color w:val="auto"/>
          <w:kern w:val="0"/>
          <w:sz w:val="24"/>
          <w:szCs w:val="24"/>
          <w:highlight w:val="none"/>
          <w:lang w:val="zh-CN"/>
        </w:rPr>
        <w:t xml:space="preserve">   年   月   日</w:t>
      </w:r>
    </w:p>
    <w:p w14:paraId="5AA40BF9">
      <w:pPr>
        <w:rPr>
          <w:rFonts w:hint="eastAsia" w:eastAsia="宋体" w:asciiTheme="majorHAnsi" w:hAnsiTheme="majorHAnsi" w:cstheme="majorBidi"/>
          <w:b/>
          <w:bCs/>
          <w:i w:val="0"/>
          <w:iCs w:val="0"/>
          <w:color w:val="auto"/>
          <w:kern w:val="2"/>
          <w:sz w:val="24"/>
          <w:szCs w:val="24"/>
          <w:highlight w:val="none"/>
          <w:lang w:val="en-US" w:eastAsia="zh-CN" w:bidi="ar-SA"/>
        </w:rPr>
      </w:pPr>
    </w:p>
    <w:p w14:paraId="2917743B">
      <w:pPr>
        <w:pStyle w:val="12"/>
        <w:rPr>
          <w:rFonts w:hint="eastAsia" w:eastAsia="宋体" w:asciiTheme="majorHAnsi" w:hAnsiTheme="majorHAnsi" w:cstheme="majorBidi"/>
          <w:b/>
          <w:bCs/>
          <w:i w:val="0"/>
          <w:iCs w:val="0"/>
          <w:color w:val="auto"/>
          <w:kern w:val="2"/>
          <w:sz w:val="24"/>
          <w:szCs w:val="24"/>
          <w:highlight w:val="none"/>
          <w:lang w:val="en-US" w:eastAsia="zh-CN" w:bidi="ar-SA"/>
        </w:rPr>
      </w:pPr>
    </w:p>
    <w:p w14:paraId="2CC927CA">
      <w:pPr>
        <w:pStyle w:val="12"/>
        <w:rPr>
          <w:rFonts w:hint="eastAsia" w:eastAsia="宋体" w:asciiTheme="majorHAnsi" w:hAnsiTheme="majorHAnsi" w:cstheme="majorBidi"/>
          <w:b/>
          <w:bCs/>
          <w:i w:val="0"/>
          <w:iCs w:val="0"/>
          <w:color w:val="auto"/>
          <w:kern w:val="2"/>
          <w:sz w:val="24"/>
          <w:szCs w:val="24"/>
          <w:highlight w:val="none"/>
          <w:lang w:val="en-US" w:eastAsia="zh-CN" w:bidi="ar-SA"/>
        </w:rPr>
      </w:pPr>
    </w:p>
    <w:p w14:paraId="59BFE13A">
      <w:pPr>
        <w:pStyle w:val="12"/>
        <w:rPr>
          <w:rFonts w:hint="eastAsia" w:eastAsia="宋体" w:asciiTheme="majorHAnsi" w:hAnsiTheme="majorHAnsi" w:cstheme="majorBidi"/>
          <w:b/>
          <w:bCs/>
          <w:i w:val="0"/>
          <w:iCs w:val="0"/>
          <w:color w:val="auto"/>
          <w:kern w:val="2"/>
          <w:sz w:val="24"/>
          <w:szCs w:val="24"/>
          <w:highlight w:val="none"/>
          <w:lang w:val="en-US" w:eastAsia="zh-CN" w:bidi="ar-SA"/>
        </w:rPr>
      </w:pPr>
    </w:p>
    <w:p w14:paraId="287724F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9" w:name="_Toc14814"/>
      <w:r>
        <w:rPr>
          <w:rFonts w:hint="eastAsia" w:cstheme="majorBidi"/>
          <w:b/>
          <w:bCs/>
          <w:i w:val="0"/>
          <w:iCs w:val="0"/>
          <w:color w:val="auto"/>
          <w:kern w:val="2"/>
          <w:sz w:val="32"/>
          <w:szCs w:val="32"/>
          <w:highlight w:val="none"/>
          <w:lang w:val="en-US" w:eastAsia="zh-CN" w:bidi="ar-SA"/>
        </w:rPr>
        <w:t>十三</w:t>
      </w:r>
      <w:r>
        <w:rPr>
          <w:rFonts w:hint="eastAsia" w:eastAsia="宋体" w:asciiTheme="majorHAnsi" w:hAnsiTheme="majorHAnsi" w:cstheme="majorBidi"/>
          <w:b/>
          <w:bCs/>
          <w:i w:val="0"/>
          <w:iCs w:val="0"/>
          <w:color w:val="auto"/>
          <w:kern w:val="2"/>
          <w:sz w:val="32"/>
          <w:szCs w:val="32"/>
          <w:highlight w:val="none"/>
          <w:lang w:val="en-US" w:eastAsia="zh-CN" w:bidi="ar-SA"/>
        </w:rPr>
        <w:t>、业绩证明文件</w:t>
      </w:r>
      <w:bookmarkEnd w:id="729"/>
    </w:p>
    <w:p w14:paraId="4541380C">
      <w:pPr>
        <w:rPr>
          <w:rFonts w:cs="仿宋_GB2312"/>
          <w:i w:val="0"/>
          <w:iCs w:val="0"/>
          <w:color w:val="auto"/>
          <w:szCs w:val="24"/>
          <w:highlight w:val="none"/>
        </w:rPr>
      </w:pPr>
      <w:r>
        <w:rPr>
          <w:rFonts w:cs="Arial"/>
          <w:bCs/>
          <w:i w:val="0"/>
          <w:iCs w:val="0"/>
          <w:color w:val="auto"/>
          <w:szCs w:val="21"/>
          <w:highlight w:val="none"/>
        </w:rPr>
        <w:fldChar w:fldCharType="begin"/>
      </w:r>
      <w:r>
        <w:rPr>
          <w:rFonts w:cs="Arial"/>
          <w:bCs/>
          <w:i w:val="0"/>
          <w:iCs w:val="0"/>
          <w:color w:val="auto"/>
          <w:szCs w:val="21"/>
          <w:highlight w:val="none"/>
        </w:rPr>
        <w:instrText xml:space="preserve"> LINK Word.Document.8 "D:\\音乐厅\\4通用设备\\招标文件\\音乐厅空调设备招标文件v1.0.doc" "OLE_LINK8" \r  \* MERGEFORMAT </w:instrText>
      </w:r>
      <w:r>
        <w:rPr>
          <w:rFonts w:cs="Arial"/>
          <w:bCs/>
          <w:i w:val="0"/>
          <w:iCs w:val="0"/>
          <w:color w:val="auto"/>
          <w:szCs w:val="21"/>
          <w:highlight w:val="none"/>
        </w:rPr>
        <w:fldChar w:fldCharType="separate"/>
      </w:r>
      <w:r>
        <w:rPr>
          <w:rFonts w:hint="eastAsia" w:cs="仿宋_GB2312"/>
          <w:i w:val="0"/>
          <w:iCs w:val="0"/>
          <w:color w:val="auto"/>
          <w:szCs w:val="24"/>
          <w:highlight w:val="none"/>
        </w:rPr>
        <w:t xml:space="preserve">项目名称：                                         </w:t>
      </w:r>
    </w:p>
    <w:p w14:paraId="159B24BA">
      <w:pPr>
        <w:rPr>
          <w:rFonts w:cs="Arial"/>
          <w:bCs/>
          <w:i w:val="0"/>
          <w:iCs w:val="0"/>
          <w:color w:val="auto"/>
          <w:szCs w:val="21"/>
          <w:highlight w:val="none"/>
        </w:rPr>
      </w:pPr>
      <w:r>
        <w:rPr>
          <w:rFonts w:hint="eastAsia" w:cs="仿宋_GB2312"/>
          <w:i w:val="0"/>
          <w:iCs w:val="0"/>
          <w:color w:val="auto"/>
          <w:szCs w:val="24"/>
          <w:highlight w:val="none"/>
        </w:rPr>
        <w:t>项目编号</w:t>
      </w:r>
      <w:r>
        <w:rPr>
          <w:rFonts w:hint="eastAsia" w:cs="仿宋_GB2312"/>
          <w:i w:val="0"/>
          <w:iCs w:val="0"/>
          <w:color w:val="auto"/>
          <w:szCs w:val="24"/>
          <w:highlight w:val="none"/>
          <w:lang w:val="en-US" w:eastAsia="zh-CN"/>
        </w:rPr>
        <w:t>/包号</w:t>
      </w:r>
      <w:r>
        <w:rPr>
          <w:rFonts w:hint="eastAsia" w:cs="仿宋_GB2312"/>
          <w:i w:val="0"/>
          <w:iCs w:val="0"/>
          <w:color w:val="auto"/>
          <w:szCs w:val="24"/>
          <w:highlight w:val="none"/>
        </w:rPr>
        <w:t xml:space="preserve">：      </w:t>
      </w:r>
      <w:r>
        <w:rPr>
          <w:rFonts w:cs="Arial"/>
          <w:bCs/>
          <w:i w:val="0"/>
          <w:iCs w:val="0"/>
          <w:color w:val="auto"/>
          <w:szCs w:val="21"/>
          <w:highlight w:val="none"/>
        </w:rPr>
        <w:fldChar w:fldCharType="end"/>
      </w:r>
    </w:p>
    <w:tbl>
      <w:tblPr>
        <w:tblStyle w:val="29"/>
        <w:tblW w:w="9615"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33"/>
        <w:gridCol w:w="1272"/>
        <w:gridCol w:w="1188"/>
        <w:gridCol w:w="1487"/>
        <w:gridCol w:w="1477"/>
        <w:gridCol w:w="984"/>
        <w:gridCol w:w="1191"/>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E9572F9">
            <w:pPr>
              <w:jc w:val="center"/>
              <w:rPr>
                <w:rFonts w:cs="仿宋_GB2312"/>
                <w:i w:val="0"/>
                <w:iCs w:val="0"/>
                <w:color w:val="auto"/>
                <w:sz w:val="24"/>
                <w:szCs w:val="24"/>
                <w:highlight w:val="none"/>
              </w:rPr>
            </w:pPr>
            <w:bookmarkStart w:id="730" w:name="_Hlk46779239"/>
            <w:r>
              <w:rPr>
                <w:rFonts w:hint="eastAsia" w:cs="仿宋_GB2312"/>
                <w:i w:val="0"/>
                <w:iCs w:val="0"/>
                <w:color w:val="auto"/>
                <w:sz w:val="24"/>
                <w:szCs w:val="24"/>
                <w:highlight w:val="none"/>
              </w:rPr>
              <w:t>序号</w:t>
            </w:r>
          </w:p>
        </w:tc>
        <w:tc>
          <w:tcPr>
            <w:tcW w:w="1233" w:type="dxa"/>
            <w:vAlign w:val="center"/>
          </w:tcPr>
          <w:p w14:paraId="51F55A40">
            <w:pPr>
              <w:rPr>
                <w:rFonts w:cs="仿宋_GB2312"/>
                <w:i w:val="0"/>
                <w:iCs w:val="0"/>
                <w:color w:val="auto"/>
                <w:sz w:val="24"/>
                <w:szCs w:val="24"/>
                <w:highlight w:val="none"/>
              </w:rPr>
            </w:pPr>
            <w:r>
              <w:rPr>
                <w:rFonts w:hint="eastAsia" w:cs="仿宋_GB2312"/>
                <w:i w:val="0"/>
                <w:iCs w:val="0"/>
                <w:color w:val="auto"/>
                <w:sz w:val="24"/>
                <w:szCs w:val="24"/>
                <w:highlight w:val="none"/>
              </w:rPr>
              <w:t>完成时间</w:t>
            </w:r>
          </w:p>
        </w:tc>
        <w:tc>
          <w:tcPr>
            <w:tcW w:w="1272" w:type="dxa"/>
            <w:vAlign w:val="center"/>
          </w:tcPr>
          <w:p w14:paraId="4D5C38D5">
            <w:pPr>
              <w:jc w:val="center"/>
              <w:rPr>
                <w:rFonts w:cs="仿宋_GB2312"/>
                <w:i w:val="0"/>
                <w:iCs w:val="0"/>
                <w:color w:val="auto"/>
                <w:sz w:val="24"/>
                <w:szCs w:val="24"/>
                <w:highlight w:val="none"/>
              </w:rPr>
            </w:pPr>
            <w:r>
              <w:rPr>
                <w:rFonts w:hint="eastAsia" w:cs="仿宋_GB2312"/>
                <w:i w:val="0"/>
                <w:iCs w:val="0"/>
                <w:color w:val="auto"/>
                <w:sz w:val="24"/>
                <w:szCs w:val="24"/>
                <w:highlight w:val="none"/>
              </w:rPr>
              <w:t>项目名称</w:t>
            </w:r>
          </w:p>
        </w:tc>
        <w:tc>
          <w:tcPr>
            <w:tcW w:w="1188" w:type="dxa"/>
            <w:vAlign w:val="center"/>
          </w:tcPr>
          <w:p w14:paraId="69717F2A">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标的</w:t>
            </w:r>
            <w:r>
              <w:rPr>
                <w:rFonts w:hint="eastAsia" w:cs="仿宋_GB2312"/>
                <w:i w:val="0"/>
                <w:iCs w:val="0"/>
                <w:color w:val="auto"/>
                <w:sz w:val="24"/>
                <w:szCs w:val="24"/>
                <w:highlight w:val="none"/>
              </w:rPr>
              <w:t>内容</w:t>
            </w:r>
          </w:p>
        </w:tc>
        <w:tc>
          <w:tcPr>
            <w:tcW w:w="1487" w:type="dxa"/>
            <w:vAlign w:val="center"/>
          </w:tcPr>
          <w:p w14:paraId="57C35070">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采购人</w:t>
            </w:r>
            <w:r>
              <w:rPr>
                <w:rFonts w:hint="eastAsia" w:cs="仿宋_GB2312"/>
                <w:i w:val="0"/>
                <w:iCs w:val="0"/>
                <w:color w:val="auto"/>
                <w:sz w:val="24"/>
                <w:szCs w:val="24"/>
                <w:highlight w:val="none"/>
              </w:rPr>
              <w:t>名称</w:t>
            </w:r>
          </w:p>
        </w:tc>
        <w:tc>
          <w:tcPr>
            <w:tcW w:w="1477" w:type="dxa"/>
            <w:vAlign w:val="center"/>
          </w:tcPr>
          <w:p w14:paraId="61EB4103">
            <w:pPr>
              <w:jc w:val="center"/>
              <w:rPr>
                <w:rFonts w:hint="eastAsia" w:cs="仿宋_GB2312"/>
                <w:i w:val="0"/>
                <w:iCs w:val="0"/>
                <w:color w:val="auto"/>
                <w:sz w:val="24"/>
                <w:szCs w:val="24"/>
                <w:highlight w:val="none"/>
              </w:rPr>
            </w:pPr>
            <w:r>
              <w:rPr>
                <w:rFonts w:hint="eastAsia" w:cs="仿宋_GB2312"/>
                <w:i w:val="0"/>
                <w:iCs w:val="0"/>
                <w:color w:val="auto"/>
                <w:sz w:val="24"/>
                <w:szCs w:val="24"/>
                <w:highlight w:val="none"/>
                <w:lang w:val="en-US" w:eastAsia="zh-CN"/>
              </w:rPr>
              <w:t>中标（成交）金额</w:t>
            </w:r>
          </w:p>
        </w:tc>
        <w:tc>
          <w:tcPr>
            <w:tcW w:w="984" w:type="dxa"/>
            <w:vAlign w:val="center"/>
          </w:tcPr>
          <w:p w14:paraId="01352CB9">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联系人</w:t>
            </w:r>
          </w:p>
        </w:tc>
        <w:tc>
          <w:tcPr>
            <w:tcW w:w="1191" w:type="dxa"/>
            <w:vAlign w:val="center"/>
          </w:tcPr>
          <w:p w14:paraId="2DA424BF">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27508E81">
            <w:pPr>
              <w:jc w:val="center"/>
              <w:rPr>
                <w:rFonts w:cs="仿宋_GB2312"/>
                <w:i w:val="0"/>
                <w:iCs w:val="0"/>
                <w:color w:val="auto"/>
                <w:sz w:val="24"/>
                <w:szCs w:val="24"/>
                <w:highlight w:val="none"/>
              </w:rPr>
            </w:pPr>
            <w:r>
              <w:rPr>
                <w:rFonts w:hint="eastAsia" w:cs="仿宋_GB2312"/>
                <w:i w:val="0"/>
                <w:iCs w:val="0"/>
                <w:color w:val="auto"/>
                <w:sz w:val="24"/>
                <w:szCs w:val="24"/>
                <w:highlight w:val="none"/>
              </w:rPr>
              <w:t>1</w:t>
            </w:r>
          </w:p>
        </w:tc>
        <w:tc>
          <w:tcPr>
            <w:tcW w:w="1233" w:type="dxa"/>
            <w:vAlign w:val="center"/>
          </w:tcPr>
          <w:p w14:paraId="27562AF7">
            <w:pPr>
              <w:rPr>
                <w:rFonts w:cs="仿宋_GB2312"/>
                <w:i w:val="0"/>
                <w:iCs w:val="0"/>
                <w:color w:val="auto"/>
                <w:sz w:val="24"/>
                <w:szCs w:val="24"/>
                <w:highlight w:val="none"/>
              </w:rPr>
            </w:pPr>
          </w:p>
        </w:tc>
        <w:tc>
          <w:tcPr>
            <w:tcW w:w="1272" w:type="dxa"/>
            <w:vAlign w:val="center"/>
          </w:tcPr>
          <w:p w14:paraId="02799269">
            <w:pPr>
              <w:rPr>
                <w:rFonts w:cs="仿宋_GB2312"/>
                <w:i w:val="0"/>
                <w:iCs w:val="0"/>
                <w:color w:val="auto"/>
                <w:sz w:val="24"/>
                <w:szCs w:val="24"/>
                <w:highlight w:val="none"/>
              </w:rPr>
            </w:pPr>
          </w:p>
        </w:tc>
        <w:tc>
          <w:tcPr>
            <w:tcW w:w="1188" w:type="dxa"/>
            <w:vAlign w:val="center"/>
          </w:tcPr>
          <w:p w14:paraId="6449ADDF">
            <w:pPr>
              <w:rPr>
                <w:rFonts w:cs="仿宋_GB2312"/>
                <w:i w:val="0"/>
                <w:iCs w:val="0"/>
                <w:color w:val="auto"/>
                <w:sz w:val="24"/>
                <w:szCs w:val="24"/>
                <w:highlight w:val="none"/>
              </w:rPr>
            </w:pPr>
          </w:p>
        </w:tc>
        <w:tc>
          <w:tcPr>
            <w:tcW w:w="1487" w:type="dxa"/>
            <w:vAlign w:val="center"/>
          </w:tcPr>
          <w:p w14:paraId="183C0714">
            <w:pPr>
              <w:rPr>
                <w:rFonts w:cs="仿宋_GB2312"/>
                <w:i w:val="0"/>
                <w:iCs w:val="0"/>
                <w:color w:val="auto"/>
                <w:sz w:val="24"/>
                <w:szCs w:val="24"/>
                <w:highlight w:val="none"/>
              </w:rPr>
            </w:pPr>
          </w:p>
        </w:tc>
        <w:tc>
          <w:tcPr>
            <w:tcW w:w="1477" w:type="dxa"/>
            <w:vAlign w:val="center"/>
          </w:tcPr>
          <w:p w14:paraId="4F169081">
            <w:pPr>
              <w:rPr>
                <w:rFonts w:cs="仿宋_GB2312"/>
                <w:i w:val="0"/>
                <w:iCs w:val="0"/>
                <w:color w:val="auto"/>
                <w:sz w:val="24"/>
                <w:szCs w:val="24"/>
                <w:highlight w:val="none"/>
              </w:rPr>
            </w:pPr>
          </w:p>
        </w:tc>
        <w:tc>
          <w:tcPr>
            <w:tcW w:w="984" w:type="dxa"/>
            <w:vAlign w:val="center"/>
          </w:tcPr>
          <w:p w14:paraId="2A8AB713">
            <w:pPr>
              <w:rPr>
                <w:rFonts w:cs="仿宋_GB2312"/>
                <w:i w:val="0"/>
                <w:iCs w:val="0"/>
                <w:color w:val="auto"/>
                <w:sz w:val="24"/>
                <w:szCs w:val="24"/>
                <w:highlight w:val="none"/>
              </w:rPr>
            </w:pPr>
          </w:p>
        </w:tc>
        <w:tc>
          <w:tcPr>
            <w:tcW w:w="1191" w:type="dxa"/>
            <w:vAlign w:val="center"/>
          </w:tcPr>
          <w:p w14:paraId="09D0936A">
            <w:pPr>
              <w:rPr>
                <w:rFonts w:cs="仿宋_GB2312"/>
                <w:i w:val="0"/>
                <w:iCs w:val="0"/>
                <w:color w:val="auto"/>
                <w:sz w:val="24"/>
                <w:szCs w:val="24"/>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A21BB39">
            <w:pPr>
              <w:jc w:val="center"/>
              <w:rPr>
                <w:rFonts w:cs="仿宋_GB2312"/>
                <w:i w:val="0"/>
                <w:iCs w:val="0"/>
                <w:color w:val="auto"/>
                <w:sz w:val="24"/>
                <w:szCs w:val="24"/>
                <w:highlight w:val="none"/>
              </w:rPr>
            </w:pPr>
            <w:r>
              <w:rPr>
                <w:rFonts w:hint="eastAsia" w:cs="仿宋_GB2312"/>
                <w:i w:val="0"/>
                <w:iCs w:val="0"/>
                <w:color w:val="auto"/>
                <w:sz w:val="24"/>
                <w:szCs w:val="24"/>
                <w:highlight w:val="none"/>
              </w:rPr>
              <w:t>2</w:t>
            </w:r>
          </w:p>
        </w:tc>
        <w:tc>
          <w:tcPr>
            <w:tcW w:w="1233" w:type="dxa"/>
            <w:vAlign w:val="center"/>
          </w:tcPr>
          <w:p w14:paraId="7CA4B3F3">
            <w:pPr>
              <w:rPr>
                <w:rFonts w:cs="仿宋_GB2312"/>
                <w:i w:val="0"/>
                <w:iCs w:val="0"/>
                <w:color w:val="auto"/>
                <w:sz w:val="24"/>
                <w:szCs w:val="24"/>
                <w:highlight w:val="none"/>
              </w:rPr>
            </w:pPr>
          </w:p>
        </w:tc>
        <w:tc>
          <w:tcPr>
            <w:tcW w:w="1272" w:type="dxa"/>
            <w:vAlign w:val="center"/>
          </w:tcPr>
          <w:p w14:paraId="59CCECB1">
            <w:pPr>
              <w:rPr>
                <w:rFonts w:cs="仿宋_GB2312"/>
                <w:i w:val="0"/>
                <w:iCs w:val="0"/>
                <w:color w:val="auto"/>
                <w:sz w:val="24"/>
                <w:szCs w:val="24"/>
                <w:highlight w:val="none"/>
              </w:rPr>
            </w:pPr>
          </w:p>
        </w:tc>
        <w:tc>
          <w:tcPr>
            <w:tcW w:w="1188" w:type="dxa"/>
            <w:vAlign w:val="center"/>
          </w:tcPr>
          <w:p w14:paraId="4E8043C4">
            <w:pPr>
              <w:rPr>
                <w:rFonts w:cs="仿宋_GB2312"/>
                <w:i w:val="0"/>
                <w:iCs w:val="0"/>
                <w:color w:val="auto"/>
                <w:sz w:val="24"/>
                <w:szCs w:val="24"/>
                <w:highlight w:val="none"/>
              </w:rPr>
            </w:pPr>
          </w:p>
        </w:tc>
        <w:tc>
          <w:tcPr>
            <w:tcW w:w="1487" w:type="dxa"/>
            <w:vAlign w:val="center"/>
          </w:tcPr>
          <w:p w14:paraId="2E195778">
            <w:pPr>
              <w:rPr>
                <w:rFonts w:cs="仿宋_GB2312"/>
                <w:i w:val="0"/>
                <w:iCs w:val="0"/>
                <w:color w:val="auto"/>
                <w:sz w:val="24"/>
                <w:szCs w:val="24"/>
                <w:highlight w:val="none"/>
              </w:rPr>
            </w:pPr>
          </w:p>
        </w:tc>
        <w:tc>
          <w:tcPr>
            <w:tcW w:w="1477" w:type="dxa"/>
            <w:vAlign w:val="center"/>
          </w:tcPr>
          <w:p w14:paraId="49A8CC13">
            <w:pPr>
              <w:rPr>
                <w:rFonts w:cs="仿宋_GB2312"/>
                <w:i w:val="0"/>
                <w:iCs w:val="0"/>
                <w:color w:val="auto"/>
                <w:sz w:val="24"/>
                <w:szCs w:val="24"/>
                <w:highlight w:val="none"/>
              </w:rPr>
            </w:pPr>
          </w:p>
        </w:tc>
        <w:tc>
          <w:tcPr>
            <w:tcW w:w="984" w:type="dxa"/>
            <w:vAlign w:val="center"/>
          </w:tcPr>
          <w:p w14:paraId="53112435">
            <w:pPr>
              <w:rPr>
                <w:rFonts w:cs="仿宋_GB2312"/>
                <w:i w:val="0"/>
                <w:iCs w:val="0"/>
                <w:color w:val="auto"/>
                <w:sz w:val="24"/>
                <w:szCs w:val="24"/>
                <w:highlight w:val="none"/>
              </w:rPr>
            </w:pPr>
          </w:p>
        </w:tc>
        <w:tc>
          <w:tcPr>
            <w:tcW w:w="1191" w:type="dxa"/>
            <w:vAlign w:val="center"/>
          </w:tcPr>
          <w:p w14:paraId="185645D3">
            <w:pPr>
              <w:rPr>
                <w:rFonts w:cs="仿宋_GB2312"/>
                <w:i w:val="0"/>
                <w:iCs w:val="0"/>
                <w:color w:val="auto"/>
                <w:sz w:val="24"/>
                <w:szCs w:val="24"/>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428D324">
            <w:pPr>
              <w:jc w:val="center"/>
              <w:rPr>
                <w:rFonts w:cs="仿宋_GB2312"/>
                <w:i w:val="0"/>
                <w:iCs w:val="0"/>
                <w:color w:val="auto"/>
                <w:sz w:val="24"/>
                <w:szCs w:val="24"/>
                <w:highlight w:val="none"/>
              </w:rPr>
            </w:pPr>
            <w:r>
              <w:rPr>
                <w:rFonts w:hint="eastAsia" w:cs="仿宋_GB2312"/>
                <w:i w:val="0"/>
                <w:iCs w:val="0"/>
                <w:color w:val="auto"/>
                <w:sz w:val="24"/>
                <w:szCs w:val="24"/>
                <w:highlight w:val="none"/>
              </w:rPr>
              <w:t>3</w:t>
            </w:r>
          </w:p>
        </w:tc>
        <w:tc>
          <w:tcPr>
            <w:tcW w:w="1233" w:type="dxa"/>
            <w:vAlign w:val="center"/>
          </w:tcPr>
          <w:p w14:paraId="46AEF6AC">
            <w:pPr>
              <w:rPr>
                <w:rFonts w:cs="仿宋_GB2312"/>
                <w:i w:val="0"/>
                <w:iCs w:val="0"/>
                <w:color w:val="auto"/>
                <w:sz w:val="24"/>
                <w:szCs w:val="24"/>
                <w:highlight w:val="none"/>
              </w:rPr>
            </w:pPr>
          </w:p>
        </w:tc>
        <w:tc>
          <w:tcPr>
            <w:tcW w:w="1272" w:type="dxa"/>
            <w:vAlign w:val="center"/>
          </w:tcPr>
          <w:p w14:paraId="601B0208">
            <w:pPr>
              <w:rPr>
                <w:rFonts w:cs="仿宋_GB2312"/>
                <w:i w:val="0"/>
                <w:iCs w:val="0"/>
                <w:color w:val="auto"/>
                <w:sz w:val="24"/>
                <w:szCs w:val="24"/>
                <w:highlight w:val="none"/>
              </w:rPr>
            </w:pPr>
          </w:p>
        </w:tc>
        <w:tc>
          <w:tcPr>
            <w:tcW w:w="1188" w:type="dxa"/>
            <w:vAlign w:val="center"/>
          </w:tcPr>
          <w:p w14:paraId="56885EE6">
            <w:pPr>
              <w:rPr>
                <w:rFonts w:cs="仿宋_GB2312"/>
                <w:i w:val="0"/>
                <w:iCs w:val="0"/>
                <w:color w:val="auto"/>
                <w:sz w:val="24"/>
                <w:szCs w:val="24"/>
                <w:highlight w:val="none"/>
              </w:rPr>
            </w:pPr>
          </w:p>
        </w:tc>
        <w:tc>
          <w:tcPr>
            <w:tcW w:w="1487" w:type="dxa"/>
            <w:vAlign w:val="center"/>
          </w:tcPr>
          <w:p w14:paraId="00552B19">
            <w:pPr>
              <w:rPr>
                <w:rFonts w:cs="仿宋_GB2312"/>
                <w:i w:val="0"/>
                <w:iCs w:val="0"/>
                <w:color w:val="auto"/>
                <w:sz w:val="24"/>
                <w:szCs w:val="24"/>
                <w:highlight w:val="none"/>
              </w:rPr>
            </w:pPr>
          </w:p>
        </w:tc>
        <w:tc>
          <w:tcPr>
            <w:tcW w:w="1477" w:type="dxa"/>
            <w:vAlign w:val="center"/>
          </w:tcPr>
          <w:p w14:paraId="77BC6128">
            <w:pPr>
              <w:rPr>
                <w:rFonts w:cs="仿宋_GB2312"/>
                <w:i w:val="0"/>
                <w:iCs w:val="0"/>
                <w:color w:val="auto"/>
                <w:sz w:val="24"/>
                <w:szCs w:val="24"/>
                <w:highlight w:val="none"/>
              </w:rPr>
            </w:pPr>
          </w:p>
        </w:tc>
        <w:tc>
          <w:tcPr>
            <w:tcW w:w="984" w:type="dxa"/>
            <w:vAlign w:val="center"/>
          </w:tcPr>
          <w:p w14:paraId="67F6B017">
            <w:pPr>
              <w:rPr>
                <w:rFonts w:cs="仿宋_GB2312"/>
                <w:i w:val="0"/>
                <w:iCs w:val="0"/>
                <w:color w:val="auto"/>
                <w:sz w:val="24"/>
                <w:szCs w:val="24"/>
                <w:highlight w:val="none"/>
              </w:rPr>
            </w:pPr>
          </w:p>
        </w:tc>
        <w:tc>
          <w:tcPr>
            <w:tcW w:w="1191" w:type="dxa"/>
            <w:vAlign w:val="center"/>
          </w:tcPr>
          <w:p w14:paraId="20173386">
            <w:pPr>
              <w:rPr>
                <w:rFonts w:cs="仿宋_GB2312"/>
                <w:i w:val="0"/>
                <w:iCs w:val="0"/>
                <w:color w:val="auto"/>
                <w:sz w:val="24"/>
                <w:szCs w:val="24"/>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vAlign w:val="center"/>
          </w:tcPr>
          <w:p w14:paraId="433A34E7">
            <w:pPr>
              <w:jc w:val="center"/>
              <w:rPr>
                <w:rFonts w:cs="仿宋_GB2312"/>
                <w:i w:val="0"/>
                <w:iCs w:val="0"/>
                <w:color w:val="auto"/>
                <w:sz w:val="24"/>
                <w:szCs w:val="24"/>
                <w:highlight w:val="none"/>
              </w:rPr>
            </w:pPr>
            <w:r>
              <w:rPr>
                <w:rFonts w:hint="eastAsia" w:cs="仿宋_GB2312"/>
                <w:i w:val="0"/>
                <w:iCs w:val="0"/>
                <w:color w:val="auto"/>
                <w:sz w:val="24"/>
                <w:szCs w:val="24"/>
                <w:highlight w:val="none"/>
              </w:rPr>
              <w:t>…</w:t>
            </w:r>
          </w:p>
        </w:tc>
        <w:tc>
          <w:tcPr>
            <w:tcW w:w="1233" w:type="dxa"/>
            <w:vAlign w:val="center"/>
          </w:tcPr>
          <w:p w14:paraId="5D94CAA1">
            <w:pPr>
              <w:rPr>
                <w:rFonts w:cs="仿宋_GB2312"/>
                <w:i w:val="0"/>
                <w:iCs w:val="0"/>
                <w:color w:val="auto"/>
                <w:sz w:val="24"/>
                <w:szCs w:val="24"/>
                <w:highlight w:val="none"/>
              </w:rPr>
            </w:pPr>
          </w:p>
        </w:tc>
        <w:tc>
          <w:tcPr>
            <w:tcW w:w="1272" w:type="dxa"/>
            <w:vAlign w:val="center"/>
          </w:tcPr>
          <w:p w14:paraId="48AC7386">
            <w:pPr>
              <w:rPr>
                <w:rFonts w:cs="仿宋_GB2312"/>
                <w:i w:val="0"/>
                <w:iCs w:val="0"/>
                <w:color w:val="auto"/>
                <w:sz w:val="24"/>
                <w:szCs w:val="24"/>
                <w:highlight w:val="none"/>
              </w:rPr>
            </w:pPr>
          </w:p>
        </w:tc>
        <w:tc>
          <w:tcPr>
            <w:tcW w:w="1188" w:type="dxa"/>
            <w:vAlign w:val="center"/>
          </w:tcPr>
          <w:p w14:paraId="20172F35">
            <w:pPr>
              <w:rPr>
                <w:rFonts w:cs="仿宋_GB2312"/>
                <w:i w:val="0"/>
                <w:iCs w:val="0"/>
                <w:color w:val="auto"/>
                <w:sz w:val="24"/>
                <w:szCs w:val="24"/>
                <w:highlight w:val="none"/>
              </w:rPr>
            </w:pPr>
          </w:p>
        </w:tc>
        <w:tc>
          <w:tcPr>
            <w:tcW w:w="1487" w:type="dxa"/>
            <w:vAlign w:val="center"/>
          </w:tcPr>
          <w:p w14:paraId="75CF74D1">
            <w:pPr>
              <w:rPr>
                <w:rFonts w:cs="仿宋_GB2312"/>
                <w:i w:val="0"/>
                <w:iCs w:val="0"/>
                <w:color w:val="auto"/>
                <w:sz w:val="24"/>
                <w:szCs w:val="24"/>
                <w:highlight w:val="none"/>
              </w:rPr>
            </w:pPr>
          </w:p>
        </w:tc>
        <w:tc>
          <w:tcPr>
            <w:tcW w:w="1477" w:type="dxa"/>
            <w:vAlign w:val="center"/>
          </w:tcPr>
          <w:p w14:paraId="52CF4BF0">
            <w:pPr>
              <w:rPr>
                <w:rFonts w:cs="仿宋_GB2312"/>
                <w:i w:val="0"/>
                <w:iCs w:val="0"/>
                <w:color w:val="auto"/>
                <w:sz w:val="24"/>
                <w:szCs w:val="24"/>
                <w:highlight w:val="none"/>
              </w:rPr>
            </w:pPr>
          </w:p>
        </w:tc>
        <w:tc>
          <w:tcPr>
            <w:tcW w:w="984" w:type="dxa"/>
            <w:vAlign w:val="center"/>
          </w:tcPr>
          <w:p w14:paraId="32DE863A">
            <w:pPr>
              <w:rPr>
                <w:rFonts w:cs="仿宋_GB2312"/>
                <w:i w:val="0"/>
                <w:iCs w:val="0"/>
                <w:color w:val="auto"/>
                <w:sz w:val="24"/>
                <w:szCs w:val="24"/>
                <w:highlight w:val="none"/>
              </w:rPr>
            </w:pPr>
          </w:p>
        </w:tc>
        <w:tc>
          <w:tcPr>
            <w:tcW w:w="1191" w:type="dxa"/>
            <w:vAlign w:val="center"/>
          </w:tcPr>
          <w:p w14:paraId="52BCFD5F">
            <w:pPr>
              <w:rPr>
                <w:rFonts w:cs="仿宋_GB2312"/>
                <w:i w:val="0"/>
                <w:iCs w:val="0"/>
                <w:color w:val="auto"/>
                <w:sz w:val="24"/>
                <w:szCs w:val="24"/>
                <w:highlight w:val="none"/>
              </w:rPr>
            </w:pPr>
          </w:p>
        </w:tc>
      </w:tr>
      <w:bookmarkEnd w:id="730"/>
    </w:tbl>
    <w:p w14:paraId="37AD017A">
      <w:pPr>
        <w:rPr>
          <w:rFonts w:hint="eastAsia" w:cs="仿宋_GB2312"/>
          <w:i w:val="0"/>
          <w:iCs w:val="0"/>
          <w:color w:val="auto"/>
          <w:sz w:val="24"/>
          <w:szCs w:val="24"/>
          <w:highlight w:val="none"/>
        </w:rPr>
      </w:pPr>
    </w:p>
    <w:p w14:paraId="58FF379C">
      <w:pPr>
        <w:rPr>
          <w:rFonts w:cs="仿宋_GB2312"/>
          <w:i w:val="0"/>
          <w:iCs w:val="0"/>
          <w:color w:val="auto"/>
          <w:sz w:val="24"/>
          <w:szCs w:val="24"/>
          <w:highlight w:val="none"/>
        </w:rPr>
      </w:pPr>
      <w:r>
        <w:rPr>
          <w:rFonts w:hint="eastAsia" w:cs="仿宋_GB2312"/>
          <w:i w:val="0"/>
          <w:iCs w:val="0"/>
          <w:color w:val="auto"/>
          <w:sz w:val="24"/>
          <w:szCs w:val="24"/>
          <w:highlight w:val="none"/>
        </w:rPr>
        <w:t>注：</w:t>
      </w:r>
      <w:r>
        <w:rPr>
          <w:rFonts w:hint="eastAsia" w:cs="仿宋_GB2312"/>
          <w:i w:val="0"/>
          <w:iCs w:val="0"/>
          <w:color w:val="auto"/>
          <w:sz w:val="24"/>
          <w:szCs w:val="24"/>
          <w:highlight w:val="none"/>
          <w:lang w:val="en-US" w:eastAsia="zh-CN"/>
        </w:rPr>
        <w:t>供应商</w:t>
      </w:r>
      <w:r>
        <w:rPr>
          <w:rFonts w:hint="eastAsia" w:cs="仿宋_GB2312"/>
          <w:i w:val="0"/>
          <w:iCs w:val="0"/>
          <w:color w:val="auto"/>
          <w:sz w:val="24"/>
          <w:szCs w:val="24"/>
          <w:highlight w:val="none"/>
        </w:rPr>
        <w:t>须按上表提供相应的</w:t>
      </w:r>
      <w:r>
        <w:rPr>
          <w:rFonts w:hint="eastAsia" w:cs="仿宋_GB2312"/>
          <w:i w:val="0"/>
          <w:iCs w:val="0"/>
          <w:color w:val="auto"/>
          <w:sz w:val="24"/>
          <w:szCs w:val="24"/>
          <w:highlight w:val="none"/>
          <w:lang w:val="en-US" w:eastAsia="zh-CN"/>
        </w:rPr>
        <w:t>中标（成交）通知书、采购合同等</w:t>
      </w:r>
      <w:r>
        <w:rPr>
          <w:rFonts w:hint="eastAsia" w:cs="仿宋_GB2312"/>
          <w:i w:val="0"/>
          <w:iCs w:val="0"/>
          <w:color w:val="auto"/>
          <w:sz w:val="24"/>
          <w:szCs w:val="24"/>
          <w:highlight w:val="none"/>
        </w:rPr>
        <w:t>业绩证明资料。</w:t>
      </w:r>
    </w:p>
    <w:p w14:paraId="5DB99613">
      <w:pPr>
        <w:widowControl/>
        <w:spacing w:before="100" w:beforeAutospacing="1" w:after="100" w:afterAutospacing="1"/>
        <w:rPr>
          <w:rFonts w:cs="Arial"/>
          <w:i w:val="0"/>
          <w:iCs w:val="0"/>
          <w:color w:val="auto"/>
          <w:szCs w:val="21"/>
          <w:highlight w:val="none"/>
        </w:rPr>
      </w:pPr>
    </w:p>
    <w:p w14:paraId="15F467E4">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12381E0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95105C8">
      <w:pPr>
        <w:ind w:firstLine="420"/>
        <w:rPr>
          <w:rFonts w:cs="仿宋_GB2312"/>
          <w:i w:val="0"/>
          <w:iCs w:val="0"/>
          <w:color w:val="auto"/>
          <w:szCs w:val="24"/>
          <w:highlight w:val="none"/>
        </w:rPr>
      </w:pPr>
      <w:r>
        <w:rPr>
          <w:rFonts w:cs="仿宋_GB2312"/>
          <w:i w:val="0"/>
          <w:iCs w:val="0"/>
          <w:color w:val="auto"/>
          <w:szCs w:val="24"/>
          <w:highlight w:val="none"/>
        </w:rPr>
        <w:br w:type="page"/>
      </w:r>
    </w:p>
    <w:p w14:paraId="4E924C81">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31" w:name="_Toc7854"/>
      <w:r>
        <w:rPr>
          <w:rFonts w:hint="eastAsia" w:cstheme="majorBidi"/>
          <w:b/>
          <w:bCs/>
          <w:i w:val="0"/>
          <w:iCs w:val="0"/>
          <w:color w:val="auto"/>
          <w:kern w:val="2"/>
          <w:sz w:val="32"/>
          <w:szCs w:val="32"/>
          <w:highlight w:val="none"/>
          <w:lang w:val="en-US" w:eastAsia="zh-CN" w:bidi="ar-SA"/>
        </w:rPr>
        <w:t>十四</w:t>
      </w:r>
      <w:r>
        <w:rPr>
          <w:rFonts w:hint="eastAsia" w:eastAsia="宋体" w:asciiTheme="majorHAnsi" w:hAnsiTheme="majorHAnsi" w:cstheme="majorBidi"/>
          <w:b/>
          <w:bCs/>
          <w:i w:val="0"/>
          <w:iCs w:val="0"/>
          <w:color w:val="auto"/>
          <w:kern w:val="2"/>
          <w:sz w:val="32"/>
          <w:szCs w:val="32"/>
          <w:highlight w:val="none"/>
          <w:lang w:val="en-US" w:eastAsia="zh-CN" w:bidi="ar-SA"/>
        </w:rPr>
        <w:t>、拟派项目团队</w:t>
      </w:r>
      <w:bookmarkEnd w:id="731"/>
    </w:p>
    <w:tbl>
      <w:tblPr>
        <w:tblStyle w:val="29"/>
        <w:tblW w:w="9162"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43"/>
        <w:gridCol w:w="1334"/>
        <w:gridCol w:w="1188"/>
        <w:gridCol w:w="816"/>
        <w:gridCol w:w="1815"/>
        <w:gridCol w:w="1277"/>
        <w:gridCol w:w="816"/>
      </w:tblGrid>
      <w:tr w14:paraId="22A3F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41373525">
            <w:pPr>
              <w:pStyle w:val="46"/>
              <w:jc w:val="center"/>
              <w:rPr>
                <w:i w:val="0"/>
                <w:iCs w:val="0"/>
                <w:color w:val="auto"/>
                <w:highlight w:val="none"/>
              </w:rPr>
            </w:pPr>
            <w:r>
              <w:rPr>
                <w:rFonts w:hint="eastAsia"/>
                <w:i w:val="0"/>
                <w:iCs w:val="0"/>
                <w:color w:val="auto"/>
                <w:highlight w:val="none"/>
              </w:rPr>
              <w:t>序号</w:t>
            </w:r>
          </w:p>
        </w:tc>
        <w:tc>
          <w:tcPr>
            <w:tcW w:w="1143" w:type="dxa"/>
            <w:vAlign w:val="center"/>
          </w:tcPr>
          <w:p w14:paraId="67AE9C3E">
            <w:pPr>
              <w:pStyle w:val="46"/>
              <w:jc w:val="center"/>
              <w:rPr>
                <w:i w:val="0"/>
                <w:iCs w:val="0"/>
                <w:color w:val="auto"/>
                <w:highlight w:val="none"/>
              </w:rPr>
            </w:pPr>
            <w:r>
              <w:rPr>
                <w:rFonts w:hint="eastAsia"/>
                <w:i w:val="0"/>
                <w:iCs w:val="0"/>
                <w:color w:val="auto"/>
                <w:highlight w:val="none"/>
                <w:lang w:val="en-US" w:eastAsia="zh-CN"/>
              </w:rPr>
              <w:t>团队成员</w:t>
            </w:r>
          </w:p>
          <w:p w14:paraId="369C3C13">
            <w:pPr>
              <w:pStyle w:val="46"/>
              <w:jc w:val="center"/>
              <w:rPr>
                <w:i w:val="0"/>
                <w:iCs w:val="0"/>
                <w:color w:val="auto"/>
                <w:highlight w:val="none"/>
              </w:rPr>
            </w:pPr>
            <w:r>
              <w:rPr>
                <w:rFonts w:hint="eastAsia"/>
                <w:i w:val="0"/>
                <w:iCs w:val="0"/>
                <w:color w:val="auto"/>
                <w:highlight w:val="none"/>
              </w:rPr>
              <w:t>姓名</w:t>
            </w:r>
          </w:p>
        </w:tc>
        <w:tc>
          <w:tcPr>
            <w:tcW w:w="1334" w:type="dxa"/>
            <w:tcBorders>
              <w:right w:val="single" w:color="auto" w:sz="4" w:space="0"/>
            </w:tcBorders>
            <w:vAlign w:val="center"/>
          </w:tcPr>
          <w:p w14:paraId="4EDFEBEF">
            <w:pPr>
              <w:pStyle w:val="46"/>
              <w:jc w:val="center"/>
              <w:rPr>
                <w:i w:val="0"/>
                <w:iCs w:val="0"/>
                <w:color w:val="auto"/>
                <w:highlight w:val="none"/>
              </w:rPr>
            </w:pPr>
            <w:r>
              <w:rPr>
                <w:rFonts w:hint="eastAsia"/>
                <w:i w:val="0"/>
                <w:iCs w:val="0"/>
                <w:color w:val="auto"/>
                <w:highlight w:val="none"/>
              </w:rPr>
              <w:t>工作单位</w:t>
            </w:r>
          </w:p>
        </w:tc>
        <w:tc>
          <w:tcPr>
            <w:tcW w:w="1188" w:type="dxa"/>
            <w:tcBorders>
              <w:left w:val="single" w:color="auto" w:sz="4" w:space="0"/>
            </w:tcBorders>
            <w:vAlign w:val="center"/>
          </w:tcPr>
          <w:p w14:paraId="1B50026D">
            <w:pPr>
              <w:pStyle w:val="46"/>
              <w:jc w:val="center"/>
              <w:rPr>
                <w:i w:val="0"/>
                <w:iCs w:val="0"/>
                <w:color w:val="auto"/>
                <w:highlight w:val="none"/>
              </w:rPr>
            </w:pPr>
            <w:r>
              <w:rPr>
                <w:rFonts w:hint="eastAsia"/>
                <w:i w:val="0"/>
                <w:iCs w:val="0"/>
                <w:color w:val="auto"/>
                <w:highlight w:val="none"/>
              </w:rPr>
              <w:t>身份证号</w:t>
            </w:r>
          </w:p>
        </w:tc>
        <w:tc>
          <w:tcPr>
            <w:tcW w:w="816" w:type="dxa"/>
            <w:tcBorders>
              <w:left w:val="single" w:color="auto" w:sz="4" w:space="0"/>
            </w:tcBorders>
            <w:vAlign w:val="center"/>
          </w:tcPr>
          <w:p w14:paraId="3601BB70">
            <w:pPr>
              <w:pStyle w:val="46"/>
              <w:jc w:val="center"/>
              <w:rPr>
                <w:i w:val="0"/>
                <w:iCs w:val="0"/>
                <w:color w:val="auto"/>
                <w:highlight w:val="none"/>
              </w:rPr>
            </w:pPr>
            <w:r>
              <w:rPr>
                <w:rFonts w:hint="eastAsia"/>
                <w:i w:val="0"/>
                <w:iCs w:val="0"/>
                <w:color w:val="auto"/>
                <w:highlight w:val="none"/>
              </w:rPr>
              <w:t>职称</w:t>
            </w:r>
          </w:p>
        </w:tc>
        <w:tc>
          <w:tcPr>
            <w:tcW w:w="1815" w:type="dxa"/>
            <w:vAlign w:val="center"/>
          </w:tcPr>
          <w:p w14:paraId="78C6ADBE">
            <w:pPr>
              <w:pStyle w:val="46"/>
              <w:jc w:val="center"/>
              <w:rPr>
                <w:rFonts w:hint="default" w:eastAsia="宋体"/>
                <w:i w:val="0"/>
                <w:iCs w:val="0"/>
                <w:color w:val="auto"/>
                <w:highlight w:val="none"/>
                <w:lang w:val="en-US" w:eastAsia="zh-CN"/>
              </w:rPr>
            </w:pPr>
            <w:r>
              <w:rPr>
                <w:rFonts w:hint="eastAsia"/>
                <w:i w:val="0"/>
                <w:iCs w:val="0"/>
                <w:color w:val="auto"/>
                <w:highlight w:val="none"/>
                <w:lang w:val="en-US" w:eastAsia="zh-CN"/>
              </w:rPr>
              <w:t>注册证书（岗位证书）名称及编号</w:t>
            </w:r>
          </w:p>
        </w:tc>
        <w:tc>
          <w:tcPr>
            <w:tcW w:w="1277" w:type="dxa"/>
            <w:vAlign w:val="center"/>
          </w:tcPr>
          <w:p w14:paraId="1D4FFB7A">
            <w:pPr>
              <w:pStyle w:val="46"/>
              <w:jc w:val="center"/>
              <w:rPr>
                <w:i w:val="0"/>
                <w:iCs w:val="0"/>
                <w:color w:val="auto"/>
                <w:highlight w:val="none"/>
              </w:rPr>
            </w:pPr>
            <w:r>
              <w:rPr>
                <w:rFonts w:hint="eastAsia" w:eastAsia="宋体"/>
                <w:i w:val="0"/>
                <w:iCs w:val="0"/>
                <w:color w:val="auto"/>
                <w:highlight w:val="none"/>
                <w:lang w:val="en-US" w:eastAsia="zh-CN"/>
              </w:rPr>
              <w:t>在团队中职务（岗位）</w:t>
            </w:r>
          </w:p>
        </w:tc>
        <w:tc>
          <w:tcPr>
            <w:tcW w:w="816" w:type="dxa"/>
            <w:vAlign w:val="center"/>
          </w:tcPr>
          <w:p w14:paraId="569D136E">
            <w:pPr>
              <w:pStyle w:val="46"/>
              <w:jc w:val="center"/>
              <w:rPr>
                <w:i w:val="0"/>
                <w:iCs w:val="0"/>
                <w:color w:val="auto"/>
                <w:highlight w:val="none"/>
              </w:rPr>
            </w:pPr>
            <w:r>
              <w:rPr>
                <w:rFonts w:hint="eastAsia"/>
                <w:i w:val="0"/>
                <w:iCs w:val="0"/>
                <w:color w:val="auto"/>
                <w:highlight w:val="none"/>
              </w:rPr>
              <w:t>自有</w:t>
            </w:r>
            <w:r>
              <w:rPr>
                <w:i w:val="0"/>
                <w:iCs w:val="0"/>
                <w:color w:val="auto"/>
                <w:highlight w:val="none"/>
              </w:rPr>
              <w:t>/外聘</w:t>
            </w:r>
          </w:p>
        </w:tc>
      </w:tr>
      <w:tr w14:paraId="2C939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EE08FDE">
            <w:pPr>
              <w:pStyle w:val="46"/>
              <w:jc w:val="center"/>
              <w:rPr>
                <w:i w:val="0"/>
                <w:iCs w:val="0"/>
                <w:color w:val="auto"/>
                <w:highlight w:val="none"/>
              </w:rPr>
            </w:pPr>
            <w:bookmarkStart w:id="732" w:name="_Toc100090784"/>
            <w:bookmarkStart w:id="733" w:name="_Toc99533292"/>
            <w:r>
              <w:rPr>
                <w:rFonts w:hint="eastAsia"/>
                <w:i w:val="0"/>
                <w:iCs w:val="0"/>
                <w:color w:val="auto"/>
                <w:highlight w:val="none"/>
              </w:rPr>
              <w:t>1</w:t>
            </w:r>
            <w:bookmarkEnd w:id="732"/>
            <w:bookmarkEnd w:id="733"/>
          </w:p>
        </w:tc>
        <w:tc>
          <w:tcPr>
            <w:tcW w:w="1143" w:type="dxa"/>
            <w:vAlign w:val="center"/>
          </w:tcPr>
          <w:p w14:paraId="1297CF0F">
            <w:pPr>
              <w:pStyle w:val="46"/>
              <w:jc w:val="center"/>
              <w:rPr>
                <w:i w:val="0"/>
                <w:iCs w:val="0"/>
                <w:color w:val="auto"/>
                <w:highlight w:val="none"/>
              </w:rPr>
            </w:pPr>
          </w:p>
        </w:tc>
        <w:tc>
          <w:tcPr>
            <w:tcW w:w="1334" w:type="dxa"/>
            <w:tcBorders>
              <w:right w:val="single" w:color="auto" w:sz="4" w:space="0"/>
            </w:tcBorders>
            <w:vAlign w:val="center"/>
          </w:tcPr>
          <w:p w14:paraId="5504C4E8">
            <w:pPr>
              <w:pStyle w:val="46"/>
              <w:jc w:val="center"/>
              <w:rPr>
                <w:i w:val="0"/>
                <w:iCs w:val="0"/>
                <w:color w:val="auto"/>
                <w:highlight w:val="none"/>
              </w:rPr>
            </w:pPr>
          </w:p>
        </w:tc>
        <w:tc>
          <w:tcPr>
            <w:tcW w:w="1188" w:type="dxa"/>
            <w:tcBorders>
              <w:left w:val="single" w:color="auto" w:sz="4" w:space="0"/>
            </w:tcBorders>
            <w:vAlign w:val="center"/>
          </w:tcPr>
          <w:p w14:paraId="08D7DF2B">
            <w:pPr>
              <w:pStyle w:val="46"/>
              <w:jc w:val="center"/>
              <w:rPr>
                <w:i w:val="0"/>
                <w:iCs w:val="0"/>
                <w:color w:val="auto"/>
                <w:highlight w:val="none"/>
              </w:rPr>
            </w:pPr>
          </w:p>
        </w:tc>
        <w:tc>
          <w:tcPr>
            <w:tcW w:w="816" w:type="dxa"/>
            <w:tcBorders>
              <w:left w:val="single" w:color="auto" w:sz="4" w:space="0"/>
            </w:tcBorders>
            <w:vAlign w:val="center"/>
          </w:tcPr>
          <w:p w14:paraId="403C3C91">
            <w:pPr>
              <w:pStyle w:val="46"/>
              <w:jc w:val="center"/>
              <w:rPr>
                <w:i w:val="0"/>
                <w:iCs w:val="0"/>
                <w:color w:val="auto"/>
                <w:highlight w:val="none"/>
              </w:rPr>
            </w:pPr>
          </w:p>
        </w:tc>
        <w:tc>
          <w:tcPr>
            <w:tcW w:w="1815" w:type="dxa"/>
            <w:vAlign w:val="center"/>
          </w:tcPr>
          <w:p w14:paraId="3BDB609C">
            <w:pPr>
              <w:pStyle w:val="46"/>
              <w:jc w:val="center"/>
              <w:rPr>
                <w:i w:val="0"/>
                <w:iCs w:val="0"/>
                <w:color w:val="auto"/>
                <w:highlight w:val="none"/>
              </w:rPr>
            </w:pPr>
          </w:p>
        </w:tc>
        <w:tc>
          <w:tcPr>
            <w:tcW w:w="1277" w:type="dxa"/>
            <w:vAlign w:val="center"/>
          </w:tcPr>
          <w:p w14:paraId="09728172">
            <w:pPr>
              <w:pStyle w:val="46"/>
              <w:jc w:val="center"/>
              <w:rPr>
                <w:i w:val="0"/>
                <w:iCs w:val="0"/>
                <w:color w:val="auto"/>
                <w:highlight w:val="none"/>
              </w:rPr>
            </w:pPr>
          </w:p>
        </w:tc>
        <w:tc>
          <w:tcPr>
            <w:tcW w:w="816" w:type="dxa"/>
            <w:vAlign w:val="center"/>
          </w:tcPr>
          <w:p w14:paraId="76A768A0">
            <w:pPr>
              <w:pStyle w:val="46"/>
              <w:jc w:val="center"/>
              <w:rPr>
                <w:i w:val="0"/>
                <w:iCs w:val="0"/>
                <w:color w:val="auto"/>
                <w:highlight w:val="none"/>
              </w:rPr>
            </w:pPr>
          </w:p>
        </w:tc>
      </w:tr>
      <w:tr w14:paraId="1B745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9E1F0BD">
            <w:pPr>
              <w:pStyle w:val="46"/>
              <w:jc w:val="center"/>
              <w:rPr>
                <w:i w:val="0"/>
                <w:iCs w:val="0"/>
                <w:color w:val="auto"/>
                <w:highlight w:val="none"/>
              </w:rPr>
            </w:pPr>
            <w:bookmarkStart w:id="734" w:name="_Toc99533293"/>
            <w:bookmarkStart w:id="735" w:name="_Toc100090785"/>
            <w:r>
              <w:rPr>
                <w:rFonts w:hint="eastAsia"/>
                <w:i w:val="0"/>
                <w:iCs w:val="0"/>
                <w:color w:val="auto"/>
                <w:highlight w:val="none"/>
              </w:rPr>
              <w:t>2</w:t>
            </w:r>
            <w:bookmarkEnd w:id="734"/>
            <w:bookmarkEnd w:id="735"/>
          </w:p>
        </w:tc>
        <w:tc>
          <w:tcPr>
            <w:tcW w:w="1143" w:type="dxa"/>
            <w:vAlign w:val="center"/>
          </w:tcPr>
          <w:p w14:paraId="6EAD4E38">
            <w:pPr>
              <w:pStyle w:val="46"/>
              <w:jc w:val="center"/>
              <w:rPr>
                <w:i w:val="0"/>
                <w:iCs w:val="0"/>
                <w:color w:val="auto"/>
                <w:highlight w:val="none"/>
              </w:rPr>
            </w:pPr>
          </w:p>
        </w:tc>
        <w:tc>
          <w:tcPr>
            <w:tcW w:w="1334" w:type="dxa"/>
            <w:tcBorders>
              <w:right w:val="single" w:color="auto" w:sz="4" w:space="0"/>
            </w:tcBorders>
            <w:vAlign w:val="center"/>
          </w:tcPr>
          <w:p w14:paraId="3CF94FE4">
            <w:pPr>
              <w:pStyle w:val="46"/>
              <w:jc w:val="center"/>
              <w:rPr>
                <w:i w:val="0"/>
                <w:iCs w:val="0"/>
                <w:color w:val="auto"/>
                <w:highlight w:val="none"/>
              </w:rPr>
            </w:pPr>
          </w:p>
        </w:tc>
        <w:tc>
          <w:tcPr>
            <w:tcW w:w="1188" w:type="dxa"/>
            <w:tcBorders>
              <w:left w:val="single" w:color="auto" w:sz="4" w:space="0"/>
            </w:tcBorders>
            <w:vAlign w:val="center"/>
          </w:tcPr>
          <w:p w14:paraId="194E0865">
            <w:pPr>
              <w:pStyle w:val="46"/>
              <w:jc w:val="center"/>
              <w:rPr>
                <w:i w:val="0"/>
                <w:iCs w:val="0"/>
                <w:color w:val="auto"/>
                <w:highlight w:val="none"/>
              </w:rPr>
            </w:pPr>
          </w:p>
        </w:tc>
        <w:tc>
          <w:tcPr>
            <w:tcW w:w="816" w:type="dxa"/>
            <w:tcBorders>
              <w:left w:val="single" w:color="auto" w:sz="4" w:space="0"/>
            </w:tcBorders>
            <w:vAlign w:val="center"/>
          </w:tcPr>
          <w:p w14:paraId="76D19FEB">
            <w:pPr>
              <w:pStyle w:val="46"/>
              <w:jc w:val="center"/>
              <w:rPr>
                <w:i w:val="0"/>
                <w:iCs w:val="0"/>
                <w:color w:val="auto"/>
                <w:highlight w:val="none"/>
              </w:rPr>
            </w:pPr>
          </w:p>
        </w:tc>
        <w:tc>
          <w:tcPr>
            <w:tcW w:w="1815" w:type="dxa"/>
            <w:vAlign w:val="center"/>
          </w:tcPr>
          <w:p w14:paraId="42875AB6">
            <w:pPr>
              <w:pStyle w:val="46"/>
              <w:jc w:val="center"/>
              <w:rPr>
                <w:i w:val="0"/>
                <w:iCs w:val="0"/>
                <w:color w:val="auto"/>
                <w:highlight w:val="none"/>
              </w:rPr>
            </w:pPr>
          </w:p>
        </w:tc>
        <w:tc>
          <w:tcPr>
            <w:tcW w:w="1277" w:type="dxa"/>
            <w:vAlign w:val="center"/>
          </w:tcPr>
          <w:p w14:paraId="5CD968CA">
            <w:pPr>
              <w:pStyle w:val="46"/>
              <w:jc w:val="center"/>
              <w:rPr>
                <w:i w:val="0"/>
                <w:iCs w:val="0"/>
                <w:color w:val="auto"/>
                <w:highlight w:val="none"/>
              </w:rPr>
            </w:pPr>
          </w:p>
        </w:tc>
        <w:tc>
          <w:tcPr>
            <w:tcW w:w="816" w:type="dxa"/>
            <w:vAlign w:val="center"/>
          </w:tcPr>
          <w:p w14:paraId="1528AD30">
            <w:pPr>
              <w:pStyle w:val="46"/>
              <w:jc w:val="center"/>
              <w:rPr>
                <w:i w:val="0"/>
                <w:iCs w:val="0"/>
                <w:color w:val="auto"/>
                <w:highlight w:val="none"/>
              </w:rPr>
            </w:pPr>
          </w:p>
        </w:tc>
      </w:tr>
      <w:tr w14:paraId="6E223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9869B42">
            <w:pPr>
              <w:pStyle w:val="46"/>
              <w:jc w:val="center"/>
              <w:rPr>
                <w:i w:val="0"/>
                <w:iCs w:val="0"/>
                <w:color w:val="auto"/>
                <w:highlight w:val="none"/>
              </w:rPr>
            </w:pPr>
            <w:bookmarkStart w:id="736" w:name="_Toc99533294"/>
            <w:bookmarkStart w:id="737" w:name="_Toc100090786"/>
            <w:r>
              <w:rPr>
                <w:rFonts w:hint="eastAsia"/>
                <w:i w:val="0"/>
                <w:iCs w:val="0"/>
                <w:color w:val="auto"/>
                <w:highlight w:val="none"/>
              </w:rPr>
              <w:t>3</w:t>
            </w:r>
            <w:bookmarkEnd w:id="736"/>
            <w:bookmarkEnd w:id="737"/>
          </w:p>
        </w:tc>
        <w:tc>
          <w:tcPr>
            <w:tcW w:w="1143" w:type="dxa"/>
            <w:vAlign w:val="center"/>
          </w:tcPr>
          <w:p w14:paraId="4F647092">
            <w:pPr>
              <w:pStyle w:val="46"/>
              <w:jc w:val="center"/>
              <w:rPr>
                <w:i w:val="0"/>
                <w:iCs w:val="0"/>
                <w:color w:val="auto"/>
                <w:highlight w:val="none"/>
              </w:rPr>
            </w:pPr>
          </w:p>
        </w:tc>
        <w:tc>
          <w:tcPr>
            <w:tcW w:w="1334" w:type="dxa"/>
            <w:tcBorders>
              <w:right w:val="single" w:color="auto" w:sz="4" w:space="0"/>
            </w:tcBorders>
            <w:vAlign w:val="center"/>
          </w:tcPr>
          <w:p w14:paraId="721B9540">
            <w:pPr>
              <w:pStyle w:val="46"/>
              <w:jc w:val="center"/>
              <w:rPr>
                <w:i w:val="0"/>
                <w:iCs w:val="0"/>
                <w:color w:val="auto"/>
                <w:highlight w:val="none"/>
              </w:rPr>
            </w:pPr>
          </w:p>
        </w:tc>
        <w:tc>
          <w:tcPr>
            <w:tcW w:w="1188" w:type="dxa"/>
            <w:tcBorders>
              <w:left w:val="single" w:color="auto" w:sz="4" w:space="0"/>
            </w:tcBorders>
            <w:vAlign w:val="center"/>
          </w:tcPr>
          <w:p w14:paraId="070656BE">
            <w:pPr>
              <w:pStyle w:val="46"/>
              <w:jc w:val="center"/>
              <w:rPr>
                <w:i w:val="0"/>
                <w:iCs w:val="0"/>
                <w:color w:val="auto"/>
                <w:highlight w:val="none"/>
              </w:rPr>
            </w:pPr>
          </w:p>
        </w:tc>
        <w:tc>
          <w:tcPr>
            <w:tcW w:w="816" w:type="dxa"/>
            <w:tcBorders>
              <w:left w:val="single" w:color="auto" w:sz="4" w:space="0"/>
            </w:tcBorders>
            <w:vAlign w:val="center"/>
          </w:tcPr>
          <w:p w14:paraId="29C26F3A">
            <w:pPr>
              <w:pStyle w:val="46"/>
              <w:jc w:val="center"/>
              <w:rPr>
                <w:i w:val="0"/>
                <w:iCs w:val="0"/>
                <w:color w:val="auto"/>
                <w:highlight w:val="none"/>
              </w:rPr>
            </w:pPr>
          </w:p>
        </w:tc>
        <w:tc>
          <w:tcPr>
            <w:tcW w:w="1815" w:type="dxa"/>
            <w:vAlign w:val="center"/>
          </w:tcPr>
          <w:p w14:paraId="2A300911">
            <w:pPr>
              <w:pStyle w:val="46"/>
              <w:jc w:val="center"/>
              <w:rPr>
                <w:i w:val="0"/>
                <w:iCs w:val="0"/>
                <w:color w:val="auto"/>
                <w:highlight w:val="none"/>
              </w:rPr>
            </w:pPr>
          </w:p>
        </w:tc>
        <w:tc>
          <w:tcPr>
            <w:tcW w:w="1277" w:type="dxa"/>
            <w:vAlign w:val="center"/>
          </w:tcPr>
          <w:p w14:paraId="442A0B83">
            <w:pPr>
              <w:pStyle w:val="46"/>
              <w:jc w:val="center"/>
              <w:rPr>
                <w:i w:val="0"/>
                <w:iCs w:val="0"/>
                <w:color w:val="auto"/>
                <w:highlight w:val="none"/>
              </w:rPr>
            </w:pPr>
          </w:p>
        </w:tc>
        <w:tc>
          <w:tcPr>
            <w:tcW w:w="816" w:type="dxa"/>
            <w:vAlign w:val="center"/>
          </w:tcPr>
          <w:p w14:paraId="7425FCC3">
            <w:pPr>
              <w:pStyle w:val="46"/>
              <w:jc w:val="center"/>
              <w:rPr>
                <w:i w:val="0"/>
                <w:iCs w:val="0"/>
                <w:color w:val="auto"/>
                <w:highlight w:val="none"/>
              </w:rPr>
            </w:pPr>
          </w:p>
        </w:tc>
      </w:tr>
      <w:tr w14:paraId="6879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7" w:hRule="atLeast"/>
        </w:trPr>
        <w:tc>
          <w:tcPr>
            <w:tcW w:w="773" w:type="dxa"/>
            <w:vAlign w:val="center"/>
          </w:tcPr>
          <w:p w14:paraId="18722BAC">
            <w:pPr>
              <w:pStyle w:val="46"/>
              <w:jc w:val="center"/>
              <w:rPr>
                <w:i w:val="0"/>
                <w:iCs w:val="0"/>
                <w:color w:val="auto"/>
                <w:highlight w:val="none"/>
              </w:rPr>
            </w:pPr>
            <w:bookmarkStart w:id="738" w:name="_Toc100090787"/>
            <w:bookmarkStart w:id="739" w:name="_Toc99533295"/>
            <w:r>
              <w:rPr>
                <w:rFonts w:hint="eastAsia"/>
                <w:i w:val="0"/>
                <w:iCs w:val="0"/>
                <w:color w:val="auto"/>
                <w:highlight w:val="none"/>
              </w:rPr>
              <w:t>4</w:t>
            </w:r>
            <w:bookmarkEnd w:id="738"/>
            <w:bookmarkEnd w:id="739"/>
          </w:p>
        </w:tc>
        <w:tc>
          <w:tcPr>
            <w:tcW w:w="1143" w:type="dxa"/>
            <w:vAlign w:val="center"/>
          </w:tcPr>
          <w:p w14:paraId="1B812309">
            <w:pPr>
              <w:pStyle w:val="46"/>
              <w:jc w:val="center"/>
              <w:rPr>
                <w:i w:val="0"/>
                <w:iCs w:val="0"/>
                <w:color w:val="auto"/>
                <w:highlight w:val="none"/>
              </w:rPr>
            </w:pPr>
          </w:p>
        </w:tc>
        <w:tc>
          <w:tcPr>
            <w:tcW w:w="1334" w:type="dxa"/>
            <w:tcBorders>
              <w:right w:val="single" w:color="auto" w:sz="4" w:space="0"/>
            </w:tcBorders>
            <w:vAlign w:val="center"/>
          </w:tcPr>
          <w:p w14:paraId="6BDFC0EC">
            <w:pPr>
              <w:pStyle w:val="46"/>
              <w:jc w:val="center"/>
              <w:rPr>
                <w:i w:val="0"/>
                <w:iCs w:val="0"/>
                <w:color w:val="auto"/>
                <w:highlight w:val="none"/>
              </w:rPr>
            </w:pPr>
          </w:p>
        </w:tc>
        <w:tc>
          <w:tcPr>
            <w:tcW w:w="1188" w:type="dxa"/>
            <w:tcBorders>
              <w:left w:val="single" w:color="auto" w:sz="4" w:space="0"/>
            </w:tcBorders>
            <w:vAlign w:val="center"/>
          </w:tcPr>
          <w:p w14:paraId="22C9E970">
            <w:pPr>
              <w:pStyle w:val="46"/>
              <w:jc w:val="center"/>
              <w:rPr>
                <w:i w:val="0"/>
                <w:iCs w:val="0"/>
                <w:color w:val="auto"/>
                <w:highlight w:val="none"/>
              </w:rPr>
            </w:pPr>
          </w:p>
        </w:tc>
        <w:tc>
          <w:tcPr>
            <w:tcW w:w="816" w:type="dxa"/>
            <w:tcBorders>
              <w:left w:val="single" w:color="auto" w:sz="4" w:space="0"/>
            </w:tcBorders>
            <w:vAlign w:val="center"/>
          </w:tcPr>
          <w:p w14:paraId="4C5CDD3D">
            <w:pPr>
              <w:pStyle w:val="46"/>
              <w:jc w:val="center"/>
              <w:rPr>
                <w:i w:val="0"/>
                <w:iCs w:val="0"/>
                <w:color w:val="auto"/>
                <w:highlight w:val="none"/>
              </w:rPr>
            </w:pPr>
          </w:p>
        </w:tc>
        <w:tc>
          <w:tcPr>
            <w:tcW w:w="1815" w:type="dxa"/>
            <w:vAlign w:val="center"/>
          </w:tcPr>
          <w:p w14:paraId="612FD0B4">
            <w:pPr>
              <w:pStyle w:val="46"/>
              <w:jc w:val="center"/>
              <w:rPr>
                <w:i w:val="0"/>
                <w:iCs w:val="0"/>
                <w:color w:val="auto"/>
                <w:highlight w:val="none"/>
              </w:rPr>
            </w:pPr>
          </w:p>
        </w:tc>
        <w:tc>
          <w:tcPr>
            <w:tcW w:w="1277" w:type="dxa"/>
            <w:vAlign w:val="center"/>
          </w:tcPr>
          <w:p w14:paraId="3178D2DA">
            <w:pPr>
              <w:pStyle w:val="46"/>
              <w:jc w:val="center"/>
              <w:rPr>
                <w:i w:val="0"/>
                <w:iCs w:val="0"/>
                <w:color w:val="auto"/>
                <w:highlight w:val="none"/>
              </w:rPr>
            </w:pPr>
          </w:p>
        </w:tc>
        <w:tc>
          <w:tcPr>
            <w:tcW w:w="816" w:type="dxa"/>
            <w:vAlign w:val="center"/>
          </w:tcPr>
          <w:p w14:paraId="6E00B346">
            <w:pPr>
              <w:pStyle w:val="46"/>
              <w:jc w:val="center"/>
              <w:rPr>
                <w:i w:val="0"/>
                <w:iCs w:val="0"/>
                <w:color w:val="auto"/>
                <w:highlight w:val="none"/>
              </w:rPr>
            </w:pPr>
          </w:p>
        </w:tc>
      </w:tr>
      <w:tr w14:paraId="5048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9852D11">
            <w:pPr>
              <w:pStyle w:val="46"/>
              <w:jc w:val="center"/>
              <w:rPr>
                <w:i w:val="0"/>
                <w:iCs w:val="0"/>
                <w:color w:val="auto"/>
                <w:highlight w:val="none"/>
              </w:rPr>
            </w:pPr>
            <w:bookmarkStart w:id="740" w:name="_Toc100090788"/>
            <w:bookmarkStart w:id="741" w:name="_Toc99533296"/>
            <w:r>
              <w:rPr>
                <w:rFonts w:hint="eastAsia"/>
                <w:i w:val="0"/>
                <w:iCs w:val="0"/>
                <w:color w:val="auto"/>
                <w:highlight w:val="none"/>
              </w:rPr>
              <w:t>5</w:t>
            </w:r>
            <w:bookmarkEnd w:id="740"/>
            <w:bookmarkEnd w:id="741"/>
          </w:p>
        </w:tc>
        <w:tc>
          <w:tcPr>
            <w:tcW w:w="1143" w:type="dxa"/>
            <w:vAlign w:val="center"/>
          </w:tcPr>
          <w:p w14:paraId="5B7E7829">
            <w:pPr>
              <w:pStyle w:val="46"/>
              <w:jc w:val="center"/>
              <w:rPr>
                <w:i w:val="0"/>
                <w:iCs w:val="0"/>
                <w:color w:val="auto"/>
                <w:highlight w:val="none"/>
              </w:rPr>
            </w:pPr>
          </w:p>
        </w:tc>
        <w:tc>
          <w:tcPr>
            <w:tcW w:w="1334" w:type="dxa"/>
            <w:tcBorders>
              <w:right w:val="single" w:color="auto" w:sz="4" w:space="0"/>
            </w:tcBorders>
            <w:vAlign w:val="center"/>
          </w:tcPr>
          <w:p w14:paraId="64924D06">
            <w:pPr>
              <w:pStyle w:val="46"/>
              <w:jc w:val="center"/>
              <w:rPr>
                <w:i w:val="0"/>
                <w:iCs w:val="0"/>
                <w:color w:val="auto"/>
                <w:highlight w:val="none"/>
              </w:rPr>
            </w:pPr>
          </w:p>
        </w:tc>
        <w:tc>
          <w:tcPr>
            <w:tcW w:w="1188" w:type="dxa"/>
            <w:tcBorders>
              <w:left w:val="single" w:color="auto" w:sz="4" w:space="0"/>
            </w:tcBorders>
            <w:vAlign w:val="center"/>
          </w:tcPr>
          <w:p w14:paraId="732FB5A2">
            <w:pPr>
              <w:pStyle w:val="46"/>
              <w:jc w:val="center"/>
              <w:rPr>
                <w:i w:val="0"/>
                <w:iCs w:val="0"/>
                <w:color w:val="auto"/>
                <w:highlight w:val="none"/>
              </w:rPr>
            </w:pPr>
          </w:p>
        </w:tc>
        <w:tc>
          <w:tcPr>
            <w:tcW w:w="816" w:type="dxa"/>
            <w:tcBorders>
              <w:left w:val="single" w:color="auto" w:sz="4" w:space="0"/>
            </w:tcBorders>
            <w:vAlign w:val="center"/>
          </w:tcPr>
          <w:p w14:paraId="1836A496">
            <w:pPr>
              <w:pStyle w:val="46"/>
              <w:jc w:val="center"/>
              <w:rPr>
                <w:i w:val="0"/>
                <w:iCs w:val="0"/>
                <w:color w:val="auto"/>
                <w:highlight w:val="none"/>
              </w:rPr>
            </w:pPr>
          </w:p>
        </w:tc>
        <w:tc>
          <w:tcPr>
            <w:tcW w:w="1815" w:type="dxa"/>
            <w:vAlign w:val="center"/>
          </w:tcPr>
          <w:p w14:paraId="1CA75C62">
            <w:pPr>
              <w:pStyle w:val="46"/>
              <w:jc w:val="center"/>
              <w:rPr>
                <w:i w:val="0"/>
                <w:iCs w:val="0"/>
                <w:color w:val="auto"/>
                <w:highlight w:val="none"/>
              </w:rPr>
            </w:pPr>
          </w:p>
        </w:tc>
        <w:tc>
          <w:tcPr>
            <w:tcW w:w="1277" w:type="dxa"/>
            <w:vAlign w:val="center"/>
          </w:tcPr>
          <w:p w14:paraId="1E804439">
            <w:pPr>
              <w:pStyle w:val="46"/>
              <w:jc w:val="center"/>
              <w:rPr>
                <w:i w:val="0"/>
                <w:iCs w:val="0"/>
                <w:color w:val="auto"/>
                <w:highlight w:val="none"/>
              </w:rPr>
            </w:pPr>
          </w:p>
        </w:tc>
        <w:tc>
          <w:tcPr>
            <w:tcW w:w="816" w:type="dxa"/>
            <w:vAlign w:val="center"/>
          </w:tcPr>
          <w:p w14:paraId="4C68F796">
            <w:pPr>
              <w:pStyle w:val="46"/>
              <w:jc w:val="center"/>
              <w:rPr>
                <w:i w:val="0"/>
                <w:iCs w:val="0"/>
                <w:color w:val="auto"/>
                <w:highlight w:val="none"/>
              </w:rPr>
            </w:pPr>
          </w:p>
        </w:tc>
      </w:tr>
      <w:tr w14:paraId="042AB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51F692E2">
            <w:pPr>
              <w:pStyle w:val="46"/>
              <w:jc w:val="center"/>
              <w:rPr>
                <w:i w:val="0"/>
                <w:iCs w:val="0"/>
                <w:color w:val="auto"/>
                <w:highlight w:val="none"/>
              </w:rPr>
            </w:pPr>
            <w:bookmarkStart w:id="742" w:name="_Toc100090789"/>
            <w:bookmarkStart w:id="743" w:name="_Toc99533297"/>
            <w:r>
              <w:rPr>
                <w:rFonts w:hint="eastAsia"/>
                <w:i w:val="0"/>
                <w:iCs w:val="0"/>
                <w:color w:val="auto"/>
                <w:highlight w:val="none"/>
              </w:rPr>
              <w:t>6</w:t>
            </w:r>
            <w:bookmarkEnd w:id="742"/>
            <w:bookmarkEnd w:id="743"/>
          </w:p>
        </w:tc>
        <w:tc>
          <w:tcPr>
            <w:tcW w:w="1143" w:type="dxa"/>
            <w:vAlign w:val="center"/>
          </w:tcPr>
          <w:p w14:paraId="1DC128CC">
            <w:pPr>
              <w:pStyle w:val="46"/>
              <w:jc w:val="center"/>
              <w:rPr>
                <w:i w:val="0"/>
                <w:iCs w:val="0"/>
                <w:color w:val="auto"/>
                <w:highlight w:val="none"/>
              </w:rPr>
            </w:pPr>
          </w:p>
        </w:tc>
        <w:tc>
          <w:tcPr>
            <w:tcW w:w="1334" w:type="dxa"/>
            <w:tcBorders>
              <w:right w:val="single" w:color="auto" w:sz="4" w:space="0"/>
            </w:tcBorders>
            <w:vAlign w:val="center"/>
          </w:tcPr>
          <w:p w14:paraId="27634594">
            <w:pPr>
              <w:pStyle w:val="46"/>
              <w:jc w:val="center"/>
              <w:rPr>
                <w:i w:val="0"/>
                <w:iCs w:val="0"/>
                <w:color w:val="auto"/>
                <w:highlight w:val="none"/>
              </w:rPr>
            </w:pPr>
          </w:p>
        </w:tc>
        <w:tc>
          <w:tcPr>
            <w:tcW w:w="1188" w:type="dxa"/>
            <w:tcBorders>
              <w:left w:val="single" w:color="auto" w:sz="4" w:space="0"/>
            </w:tcBorders>
            <w:vAlign w:val="center"/>
          </w:tcPr>
          <w:p w14:paraId="3F600965">
            <w:pPr>
              <w:pStyle w:val="46"/>
              <w:jc w:val="center"/>
              <w:rPr>
                <w:i w:val="0"/>
                <w:iCs w:val="0"/>
                <w:color w:val="auto"/>
                <w:highlight w:val="none"/>
              </w:rPr>
            </w:pPr>
          </w:p>
        </w:tc>
        <w:tc>
          <w:tcPr>
            <w:tcW w:w="816" w:type="dxa"/>
            <w:tcBorders>
              <w:left w:val="single" w:color="auto" w:sz="4" w:space="0"/>
            </w:tcBorders>
            <w:vAlign w:val="center"/>
          </w:tcPr>
          <w:p w14:paraId="73FF140B">
            <w:pPr>
              <w:pStyle w:val="46"/>
              <w:jc w:val="center"/>
              <w:rPr>
                <w:i w:val="0"/>
                <w:iCs w:val="0"/>
                <w:color w:val="auto"/>
                <w:highlight w:val="none"/>
              </w:rPr>
            </w:pPr>
          </w:p>
        </w:tc>
        <w:tc>
          <w:tcPr>
            <w:tcW w:w="1815" w:type="dxa"/>
            <w:vAlign w:val="center"/>
          </w:tcPr>
          <w:p w14:paraId="302B578C">
            <w:pPr>
              <w:pStyle w:val="46"/>
              <w:jc w:val="center"/>
              <w:rPr>
                <w:i w:val="0"/>
                <w:iCs w:val="0"/>
                <w:color w:val="auto"/>
                <w:highlight w:val="none"/>
              </w:rPr>
            </w:pPr>
          </w:p>
        </w:tc>
        <w:tc>
          <w:tcPr>
            <w:tcW w:w="1277" w:type="dxa"/>
            <w:vAlign w:val="center"/>
          </w:tcPr>
          <w:p w14:paraId="7E2F7D57">
            <w:pPr>
              <w:pStyle w:val="46"/>
              <w:jc w:val="center"/>
              <w:rPr>
                <w:i w:val="0"/>
                <w:iCs w:val="0"/>
                <w:color w:val="auto"/>
                <w:highlight w:val="none"/>
              </w:rPr>
            </w:pPr>
          </w:p>
        </w:tc>
        <w:tc>
          <w:tcPr>
            <w:tcW w:w="816" w:type="dxa"/>
            <w:vAlign w:val="center"/>
          </w:tcPr>
          <w:p w14:paraId="5B9CE425">
            <w:pPr>
              <w:pStyle w:val="46"/>
              <w:jc w:val="center"/>
              <w:rPr>
                <w:i w:val="0"/>
                <w:iCs w:val="0"/>
                <w:color w:val="auto"/>
                <w:highlight w:val="none"/>
              </w:rPr>
            </w:pPr>
          </w:p>
        </w:tc>
      </w:tr>
      <w:tr w14:paraId="43568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9AB3A64">
            <w:pPr>
              <w:pStyle w:val="46"/>
              <w:jc w:val="center"/>
              <w:rPr>
                <w:i w:val="0"/>
                <w:iCs w:val="0"/>
                <w:color w:val="auto"/>
                <w:highlight w:val="none"/>
              </w:rPr>
            </w:pPr>
            <w:bookmarkStart w:id="744" w:name="_Toc99533298"/>
            <w:bookmarkStart w:id="745" w:name="_Toc100090790"/>
            <w:r>
              <w:rPr>
                <w:rFonts w:hint="eastAsia"/>
                <w:i w:val="0"/>
                <w:iCs w:val="0"/>
                <w:color w:val="auto"/>
                <w:highlight w:val="none"/>
              </w:rPr>
              <w:t>7</w:t>
            </w:r>
            <w:bookmarkEnd w:id="744"/>
            <w:bookmarkEnd w:id="745"/>
          </w:p>
        </w:tc>
        <w:tc>
          <w:tcPr>
            <w:tcW w:w="1143" w:type="dxa"/>
            <w:vAlign w:val="center"/>
          </w:tcPr>
          <w:p w14:paraId="2E2305CD">
            <w:pPr>
              <w:pStyle w:val="46"/>
              <w:jc w:val="center"/>
              <w:rPr>
                <w:i w:val="0"/>
                <w:iCs w:val="0"/>
                <w:color w:val="auto"/>
                <w:highlight w:val="none"/>
              </w:rPr>
            </w:pPr>
          </w:p>
        </w:tc>
        <w:tc>
          <w:tcPr>
            <w:tcW w:w="1334" w:type="dxa"/>
            <w:tcBorders>
              <w:right w:val="single" w:color="auto" w:sz="4" w:space="0"/>
            </w:tcBorders>
            <w:vAlign w:val="center"/>
          </w:tcPr>
          <w:p w14:paraId="12C4C629">
            <w:pPr>
              <w:pStyle w:val="46"/>
              <w:jc w:val="center"/>
              <w:rPr>
                <w:i w:val="0"/>
                <w:iCs w:val="0"/>
                <w:color w:val="auto"/>
                <w:highlight w:val="none"/>
              </w:rPr>
            </w:pPr>
          </w:p>
        </w:tc>
        <w:tc>
          <w:tcPr>
            <w:tcW w:w="1188" w:type="dxa"/>
            <w:tcBorders>
              <w:left w:val="single" w:color="auto" w:sz="4" w:space="0"/>
            </w:tcBorders>
            <w:vAlign w:val="center"/>
          </w:tcPr>
          <w:p w14:paraId="12836729">
            <w:pPr>
              <w:pStyle w:val="46"/>
              <w:jc w:val="center"/>
              <w:rPr>
                <w:i w:val="0"/>
                <w:iCs w:val="0"/>
                <w:color w:val="auto"/>
                <w:highlight w:val="none"/>
              </w:rPr>
            </w:pPr>
          </w:p>
        </w:tc>
        <w:tc>
          <w:tcPr>
            <w:tcW w:w="816" w:type="dxa"/>
            <w:tcBorders>
              <w:left w:val="single" w:color="auto" w:sz="4" w:space="0"/>
            </w:tcBorders>
            <w:vAlign w:val="center"/>
          </w:tcPr>
          <w:p w14:paraId="3A761A55">
            <w:pPr>
              <w:pStyle w:val="46"/>
              <w:jc w:val="center"/>
              <w:rPr>
                <w:i w:val="0"/>
                <w:iCs w:val="0"/>
                <w:color w:val="auto"/>
                <w:highlight w:val="none"/>
              </w:rPr>
            </w:pPr>
          </w:p>
        </w:tc>
        <w:tc>
          <w:tcPr>
            <w:tcW w:w="1815" w:type="dxa"/>
            <w:vAlign w:val="center"/>
          </w:tcPr>
          <w:p w14:paraId="05A8DC40">
            <w:pPr>
              <w:pStyle w:val="46"/>
              <w:jc w:val="center"/>
              <w:rPr>
                <w:i w:val="0"/>
                <w:iCs w:val="0"/>
                <w:color w:val="auto"/>
                <w:highlight w:val="none"/>
              </w:rPr>
            </w:pPr>
          </w:p>
        </w:tc>
        <w:tc>
          <w:tcPr>
            <w:tcW w:w="1277" w:type="dxa"/>
            <w:vAlign w:val="center"/>
          </w:tcPr>
          <w:p w14:paraId="3829CE10">
            <w:pPr>
              <w:pStyle w:val="46"/>
              <w:jc w:val="center"/>
              <w:rPr>
                <w:i w:val="0"/>
                <w:iCs w:val="0"/>
                <w:color w:val="auto"/>
                <w:highlight w:val="none"/>
              </w:rPr>
            </w:pPr>
          </w:p>
        </w:tc>
        <w:tc>
          <w:tcPr>
            <w:tcW w:w="816" w:type="dxa"/>
            <w:vAlign w:val="center"/>
          </w:tcPr>
          <w:p w14:paraId="1DC19827">
            <w:pPr>
              <w:pStyle w:val="46"/>
              <w:jc w:val="center"/>
              <w:rPr>
                <w:i w:val="0"/>
                <w:iCs w:val="0"/>
                <w:color w:val="auto"/>
                <w:highlight w:val="none"/>
              </w:rPr>
            </w:pPr>
          </w:p>
        </w:tc>
      </w:tr>
      <w:tr w14:paraId="750A4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D81535E">
            <w:pPr>
              <w:pStyle w:val="46"/>
              <w:jc w:val="center"/>
              <w:rPr>
                <w:i w:val="0"/>
                <w:iCs w:val="0"/>
                <w:color w:val="auto"/>
                <w:highlight w:val="none"/>
              </w:rPr>
            </w:pPr>
            <w:bookmarkStart w:id="746" w:name="_Toc100090791"/>
            <w:bookmarkStart w:id="747" w:name="_Toc99533299"/>
            <w:r>
              <w:rPr>
                <w:rFonts w:hint="eastAsia"/>
                <w:i w:val="0"/>
                <w:iCs w:val="0"/>
                <w:color w:val="auto"/>
                <w:highlight w:val="none"/>
              </w:rPr>
              <w:t>8</w:t>
            </w:r>
            <w:bookmarkEnd w:id="746"/>
            <w:bookmarkEnd w:id="747"/>
          </w:p>
        </w:tc>
        <w:tc>
          <w:tcPr>
            <w:tcW w:w="1143" w:type="dxa"/>
            <w:vAlign w:val="center"/>
          </w:tcPr>
          <w:p w14:paraId="1DDFABCF">
            <w:pPr>
              <w:pStyle w:val="46"/>
              <w:jc w:val="center"/>
              <w:rPr>
                <w:i w:val="0"/>
                <w:iCs w:val="0"/>
                <w:color w:val="auto"/>
                <w:highlight w:val="none"/>
              </w:rPr>
            </w:pPr>
          </w:p>
        </w:tc>
        <w:tc>
          <w:tcPr>
            <w:tcW w:w="1334" w:type="dxa"/>
            <w:tcBorders>
              <w:right w:val="single" w:color="auto" w:sz="4" w:space="0"/>
            </w:tcBorders>
            <w:vAlign w:val="center"/>
          </w:tcPr>
          <w:p w14:paraId="5E162308">
            <w:pPr>
              <w:pStyle w:val="46"/>
              <w:jc w:val="center"/>
              <w:rPr>
                <w:i w:val="0"/>
                <w:iCs w:val="0"/>
                <w:color w:val="auto"/>
                <w:highlight w:val="none"/>
              </w:rPr>
            </w:pPr>
          </w:p>
        </w:tc>
        <w:tc>
          <w:tcPr>
            <w:tcW w:w="1188" w:type="dxa"/>
            <w:tcBorders>
              <w:left w:val="single" w:color="auto" w:sz="4" w:space="0"/>
            </w:tcBorders>
            <w:vAlign w:val="center"/>
          </w:tcPr>
          <w:p w14:paraId="20322021">
            <w:pPr>
              <w:pStyle w:val="46"/>
              <w:jc w:val="center"/>
              <w:rPr>
                <w:i w:val="0"/>
                <w:iCs w:val="0"/>
                <w:color w:val="auto"/>
                <w:highlight w:val="none"/>
              </w:rPr>
            </w:pPr>
          </w:p>
        </w:tc>
        <w:tc>
          <w:tcPr>
            <w:tcW w:w="816" w:type="dxa"/>
            <w:tcBorders>
              <w:left w:val="single" w:color="auto" w:sz="4" w:space="0"/>
            </w:tcBorders>
            <w:vAlign w:val="center"/>
          </w:tcPr>
          <w:p w14:paraId="72151533">
            <w:pPr>
              <w:pStyle w:val="46"/>
              <w:jc w:val="center"/>
              <w:rPr>
                <w:i w:val="0"/>
                <w:iCs w:val="0"/>
                <w:color w:val="auto"/>
                <w:highlight w:val="none"/>
              </w:rPr>
            </w:pPr>
          </w:p>
        </w:tc>
        <w:tc>
          <w:tcPr>
            <w:tcW w:w="1815" w:type="dxa"/>
            <w:vAlign w:val="center"/>
          </w:tcPr>
          <w:p w14:paraId="600DF6C8">
            <w:pPr>
              <w:pStyle w:val="46"/>
              <w:jc w:val="center"/>
              <w:rPr>
                <w:i w:val="0"/>
                <w:iCs w:val="0"/>
                <w:color w:val="auto"/>
                <w:highlight w:val="none"/>
              </w:rPr>
            </w:pPr>
          </w:p>
        </w:tc>
        <w:tc>
          <w:tcPr>
            <w:tcW w:w="1277" w:type="dxa"/>
            <w:vAlign w:val="center"/>
          </w:tcPr>
          <w:p w14:paraId="7A7B9A82">
            <w:pPr>
              <w:pStyle w:val="46"/>
              <w:jc w:val="center"/>
              <w:rPr>
                <w:i w:val="0"/>
                <w:iCs w:val="0"/>
                <w:color w:val="auto"/>
                <w:highlight w:val="none"/>
              </w:rPr>
            </w:pPr>
          </w:p>
        </w:tc>
        <w:tc>
          <w:tcPr>
            <w:tcW w:w="816" w:type="dxa"/>
            <w:vAlign w:val="center"/>
          </w:tcPr>
          <w:p w14:paraId="6C2614C0">
            <w:pPr>
              <w:pStyle w:val="46"/>
              <w:jc w:val="center"/>
              <w:rPr>
                <w:i w:val="0"/>
                <w:iCs w:val="0"/>
                <w:color w:val="auto"/>
                <w:highlight w:val="none"/>
              </w:rPr>
            </w:pPr>
          </w:p>
        </w:tc>
      </w:tr>
      <w:tr w14:paraId="10150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F71A2D9">
            <w:pPr>
              <w:pStyle w:val="46"/>
              <w:jc w:val="center"/>
              <w:rPr>
                <w:i w:val="0"/>
                <w:iCs w:val="0"/>
                <w:color w:val="auto"/>
                <w:highlight w:val="none"/>
              </w:rPr>
            </w:pPr>
            <w:bookmarkStart w:id="748" w:name="_Toc99533300"/>
            <w:bookmarkStart w:id="749" w:name="_Toc100090792"/>
            <w:r>
              <w:rPr>
                <w:rFonts w:hint="eastAsia"/>
                <w:i w:val="0"/>
                <w:iCs w:val="0"/>
                <w:color w:val="auto"/>
                <w:highlight w:val="none"/>
              </w:rPr>
              <w:t>9</w:t>
            </w:r>
            <w:bookmarkEnd w:id="748"/>
            <w:bookmarkEnd w:id="749"/>
          </w:p>
        </w:tc>
        <w:tc>
          <w:tcPr>
            <w:tcW w:w="1143" w:type="dxa"/>
            <w:vAlign w:val="center"/>
          </w:tcPr>
          <w:p w14:paraId="337DC3D2">
            <w:pPr>
              <w:pStyle w:val="46"/>
              <w:jc w:val="center"/>
              <w:rPr>
                <w:i w:val="0"/>
                <w:iCs w:val="0"/>
                <w:color w:val="auto"/>
                <w:highlight w:val="none"/>
              </w:rPr>
            </w:pPr>
          </w:p>
        </w:tc>
        <w:tc>
          <w:tcPr>
            <w:tcW w:w="1334" w:type="dxa"/>
            <w:tcBorders>
              <w:right w:val="single" w:color="auto" w:sz="4" w:space="0"/>
            </w:tcBorders>
            <w:vAlign w:val="center"/>
          </w:tcPr>
          <w:p w14:paraId="7D52DCED">
            <w:pPr>
              <w:pStyle w:val="46"/>
              <w:jc w:val="center"/>
              <w:rPr>
                <w:i w:val="0"/>
                <w:iCs w:val="0"/>
                <w:color w:val="auto"/>
                <w:highlight w:val="none"/>
              </w:rPr>
            </w:pPr>
          </w:p>
        </w:tc>
        <w:tc>
          <w:tcPr>
            <w:tcW w:w="1188" w:type="dxa"/>
            <w:tcBorders>
              <w:left w:val="single" w:color="auto" w:sz="4" w:space="0"/>
            </w:tcBorders>
            <w:vAlign w:val="center"/>
          </w:tcPr>
          <w:p w14:paraId="51CA2603">
            <w:pPr>
              <w:pStyle w:val="46"/>
              <w:jc w:val="center"/>
              <w:rPr>
                <w:i w:val="0"/>
                <w:iCs w:val="0"/>
                <w:color w:val="auto"/>
                <w:highlight w:val="none"/>
              </w:rPr>
            </w:pPr>
          </w:p>
        </w:tc>
        <w:tc>
          <w:tcPr>
            <w:tcW w:w="816" w:type="dxa"/>
            <w:tcBorders>
              <w:left w:val="single" w:color="auto" w:sz="4" w:space="0"/>
            </w:tcBorders>
            <w:vAlign w:val="center"/>
          </w:tcPr>
          <w:p w14:paraId="7F7E67FB">
            <w:pPr>
              <w:pStyle w:val="46"/>
              <w:jc w:val="center"/>
              <w:rPr>
                <w:i w:val="0"/>
                <w:iCs w:val="0"/>
                <w:color w:val="auto"/>
                <w:highlight w:val="none"/>
              </w:rPr>
            </w:pPr>
          </w:p>
        </w:tc>
        <w:tc>
          <w:tcPr>
            <w:tcW w:w="1815" w:type="dxa"/>
            <w:vAlign w:val="center"/>
          </w:tcPr>
          <w:p w14:paraId="2B805583">
            <w:pPr>
              <w:pStyle w:val="46"/>
              <w:jc w:val="center"/>
              <w:rPr>
                <w:i w:val="0"/>
                <w:iCs w:val="0"/>
                <w:color w:val="auto"/>
                <w:highlight w:val="none"/>
              </w:rPr>
            </w:pPr>
          </w:p>
        </w:tc>
        <w:tc>
          <w:tcPr>
            <w:tcW w:w="1277" w:type="dxa"/>
            <w:vAlign w:val="center"/>
          </w:tcPr>
          <w:p w14:paraId="18D19DE8">
            <w:pPr>
              <w:pStyle w:val="46"/>
              <w:jc w:val="center"/>
              <w:rPr>
                <w:i w:val="0"/>
                <w:iCs w:val="0"/>
                <w:color w:val="auto"/>
                <w:highlight w:val="none"/>
              </w:rPr>
            </w:pPr>
          </w:p>
        </w:tc>
        <w:tc>
          <w:tcPr>
            <w:tcW w:w="816" w:type="dxa"/>
            <w:vAlign w:val="center"/>
          </w:tcPr>
          <w:p w14:paraId="225125A1">
            <w:pPr>
              <w:pStyle w:val="46"/>
              <w:jc w:val="center"/>
              <w:rPr>
                <w:i w:val="0"/>
                <w:iCs w:val="0"/>
                <w:color w:val="auto"/>
                <w:highlight w:val="none"/>
              </w:rPr>
            </w:pPr>
          </w:p>
        </w:tc>
      </w:tr>
      <w:tr w14:paraId="36F97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13DAAD3B">
            <w:pPr>
              <w:pStyle w:val="46"/>
              <w:jc w:val="center"/>
              <w:rPr>
                <w:i w:val="0"/>
                <w:iCs w:val="0"/>
                <w:color w:val="auto"/>
                <w:highlight w:val="none"/>
              </w:rPr>
            </w:pPr>
            <w:bookmarkStart w:id="750" w:name="_Toc100090793"/>
            <w:bookmarkStart w:id="751" w:name="_Toc99533301"/>
            <w:r>
              <w:rPr>
                <w:rFonts w:hint="eastAsia"/>
                <w:i w:val="0"/>
                <w:iCs w:val="0"/>
                <w:color w:val="auto"/>
                <w:highlight w:val="none"/>
              </w:rPr>
              <w:t>10</w:t>
            </w:r>
            <w:bookmarkEnd w:id="750"/>
            <w:bookmarkEnd w:id="751"/>
          </w:p>
        </w:tc>
        <w:tc>
          <w:tcPr>
            <w:tcW w:w="1143" w:type="dxa"/>
            <w:vAlign w:val="center"/>
          </w:tcPr>
          <w:p w14:paraId="55B22C5B">
            <w:pPr>
              <w:pStyle w:val="46"/>
              <w:jc w:val="center"/>
              <w:rPr>
                <w:i w:val="0"/>
                <w:iCs w:val="0"/>
                <w:color w:val="auto"/>
                <w:highlight w:val="none"/>
              </w:rPr>
            </w:pPr>
          </w:p>
        </w:tc>
        <w:tc>
          <w:tcPr>
            <w:tcW w:w="1334" w:type="dxa"/>
            <w:tcBorders>
              <w:right w:val="single" w:color="auto" w:sz="4" w:space="0"/>
            </w:tcBorders>
            <w:vAlign w:val="center"/>
          </w:tcPr>
          <w:p w14:paraId="0735224E">
            <w:pPr>
              <w:pStyle w:val="46"/>
              <w:jc w:val="center"/>
              <w:rPr>
                <w:i w:val="0"/>
                <w:iCs w:val="0"/>
                <w:color w:val="auto"/>
                <w:highlight w:val="none"/>
              </w:rPr>
            </w:pPr>
          </w:p>
        </w:tc>
        <w:tc>
          <w:tcPr>
            <w:tcW w:w="1188" w:type="dxa"/>
            <w:tcBorders>
              <w:left w:val="single" w:color="auto" w:sz="4" w:space="0"/>
            </w:tcBorders>
            <w:vAlign w:val="center"/>
          </w:tcPr>
          <w:p w14:paraId="4FBEB9BB">
            <w:pPr>
              <w:pStyle w:val="46"/>
              <w:jc w:val="center"/>
              <w:rPr>
                <w:i w:val="0"/>
                <w:iCs w:val="0"/>
                <w:color w:val="auto"/>
                <w:highlight w:val="none"/>
              </w:rPr>
            </w:pPr>
          </w:p>
        </w:tc>
        <w:tc>
          <w:tcPr>
            <w:tcW w:w="816" w:type="dxa"/>
            <w:tcBorders>
              <w:left w:val="single" w:color="auto" w:sz="4" w:space="0"/>
            </w:tcBorders>
            <w:vAlign w:val="center"/>
          </w:tcPr>
          <w:p w14:paraId="6718986B">
            <w:pPr>
              <w:pStyle w:val="46"/>
              <w:jc w:val="center"/>
              <w:rPr>
                <w:i w:val="0"/>
                <w:iCs w:val="0"/>
                <w:color w:val="auto"/>
                <w:highlight w:val="none"/>
              </w:rPr>
            </w:pPr>
          </w:p>
        </w:tc>
        <w:tc>
          <w:tcPr>
            <w:tcW w:w="1815" w:type="dxa"/>
            <w:vAlign w:val="center"/>
          </w:tcPr>
          <w:p w14:paraId="0C780C4A">
            <w:pPr>
              <w:pStyle w:val="46"/>
              <w:jc w:val="center"/>
              <w:rPr>
                <w:i w:val="0"/>
                <w:iCs w:val="0"/>
                <w:color w:val="auto"/>
                <w:highlight w:val="none"/>
              </w:rPr>
            </w:pPr>
          </w:p>
        </w:tc>
        <w:tc>
          <w:tcPr>
            <w:tcW w:w="1277" w:type="dxa"/>
            <w:vAlign w:val="center"/>
          </w:tcPr>
          <w:p w14:paraId="4C8B6CD0">
            <w:pPr>
              <w:pStyle w:val="46"/>
              <w:jc w:val="center"/>
              <w:rPr>
                <w:i w:val="0"/>
                <w:iCs w:val="0"/>
                <w:color w:val="auto"/>
                <w:highlight w:val="none"/>
              </w:rPr>
            </w:pPr>
          </w:p>
        </w:tc>
        <w:tc>
          <w:tcPr>
            <w:tcW w:w="816" w:type="dxa"/>
            <w:vAlign w:val="center"/>
          </w:tcPr>
          <w:p w14:paraId="212F0480">
            <w:pPr>
              <w:pStyle w:val="46"/>
              <w:jc w:val="center"/>
              <w:rPr>
                <w:i w:val="0"/>
                <w:iCs w:val="0"/>
                <w:color w:val="auto"/>
                <w:highlight w:val="none"/>
              </w:rPr>
            </w:pPr>
          </w:p>
        </w:tc>
      </w:tr>
    </w:tbl>
    <w:p w14:paraId="51ED7B0D">
      <w:pPr>
        <w:rPr>
          <w:i w:val="0"/>
          <w:iCs w:val="0"/>
          <w:color w:val="auto"/>
          <w:highlight w:val="none"/>
        </w:rPr>
      </w:pPr>
      <w:r>
        <w:rPr>
          <w:i w:val="0"/>
          <w:iCs w:val="0"/>
          <w:color w:val="auto"/>
          <w:highlight w:val="none"/>
        </w:rPr>
        <w:br w:type="page"/>
      </w:r>
    </w:p>
    <w:p w14:paraId="1358285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52" w:name="_Toc28841"/>
      <w:r>
        <w:rPr>
          <w:rFonts w:hint="eastAsia" w:cstheme="majorBidi"/>
          <w:b/>
          <w:bCs/>
          <w:i w:val="0"/>
          <w:iCs w:val="0"/>
          <w:color w:val="auto"/>
          <w:kern w:val="2"/>
          <w:sz w:val="32"/>
          <w:szCs w:val="32"/>
          <w:highlight w:val="none"/>
          <w:lang w:val="en-US" w:eastAsia="zh-CN" w:bidi="ar-SA"/>
        </w:rPr>
        <w:t>十五</w:t>
      </w:r>
      <w:r>
        <w:rPr>
          <w:rFonts w:hint="eastAsia" w:eastAsia="宋体" w:asciiTheme="majorHAnsi" w:hAnsiTheme="majorHAnsi" w:cstheme="majorBidi"/>
          <w:b/>
          <w:bCs/>
          <w:i w:val="0"/>
          <w:iCs w:val="0"/>
          <w:color w:val="auto"/>
          <w:kern w:val="2"/>
          <w:sz w:val="32"/>
          <w:szCs w:val="32"/>
          <w:highlight w:val="none"/>
          <w:lang w:val="en-US" w:eastAsia="zh-CN" w:bidi="ar-SA"/>
        </w:rPr>
        <w:t>、</w:t>
      </w:r>
      <w:r>
        <w:rPr>
          <w:rFonts w:hint="eastAsia" w:cstheme="majorBidi"/>
          <w:b/>
          <w:bCs/>
          <w:i w:val="0"/>
          <w:iCs w:val="0"/>
          <w:color w:val="auto"/>
          <w:kern w:val="2"/>
          <w:sz w:val="32"/>
          <w:szCs w:val="32"/>
          <w:highlight w:val="none"/>
          <w:lang w:val="en-US" w:eastAsia="zh-CN" w:bidi="ar-SA"/>
        </w:rPr>
        <w:t>采购需求</w:t>
      </w:r>
      <w:r>
        <w:rPr>
          <w:rFonts w:hint="eastAsia" w:eastAsia="宋体" w:asciiTheme="majorHAnsi" w:hAnsiTheme="majorHAnsi" w:cstheme="majorBidi"/>
          <w:b/>
          <w:bCs/>
          <w:i w:val="0"/>
          <w:iCs w:val="0"/>
          <w:color w:val="auto"/>
          <w:kern w:val="2"/>
          <w:sz w:val="32"/>
          <w:szCs w:val="32"/>
          <w:highlight w:val="none"/>
          <w:lang w:val="en-US" w:eastAsia="zh-CN" w:bidi="ar-SA"/>
        </w:rPr>
        <w:t>响应偏离表</w:t>
      </w:r>
      <w:bookmarkEnd w:id="752"/>
    </w:p>
    <w:p w14:paraId="28A8231E">
      <w:pPr>
        <w:rPr>
          <w:rFonts w:cs="仿宋_GB2312"/>
          <w:i w:val="0"/>
          <w:iCs w:val="0"/>
          <w:color w:val="auto"/>
          <w:szCs w:val="24"/>
          <w:highlight w:val="none"/>
        </w:rPr>
      </w:pPr>
      <w:r>
        <w:rPr>
          <w:rFonts w:hint="eastAsia" w:cs="仿宋_GB2312"/>
          <w:i w:val="0"/>
          <w:iCs w:val="0"/>
          <w:color w:val="auto"/>
          <w:szCs w:val="24"/>
          <w:highlight w:val="none"/>
        </w:rPr>
        <w:t xml:space="preserve">项目名称：                                         </w:t>
      </w:r>
    </w:p>
    <w:p w14:paraId="10CF1BE4">
      <w:pPr>
        <w:rPr>
          <w:rFonts w:cs="仿宋_GB2312"/>
          <w:i w:val="0"/>
          <w:iCs w:val="0"/>
          <w:color w:val="auto"/>
          <w:szCs w:val="24"/>
          <w:highlight w:val="none"/>
        </w:rPr>
      </w:pPr>
      <w:r>
        <w:rPr>
          <w:rFonts w:hint="eastAsia" w:cs="仿宋_GB2312"/>
          <w:i w:val="0"/>
          <w:iCs w:val="0"/>
          <w:color w:val="auto"/>
          <w:szCs w:val="24"/>
          <w:highlight w:val="none"/>
        </w:rPr>
        <w:t>项目编号</w:t>
      </w:r>
      <w:r>
        <w:rPr>
          <w:rFonts w:hint="eastAsia" w:cs="仿宋_GB2312"/>
          <w:i w:val="0"/>
          <w:iCs w:val="0"/>
          <w:color w:val="auto"/>
          <w:szCs w:val="24"/>
          <w:highlight w:val="none"/>
          <w:lang w:val="en-US" w:eastAsia="zh-CN"/>
        </w:rPr>
        <w:t>/</w:t>
      </w:r>
      <w:r>
        <w:rPr>
          <w:rFonts w:hint="eastAsia" w:cs="仿宋_GB2312"/>
          <w:i w:val="0"/>
          <w:iCs w:val="0"/>
          <w:color w:val="auto"/>
          <w:szCs w:val="24"/>
          <w:highlight w:val="none"/>
          <w:lang w:val="zh-CN"/>
        </w:rPr>
        <w:t>包号</w:t>
      </w:r>
      <w:r>
        <w:rPr>
          <w:rFonts w:hint="eastAsia" w:cs="仿宋_GB2312"/>
          <w:i w:val="0"/>
          <w:iCs w:val="0"/>
          <w:color w:val="auto"/>
          <w:szCs w:val="24"/>
          <w:highlight w:val="none"/>
        </w:rPr>
        <w:t xml:space="preserve">：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77"/>
        <w:gridCol w:w="1556"/>
        <w:gridCol w:w="2046"/>
        <w:gridCol w:w="2046"/>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6"/>
              <w:jc w:val="center"/>
              <w:rPr>
                <w:i w:val="0"/>
                <w:iCs w:val="0"/>
                <w:color w:val="auto"/>
                <w:highlight w:val="none"/>
              </w:rPr>
            </w:pPr>
            <w:r>
              <w:rPr>
                <w:rFonts w:hint="eastAsia"/>
                <w:i w:val="0"/>
                <w:iCs w:val="0"/>
                <w:color w:val="auto"/>
                <w:highlight w:val="none"/>
              </w:rPr>
              <w:t>序号</w:t>
            </w:r>
          </w:p>
        </w:tc>
        <w:tc>
          <w:tcPr>
            <w:tcW w:w="1277" w:type="pct"/>
            <w:vAlign w:val="center"/>
          </w:tcPr>
          <w:p w14:paraId="0C5608DB">
            <w:pPr>
              <w:pStyle w:val="46"/>
              <w:jc w:val="center"/>
              <w:rPr>
                <w:i w:val="0"/>
                <w:iCs w:val="0"/>
                <w:color w:val="auto"/>
                <w:highlight w:val="none"/>
              </w:rPr>
            </w:pPr>
            <w:r>
              <w:rPr>
                <w:rFonts w:hint="eastAsia"/>
                <w:i w:val="0"/>
                <w:iCs w:val="0"/>
                <w:color w:val="auto"/>
                <w:highlight w:val="none"/>
                <w:lang w:val="en-US" w:eastAsia="zh-CN"/>
              </w:rPr>
              <w:t>竞争性磋商</w:t>
            </w:r>
            <w:r>
              <w:rPr>
                <w:rFonts w:hint="eastAsia"/>
                <w:i w:val="0"/>
                <w:iCs w:val="0"/>
                <w:color w:val="auto"/>
                <w:highlight w:val="none"/>
              </w:rPr>
              <w:t>文件技术要求条款</w:t>
            </w:r>
          </w:p>
        </w:tc>
        <w:tc>
          <w:tcPr>
            <w:tcW w:w="913" w:type="pct"/>
            <w:vAlign w:val="center"/>
          </w:tcPr>
          <w:p w14:paraId="0B845CF1">
            <w:pPr>
              <w:pStyle w:val="46"/>
              <w:jc w:val="center"/>
              <w:rPr>
                <w:i w:val="0"/>
                <w:iCs w:val="0"/>
                <w:color w:val="auto"/>
                <w:highlight w:val="none"/>
              </w:rPr>
            </w:pPr>
            <w:r>
              <w:rPr>
                <w:rFonts w:hint="eastAsia"/>
                <w:i w:val="0"/>
                <w:iCs w:val="0"/>
                <w:color w:val="auto"/>
                <w:highlight w:val="none"/>
                <w:lang w:val="en-US" w:eastAsia="zh-CN"/>
              </w:rPr>
              <w:t>响应</w:t>
            </w:r>
            <w:r>
              <w:rPr>
                <w:rFonts w:hint="eastAsia"/>
                <w:i w:val="0"/>
                <w:iCs w:val="0"/>
                <w:color w:val="auto"/>
                <w:highlight w:val="none"/>
              </w:rPr>
              <w:t>文件内容</w:t>
            </w:r>
          </w:p>
          <w:p w14:paraId="4F79E073">
            <w:pPr>
              <w:pStyle w:val="46"/>
              <w:jc w:val="center"/>
              <w:rPr>
                <w:i w:val="0"/>
                <w:iCs w:val="0"/>
                <w:color w:val="auto"/>
                <w:highlight w:val="none"/>
              </w:rPr>
            </w:pPr>
            <w:r>
              <w:rPr>
                <w:rFonts w:hint="eastAsia"/>
                <w:i w:val="0"/>
                <w:iCs w:val="0"/>
                <w:color w:val="auto"/>
                <w:highlight w:val="none"/>
              </w:rPr>
              <w:t>对应简述</w:t>
            </w:r>
          </w:p>
        </w:tc>
        <w:tc>
          <w:tcPr>
            <w:tcW w:w="1200" w:type="pct"/>
            <w:vAlign w:val="center"/>
          </w:tcPr>
          <w:p w14:paraId="4AB4E9C3">
            <w:pPr>
              <w:pStyle w:val="46"/>
              <w:jc w:val="center"/>
              <w:rPr>
                <w:i w:val="0"/>
                <w:iCs w:val="0"/>
                <w:color w:val="auto"/>
                <w:highlight w:val="none"/>
              </w:rPr>
            </w:pPr>
            <w:r>
              <w:rPr>
                <w:rFonts w:hint="eastAsia"/>
                <w:i w:val="0"/>
                <w:iCs w:val="0"/>
                <w:color w:val="auto"/>
                <w:highlight w:val="none"/>
              </w:rPr>
              <w:t>响应情况</w:t>
            </w:r>
          </w:p>
        </w:tc>
        <w:tc>
          <w:tcPr>
            <w:tcW w:w="1200" w:type="pct"/>
            <w:vAlign w:val="center"/>
          </w:tcPr>
          <w:p w14:paraId="09D725B9">
            <w:pPr>
              <w:pStyle w:val="46"/>
              <w:jc w:val="center"/>
              <w:rPr>
                <w:i w:val="0"/>
                <w:iCs w:val="0"/>
                <w:color w:val="auto"/>
                <w:highlight w:val="none"/>
              </w:rPr>
            </w:pPr>
            <w:r>
              <w:rPr>
                <w:rFonts w:hint="eastAsia"/>
                <w:i w:val="0"/>
                <w:iCs w:val="0"/>
                <w:color w:val="auto"/>
                <w:highlight w:val="none"/>
              </w:rPr>
              <w:t>说明及索引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46"/>
              <w:jc w:val="center"/>
              <w:rPr>
                <w:i w:val="0"/>
                <w:iCs w:val="0"/>
                <w:color w:val="auto"/>
                <w:highlight w:val="none"/>
              </w:rPr>
            </w:pPr>
            <w:r>
              <w:rPr>
                <w:rFonts w:hint="eastAsia"/>
                <w:i w:val="0"/>
                <w:iCs w:val="0"/>
                <w:color w:val="auto"/>
                <w:highlight w:val="none"/>
              </w:rPr>
              <w:t>1</w:t>
            </w:r>
          </w:p>
        </w:tc>
        <w:tc>
          <w:tcPr>
            <w:tcW w:w="1277" w:type="pct"/>
            <w:vAlign w:val="center"/>
          </w:tcPr>
          <w:p w14:paraId="69B288A0">
            <w:pPr>
              <w:pStyle w:val="46"/>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913" w:type="pct"/>
            <w:vAlign w:val="center"/>
          </w:tcPr>
          <w:p w14:paraId="0E04AD72">
            <w:pPr>
              <w:pStyle w:val="46"/>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85AEA1C">
            <w:pPr>
              <w:pStyle w:val="46"/>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02D97874">
            <w:pPr>
              <w:pStyle w:val="46"/>
              <w:jc w:val="center"/>
              <w:rPr>
                <w:i w:val="0"/>
                <w:iCs w:val="0"/>
                <w:color w:val="auto"/>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6"/>
              <w:jc w:val="center"/>
              <w:rPr>
                <w:i w:val="0"/>
                <w:iCs w:val="0"/>
                <w:color w:val="auto"/>
                <w:highlight w:val="none"/>
              </w:rPr>
            </w:pPr>
            <w:r>
              <w:rPr>
                <w:rFonts w:hint="eastAsia"/>
                <w:i w:val="0"/>
                <w:iCs w:val="0"/>
                <w:color w:val="auto"/>
                <w:highlight w:val="none"/>
              </w:rPr>
              <w:t>2</w:t>
            </w:r>
          </w:p>
        </w:tc>
        <w:tc>
          <w:tcPr>
            <w:tcW w:w="1277" w:type="pct"/>
            <w:vAlign w:val="center"/>
          </w:tcPr>
          <w:p w14:paraId="30E52A7F">
            <w:pPr>
              <w:pStyle w:val="46"/>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913" w:type="pct"/>
            <w:vAlign w:val="center"/>
          </w:tcPr>
          <w:p w14:paraId="29A6C1E1">
            <w:pPr>
              <w:pStyle w:val="46"/>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D92E460">
            <w:pPr>
              <w:pStyle w:val="46"/>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63E16449">
            <w:pPr>
              <w:pStyle w:val="46"/>
              <w:jc w:val="center"/>
              <w:rPr>
                <w:i w:val="0"/>
                <w:iCs w:val="0"/>
                <w:color w:val="auto"/>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46"/>
              <w:jc w:val="center"/>
              <w:rPr>
                <w:i w:val="0"/>
                <w:iCs w:val="0"/>
                <w:color w:val="auto"/>
                <w:highlight w:val="none"/>
              </w:rPr>
            </w:pPr>
          </w:p>
        </w:tc>
        <w:tc>
          <w:tcPr>
            <w:tcW w:w="1277" w:type="pct"/>
            <w:vAlign w:val="center"/>
          </w:tcPr>
          <w:p w14:paraId="6D1DD644">
            <w:pPr>
              <w:pStyle w:val="46"/>
              <w:jc w:val="center"/>
              <w:rPr>
                <w:i w:val="0"/>
                <w:iCs w:val="0"/>
                <w:color w:val="auto"/>
                <w:highlight w:val="none"/>
              </w:rPr>
            </w:pPr>
          </w:p>
        </w:tc>
        <w:tc>
          <w:tcPr>
            <w:tcW w:w="913" w:type="pct"/>
            <w:vAlign w:val="center"/>
          </w:tcPr>
          <w:p w14:paraId="2982168B">
            <w:pPr>
              <w:pStyle w:val="46"/>
              <w:jc w:val="center"/>
              <w:rPr>
                <w:i w:val="0"/>
                <w:iCs w:val="0"/>
                <w:color w:val="auto"/>
                <w:highlight w:val="none"/>
              </w:rPr>
            </w:pPr>
          </w:p>
        </w:tc>
        <w:tc>
          <w:tcPr>
            <w:tcW w:w="1200" w:type="pct"/>
            <w:vAlign w:val="center"/>
          </w:tcPr>
          <w:p w14:paraId="78EC7D09">
            <w:pPr>
              <w:pStyle w:val="46"/>
              <w:jc w:val="center"/>
              <w:rPr>
                <w:i w:val="0"/>
                <w:iCs w:val="0"/>
                <w:color w:val="auto"/>
                <w:highlight w:val="none"/>
              </w:rPr>
            </w:pPr>
          </w:p>
        </w:tc>
        <w:tc>
          <w:tcPr>
            <w:tcW w:w="1200" w:type="pct"/>
            <w:vAlign w:val="center"/>
          </w:tcPr>
          <w:p w14:paraId="46369488">
            <w:pPr>
              <w:pStyle w:val="46"/>
              <w:jc w:val="center"/>
              <w:rPr>
                <w:i w:val="0"/>
                <w:iCs w:val="0"/>
                <w:color w:val="auto"/>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46"/>
              <w:jc w:val="center"/>
              <w:rPr>
                <w:i w:val="0"/>
                <w:iCs w:val="0"/>
                <w:color w:val="auto"/>
                <w:highlight w:val="none"/>
              </w:rPr>
            </w:pPr>
          </w:p>
        </w:tc>
        <w:tc>
          <w:tcPr>
            <w:tcW w:w="1277" w:type="pct"/>
            <w:vAlign w:val="center"/>
          </w:tcPr>
          <w:p w14:paraId="529041E2">
            <w:pPr>
              <w:pStyle w:val="46"/>
              <w:jc w:val="center"/>
              <w:rPr>
                <w:i w:val="0"/>
                <w:iCs w:val="0"/>
                <w:color w:val="auto"/>
                <w:highlight w:val="none"/>
              </w:rPr>
            </w:pPr>
          </w:p>
        </w:tc>
        <w:tc>
          <w:tcPr>
            <w:tcW w:w="913" w:type="pct"/>
            <w:vAlign w:val="center"/>
          </w:tcPr>
          <w:p w14:paraId="301E476D">
            <w:pPr>
              <w:pStyle w:val="46"/>
              <w:jc w:val="center"/>
              <w:rPr>
                <w:i w:val="0"/>
                <w:iCs w:val="0"/>
                <w:color w:val="auto"/>
                <w:highlight w:val="none"/>
              </w:rPr>
            </w:pPr>
          </w:p>
        </w:tc>
        <w:tc>
          <w:tcPr>
            <w:tcW w:w="1200" w:type="pct"/>
            <w:vAlign w:val="center"/>
          </w:tcPr>
          <w:p w14:paraId="06F8AED7">
            <w:pPr>
              <w:pStyle w:val="46"/>
              <w:jc w:val="center"/>
              <w:rPr>
                <w:i w:val="0"/>
                <w:iCs w:val="0"/>
                <w:color w:val="auto"/>
                <w:highlight w:val="none"/>
              </w:rPr>
            </w:pPr>
          </w:p>
        </w:tc>
        <w:tc>
          <w:tcPr>
            <w:tcW w:w="1200" w:type="pct"/>
            <w:vAlign w:val="center"/>
          </w:tcPr>
          <w:p w14:paraId="0CE9DF45">
            <w:pPr>
              <w:pStyle w:val="46"/>
              <w:jc w:val="center"/>
              <w:rPr>
                <w:i w:val="0"/>
                <w:iCs w:val="0"/>
                <w:color w:val="auto"/>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46"/>
              <w:jc w:val="center"/>
              <w:rPr>
                <w:i w:val="0"/>
                <w:iCs w:val="0"/>
                <w:color w:val="auto"/>
                <w:highlight w:val="none"/>
              </w:rPr>
            </w:pPr>
          </w:p>
        </w:tc>
        <w:tc>
          <w:tcPr>
            <w:tcW w:w="1277" w:type="pct"/>
            <w:vAlign w:val="center"/>
          </w:tcPr>
          <w:p w14:paraId="77107295">
            <w:pPr>
              <w:pStyle w:val="46"/>
              <w:jc w:val="center"/>
              <w:rPr>
                <w:i w:val="0"/>
                <w:iCs w:val="0"/>
                <w:color w:val="auto"/>
                <w:highlight w:val="none"/>
              </w:rPr>
            </w:pPr>
          </w:p>
        </w:tc>
        <w:tc>
          <w:tcPr>
            <w:tcW w:w="913" w:type="pct"/>
            <w:vAlign w:val="center"/>
          </w:tcPr>
          <w:p w14:paraId="4D01D78E">
            <w:pPr>
              <w:pStyle w:val="46"/>
              <w:jc w:val="center"/>
              <w:rPr>
                <w:i w:val="0"/>
                <w:iCs w:val="0"/>
                <w:color w:val="auto"/>
                <w:highlight w:val="none"/>
              </w:rPr>
            </w:pPr>
          </w:p>
        </w:tc>
        <w:tc>
          <w:tcPr>
            <w:tcW w:w="1200" w:type="pct"/>
            <w:vAlign w:val="center"/>
          </w:tcPr>
          <w:p w14:paraId="6D546857">
            <w:pPr>
              <w:pStyle w:val="46"/>
              <w:jc w:val="center"/>
              <w:rPr>
                <w:i w:val="0"/>
                <w:iCs w:val="0"/>
                <w:color w:val="auto"/>
                <w:highlight w:val="none"/>
              </w:rPr>
            </w:pPr>
          </w:p>
        </w:tc>
        <w:tc>
          <w:tcPr>
            <w:tcW w:w="1200" w:type="pct"/>
            <w:vAlign w:val="center"/>
          </w:tcPr>
          <w:p w14:paraId="2E1B7D0B">
            <w:pPr>
              <w:pStyle w:val="46"/>
              <w:jc w:val="center"/>
              <w:rPr>
                <w:i w:val="0"/>
                <w:iCs w:val="0"/>
                <w:color w:val="auto"/>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6"/>
              <w:jc w:val="center"/>
              <w:rPr>
                <w:i w:val="0"/>
                <w:iCs w:val="0"/>
                <w:color w:val="auto"/>
                <w:highlight w:val="none"/>
              </w:rPr>
            </w:pPr>
          </w:p>
        </w:tc>
        <w:tc>
          <w:tcPr>
            <w:tcW w:w="1277" w:type="pct"/>
            <w:vAlign w:val="center"/>
          </w:tcPr>
          <w:p w14:paraId="5C7E043B">
            <w:pPr>
              <w:pStyle w:val="46"/>
              <w:jc w:val="center"/>
              <w:rPr>
                <w:i w:val="0"/>
                <w:iCs w:val="0"/>
                <w:color w:val="auto"/>
                <w:highlight w:val="none"/>
              </w:rPr>
            </w:pPr>
          </w:p>
        </w:tc>
        <w:tc>
          <w:tcPr>
            <w:tcW w:w="913" w:type="pct"/>
            <w:vAlign w:val="center"/>
          </w:tcPr>
          <w:p w14:paraId="64166C7A">
            <w:pPr>
              <w:pStyle w:val="46"/>
              <w:jc w:val="center"/>
              <w:rPr>
                <w:i w:val="0"/>
                <w:iCs w:val="0"/>
                <w:color w:val="auto"/>
                <w:highlight w:val="none"/>
              </w:rPr>
            </w:pPr>
          </w:p>
        </w:tc>
        <w:tc>
          <w:tcPr>
            <w:tcW w:w="1200" w:type="pct"/>
            <w:vAlign w:val="center"/>
          </w:tcPr>
          <w:p w14:paraId="2817CCE5">
            <w:pPr>
              <w:pStyle w:val="46"/>
              <w:jc w:val="center"/>
              <w:rPr>
                <w:i w:val="0"/>
                <w:iCs w:val="0"/>
                <w:color w:val="auto"/>
                <w:highlight w:val="none"/>
              </w:rPr>
            </w:pPr>
          </w:p>
        </w:tc>
        <w:tc>
          <w:tcPr>
            <w:tcW w:w="1200" w:type="pct"/>
            <w:vAlign w:val="center"/>
          </w:tcPr>
          <w:p w14:paraId="184E3F96">
            <w:pPr>
              <w:pStyle w:val="46"/>
              <w:jc w:val="center"/>
              <w:rPr>
                <w:i w:val="0"/>
                <w:iCs w:val="0"/>
                <w:color w:val="auto"/>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46"/>
              <w:jc w:val="center"/>
              <w:rPr>
                <w:i w:val="0"/>
                <w:iCs w:val="0"/>
                <w:color w:val="auto"/>
                <w:highlight w:val="none"/>
              </w:rPr>
            </w:pPr>
          </w:p>
        </w:tc>
        <w:tc>
          <w:tcPr>
            <w:tcW w:w="1277" w:type="pct"/>
            <w:vAlign w:val="center"/>
          </w:tcPr>
          <w:p w14:paraId="565EC642">
            <w:pPr>
              <w:pStyle w:val="46"/>
              <w:jc w:val="center"/>
              <w:rPr>
                <w:i w:val="0"/>
                <w:iCs w:val="0"/>
                <w:color w:val="auto"/>
                <w:highlight w:val="none"/>
              </w:rPr>
            </w:pPr>
          </w:p>
        </w:tc>
        <w:tc>
          <w:tcPr>
            <w:tcW w:w="913" w:type="pct"/>
            <w:vAlign w:val="center"/>
          </w:tcPr>
          <w:p w14:paraId="4813DEC4">
            <w:pPr>
              <w:pStyle w:val="46"/>
              <w:jc w:val="center"/>
              <w:rPr>
                <w:i w:val="0"/>
                <w:iCs w:val="0"/>
                <w:color w:val="auto"/>
                <w:highlight w:val="none"/>
              </w:rPr>
            </w:pPr>
          </w:p>
        </w:tc>
        <w:tc>
          <w:tcPr>
            <w:tcW w:w="1200" w:type="pct"/>
            <w:vAlign w:val="center"/>
          </w:tcPr>
          <w:p w14:paraId="6FC99520">
            <w:pPr>
              <w:pStyle w:val="46"/>
              <w:jc w:val="center"/>
              <w:rPr>
                <w:i w:val="0"/>
                <w:iCs w:val="0"/>
                <w:color w:val="auto"/>
                <w:highlight w:val="none"/>
              </w:rPr>
            </w:pPr>
          </w:p>
        </w:tc>
        <w:tc>
          <w:tcPr>
            <w:tcW w:w="1200" w:type="pct"/>
            <w:vAlign w:val="center"/>
          </w:tcPr>
          <w:p w14:paraId="6C388A43">
            <w:pPr>
              <w:pStyle w:val="46"/>
              <w:jc w:val="center"/>
              <w:rPr>
                <w:i w:val="0"/>
                <w:iCs w:val="0"/>
                <w:color w:val="auto"/>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407" w:type="pct"/>
            <w:vAlign w:val="center"/>
          </w:tcPr>
          <w:p w14:paraId="0AF398B2">
            <w:pPr>
              <w:pStyle w:val="46"/>
              <w:jc w:val="center"/>
              <w:rPr>
                <w:i w:val="0"/>
                <w:iCs w:val="0"/>
                <w:color w:val="auto"/>
                <w:highlight w:val="none"/>
              </w:rPr>
            </w:pPr>
          </w:p>
        </w:tc>
        <w:tc>
          <w:tcPr>
            <w:tcW w:w="1277" w:type="pct"/>
            <w:vAlign w:val="center"/>
          </w:tcPr>
          <w:p w14:paraId="7E5C6D21">
            <w:pPr>
              <w:pStyle w:val="46"/>
              <w:jc w:val="center"/>
              <w:rPr>
                <w:i w:val="0"/>
                <w:iCs w:val="0"/>
                <w:color w:val="auto"/>
                <w:highlight w:val="none"/>
              </w:rPr>
            </w:pPr>
          </w:p>
        </w:tc>
        <w:tc>
          <w:tcPr>
            <w:tcW w:w="913" w:type="pct"/>
            <w:vAlign w:val="center"/>
          </w:tcPr>
          <w:p w14:paraId="449C5534">
            <w:pPr>
              <w:pStyle w:val="46"/>
              <w:jc w:val="center"/>
              <w:rPr>
                <w:i w:val="0"/>
                <w:iCs w:val="0"/>
                <w:color w:val="auto"/>
                <w:highlight w:val="none"/>
              </w:rPr>
            </w:pPr>
          </w:p>
        </w:tc>
        <w:tc>
          <w:tcPr>
            <w:tcW w:w="1200" w:type="pct"/>
            <w:vAlign w:val="center"/>
          </w:tcPr>
          <w:p w14:paraId="43936EF1">
            <w:pPr>
              <w:pStyle w:val="46"/>
              <w:jc w:val="center"/>
              <w:rPr>
                <w:i w:val="0"/>
                <w:iCs w:val="0"/>
                <w:color w:val="auto"/>
                <w:highlight w:val="none"/>
              </w:rPr>
            </w:pPr>
          </w:p>
        </w:tc>
        <w:tc>
          <w:tcPr>
            <w:tcW w:w="1200" w:type="pct"/>
            <w:vAlign w:val="center"/>
          </w:tcPr>
          <w:p w14:paraId="015081ED">
            <w:pPr>
              <w:pStyle w:val="46"/>
              <w:jc w:val="center"/>
              <w:rPr>
                <w:i w:val="0"/>
                <w:iCs w:val="0"/>
                <w:color w:val="auto"/>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6"/>
              <w:jc w:val="center"/>
              <w:rPr>
                <w:i w:val="0"/>
                <w:iCs w:val="0"/>
                <w:color w:val="auto"/>
                <w:highlight w:val="none"/>
              </w:rPr>
            </w:pPr>
          </w:p>
        </w:tc>
        <w:tc>
          <w:tcPr>
            <w:tcW w:w="1277" w:type="pct"/>
            <w:vAlign w:val="center"/>
          </w:tcPr>
          <w:p w14:paraId="4E7FED0B">
            <w:pPr>
              <w:pStyle w:val="46"/>
              <w:jc w:val="center"/>
              <w:rPr>
                <w:i w:val="0"/>
                <w:iCs w:val="0"/>
                <w:color w:val="auto"/>
                <w:highlight w:val="none"/>
              </w:rPr>
            </w:pPr>
          </w:p>
        </w:tc>
        <w:tc>
          <w:tcPr>
            <w:tcW w:w="913" w:type="pct"/>
            <w:vAlign w:val="center"/>
          </w:tcPr>
          <w:p w14:paraId="07398BD3">
            <w:pPr>
              <w:pStyle w:val="46"/>
              <w:jc w:val="center"/>
              <w:rPr>
                <w:i w:val="0"/>
                <w:iCs w:val="0"/>
                <w:color w:val="auto"/>
                <w:highlight w:val="none"/>
              </w:rPr>
            </w:pPr>
          </w:p>
        </w:tc>
        <w:tc>
          <w:tcPr>
            <w:tcW w:w="1200" w:type="pct"/>
            <w:vAlign w:val="center"/>
          </w:tcPr>
          <w:p w14:paraId="085E5102">
            <w:pPr>
              <w:pStyle w:val="46"/>
              <w:jc w:val="center"/>
              <w:rPr>
                <w:i w:val="0"/>
                <w:iCs w:val="0"/>
                <w:color w:val="auto"/>
                <w:highlight w:val="none"/>
              </w:rPr>
            </w:pPr>
          </w:p>
        </w:tc>
        <w:tc>
          <w:tcPr>
            <w:tcW w:w="1200" w:type="pct"/>
            <w:vAlign w:val="center"/>
          </w:tcPr>
          <w:p w14:paraId="74B87043">
            <w:pPr>
              <w:pStyle w:val="46"/>
              <w:jc w:val="center"/>
              <w:rPr>
                <w:i w:val="0"/>
                <w:iCs w:val="0"/>
                <w:color w:val="auto"/>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6"/>
              <w:jc w:val="center"/>
              <w:rPr>
                <w:i w:val="0"/>
                <w:iCs w:val="0"/>
                <w:color w:val="auto"/>
                <w:highlight w:val="none"/>
              </w:rPr>
            </w:pPr>
          </w:p>
        </w:tc>
        <w:tc>
          <w:tcPr>
            <w:tcW w:w="1277" w:type="pct"/>
            <w:vAlign w:val="center"/>
          </w:tcPr>
          <w:p w14:paraId="1F11A7BE">
            <w:pPr>
              <w:pStyle w:val="46"/>
              <w:jc w:val="center"/>
              <w:rPr>
                <w:i w:val="0"/>
                <w:iCs w:val="0"/>
                <w:color w:val="auto"/>
                <w:highlight w:val="none"/>
              </w:rPr>
            </w:pPr>
          </w:p>
        </w:tc>
        <w:tc>
          <w:tcPr>
            <w:tcW w:w="913" w:type="pct"/>
            <w:vAlign w:val="center"/>
          </w:tcPr>
          <w:p w14:paraId="09342B6E">
            <w:pPr>
              <w:pStyle w:val="46"/>
              <w:jc w:val="center"/>
              <w:rPr>
                <w:i w:val="0"/>
                <w:iCs w:val="0"/>
                <w:color w:val="auto"/>
                <w:highlight w:val="none"/>
              </w:rPr>
            </w:pPr>
          </w:p>
        </w:tc>
        <w:tc>
          <w:tcPr>
            <w:tcW w:w="1200" w:type="pct"/>
            <w:vAlign w:val="center"/>
          </w:tcPr>
          <w:p w14:paraId="6742B646">
            <w:pPr>
              <w:pStyle w:val="46"/>
              <w:jc w:val="center"/>
              <w:rPr>
                <w:i w:val="0"/>
                <w:iCs w:val="0"/>
                <w:color w:val="auto"/>
                <w:highlight w:val="none"/>
              </w:rPr>
            </w:pPr>
          </w:p>
        </w:tc>
        <w:tc>
          <w:tcPr>
            <w:tcW w:w="1200" w:type="pct"/>
            <w:vAlign w:val="center"/>
          </w:tcPr>
          <w:p w14:paraId="4C72FCC2">
            <w:pPr>
              <w:pStyle w:val="46"/>
              <w:jc w:val="center"/>
              <w:rPr>
                <w:i w:val="0"/>
                <w:iCs w:val="0"/>
                <w:color w:val="auto"/>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46"/>
              <w:jc w:val="center"/>
              <w:rPr>
                <w:i w:val="0"/>
                <w:iCs w:val="0"/>
                <w:color w:val="auto"/>
                <w:highlight w:val="none"/>
              </w:rPr>
            </w:pPr>
            <w:r>
              <w:rPr>
                <w:rFonts w:hint="eastAsia"/>
                <w:i w:val="0"/>
                <w:iCs w:val="0"/>
                <w:color w:val="auto"/>
                <w:highlight w:val="none"/>
              </w:rPr>
              <w:t>……</w:t>
            </w:r>
          </w:p>
        </w:tc>
        <w:tc>
          <w:tcPr>
            <w:tcW w:w="1277" w:type="pct"/>
            <w:vAlign w:val="center"/>
          </w:tcPr>
          <w:p w14:paraId="7D0AF02A">
            <w:pPr>
              <w:pStyle w:val="46"/>
              <w:jc w:val="center"/>
              <w:rPr>
                <w:i w:val="0"/>
                <w:iCs w:val="0"/>
                <w:color w:val="auto"/>
                <w:highlight w:val="none"/>
              </w:rPr>
            </w:pPr>
            <w:r>
              <w:rPr>
                <w:rFonts w:hint="eastAsia"/>
                <w:i w:val="0"/>
                <w:iCs w:val="0"/>
                <w:color w:val="auto"/>
                <w:highlight w:val="none"/>
              </w:rPr>
              <w:t>…………</w:t>
            </w:r>
          </w:p>
        </w:tc>
        <w:tc>
          <w:tcPr>
            <w:tcW w:w="913" w:type="pct"/>
            <w:vAlign w:val="center"/>
          </w:tcPr>
          <w:p w14:paraId="6EC8C4F3">
            <w:pPr>
              <w:pStyle w:val="46"/>
              <w:jc w:val="center"/>
              <w:rPr>
                <w:i w:val="0"/>
                <w:iCs w:val="0"/>
                <w:color w:val="auto"/>
                <w:highlight w:val="none"/>
              </w:rPr>
            </w:pPr>
            <w:r>
              <w:rPr>
                <w:rFonts w:hint="eastAsia"/>
                <w:i w:val="0"/>
                <w:iCs w:val="0"/>
                <w:color w:val="auto"/>
                <w:highlight w:val="none"/>
              </w:rPr>
              <w:t>………………</w:t>
            </w:r>
          </w:p>
        </w:tc>
        <w:tc>
          <w:tcPr>
            <w:tcW w:w="1200" w:type="pct"/>
            <w:vAlign w:val="center"/>
          </w:tcPr>
          <w:p w14:paraId="59EB3DF9">
            <w:pPr>
              <w:pStyle w:val="46"/>
              <w:jc w:val="center"/>
              <w:rPr>
                <w:i w:val="0"/>
                <w:iCs w:val="0"/>
                <w:color w:val="auto"/>
                <w:highlight w:val="none"/>
              </w:rPr>
            </w:pPr>
            <w:r>
              <w:rPr>
                <w:rFonts w:hint="eastAsia"/>
                <w:i w:val="0"/>
                <w:iCs w:val="0"/>
                <w:color w:val="auto"/>
                <w:highlight w:val="none"/>
              </w:rPr>
              <w:t>…………</w:t>
            </w:r>
          </w:p>
        </w:tc>
        <w:tc>
          <w:tcPr>
            <w:tcW w:w="1200" w:type="pct"/>
            <w:vAlign w:val="center"/>
          </w:tcPr>
          <w:p w14:paraId="1BF96619">
            <w:pPr>
              <w:pStyle w:val="46"/>
              <w:jc w:val="center"/>
              <w:rPr>
                <w:i w:val="0"/>
                <w:iCs w:val="0"/>
                <w:color w:val="auto"/>
                <w:highlight w:val="none"/>
              </w:rPr>
            </w:pPr>
          </w:p>
        </w:tc>
      </w:tr>
    </w:tbl>
    <w:p w14:paraId="2D6CE221">
      <w:pPr>
        <w:ind w:firstLine="420" w:firstLineChars="200"/>
        <w:rPr>
          <w:rFonts w:hint="eastAsia" w:cs="仿宋_GB2312"/>
          <w:i w:val="0"/>
          <w:iCs w:val="0"/>
          <w:color w:val="auto"/>
          <w:sz w:val="21"/>
          <w:szCs w:val="21"/>
          <w:highlight w:val="none"/>
        </w:rPr>
      </w:pPr>
    </w:p>
    <w:p w14:paraId="2B5EBACC">
      <w:pPr>
        <w:ind w:firstLine="420" w:firstLineChars="200"/>
        <w:rPr>
          <w:rFonts w:cs="仿宋_GB2312"/>
          <w:i w:val="0"/>
          <w:iCs w:val="0"/>
          <w:color w:val="auto"/>
          <w:sz w:val="21"/>
          <w:szCs w:val="21"/>
          <w:highlight w:val="none"/>
        </w:rPr>
      </w:pPr>
      <w:r>
        <w:rPr>
          <w:rFonts w:hint="eastAsia" w:cs="仿宋_GB2312"/>
          <w:i w:val="0"/>
          <w:iCs w:val="0"/>
          <w:color w:val="auto"/>
          <w:sz w:val="21"/>
          <w:szCs w:val="21"/>
          <w:highlight w:val="none"/>
        </w:rPr>
        <w:t>说明：</w:t>
      </w:r>
      <w:r>
        <w:rPr>
          <w:rFonts w:hint="eastAsia" w:cs="仿宋_GB2312"/>
          <w:i w:val="0"/>
          <w:iCs w:val="0"/>
          <w:color w:val="auto"/>
          <w:sz w:val="21"/>
          <w:szCs w:val="21"/>
          <w:highlight w:val="none"/>
          <w:lang w:val="en-US" w:eastAsia="zh-CN"/>
        </w:rPr>
        <w:t>供应商</w:t>
      </w:r>
      <w:r>
        <w:rPr>
          <w:rFonts w:hint="eastAsia" w:cs="仿宋_GB2312"/>
          <w:i w:val="0"/>
          <w:iCs w:val="0"/>
          <w:color w:val="auto"/>
          <w:sz w:val="21"/>
          <w:szCs w:val="21"/>
          <w:highlight w:val="none"/>
        </w:rPr>
        <w:t>应按照</w:t>
      </w:r>
      <w:r>
        <w:rPr>
          <w:rFonts w:hint="eastAsia"/>
          <w:i w:val="0"/>
          <w:iCs w:val="0"/>
          <w:color w:val="auto"/>
          <w:sz w:val="21"/>
          <w:szCs w:val="21"/>
          <w:highlight w:val="none"/>
          <w:lang w:val="en-US" w:eastAsia="zh-CN"/>
        </w:rPr>
        <w:t>竞争性磋商</w:t>
      </w:r>
      <w:r>
        <w:rPr>
          <w:rFonts w:hint="eastAsia" w:cs="仿宋_GB2312"/>
          <w:i w:val="0"/>
          <w:iCs w:val="0"/>
          <w:color w:val="auto"/>
          <w:sz w:val="21"/>
          <w:szCs w:val="21"/>
          <w:highlight w:val="none"/>
        </w:rPr>
        <w:t xml:space="preserve">文件“第三章 </w:t>
      </w:r>
      <w:r>
        <w:rPr>
          <w:rFonts w:hint="eastAsia" w:cs="仿宋_GB2312"/>
          <w:i w:val="0"/>
          <w:iCs w:val="0"/>
          <w:color w:val="auto"/>
          <w:sz w:val="21"/>
          <w:szCs w:val="21"/>
          <w:highlight w:val="none"/>
          <w:lang w:val="en-US" w:eastAsia="zh-CN"/>
        </w:rPr>
        <w:t>项目</w:t>
      </w:r>
      <w:r>
        <w:rPr>
          <w:rFonts w:hint="eastAsia" w:cs="仿宋_GB2312"/>
          <w:i w:val="0"/>
          <w:iCs w:val="0"/>
          <w:color w:val="auto"/>
          <w:sz w:val="21"/>
          <w:szCs w:val="21"/>
          <w:highlight w:val="none"/>
        </w:rPr>
        <w:t>采购需求</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中的</w:t>
      </w:r>
      <w:r>
        <w:rPr>
          <w:rFonts w:hint="eastAsia" w:cs="仿宋_GB2312"/>
          <w:i w:val="0"/>
          <w:iCs w:val="0"/>
          <w:color w:val="auto"/>
          <w:sz w:val="21"/>
          <w:szCs w:val="21"/>
          <w:highlight w:val="none"/>
        </w:rPr>
        <w:t>技术要求填写</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“响应/正偏离/负偏离”应据实填写“响应”、“正偏离”或“负偏离”</w:t>
      </w:r>
      <w:r>
        <w:rPr>
          <w:rFonts w:hint="eastAsia" w:cs="仿宋_GB2312"/>
          <w:i w:val="0"/>
          <w:iCs w:val="0"/>
          <w:color w:val="auto"/>
          <w:sz w:val="21"/>
          <w:szCs w:val="21"/>
          <w:highlight w:val="none"/>
        </w:rPr>
        <w:t>。</w:t>
      </w:r>
    </w:p>
    <w:p w14:paraId="12AEBD40">
      <w:pPr>
        <w:ind w:firstLine="480" w:firstLineChars="200"/>
        <w:rPr>
          <w:rFonts w:cs="仿宋_GB2312"/>
          <w:i w:val="0"/>
          <w:iCs w:val="0"/>
          <w:color w:val="auto"/>
          <w:szCs w:val="24"/>
          <w:highlight w:val="none"/>
        </w:rPr>
      </w:pPr>
    </w:p>
    <w:p w14:paraId="21BED63F">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74B913A4">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20290568">
      <w:pPr>
        <w:ind w:firstLine="420"/>
        <w:rPr>
          <w:rFonts w:hint="eastAsia" w:cs="仿宋_GB2312"/>
          <w:i w:val="0"/>
          <w:iCs w:val="0"/>
          <w:color w:val="auto"/>
          <w:szCs w:val="24"/>
          <w:highlight w:val="none"/>
          <w:lang w:val="en-US" w:eastAsia="zh-CN"/>
        </w:rPr>
      </w:pPr>
    </w:p>
    <w:p w14:paraId="1B34CEFE">
      <w:pPr>
        <w:ind w:firstLine="420"/>
        <w:rPr>
          <w:rFonts w:cs="仿宋_GB2312"/>
          <w:i w:val="0"/>
          <w:iCs w:val="0"/>
          <w:color w:val="auto"/>
          <w:sz w:val="21"/>
          <w:szCs w:val="21"/>
          <w:highlight w:val="none"/>
        </w:rPr>
      </w:pPr>
      <w:r>
        <w:rPr>
          <w:rFonts w:hint="eastAsia" w:cs="仿宋_GB2312"/>
          <w:i w:val="0"/>
          <w:iCs w:val="0"/>
          <w:color w:val="auto"/>
          <w:sz w:val="21"/>
          <w:szCs w:val="21"/>
          <w:highlight w:val="none"/>
          <w:lang w:val="en-US" w:eastAsia="zh-CN"/>
        </w:rPr>
        <w:t>备注：供应商在本表中须标注产品实际参数数值，照搬照抄采购文件参数、不注明实际数值者</w:t>
      </w:r>
      <w:r>
        <w:rPr>
          <w:rFonts w:hint="eastAsia" w:cs="仿宋_GB2312"/>
          <w:b/>
          <w:bCs/>
          <w:i w:val="0"/>
          <w:iCs w:val="0"/>
          <w:color w:val="auto"/>
          <w:sz w:val="21"/>
          <w:szCs w:val="21"/>
          <w:highlight w:val="none"/>
          <w:lang w:val="en-US" w:eastAsia="zh-CN"/>
        </w:rPr>
        <w:t>视为未响应</w:t>
      </w:r>
      <w:r>
        <w:rPr>
          <w:rFonts w:hint="eastAsia" w:cs="仿宋_GB2312"/>
          <w:i w:val="0"/>
          <w:iCs w:val="0"/>
          <w:color w:val="auto"/>
          <w:sz w:val="21"/>
          <w:szCs w:val="21"/>
          <w:highlight w:val="none"/>
          <w:lang w:val="en-US" w:eastAsia="zh-CN"/>
        </w:rPr>
        <w:t>。</w:t>
      </w:r>
      <w:r>
        <w:rPr>
          <w:rFonts w:cs="仿宋_GB2312"/>
          <w:i w:val="0"/>
          <w:iCs w:val="0"/>
          <w:color w:val="auto"/>
          <w:sz w:val="21"/>
          <w:szCs w:val="21"/>
          <w:highlight w:val="none"/>
        </w:rPr>
        <w:br w:type="page"/>
      </w:r>
    </w:p>
    <w:p w14:paraId="06C98EB9">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53" w:name="_Toc6568"/>
      <w:r>
        <w:rPr>
          <w:rFonts w:hint="eastAsia" w:cstheme="majorBidi"/>
          <w:b/>
          <w:bCs/>
          <w:i w:val="0"/>
          <w:iCs w:val="0"/>
          <w:color w:val="auto"/>
          <w:kern w:val="2"/>
          <w:sz w:val="32"/>
          <w:szCs w:val="32"/>
          <w:highlight w:val="none"/>
          <w:lang w:val="en-US" w:eastAsia="zh-CN" w:bidi="ar-SA"/>
        </w:rPr>
        <w:t>十六</w:t>
      </w:r>
      <w:r>
        <w:rPr>
          <w:rFonts w:hint="eastAsia" w:eastAsia="宋体" w:asciiTheme="majorHAnsi" w:hAnsiTheme="majorHAnsi" w:cstheme="majorBidi"/>
          <w:b/>
          <w:bCs/>
          <w:i w:val="0"/>
          <w:iCs w:val="0"/>
          <w:color w:val="auto"/>
          <w:kern w:val="2"/>
          <w:sz w:val="32"/>
          <w:szCs w:val="32"/>
          <w:highlight w:val="none"/>
          <w:lang w:val="en-US" w:eastAsia="zh-CN" w:bidi="ar-SA"/>
        </w:rPr>
        <w:t>、技术方案</w:t>
      </w:r>
      <w:bookmarkEnd w:id="753"/>
    </w:p>
    <w:p w14:paraId="3878D3F5">
      <w:pPr>
        <w:pStyle w:val="35"/>
        <w:rPr>
          <w:i w:val="0"/>
          <w:iCs w:val="0"/>
          <w:color w:val="auto"/>
          <w:highlight w:val="none"/>
        </w:rPr>
      </w:pPr>
      <w:r>
        <w:rPr>
          <w:rFonts w:hint="eastAsia"/>
          <w:i w:val="0"/>
          <w:iCs w:val="0"/>
          <w:color w:val="auto"/>
          <w:highlight w:val="none"/>
          <w:lang w:val="en-US" w:eastAsia="zh-CN"/>
        </w:rPr>
        <w:t>供应商</w:t>
      </w:r>
      <w:r>
        <w:rPr>
          <w:rFonts w:hint="eastAsia"/>
          <w:i w:val="0"/>
          <w:iCs w:val="0"/>
          <w:color w:val="auto"/>
          <w:highlight w:val="none"/>
        </w:rPr>
        <w:t>应按照</w:t>
      </w:r>
      <w:r>
        <w:rPr>
          <w:rFonts w:hint="eastAsia"/>
          <w:i w:val="0"/>
          <w:iCs w:val="0"/>
          <w:color w:val="auto"/>
          <w:highlight w:val="none"/>
          <w:lang w:val="en-US" w:eastAsia="zh-CN"/>
        </w:rPr>
        <w:t>竞争性磋商</w:t>
      </w:r>
      <w:r>
        <w:rPr>
          <w:rFonts w:hint="eastAsia"/>
          <w:i w:val="0"/>
          <w:iCs w:val="0"/>
          <w:color w:val="auto"/>
          <w:highlight w:val="none"/>
        </w:rPr>
        <w:t>文件的要求，提供详细的服务方案，包括文字描述或图表显示。格式自拟。</w:t>
      </w:r>
    </w:p>
    <w:p w14:paraId="7EE77353">
      <w:pPr>
        <w:pStyle w:val="35"/>
        <w:rPr>
          <w:i w:val="0"/>
          <w:iCs w:val="0"/>
          <w:color w:val="auto"/>
          <w:highlight w:val="none"/>
        </w:rPr>
      </w:pPr>
      <w:r>
        <w:rPr>
          <w:i w:val="0"/>
          <w:iCs w:val="0"/>
          <w:color w:val="auto"/>
          <w:highlight w:val="none"/>
        </w:rPr>
        <w:br w:type="page"/>
      </w:r>
    </w:p>
    <w:p w14:paraId="68D392B1">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54" w:name="_Toc8520"/>
      <w:r>
        <w:rPr>
          <w:rFonts w:hint="eastAsia" w:eastAsia="宋体" w:asciiTheme="majorHAnsi" w:hAnsiTheme="majorHAnsi" w:cstheme="majorBidi"/>
          <w:b/>
          <w:bCs/>
          <w:i w:val="0"/>
          <w:iCs w:val="0"/>
          <w:color w:val="auto"/>
          <w:kern w:val="2"/>
          <w:sz w:val="32"/>
          <w:szCs w:val="32"/>
          <w:highlight w:val="none"/>
          <w:lang w:val="en-US" w:eastAsia="zh-CN" w:bidi="ar-SA"/>
        </w:rPr>
        <w:t>十</w:t>
      </w:r>
      <w:r>
        <w:rPr>
          <w:rFonts w:hint="eastAsia" w:cstheme="majorBidi"/>
          <w:b/>
          <w:bCs/>
          <w:i w:val="0"/>
          <w:iCs w:val="0"/>
          <w:color w:val="auto"/>
          <w:kern w:val="2"/>
          <w:sz w:val="32"/>
          <w:szCs w:val="32"/>
          <w:highlight w:val="none"/>
          <w:lang w:val="en-US" w:eastAsia="zh-CN" w:bidi="ar-SA"/>
        </w:rPr>
        <w:t>七</w:t>
      </w:r>
      <w:r>
        <w:rPr>
          <w:rFonts w:hint="eastAsia" w:eastAsia="宋体" w:asciiTheme="majorHAnsi" w:hAnsiTheme="majorHAnsi" w:cstheme="majorBidi"/>
          <w:b/>
          <w:bCs/>
          <w:i w:val="0"/>
          <w:iCs w:val="0"/>
          <w:color w:val="auto"/>
          <w:kern w:val="2"/>
          <w:sz w:val="32"/>
          <w:szCs w:val="32"/>
          <w:highlight w:val="none"/>
          <w:lang w:val="en-US" w:eastAsia="zh-CN" w:bidi="ar-SA"/>
        </w:rPr>
        <w:t>、其他文件</w:t>
      </w:r>
      <w:bookmarkEnd w:id="754"/>
    </w:p>
    <w:p w14:paraId="6EF40482">
      <w:pPr>
        <w:pStyle w:val="35"/>
        <w:ind w:left="0" w:leftChars="0" w:firstLine="0" w:firstLineChars="0"/>
        <w:rPr>
          <w:rFonts w:hint="eastAsia"/>
          <w:b/>
          <w:bCs/>
          <w:i w:val="0"/>
          <w:iCs w:val="0"/>
          <w:color w:val="auto"/>
          <w:sz w:val="24"/>
          <w:szCs w:val="24"/>
          <w:highlight w:val="none"/>
          <w:shd w:val="clear" w:color="auto" w:fill="FFFFFF" w:themeFill="background1"/>
          <w:lang w:val="zh-CN" w:eastAsia="zh-CN"/>
        </w:rPr>
      </w:pPr>
      <w:r>
        <w:rPr>
          <w:rFonts w:hint="eastAsia"/>
          <w:b/>
          <w:bCs/>
          <w:i w:val="0"/>
          <w:iCs w:val="0"/>
          <w:color w:val="auto"/>
          <w:sz w:val="24"/>
          <w:szCs w:val="24"/>
          <w:highlight w:val="none"/>
          <w:shd w:val="clear" w:color="auto" w:fill="FFFFFF" w:themeFill="background1"/>
          <w:lang w:val="en-US" w:eastAsia="zh-CN"/>
        </w:rPr>
        <w:t>（一）竞争性磋商</w:t>
      </w:r>
      <w:r>
        <w:rPr>
          <w:rFonts w:hint="eastAsia"/>
          <w:b/>
          <w:bCs/>
          <w:i w:val="0"/>
          <w:iCs w:val="0"/>
          <w:color w:val="auto"/>
          <w:sz w:val="24"/>
          <w:szCs w:val="24"/>
          <w:highlight w:val="none"/>
          <w:shd w:val="clear" w:color="auto" w:fill="FFFFFF" w:themeFill="background1"/>
          <w:lang w:val="zh-CN" w:eastAsia="zh-CN"/>
        </w:rPr>
        <w:t>文件要求提供的其它商务、技术资料和证明材料；</w:t>
      </w:r>
    </w:p>
    <w:p w14:paraId="5BCBA614">
      <w:pPr>
        <w:pStyle w:val="3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1.1供应商信息采集表</w:t>
      </w:r>
    </w:p>
    <w:tbl>
      <w:tblPr>
        <w:tblStyle w:val="30"/>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137F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3196CBA4">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供应商名称</w:t>
            </w:r>
          </w:p>
        </w:tc>
        <w:tc>
          <w:tcPr>
            <w:tcW w:w="2841" w:type="dxa"/>
            <w:vAlign w:val="center"/>
          </w:tcPr>
          <w:p w14:paraId="0A245F67">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供应商实际控制人性别</w:t>
            </w:r>
          </w:p>
        </w:tc>
        <w:tc>
          <w:tcPr>
            <w:tcW w:w="2743" w:type="dxa"/>
            <w:vAlign w:val="center"/>
          </w:tcPr>
          <w:p w14:paraId="2F9738CA">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外商投资类型</w:t>
            </w:r>
          </w:p>
        </w:tc>
      </w:tr>
      <w:tr w14:paraId="5856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27D4B37">
            <w:pPr>
              <w:pStyle w:val="35"/>
              <w:rPr>
                <w:rFonts w:hint="eastAsia" w:ascii="宋体" w:hAnsi="宋体" w:eastAsia="宋体" w:cs="宋体"/>
                <w:i w:val="0"/>
                <w:iCs w:val="0"/>
                <w:color w:val="auto"/>
                <w:sz w:val="24"/>
                <w:szCs w:val="24"/>
                <w:highlight w:val="none"/>
                <w:vertAlign w:val="baseline"/>
                <w:lang w:val="en-US" w:eastAsia="zh-CN"/>
              </w:rPr>
            </w:pPr>
          </w:p>
        </w:tc>
        <w:tc>
          <w:tcPr>
            <w:tcW w:w="2841" w:type="dxa"/>
          </w:tcPr>
          <w:p w14:paraId="77A19329">
            <w:pPr>
              <w:pStyle w:val="35"/>
              <w:rPr>
                <w:rFonts w:hint="eastAsia" w:ascii="宋体" w:hAnsi="宋体" w:eastAsia="宋体" w:cs="宋体"/>
                <w:i w:val="0"/>
                <w:iCs w:val="0"/>
                <w:color w:val="auto"/>
                <w:sz w:val="24"/>
                <w:szCs w:val="24"/>
                <w:highlight w:val="none"/>
                <w:vertAlign w:val="baseline"/>
                <w:lang w:val="en-US" w:eastAsia="zh-CN"/>
              </w:rPr>
            </w:pPr>
          </w:p>
        </w:tc>
        <w:tc>
          <w:tcPr>
            <w:tcW w:w="2743" w:type="dxa"/>
          </w:tcPr>
          <w:p w14:paraId="622EC6E5">
            <w:pPr>
              <w:pStyle w:val="35"/>
              <w:rPr>
                <w:rFonts w:hint="eastAsia" w:ascii="宋体" w:hAnsi="宋体" w:eastAsia="宋体" w:cs="宋体"/>
                <w:i w:val="0"/>
                <w:iCs w:val="0"/>
                <w:color w:val="auto"/>
                <w:sz w:val="24"/>
                <w:szCs w:val="24"/>
                <w:highlight w:val="none"/>
                <w:vertAlign w:val="baseline"/>
                <w:lang w:val="en-US" w:eastAsia="zh-CN"/>
              </w:rPr>
            </w:pPr>
          </w:p>
        </w:tc>
      </w:tr>
      <w:tr w14:paraId="68AB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4F23B295">
            <w:pPr>
              <w:pStyle w:val="35"/>
              <w:rPr>
                <w:rFonts w:hint="eastAsia" w:ascii="宋体" w:hAnsi="宋体" w:eastAsia="宋体" w:cs="宋体"/>
                <w:i w:val="0"/>
                <w:iCs w:val="0"/>
                <w:color w:val="auto"/>
                <w:sz w:val="24"/>
                <w:szCs w:val="24"/>
                <w:highlight w:val="none"/>
                <w:vertAlign w:val="baseline"/>
                <w:lang w:val="en-US" w:eastAsia="zh-CN"/>
              </w:rPr>
            </w:pPr>
          </w:p>
        </w:tc>
        <w:tc>
          <w:tcPr>
            <w:tcW w:w="2841" w:type="dxa"/>
          </w:tcPr>
          <w:p w14:paraId="111EECCF">
            <w:pPr>
              <w:pStyle w:val="35"/>
              <w:rPr>
                <w:rFonts w:hint="eastAsia" w:ascii="宋体" w:hAnsi="宋体" w:eastAsia="宋体" w:cs="宋体"/>
                <w:i w:val="0"/>
                <w:iCs w:val="0"/>
                <w:color w:val="auto"/>
                <w:sz w:val="24"/>
                <w:szCs w:val="24"/>
                <w:highlight w:val="none"/>
                <w:vertAlign w:val="baseline"/>
                <w:lang w:val="en-US" w:eastAsia="zh-CN"/>
              </w:rPr>
            </w:pPr>
          </w:p>
        </w:tc>
        <w:tc>
          <w:tcPr>
            <w:tcW w:w="2743" w:type="dxa"/>
          </w:tcPr>
          <w:p w14:paraId="4D2F0C95">
            <w:pPr>
              <w:pStyle w:val="35"/>
              <w:rPr>
                <w:rFonts w:hint="eastAsia" w:ascii="宋体" w:hAnsi="宋体" w:eastAsia="宋体" w:cs="宋体"/>
                <w:i w:val="0"/>
                <w:iCs w:val="0"/>
                <w:color w:val="auto"/>
                <w:sz w:val="24"/>
                <w:szCs w:val="24"/>
                <w:highlight w:val="none"/>
                <w:vertAlign w:val="baseline"/>
                <w:lang w:val="en-US" w:eastAsia="zh-CN"/>
              </w:rPr>
            </w:pPr>
          </w:p>
        </w:tc>
      </w:tr>
      <w:tr w14:paraId="475F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1F6D1198">
            <w:pPr>
              <w:pStyle w:val="35"/>
              <w:rPr>
                <w:rFonts w:hint="eastAsia" w:ascii="宋体" w:hAnsi="宋体" w:eastAsia="宋体" w:cs="宋体"/>
                <w:i w:val="0"/>
                <w:iCs w:val="0"/>
                <w:color w:val="auto"/>
                <w:sz w:val="24"/>
                <w:szCs w:val="24"/>
                <w:highlight w:val="none"/>
                <w:vertAlign w:val="baseline"/>
                <w:lang w:val="en-US" w:eastAsia="zh-CN"/>
              </w:rPr>
            </w:pPr>
          </w:p>
        </w:tc>
        <w:tc>
          <w:tcPr>
            <w:tcW w:w="2841" w:type="dxa"/>
          </w:tcPr>
          <w:p w14:paraId="55034FDC">
            <w:pPr>
              <w:pStyle w:val="35"/>
              <w:rPr>
                <w:rFonts w:hint="eastAsia" w:ascii="宋体" w:hAnsi="宋体" w:eastAsia="宋体" w:cs="宋体"/>
                <w:i w:val="0"/>
                <w:iCs w:val="0"/>
                <w:color w:val="auto"/>
                <w:sz w:val="24"/>
                <w:szCs w:val="24"/>
                <w:highlight w:val="none"/>
                <w:vertAlign w:val="baseline"/>
                <w:lang w:val="en-US" w:eastAsia="zh-CN"/>
              </w:rPr>
            </w:pPr>
          </w:p>
        </w:tc>
        <w:tc>
          <w:tcPr>
            <w:tcW w:w="2743" w:type="dxa"/>
          </w:tcPr>
          <w:p w14:paraId="68A92D99">
            <w:pPr>
              <w:pStyle w:val="35"/>
              <w:rPr>
                <w:rFonts w:hint="eastAsia" w:ascii="宋体" w:hAnsi="宋体" w:eastAsia="宋体" w:cs="宋体"/>
                <w:i w:val="0"/>
                <w:iCs w:val="0"/>
                <w:color w:val="auto"/>
                <w:sz w:val="24"/>
                <w:szCs w:val="24"/>
                <w:highlight w:val="none"/>
                <w:vertAlign w:val="baseline"/>
                <w:lang w:val="en-US" w:eastAsia="zh-CN"/>
              </w:rPr>
            </w:pPr>
          </w:p>
        </w:tc>
      </w:tr>
      <w:tr w14:paraId="0F1C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509FCDF">
            <w:pPr>
              <w:pStyle w:val="35"/>
              <w:rPr>
                <w:rFonts w:hint="eastAsia" w:ascii="宋体" w:hAnsi="宋体" w:eastAsia="宋体" w:cs="宋体"/>
                <w:i w:val="0"/>
                <w:iCs w:val="0"/>
                <w:color w:val="auto"/>
                <w:sz w:val="24"/>
                <w:szCs w:val="24"/>
                <w:highlight w:val="none"/>
                <w:vertAlign w:val="baseline"/>
                <w:lang w:val="en-US" w:eastAsia="zh-CN"/>
              </w:rPr>
            </w:pPr>
          </w:p>
        </w:tc>
        <w:tc>
          <w:tcPr>
            <w:tcW w:w="2841" w:type="dxa"/>
          </w:tcPr>
          <w:p w14:paraId="07B43AD5">
            <w:pPr>
              <w:pStyle w:val="35"/>
              <w:rPr>
                <w:rFonts w:hint="eastAsia" w:ascii="宋体" w:hAnsi="宋体" w:eastAsia="宋体" w:cs="宋体"/>
                <w:i w:val="0"/>
                <w:iCs w:val="0"/>
                <w:color w:val="auto"/>
                <w:sz w:val="24"/>
                <w:szCs w:val="24"/>
                <w:highlight w:val="none"/>
                <w:vertAlign w:val="baseline"/>
                <w:lang w:val="en-US" w:eastAsia="zh-CN"/>
              </w:rPr>
            </w:pPr>
          </w:p>
        </w:tc>
        <w:tc>
          <w:tcPr>
            <w:tcW w:w="2743" w:type="dxa"/>
          </w:tcPr>
          <w:p w14:paraId="24661AD7">
            <w:pPr>
              <w:pStyle w:val="35"/>
              <w:rPr>
                <w:rFonts w:hint="eastAsia" w:ascii="宋体" w:hAnsi="宋体" w:eastAsia="宋体" w:cs="宋体"/>
                <w:i w:val="0"/>
                <w:iCs w:val="0"/>
                <w:color w:val="auto"/>
                <w:sz w:val="24"/>
                <w:szCs w:val="24"/>
                <w:highlight w:val="none"/>
                <w:vertAlign w:val="baseline"/>
                <w:lang w:val="en-US" w:eastAsia="zh-CN"/>
              </w:rPr>
            </w:pPr>
          </w:p>
        </w:tc>
      </w:tr>
    </w:tbl>
    <w:p w14:paraId="2D083952">
      <w:pPr>
        <w:keepNext w:val="0"/>
        <w:keepLines w:val="0"/>
        <w:widowControl/>
        <w:suppressLineNumbers w:val="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2.“供应商实际控制人性别”按供应商实际控制人性别划分请填写“男”或“女”，指拥有供应商 51%以上绝对所有权的性；绝对所有权拥有者可以是一个人，也可以是多人合计计算。</w:t>
      </w:r>
    </w:p>
    <w:p w14:paraId="6C85D95C">
      <w:pPr>
        <w:pStyle w:val="35"/>
        <w:ind w:left="0" w:leftChars="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0"/>
          <w:sz w:val="21"/>
          <w:szCs w:val="21"/>
          <w:highlight w:val="none"/>
          <w:lang w:val="en-US" w:eastAsia="zh-CN" w:bidi="ar"/>
        </w:rPr>
        <w:t>3.“外商投资类型”请填写“外商单独投资”、“外商部分投资”或“内资”。</w:t>
      </w:r>
    </w:p>
    <w:p w14:paraId="55FB009A">
      <w:pPr>
        <w:pStyle w:val="35"/>
        <w:rPr>
          <w:rFonts w:hint="eastAsia" w:ascii="宋体" w:hAnsi="宋体" w:eastAsia="宋体" w:cs="宋体"/>
          <w:i w:val="0"/>
          <w:iCs w:val="0"/>
          <w:color w:val="auto"/>
          <w:sz w:val="24"/>
          <w:szCs w:val="24"/>
          <w:highlight w:val="none"/>
          <w:lang w:val="en-US" w:eastAsia="zh-CN"/>
        </w:rPr>
      </w:pPr>
    </w:p>
    <w:p w14:paraId="2D6AF8D7">
      <w:pPr>
        <w:pStyle w:val="35"/>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1.2其它商务、技术资料和证明材料</w:t>
      </w:r>
    </w:p>
    <w:p w14:paraId="3A8E8E10">
      <w:pPr>
        <w:pStyle w:val="35"/>
        <w:rPr>
          <w:rFonts w:hint="default"/>
          <w:i w:val="0"/>
          <w:iCs w:val="0"/>
          <w:color w:val="auto"/>
          <w:sz w:val="28"/>
          <w:szCs w:val="28"/>
          <w:highlight w:val="none"/>
          <w:lang w:val="en-US" w:eastAsia="zh-CN"/>
        </w:rPr>
      </w:pPr>
    </w:p>
    <w:p w14:paraId="07564543">
      <w:pPr>
        <w:pStyle w:val="35"/>
        <w:ind w:left="0" w:leftChars="0" w:firstLine="0" w:firstLineChars="0"/>
        <w:rPr>
          <w:rFonts w:hint="eastAsia"/>
          <w:i w:val="0"/>
          <w:iCs w:val="0"/>
          <w:color w:val="auto"/>
          <w:highlight w:val="none"/>
        </w:rPr>
      </w:pPr>
      <w:r>
        <w:rPr>
          <w:rFonts w:hint="eastAsia"/>
          <w:b/>
          <w:bCs/>
          <w:i w:val="0"/>
          <w:iCs w:val="0"/>
          <w:color w:val="auto"/>
          <w:sz w:val="24"/>
          <w:szCs w:val="24"/>
          <w:highlight w:val="none"/>
          <w:shd w:val="clear" w:color="auto" w:fill="FFFFFF" w:themeFill="background1"/>
          <w:lang w:val="en-US" w:eastAsia="zh-CN"/>
        </w:rPr>
        <w:t>（二）供应商认为需要提供的其它商务、技术资料和说明。</w:t>
      </w:r>
    </w:p>
    <w:p w14:paraId="3352B805">
      <w:pPr>
        <w:pStyle w:val="35"/>
        <w:rPr>
          <w:rFonts w:hint="eastAsia"/>
          <w:i w:val="0"/>
          <w:iCs w:val="0"/>
          <w:color w:val="auto"/>
          <w:highlight w:val="none"/>
        </w:rPr>
      </w:pPr>
    </w:p>
    <w:p w14:paraId="19B7C1E0">
      <w:pPr>
        <w:pStyle w:val="35"/>
        <w:rPr>
          <w:rFonts w:hint="eastAsia"/>
          <w:i w:val="0"/>
          <w:iCs w:val="0"/>
          <w:color w:val="auto"/>
          <w:highlight w:val="none"/>
        </w:rPr>
      </w:pPr>
    </w:p>
    <w:bookmarkEnd w:id="680"/>
    <w:p w14:paraId="7CB0AFFA">
      <w:pPr>
        <w:rPr>
          <w:i w:val="0"/>
          <w:iCs w:val="0"/>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FD85">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97B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E197B8">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2397523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6791">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78F3B">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978F3B">
                    <w:pPr>
                      <w:pStyle w:val="18"/>
                    </w:pPr>
                    <w:r>
                      <w:fldChar w:fldCharType="begin"/>
                    </w:r>
                    <w:r>
                      <w:instrText xml:space="preserve"> PAGE  \* MERGEFORMAT </w:instrText>
                    </w:r>
                    <w:r>
                      <w:fldChar w:fldCharType="separate"/>
                    </w:r>
                    <w:r>
                      <w:t>4</w:t>
                    </w:r>
                    <w:r>
                      <w:fldChar w:fldCharType="end"/>
                    </w:r>
                  </w:p>
                </w:txbxContent>
              </v:textbox>
            </v:shape>
          </w:pict>
        </mc:Fallback>
      </mc:AlternateContent>
    </w:r>
  </w:p>
  <w:p w14:paraId="1D038EF8">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84D31">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84D31">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C037">
    <w:pPr>
      <w:pStyle w:val="19"/>
      <w:tabs>
        <w:tab w:val="left" w:pos="3120"/>
      </w:tabs>
      <w:spacing w:line="240" w:lineRule="auto"/>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19"/>
      <w:spacing w:line="240" w:lineRule="auto"/>
    </w:pPr>
    <w:r>
      <w:rPr>
        <w:rFonts w:hint="eastAsia"/>
        <w:sz w:val="24"/>
        <w:szCs w:val="24"/>
        <w:lang w:val="en-US" w:eastAsia="zh-CN"/>
      </w:rPr>
      <w:t xml:space="preserve">                                  </w:t>
    </w:r>
    <w:r>
      <w:rPr>
        <w:rFonts w:hint="eastAsia"/>
        <w:sz w:val="18"/>
        <w:szCs w:val="18"/>
        <w:lang w:val="en-US" w:eastAsia="zh-CN"/>
      </w:rPr>
      <w:t>政府采购项目竞争性磋商</w:t>
    </w:r>
    <w:r>
      <w:rPr>
        <w:rFonts w:hint="eastAsia"/>
        <w:sz w:val="18"/>
        <w:szCs w:val="18"/>
      </w:rPr>
      <w:t>文件</w:t>
    </w:r>
    <w:r>
      <w:rPr>
        <w:rFonts w:hint="eastAsia"/>
        <w:sz w:val="18"/>
        <w:szCs w:val="18"/>
        <w:lang w:val="en-US" w:eastAsia="zh-CN"/>
      </w:rPr>
      <w:t>示范文本（服务）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ECCE7"/>
    <w:multiLevelType w:val="singleLevel"/>
    <w:tmpl w:val="E13ECCE7"/>
    <w:lvl w:ilvl="0" w:tentative="0">
      <w:start w:val="3"/>
      <w:numFmt w:val="decimal"/>
      <w:lvlText w:val="%1."/>
      <w:lvlJc w:val="left"/>
      <w:pPr>
        <w:tabs>
          <w:tab w:val="left" w:pos="312"/>
        </w:tabs>
      </w:pPr>
    </w:lvl>
  </w:abstractNum>
  <w:abstractNum w:abstractNumId="1">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6791"/>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D77F8"/>
    <w:rsid w:val="001E2156"/>
    <w:rsid w:val="001F00D7"/>
    <w:rsid w:val="001F0B83"/>
    <w:rsid w:val="002232D4"/>
    <w:rsid w:val="00230459"/>
    <w:rsid w:val="002416CF"/>
    <w:rsid w:val="00247842"/>
    <w:rsid w:val="002554AB"/>
    <w:rsid w:val="002629DD"/>
    <w:rsid w:val="00262A33"/>
    <w:rsid w:val="00264A6E"/>
    <w:rsid w:val="00266970"/>
    <w:rsid w:val="002746A9"/>
    <w:rsid w:val="00285085"/>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4A51"/>
    <w:rsid w:val="00582A20"/>
    <w:rsid w:val="00590283"/>
    <w:rsid w:val="00594A14"/>
    <w:rsid w:val="005A3570"/>
    <w:rsid w:val="005A7750"/>
    <w:rsid w:val="005B55AC"/>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92FA7"/>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46033"/>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566D5"/>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3EA5"/>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011432"/>
    <w:rsid w:val="01113D6B"/>
    <w:rsid w:val="011A5E25"/>
    <w:rsid w:val="012A118F"/>
    <w:rsid w:val="013A17BA"/>
    <w:rsid w:val="014F6641"/>
    <w:rsid w:val="01521C8D"/>
    <w:rsid w:val="01633E9B"/>
    <w:rsid w:val="0168325F"/>
    <w:rsid w:val="01A544B3"/>
    <w:rsid w:val="01AE3368"/>
    <w:rsid w:val="01D17056"/>
    <w:rsid w:val="02126242"/>
    <w:rsid w:val="021D673F"/>
    <w:rsid w:val="02557C87"/>
    <w:rsid w:val="02662C4C"/>
    <w:rsid w:val="02690376"/>
    <w:rsid w:val="028642E4"/>
    <w:rsid w:val="02B01361"/>
    <w:rsid w:val="02C72207"/>
    <w:rsid w:val="03096D43"/>
    <w:rsid w:val="0317318F"/>
    <w:rsid w:val="03305FFE"/>
    <w:rsid w:val="033923C2"/>
    <w:rsid w:val="033C49A3"/>
    <w:rsid w:val="035937A7"/>
    <w:rsid w:val="03693FA8"/>
    <w:rsid w:val="0387014A"/>
    <w:rsid w:val="03C54999"/>
    <w:rsid w:val="041B0A5C"/>
    <w:rsid w:val="04243DB5"/>
    <w:rsid w:val="047C774D"/>
    <w:rsid w:val="04842AA6"/>
    <w:rsid w:val="049802FF"/>
    <w:rsid w:val="04B0389B"/>
    <w:rsid w:val="04D56E5D"/>
    <w:rsid w:val="04DA4474"/>
    <w:rsid w:val="05191440"/>
    <w:rsid w:val="05214D81"/>
    <w:rsid w:val="053022E6"/>
    <w:rsid w:val="053B7608"/>
    <w:rsid w:val="056F2E0E"/>
    <w:rsid w:val="05816FE5"/>
    <w:rsid w:val="05834B0B"/>
    <w:rsid w:val="05A056BD"/>
    <w:rsid w:val="05B44CC5"/>
    <w:rsid w:val="05C07B0D"/>
    <w:rsid w:val="05C80770"/>
    <w:rsid w:val="05DB04A3"/>
    <w:rsid w:val="05E530D0"/>
    <w:rsid w:val="065B3392"/>
    <w:rsid w:val="06874187"/>
    <w:rsid w:val="069C40D7"/>
    <w:rsid w:val="06A20FC1"/>
    <w:rsid w:val="06A411DD"/>
    <w:rsid w:val="06C07699"/>
    <w:rsid w:val="070E75E1"/>
    <w:rsid w:val="07577FFE"/>
    <w:rsid w:val="076B1CFB"/>
    <w:rsid w:val="07B0770E"/>
    <w:rsid w:val="07B436A2"/>
    <w:rsid w:val="07C47C51"/>
    <w:rsid w:val="07C531B9"/>
    <w:rsid w:val="07CA07CF"/>
    <w:rsid w:val="07CB4548"/>
    <w:rsid w:val="08027530"/>
    <w:rsid w:val="080D4B60"/>
    <w:rsid w:val="081952B3"/>
    <w:rsid w:val="082425D6"/>
    <w:rsid w:val="083C3D2C"/>
    <w:rsid w:val="08510EF1"/>
    <w:rsid w:val="086230FE"/>
    <w:rsid w:val="0865499C"/>
    <w:rsid w:val="08716E9D"/>
    <w:rsid w:val="08766BA9"/>
    <w:rsid w:val="088272FC"/>
    <w:rsid w:val="088C3CD7"/>
    <w:rsid w:val="08BA08C0"/>
    <w:rsid w:val="08BB45BC"/>
    <w:rsid w:val="08D51B22"/>
    <w:rsid w:val="08E81CF0"/>
    <w:rsid w:val="08FA6E92"/>
    <w:rsid w:val="092403B3"/>
    <w:rsid w:val="092C1016"/>
    <w:rsid w:val="094C3466"/>
    <w:rsid w:val="095567BF"/>
    <w:rsid w:val="09A82D92"/>
    <w:rsid w:val="09B07E99"/>
    <w:rsid w:val="09CD45A7"/>
    <w:rsid w:val="09D122E9"/>
    <w:rsid w:val="09F200DB"/>
    <w:rsid w:val="09FC4E8C"/>
    <w:rsid w:val="0A351B60"/>
    <w:rsid w:val="0A73514E"/>
    <w:rsid w:val="0A7F7F97"/>
    <w:rsid w:val="0A912C71"/>
    <w:rsid w:val="0A9E7CF1"/>
    <w:rsid w:val="0AA479FE"/>
    <w:rsid w:val="0AC0235E"/>
    <w:rsid w:val="0ACC485F"/>
    <w:rsid w:val="0ADA3F4C"/>
    <w:rsid w:val="0ADF27E4"/>
    <w:rsid w:val="0AF82734"/>
    <w:rsid w:val="0B0E131B"/>
    <w:rsid w:val="0B116715"/>
    <w:rsid w:val="0B2B5A29"/>
    <w:rsid w:val="0B48482D"/>
    <w:rsid w:val="0B5A00BC"/>
    <w:rsid w:val="0B5C3E34"/>
    <w:rsid w:val="0B7329D8"/>
    <w:rsid w:val="0B9C6927"/>
    <w:rsid w:val="0BBF61BC"/>
    <w:rsid w:val="0BCB5C52"/>
    <w:rsid w:val="0BD460C1"/>
    <w:rsid w:val="0BE300B2"/>
    <w:rsid w:val="0BE856C8"/>
    <w:rsid w:val="0C01370B"/>
    <w:rsid w:val="0C01678A"/>
    <w:rsid w:val="0C085D6A"/>
    <w:rsid w:val="0C193AD3"/>
    <w:rsid w:val="0C483CD8"/>
    <w:rsid w:val="0C6236CC"/>
    <w:rsid w:val="0C7B29E0"/>
    <w:rsid w:val="0C7D22B4"/>
    <w:rsid w:val="0C807FF6"/>
    <w:rsid w:val="0C9D4705"/>
    <w:rsid w:val="0CA912FB"/>
    <w:rsid w:val="0CD45BD6"/>
    <w:rsid w:val="0D166CFD"/>
    <w:rsid w:val="0D276A71"/>
    <w:rsid w:val="0D2C7836"/>
    <w:rsid w:val="0D896A37"/>
    <w:rsid w:val="0D8C18C1"/>
    <w:rsid w:val="0DA85BF2"/>
    <w:rsid w:val="0DB00467"/>
    <w:rsid w:val="0DDA3736"/>
    <w:rsid w:val="0DF42353"/>
    <w:rsid w:val="0E0013EF"/>
    <w:rsid w:val="0E012A71"/>
    <w:rsid w:val="0E1C3D4F"/>
    <w:rsid w:val="0E2B3F92"/>
    <w:rsid w:val="0E4532A6"/>
    <w:rsid w:val="0E714301"/>
    <w:rsid w:val="0E8B67DF"/>
    <w:rsid w:val="0EC37B54"/>
    <w:rsid w:val="0EDB32C2"/>
    <w:rsid w:val="0EDB7766"/>
    <w:rsid w:val="0EE773CD"/>
    <w:rsid w:val="0EEF3211"/>
    <w:rsid w:val="0EF3685E"/>
    <w:rsid w:val="0EFB1BB6"/>
    <w:rsid w:val="0F1C6324"/>
    <w:rsid w:val="0F29227F"/>
    <w:rsid w:val="0F4F5A5E"/>
    <w:rsid w:val="0F6634D4"/>
    <w:rsid w:val="0F7200CA"/>
    <w:rsid w:val="0F7A515E"/>
    <w:rsid w:val="0F7F4595"/>
    <w:rsid w:val="0FB35FED"/>
    <w:rsid w:val="0FC401FA"/>
    <w:rsid w:val="0FE12B5A"/>
    <w:rsid w:val="102869DB"/>
    <w:rsid w:val="10520096"/>
    <w:rsid w:val="10637A13"/>
    <w:rsid w:val="10817E99"/>
    <w:rsid w:val="10861954"/>
    <w:rsid w:val="10A36062"/>
    <w:rsid w:val="10A5627E"/>
    <w:rsid w:val="10BD35C7"/>
    <w:rsid w:val="115D26B4"/>
    <w:rsid w:val="11691059"/>
    <w:rsid w:val="117B0D8C"/>
    <w:rsid w:val="11A6405B"/>
    <w:rsid w:val="11D5049D"/>
    <w:rsid w:val="11E626AA"/>
    <w:rsid w:val="1218364A"/>
    <w:rsid w:val="12241424"/>
    <w:rsid w:val="122F22A3"/>
    <w:rsid w:val="124A70DD"/>
    <w:rsid w:val="12505D75"/>
    <w:rsid w:val="12AA36D7"/>
    <w:rsid w:val="12BB58E4"/>
    <w:rsid w:val="12C0739F"/>
    <w:rsid w:val="12F9465F"/>
    <w:rsid w:val="12FC7CAB"/>
    <w:rsid w:val="13623FB2"/>
    <w:rsid w:val="137A6CA2"/>
    <w:rsid w:val="13931986"/>
    <w:rsid w:val="139A7BF0"/>
    <w:rsid w:val="13A73607"/>
    <w:rsid w:val="13CE280D"/>
    <w:rsid w:val="13F15336"/>
    <w:rsid w:val="13F54E26"/>
    <w:rsid w:val="13FB7F63"/>
    <w:rsid w:val="14045069"/>
    <w:rsid w:val="14264FE0"/>
    <w:rsid w:val="14506500"/>
    <w:rsid w:val="14520465"/>
    <w:rsid w:val="1457163D"/>
    <w:rsid w:val="14733F9D"/>
    <w:rsid w:val="147C10A3"/>
    <w:rsid w:val="14B940A6"/>
    <w:rsid w:val="14C447F8"/>
    <w:rsid w:val="15115C90"/>
    <w:rsid w:val="151B4D60"/>
    <w:rsid w:val="153B2982"/>
    <w:rsid w:val="153E1881"/>
    <w:rsid w:val="155F2CB0"/>
    <w:rsid w:val="15604521"/>
    <w:rsid w:val="15932B49"/>
    <w:rsid w:val="15A52A02"/>
    <w:rsid w:val="15A9411A"/>
    <w:rsid w:val="15AF7257"/>
    <w:rsid w:val="15E52C78"/>
    <w:rsid w:val="1606331B"/>
    <w:rsid w:val="163D4862"/>
    <w:rsid w:val="164E4CC1"/>
    <w:rsid w:val="165247B2"/>
    <w:rsid w:val="16556050"/>
    <w:rsid w:val="168164BC"/>
    <w:rsid w:val="169923E1"/>
    <w:rsid w:val="16994D22"/>
    <w:rsid w:val="169B3FD3"/>
    <w:rsid w:val="169D3553"/>
    <w:rsid w:val="16AC04CA"/>
    <w:rsid w:val="16B56AEF"/>
    <w:rsid w:val="16B84207"/>
    <w:rsid w:val="16BC7E7D"/>
    <w:rsid w:val="16EB2510"/>
    <w:rsid w:val="17081314"/>
    <w:rsid w:val="17163A31"/>
    <w:rsid w:val="17326391"/>
    <w:rsid w:val="1736143B"/>
    <w:rsid w:val="174165D4"/>
    <w:rsid w:val="175956CC"/>
    <w:rsid w:val="175C6F6A"/>
    <w:rsid w:val="17800EAB"/>
    <w:rsid w:val="17A54DB5"/>
    <w:rsid w:val="17AF1790"/>
    <w:rsid w:val="17D02CF0"/>
    <w:rsid w:val="17F83137"/>
    <w:rsid w:val="181810E3"/>
    <w:rsid w:val="183F0D66"/>
    <w:rsid w:val="186407CC"/>
    <w:rsid w:val="18934C0E"/>
    <w:rsid w:val="189B3AC2"/>
    <w:rsid w:val="18AE7C99"/>
    <w:rsid w:val="18D70F9E"/>
    <w:rsid w:val="18E831AB"/>
    <w:rsid w:val="19151AC7"/>
    <w:rsid w:val="191775ED"/>
    <w:rsid w:val="19406B43"/>
    <w:rsid w:val="194523AC"/>
    <w:rsid w:val="194F4FBD"/>
    <w:rsid w:val="196934AD"/>
    <w:rsid w:val="196C5B8A"/>
    <w:rsid w:val="197E58BE"/>
    <w:rsid w:val="199D21E8"/>
    <w:rsid w:val="19A277FE"/>
    <w:rsid w:val="19B80DD0"/>
    <w:rsid w:val="19E45129"/>
    <w:rsid w:val="19F940B6"/>
    <w:rsid w:val="1A240213"/>
    <w:rsid w:val="1A2E5016"/>
    <w:rsid w:val="1A2F0966"/>
    <w:rsid w:val="1A5B175B"/>
    <w:rsid w:val="1A5F124B"/>
    <w:rsid w:val="1A6920CA"/>
    <w:rsid w:val="1A705206"/>
    <w:rsid w:val="1A857667"/>
    <w:rsid w:val="1A8D2B13"/>
    <w:rsid w:val="1AC92B69"/>
    <w:rsid w:val="1ACA63E0"/>
    <w:rsid w:val="1ADF238C"/>
    <w:rsid w:val="1AE71241"/>
    <w:rsid w:val="1AF92BB3"/>
    <w:rsid w:val="1B3A3A66"/>
    <w:rsid w:val="1B3C158C"/>
    <w:rsid w:val="1B4548E5"/>
    <w:rsid w:val="1B684130"/>
    <w:rsid w:val="1B950C9D"/>
    <w:rsid w:val="1BAE1B3B"/>
    <w:rsid w:val="1BC7354C"/>
    <w:rsid w:val="1BCA303C"/>
    <w:rsid w:val="1BFB6D69"/>
    <w:rsid w:val="1C033E58"/>
    <w:rsid w:val="1C071B9A"/>
    <w:rsid w:val="1C0C0F5F"/>
    <w:rsid w:val="1C0F6CA1"/>
    <w:rsid w:val="1C4C3A51"/>
    <w:rsid w:val="1C766D20"/>
    <w:rsid w:val="1C80194D"/>
    <w:rsid w:val="1CA76EDA"/>
    <w:rsid w:val="1CB33AD0"/>
    <w:rsid w:val="1CEE68B6"/>
    <w:rsid w:val="1D320E99"/>
    <w:rsid w:val="1D491D3F"/>
    <w:rsid w:val="1DA578BD"/>
    <w:rsid w:val="1DAB47A7"/>
    <w:rsid w:val="1DB96EC4"/>
    <w:rsid w:val="1DBE44DB"/>
    <w:rsid w:val="1DD67A76"/>
    <w:rsid w:val="1DDC5D1E"/>
    <w:rsid w:val="1DE869C3"/>
    <w:rsid w:val="1E0C793C"/>
    <w:rsid w:val="1E252D30"/>
    <w:rsid w:val="1E293FBC"/>
    <w:rsid w:val="1E2A6014"/>
    <w:rsid w:val="1E3D3153"/>
    <w:rsid w:val="1E5E7A6C"/>
    <w:rsid w:val="1E6E4153"/>
    <w:rsid w:val="1EE77A61"/>
    <w:rsid w:val="1EEE7042"/>
    <w:rsid w:val="1EFC175F"/>
    <w:rsid w:val="1F413615"/>
    <w:rsid w:val="1F4C5B16"/>
    <w:rsid w:val="1FA63478"/>
    <w:rsid w:val="1FBF278C"/>
    <w:rsid w:val="1FD71884"/>
    <w:rsid w:val="1FEA5A5B"/>
    <w:rsid w:val="200563F1"/>
    <w:rsid w:val="20126D60"/>
    <w:rsid w:val="201422ED"/>
    <w:rsid w:val="20344F28"/>
    <w:rsid w:val="20362A4E"/>
    <w:rsid w:val="205E01F7"/>
    <w:rsid w:val="20657A7F"/>
    <w:rsid w:val="209B0B03"/>
    <w:rsid w:val="20A35C0A"/>
    <w:rsid w:val="20D02EA3"/>
    <w:rsid w:val="211014F1"/>
    <w:rsid w:val="21254871"/>
    <w:rsid w:val="212C5BFF"/>
    <w:rsid w:val="214C2544"/>
    <w:rsid w:val="215A09BE"/>
    <w:rsid w:val="215A276C"/>
    <w:rsid w:val="215D400B"/>
    <w:rsid w:val="216B497A"/>
    <w:rsid w:val="21937A2C"/>
    <w:rsid w:val="21A8155E"/>
    <w:rsid w:val="21C85928"/>
    <w:rsid w:val="21E604A4"/>
    <w:rsid w:val="21F93CE9"/>
    <w:rsid w:val="220426D8"/>
    <w:rsid w:val="22124DF5"/>
    <w:rsid w:val="224F1BA5"/>
    <w:rsid w:val="22623FCE"/>
    <w:rsid w:val="22631AF5"/>
    <w:rsid w:val="228A7081"/>
    <w:rsid w:val="228D6B72"/>
    <w:rsid w:val="22933D33"/>
    <w:rsid w:val="22BD2FB3"/>
    <w:rsid w:val="22C00CF5"/>
    <w:rsid w:val="22C04851"/>
    <w:rsid w:val="22CE1AC1"/>
    <w:rsid w:val="230E1A60"/>
    <w:rsid w:val="232474D6"/>
    <w:rsid w:val="23377209"/>
    <w:rsid w:val="23775858"/>
    <w:rsid w:val="239F090A"/>
    <w:rsid w:val="23B56380"/>
    <w:rsid w:val="23C72304"/>
    <w:rsid w:val="23F46EA8"/>
    <w:rsid w:val="241F37F9"/>
    <w:rsid w:val="243279D1"/>
    <w:rsid w:val="24653902"/>
    <w:rsid w:val="246966BC"/>
    <w:rsid w:val="24AA3A0B"/>
    <w:rsid w:val="24AF254A"/>
    <w:rsid w:val="24AF7273"/>
    <w:rsid w:val="24BA420C"/>
    <w:rsid w:val="24C525F3"/>
    <w:rsid w:val="24CA19B7"/>
    <w:rsid w:val="24CC572F"/>
    <w:rsid w:val="24FA6740"/>
    <w:rsid w:val="25096983"/>
    <w:rsid w:val="25270BB7"/>
    <w:rsid w:val="2529665A"/>
    <w:rsid w:val="2564005E"/>
    <w:rsid w:val="257858B7"/>
    <w:rsid w:val="25853B30"/>
    <w:rsid w:val="25950217"/>
    <w:rsid w:val="25A20B86"/>
    <w:rsid w:val="25BD32CA"/>
    <w:rsid w:val="25C40AFC"/>
    <w:rsid w:val="25CE197B"/>
    <w:rsid w:val="25EE7927"/>
    <w:rsid w:val="2628108B"/>
    <w:rsid w:val="26363D2B"/>
    <w:rsid w:val="26490DAB"/>
    <w:rsid w:val="265C0D35"/>
    <w:rsid w:val="26667E05"/>
    <w:rsid w:val="26771661"/>
    <w:rsid w:val="26865A28"/>
    <w:rsid w:val="26881050"/>
    <w:rsid w:val="26976211"/>
    <w:rsid w:val="26A30712"/>
    <w:rsid w:val="26F64CE5"/>
    <w:rsid w:val="271B0BF0"/>
    <w:rsid w:val="271C2272"/>
    <w:rsid w:val="272F1FA5"/>
    <w:rsid w:val="2767173F"/>
    <w:rsid w:val="276E2ACE"/>
    <w:rsid w:val="27AE55C0"/>
    <w:rsid w:val="27B54BA0"/>
    <w:rsid w:val="27B801ED"/>
    <w:rsid w:val="27C13D12"/>
    <w:rsid w:val="27EB6814"/>
    <w:rsid w:val="27F154AD"/>
    <w:rsid w:val="28177609"/>
    <w:rsid w:val="281A4A03"/>
    <w:rsid w:val="281C2BC6"/>
    <w:rsid w:val="281C4C20"/>
    <w:rsid w:val="28235FAE"/>
    <w:rsid w:val="28327F9F"/>
    <w:rsid w:val="285F4B0C"/>
    <w:rsid w:val="28757E8C"/>
    <w:rsid w:val="28AD1D1C"/>
    <w:rsid w:val="28B22E8E"/>
    <w:rsid w:val="28D41056"/>
    <w:rsid w:val="28D9666D"/>
    <w:rsid w:val="28DC7F0B"/>
    <w:rsid w:val="28E91021"/>
    <w:rsid w:val="28F416F8"/>
    <w:rsid w:val="28F811E9"/>
    <w:rsid w:val="28F9286B"/>
    <w:rsid w:val="29001E4B"/>
    <w:rsid w:val="2920429C"/>
    <w:rsid w:val="29332221"/>
    <w:rsid w:val="293D63C7"/>
    <w:rsid w:val="294F692F"/>
    <w:rsid w:val="298F1421"/>
    <w:rsid w:val="299B1B74"/>
    <w:rsid w:val="29A058DB"/>
    <w:rsid w:val="29BA46F0"/>
    <w:rsid w:val="29C91AA7"/>
    <w:rsid w:val="29D62BAC"/>
    <w:rsid w:val="2A133E00"/>
    <w:rsid w:val="2A32072A"/>
    <w:rsid w:val="2A391AB9"/>
    <w:rsid w:val="2A4B359A"/>
    <w:rsid w:val="2A53244F"/>
    <w:rsid w:val="2AB729DE"/>
    <w:rsid w:val="2AD71AB6"/>
    <w:rsid w:val="2ADE440E"/>
    <w:rsid w:val="2AE51113"/>
    <w:rsid w:val="2AE5579D"/>
    <w:rsid w:val="2AEB08D9"/>
    <w:rsid w:val="2B147E30"/>
    <w:rsid w:val="2B397C23"/>
    <w:rsid w:val="2B3B360F"/>
    <w:rsid w:val="2B591CE7"/>
    <w:rsid w:val="2B684AE1"/>
    <w:rsid w:val="2B786611"/>
    <w:rsid w:val="2BCC24B9"/>
    <w:rsid w:val="2BD25682"/>
    <w:rsid w:val="2BE27F2E"/>
    <w:rsid w:val="2BFF463C"/>
    <w:rsid w:val="2C0E487F"/>
    <w:rsid w:val="2C360110"/>
    <w:rsid w:val="2C414C55"/>
    <w:rsid w:val="2C475FE3"/>
    <w:rsid w:val="2C646B95"/>
    <w:rsid w:val="2CC633AC"/>
    <w:rsid w:val="2CD37973"/>
    <w:rsid w:val="2CDD374A"/>
    <w:rsid w:val="2CDD78B6"/>
    <w:rsid w:val="2CDE6947"/>
    <w:rsid w:val="2CEF7A50"/>
    <w:rsid w:val="2D3227EF"/>
    <w:rsid w:val="2D3E2F42"/>
    <w:rsid w:val="2D6D3F12"/>
    <w:rsid w:val="2DB7418D"/>
    <w:rsid w:val="2DC773DC"/>
    <w:rsid w:val="2DD03D81"/>
    <w:rsid w:val="2E310CF9"/>
    <w:rsid w:val="2E3F6F72"/>
    <w:rsid w:val="2E497DF1"/>
    <w:rsid w:val="2EB536D8"/>
    <w:rsid w:val="2ECD316E"/>
    <w:rsid w:val="2EDA313F"/>
    <w:rsid w:val="2EE95159"/>
    <w:rsid w:val="2EEE0998"/>
    <w:rsid w:val="2F0F7C3C"/>
    <w:rsid w:val="2F1C6FCF"/>
    <w:rsid w:val="2F5C7FF7"/>
    <w:rsid w:val="2F5E167A"/>
    <w:rsid w:val="2F880DEC"/>
    <w:rsid w:val="2FB716BC"/>
    <w:rsid w:val="2FF67B04"/>
    <w:rsid w:val="30133FEC"/>
    <w:rsid w:val="3034062C"/>
    <w:rsid w:val="3040584C"/>
    <w:rsid w:val="30536D05"/>
    <w:rsid w:val="305F1B4D"/>
    <w:rsid w:val="305F7D9F"/>
    <w:rsid w:val="30705B08"/>
    <w:rsid w:val="30766E97"/>
    <w:rsid w:val="307A6987"/>
    <w:rsid w:val="30C220DC"/>
    <w:rsid w:val="30C82535"/>
    <w:rsid w:val="30E56588"/>
    <w:rsid w:val="30E91417"/>
    <w:rsid w:val="31293F09"/>
    <w:rsid w:val="314F3970"/>
    <w:rsid w:val="3159659D"/>
    <w:rsid w:val="317F1D2F"/>
    <w:rsid w:val="31807FCD"/>
    <w:rsid w:val="31B41A25"/>
    <w:rsid w:val="31CD0D39"/>
    <w:rsid w:val="31D2634F"/>
    <w:rsid w:val="320504D2"/>
    <w:rsid w:val="32513718"/>
    <w:rsid w:val="32690A61"/>
    <w:rsid w:val="326A47D9"/>
    <w:rsid w:val="32B1065A"/>
    <w:rsid w:val="32D54B9D"/>
    <w:rsid w:val="32E4458C"/>
    <w:rsid w:val="32E77BD8"/>
    <w:rsid w:val="332D26D2"/>
    <w:rsid w:val="33443C83"/>
    <w:rsid w:val="3378107E"/>
    <w:rsid w:val="337F6063"/>
    <w:rsid w:val="33853363"/>
    <w:rsid w:val="338F44F8"/>
    <w:rsid w:val="33997124"/>
    <w:rsid w:val="339C2C4F"/>
    <w:rsid w:val="33BC1065"/>
    <w:rsid w:val="33D95773"/>
    <w:rsid w:val="34256C0A"/>
    <w:rsid w:val="344D7F0F"/>
    <w:rsid w:val="34621C0C"/>
    <w:rsid w:val="34FA3BF3"/>
    <w:rsid w:val="35213875"/>
    <w:rsid w:val="353B5F42"/>
    <w:rsid w:val="3566572C"/>
    <w:rsid w:val="356E1305"/>
    <w:rsid w:val="3571636E"/>
    <w:rsid w:val="358362DE"/>
    <w:rsid w:val="358F4AB7"/>
    <w:rsid w:val="35990AF0"/>
    <w:rsid w:val="35A63D7A"/>
    <w:rsid w:val="35C506A4"/>
    <w:rsid w:val="35C8047F"/>
    <w:rsid w:val="35FB2318"/>
    <w:rsid w:val="36021D61"/>
    <w:rsid w:val="360F7B72"/>
    <w:rsid w:val="36213401"/>
    <w:rsid w:val="36237179"/>
    <w:rsid w:val="36392E40"/>
    <w:rsid w:val="36794FEB"/>
    <w:rsid w:val="3687595A"/>
    <w:rsid w:val="368816D2"/>
    <w:rsid w:val="36AC716F"/>
    <w:rsid w:val="36D87F64"/>
    <w:rsid w:val="36F32FEF"/>
    <w:rsid w:val="371A057C"/>
    <w:rsid w:val="373A720A"/>
    <w:rsid w:val="373B6744"/>
    <w:rsid w:val="37490E61"/>
    <w:rsid w:val="3767086F"/>
    <w:rsid w:val="37695060"/>
    <w:rsid w:val="376D0FF4"/>
    <w:rsid w:val="377D0B0B"/>
    <w:rsid w:val="379876F3"/>
    <w:rsid w:val="37A662B4"/>
    <w:rsid w:val="37A97B52"/>
    <w:rsid w:val="37B207B5"/>
    <w:rsid w:val="37BE35FD"/>
    <w:rsid w:val="37D72911"/>
    <w:rsid w:val="37D7646D"/>
    <w:rsid w:val="37DF17C6"/>
    <w:rsid w:val="37EE25DC"/>
    <w:rsid w:val="3801173C"/>
    <w:rsid w:val="381E22EE"/>
    <w:rsid w:val="387E0FDF"/>
    <w:rsid w:val="388760E5"/>
    <w:rsid w:val="38C5276A"/>
    <w:rsid w:val="38DE382B"/>
    <w:rsid w:val="392C27E9"/>
    <w:rsid w:val="393B79AD"/>
    <w:rsid w:val="393D2C48"/>
    <w:rsid w:val="39D37108"/>
    <w:rsid w:val="3A15327D"/>
    <w:rsid w:val="3A1C0AAF"/>
    <w:rsid w:val="3A1D02E4"/>
    <w:rsid w:val="3A35391F"/>
    <w:rsid w:val="3A64183E"/>
    <w:rsid w:val="3A661D2A"/>
    <w:rsid w:val="3AA36ADA"/>
    <w:rsid w:val="3AAC0EF8"/>
    <w:rsid w:val="3AAE3D38"/>
    <w:rsid w:val="3AB17449"/>
    <w:rsid w:val="3AC64CBD"/>
    <w:rsid w:val="3AD76784"/>
    <w:rsid w:val="3B08242C"/>
    <w:rsid w:val="3B0F23C2"/>
    <w:rsid w:val="3B246A26"/>
    <w:rsid w:val="3B60677A"/>
    <w:rsid w:val="3B732951"/>
    <w:rsid w:val="3B862684"/>
    <w:rsid w:val="3B8A37F6"/>
    <w:rsid w:val="3B9A1C8B"/>
    <w:rsid w:val="3BD11425"/>
    <w:rsid w:val="3BD60810"/>
    <w:rsid w:val="3BDD7DCA"/>
    <w:rsid w:val="3BE92C13"/>
    <w:rsid w:val="3BEB698B"/>
    <w:rsid w:val="3BFF33E6"/>
    <w:rsid w:val="3C033CD5"/>
    <w:rsid w:val="3C17152E"/>
    <w:rsid w:val="3C5A58BF"/>
    <w:rsid w:val="3C5E715D"/>
    <w:rsid w:val="3CA8662A"/>
    <w:rsid w:val="3CAA23A2"/>
    <w:rsid w:val="3CB72D11"/>
    <w:rsid w:val="3CBA010B"/>
    <w:rsid w:val="3CEF6007"/>
    <w:rsid w:val="3D0870C9"/>
    <w:rsid w:val="3D1141CF"/>
    <w:rsid w:val="3D2959BD"/>
    <w:rsid w:val="3D4A5E08"/>
    <w:rsid w:val="3D5B019B"/>
    <w:rsid w:val="3D69400B"/>
    <w:rsid w:val="3D7724B9"/>
    <w:rsid w:val="3D8C7CFA"/>
    <w:rsid w:val="3DAA0180"/>
    <w:rsid w:val="3DC56D68"/>
    <w:rsid w:val="3E10092B"/>
    <w:rsid w:val="3E18333B"/>
    <w:rsid w:val="3E3E7246"/>
    <w:rsid w:val="3E4120BC"/>
    <w:rsid w:val="3E4256C9"/>
    <w:rsid w:val="3E4B1963"/>
    <w:rsid w:val="3E75253C"/>
    <w:rsid w:val="3E774506"/>
    <w:rsid w:val="3E7C7D6E"/>
    <w:rsid w:val="3E8135D7"/>
    <w:rsid w:val="3E8978EB"/>
    <w:rsid w:val="3EB94B1E"/>
    <w:rsid w:val="3EC84D62"/>
    <w:rsid w:val="3EED2A1A"/>
    <w:rsid w:val="3F2474AB"/>
    <w:rsid w:val="3F3651BB"/>
    <w:rsid w:val="3F9133A5"/>
    <w:rsid w:val="3F9D61EE"/>
    <w:rsid w:val="3FA806EF"/>
    <w:rsid w:val="3FB11C9A"/>
    <w:rsid w:val="3FCE0156"/>
    <w:rsid w:val="401B1A9A"/>
    <w:rsid w:val="40580367"/>
    <w:rsid w:val="406B009A"/>
    <w:rsid w:val="40833636"/>
    <w:rsid w:val="408D0011"/>
    <w:rsid w:val="40D43E92"/>
    <w:rsid w:val="412820C7"/>
    <w:rsid w:val="412A5860"/>
    <w:rsid w:val="41456B3D"/>
    <w:rsid w:val="41766CF7"/>
    <w:rsid w:val="417B6906"/>
    <w:rsid w:val="41886A2A"/>
    <w:rsid w:val="418F600A"/>
    <w:rsid w:val="41911D83"/>
    <w:rsid w:val="41AA4BF2"/>
    <w:rsid w:val="41C21F3C"/>
    <w:rsid w:val="41CA2B9F"/>
    <w:rsid w:val="41D60B78"/>
    <w:rsid w:val="41D93347"/>
    <w:rsid w:val="41E00614"/>
    <w:rsid w:val="41EA1493"/>
    <w:rsid w:val="41FF6CEC"/>
    <w:rsid w:val="421018B7"/>
    <w:rsid w:val="421D7172"/>
    <w:rsid w:val="422B7AE1"/>
    <w:rsid w:val="422F5387"/>
    <w:rsid w:val="42786A9F"/>
    <w:rsid w:val="427C033D"/>
    <w:rsid w:val="4286740D"/>
    <w:rsid w:val="428B4A24"/>
    <w:rsid w:val="42A87384"/>
    <w:rsid w:val="42C121F4"/>
    <w:rsid w:val="42CF2B62"/>
    <w:rsid w:val="42E06BC9"/>
    <w:rsid w:val="42E63A08"/>
    <w:rsid w:val="42FC322C"/>
    <w:rsid w:val="431762B8"/>
    <w:rsid w:val="431C38CE"/>
    <w:rsid w:val="432A5FEB"/>
    <w:rsid w:val="43340C18"/>
    <w:rsid w:val="43544E16"/>
    <w:rsid w:val="43654948"/>
    <w:rsid w:val="43866F99"/>
    <w:rsid w:val="43B27D8E"/>
    <w:rsid w:val="43DD4E0B"/>
    <w:rsid w:val="43EA577A"/>
    <w:rsid w:val="43EC32A0"/>
    <w:rsid w:val="43FF1225"/>
    <w:rsid w:val="443133A9"/>
    <w:rsid w:val="44427364"/>
    <w:rsid w:val="444C01E3"/>
    <w:rsid w:val="447137A5"/>
    <w:rsid w:val="449000D0"/>
    <w:rsid w:val="449D27EC"/>
    <w:rsid w:val="44C24001"/>
    <w:rsid w:val="44CC6C2E"/>
    <w:rsid w:val="44CD26BA"/>
    <w:rsid w:val="44DA57EF"/>
    <w:rsid w:val="44DC50C3"/>
    <w:rsid w:val="4508235C"/>
    <w:rsid w:val="450D7972"/>
    <w:rsid w:val="45126D36"/>
    <w:rsid w:val="45140D01"/>
    <w:rsid w:val="452623BD"/>
    <w:rsid w:val="452B4BB5"/>
    <w:rsid w:val="452B604A"/>
    <w:rsid w:val="456926CF"/>
    <w:rsid w:val="457B0D80"/>
    <w:rsid w:val="45C2075D"/>
    <w:rsid w:val="45C5024D"/>
    <w:rsid w:val="46144D30"/>
    <w:rsid w:val="4630438B"/>
    <w:rsid w:val="46477F15"/>
    <w:rsid w:val="464A2BEB"/>
    <w:rsid w:val="46511AE0"/>
    <w:rsid w:val="46752AE1"/>
    <w:rsid w:val="47280A93"/>
    <w:rsid w:val="47460F19"/>
    <w:rsid w:val="47632D59"/>
    <w:rsid w:val="47637D1D"/>
    <w:rsid w:val="47854AC2"/>
    <w:rsid w:val="47857C94"/>
    <w:rsid w:val="478B4B7E"/>
    <w:rsid w:val="47B73BC5"/>
    <w:rsid w:val="47B752C9"/>
    <w:rsid w:val="47FE35A2"/>
    <w:rsid w:val="480C5CBF"/>
    <w:rsid w:val="48396CD0"/>
    <w:rsid w:val="483E7E42"/>
    <w:rsid w:val="4840005F"/>
    <w:rsid w:val="48537D92"/>
    <w:rsid w:val="48660E58"/>
    <w:rsid w:val="488241D3"/>
    <w:rsid w:val="48961A2D"/>
    <w:rsid w:val="489839F7"/>
    <w:rsid w:val="48AE321A"/>
    <w:rsid w:val="48B85E47"/>
    <w:rsid w:val="48C540C0"/>
    <w:rsid w:val="48CC18F2"/>
    <w:rsid w:val="48D6451F"/>
    <w:rsid w:val="48EE2BC9"/>
    <w:rsid w:val="49115557"/>
    <w:rsid w:val="49325BF9"/>
    <w:rsid w:val="4933371F"/>
    <w:rsid w:val="49606E44"/>
    <w:rsid w:val="49B06B1E"/>
    <w:rsid w:val="49B72A97"/>
    <w:rsid w:val="49C01457"/>
    <w:rsid w:val="49C1138B"/>
    <w:rsid w:val="49C16F7D"/>
    <w:rsid w:val="49E54A1A"/>
    <w:rsid w:val="49E8275C"/>
    <w:rsid w:val="4A001853"/>
    <w:rsid w:val="4A05330E"/>
    <w:rsid w:val="4A0B36CD"/>
    <w:rsid w:val="4A1E1CDA"/>
    <w:rsid w:val="4A2A68D0"/>
    <w:rsid w:val="4A331C29"/>
    <w:rsid w:val="4A45195C"/>
    <w:rsid w:val="4A510301"/>
    <w:rsid w:val="4A630034"/>
    <w:rsid w:val="4A69564B"/>
    <w:rsid w:val="4A7638C4"/>
    <w:rsid w:val="4A897A9B"/>
    <w:rsid w:val="4A902707"/>
    <w:rsid w:val="4AA05F21"/>
    <w:rsid w:val="4AA30431"/>
    <w:rsid w:val="4ABB39CC"/>
    <w:rsid w:val="4ADD7DE7"/>
    <w:rsid w:val="4B3A7B4E"/>
    <w:rsid w:val="4B4614E8"/>
    <w:rsid w:val="4B490FD8"/>
    <w:rsid w:val="4B555BCF"/>
    <w:rsid w:val="4B614574"/>
    <w:rsid w:val="4B62129D"/>
    <w:rsid w:val="4B771FE9"/>
    <w:rsid w:val="4B840262"/>
    <w:rsid w:val="4BCE772F"/>
    <w:rsid w:val="4C2832E3"/>
    <w:rsid w:val="4C8A5D4C"/>
    <w:rsid w:val="4C8F3363"/>
    <w:rsid w:val="4C9170DB"/>
    <w:rsid w:val="4C9A3AC9"/>
    <w:rsid w:val="4CA54934"/>
    <w:rsid w:val="4CB44B77"/>
    <w:rsid w:val="4CD6689C"/>
    <w:rsid w:val="4CFB4554"/>
    <w:rsid w:val="4D343C52"/>
    <w:rsid w:val="4D3A5B11"/>
    <w:rsid w:val="4D3C7046"/>
    <w:rsid w:val="4D3D691B"/>
    <w:rsid w:val="4D5C1497"/>
    <w:rsid w:val="4D6D5452"/>
    <w:rsid w:val="4DB56DF9"/>
    <w:rsid w:val="4DB90697"/>
    <w:rsid w:val="4DD74FC1"/>
    <w:rsid w:val="4DDA685F"/>
    <w:rsid w:val="4DE428CC"/>
    <w:rsid w:val="4DF72F08"/>
    <w:rsid w:val="4DFC0584"/>
    <w:rsid w:val="4E0631B0"/>
    <w:rsid w:val="4E0B07C7"/>
    <w:rsid w:val="4E2A50F1"/>
    <w:rsid w:val="4E342F84"/>
    <w:rsid w:val="4E4461D7"/>
    <w:rsid w:val="4E451263"/>
    <w:rsid w:val="4E4F7A0A"/>
    <w:rsid w:val="4E5B1854"/>
    <w:rsid w:val="4E656129"/>
    <w:rsid w:val="4E8A5B90"/>
    <w:rsid w:val="4EA76741"/>
    <w:rsid w:val="4ECB3430"/>
    <w:rsid w:val="4ED92673"/>
    <w:rsid w:val="4F391364"/>
    <w:rsid w:val="4F7F321A"/>
    <w:rsid w:val="4F895E47"/>
    <w:rsid w:val="4F90367A"/>
    <w:rsid w:val="4F9D5D96"/>
    <w:rsid w:val="4FC24FED"/>
    <w:rsid w:val="4FF9121F"/>
    <w:rsid w:val="50033E4B"/>
    <w:rsid w:val="50062B38"/>
    <w:rsid w:val="501222E0"/>
    <w:rsid w:val="502F2E92"/>
    <w:rsid w:val="503415A0"/>
    <w:rsid w:val="5060304C"/>
    <w:rsid w:val="50621774"/>
    <w:rsid w:val="506568B4"/>
    <w:rsid w:val="507C775A"/>
    <w:rsid w:val="50B52C6C"/>
    <w:rsid w:val="50B81432"/>
    <w:rsid w:val="50BB64D4"/>
    <w:rsid w:val="50BD049E"/>
    <w:rsid w:val="50DE6667"/>
    <w:rsid w:val="50E0405F"/>
    <w:rsid w:val="50EE68AA"/>
    <w:rsid w:val="511C43E3"/>
    <w:rsid w:val="512322CB"/>
    <w:rsid w:val="513149E8"/>
    <w:rsid w:val="5139564B"/>
    <w:rsid w:val="515F1555"/>
    <w:rsid w:val="51750D79"/>
    <w:rsid w:val="5186670E"/>
    <w:rsid w:val="51894824"/>
    <w:rsid w:val="51E657D3"/>
    <w:rsid w:val="51EB4B97"/>
    <w:rsid w:val="5248023B"/>
    <w:rsid w:val="52775DEE"/>
    <w:rsid w:val="5290573F"/>
    <w:rsid w:val="52D65847"/>
    <w:rsid w:val="52D95337"/>
    <w:rsid w:val="52DD4E28"/>
    <w:rsid w:val="52E166C3"/>
    <w:rsid w:val="52F8693F"/>
    <w:rsid w:val="531620E8"/>
    <w:rsid w:val="53226CDE"/>
    <w:rsid w:val="53285977"/>
    <w:rsid w:val="532E5683"/>
    <w:rsid w:val="538C23AA"/>
    <w:rsid w:val="53A304DF"/>
    <w:rsid w:val="53AB6CD4"/>
    <w:rsid w:val="53B17155"/>
    <w:rsid w:val="53B61F77"/>
    <w:rsid w:val="53E46B80"/>
    <w:rsid w:val="53E775E0"/>
    <w:rsid w:val="53EE2FD4"/>
    <w:rsid w:val="54422A68"/>
    <w:rsid w:val="544D38E7"/>
    <w:rsid w:val="544E11C2"/>
    <w:rsid w:val="5463310B"/>
    <w:rsid w:val="547C241E"/>
    <w:rsid w:val="54977CE1"/>
    <w:rsid w:val="54A51975"/>
    <w:rsid w:val="54B75204"/>
    <w:rsid w:val="54E029AD"/>
    <w:rsid w:val="54F71AA5"/>
    <w:rsid w:val="55051A8B"/>
    <w:rsid w:val="55091EC3"/>
    <w:rsid w:val="551E7032"/>
    <w:rsid w:val="552C5BF2"/>
    <w:rsid w:val="5552535C"/>
    <w:rsid w:val="555E38D2"/>
    <w:rsid w:val="55603AEE"/>
    <w:rsid w:val="55613AAD"/>
    <w:rsid w:val="55AE2AAB"/>
    <w:rsid w:val="55CA0F67"/>
    <w:rsid w:val="55D44117"/>
    <w:rsid w:val="55EB160A"/>
    <w:rsid w:val="55F935FB"/>
    <w:rsid w:val="563805C7"/>
    <w:rsid w:val="56717635"/>
    <w:rsid w:val="56B31E70"/>
    <w:rsid w:val="56BD287A"/>
    <w:rsid w:val="56D57BC4"/>
    <w:rsid w:val="56DB78D0"/>
    <w:rsid w:val="56E47D90"/>
    <w:rsid w:val="56ED7603"/>
    <w:rsid w:val="56EF512A"/>
    <w:rsid w:val="56F3629C"/>
    <w:rsid w:val="56F72230"/>
    <w:rsid w:val="56FC7846"/>
    <w:rsid w:val="5712500E"/>
    <w:rsid w:val="575E6AC3"/>
    <w:rsid w:val="57776ECD"/>
    <w:rsid w:val="57790E97"/>
    <w:rsid w:val="577C2024"/>
    <w:rsid w:val="5794182D"/>
    <w:rsid w:val="57B343A9"/>
    <w:rsid w:val="57C57C38"/>
    <w:rsid w:val="57CC7219"/>
    <w:rsid w:val="57D1482F"/>
    <w:rsid w:val="57D53A6E"/>
    <w:rsid w:val="57D63BF4"/>
    <w:rsid w:val="582B2191"/>
    <w:rsid w:val="583C7C96"/>
    <w:rsid w:val="585A65D3"/>
    <w:rsid w:val="5875340D"/>
    <w:rsid w:val="587A0A23"/>
    <w:rsid w:val="588C69A8"/>
    <w:rsid w:val="58A27B6E"/>
    <w:rsid w:val="58A77FDA"/>
    <w:rsid w:val="58B57CAD"/>
    <w:rsid w:val="58BA19B2"/>
    <w:rsid w:val="58CD149A"/>
    <w:rsid w:val="58CD4FF7"/>
    <w:rsid w:val="58F00CE5"/>
    <w:rsid w:val="58F72073"/>
    <w:rsid w:val="58FC3B2E"/>
    <w:rsid w:val="590D1897"/>
    <w:rsid w:val="593432C8"/>
    <w:rsid w:val="593B28A8"/>
    <w:rsid w:val="593E7CA2"/>
    <w:rsid w:val="5943175D"/>
    <w:rsid w:val="594D25DB"/>
    <w:rsid w:val="594E4DC3"/>
    <w:rsid w:val="59561490"/>
    <w:rsid w:val="59705BA9"/>
    <w:rsid w:val="598B6C60"/>
    <w:rsid w:val="598F04FE"/>
    <w:rsid w:val="59AC10B0"/>
    <w:rsid w:val="59D16D68"/>
    <w:rsid w:val="5A105AE3"/>
    <w:rsid w:val="5A2A0227"/>
    <w:rsid w:val="5A382944"/>
    <w:rsid w:val="5A3B4BCC"/>
    <w:rsid w:val="5A53777D"/>
    <w:rsid w:val="5A584D94"/>
    <w:rsid w:val="5A7659B1"/>
    <w:rsid w:val="5A985916"/>
    <w:rsid w:val="5AB3021C"/>
    <w:rsid w:val="5AB9459A"/>
    <w:rsid w:val="5ABA3CA0"/>
    <w:rsid w:val="5ABC17C7"/>
    <w:rsid w:val="5AC16DDD"/>
    <w:rsid w:val="5AD36B10"/>
    <w:rsid w:val="5AEB20AC"/>
    <w:rsid w:val="5B2353A2"/>
    <w:rsid w:val="5B263672"/>
    <w:rsid w:val="5B2829B8"/>
    <w:rsid w:val="5B32799F"/>
    <w:rsid w:val="5B500161"/>
    <w:rsid w:val="5B9242D5"/>
    <w:rsid w:val="5B9938B6"/>
    <w:rsid w:val="5B9B5880"/>
    <w:rsid w:val="5BA67D81"/>
    <w:rsid w:val="5BC32A68"/>
    <w:rsid w:val="5BED775E"/>
    <w:rsid w:val="5BF907F8"/>
    <w:rsid w:val="5BFE4D83"/>
    <w:rsid w:val="5C3F26AF"/>
    <w:rsid w:val="5C464A56"/>
    <w:rsid w:val="5C563555"/>
    <w:rsid w:val="5C6A7000"/>
    <w:rsid w:val="5C920267"/>
    <w:rsid w:val="5C9E7928"/>
    <w:rsid w:val="5CB85FBE"/>
    <w:rsid w:val="5CBA3AE4"/>
    <w:rsid w:val="5CCC1A69"/>
    <w:rsid w:val="5D194FF9"/>
    <w:rsid w:val="5D5201C0"/>
    <w:rsid w:val="5D982FEB"/>
    <w:rsid w:val="5DD10903"/>
    <w:rsid w:val="5DF254FF"/>
    <w:rsid w:val="5E0E058B"/>
    <w:rsid w:val="5E135D11"/>
    <w:rsid w:val="5E4C2B6B"/>
    <w:rsid w:val="5E8A398A"/>
    <w:rsid w:val="5E954808"/>
    <w:rsid w:val="5E9B59CB"/>
    <w:rsid w:val="5EB10F16"/>
    <w:rsid w:val="5EEE3F19"/>
    <w:rsid w:val="5F0279C4"/>
    <w:rsid w:val="5F0C439F"/>
    <w:rsid w:val="5F313E05"/>
    <w:rsid w:val="5F645F89"/>
    <w:rsid w:val="5F8D1984"/>
    <w:rsid w:val="5F961333"/>
    <w:rsid w:val="5FC058B5"/>
    <w:rsid w:val="5FC30F01"/>
    <w:rsid w:val="602B6AA7"/>
    <w:rsid w:val="60433DF0"/>
    <w:rsid w:val="604C539B"/>
    <w:rsid w:val="6065645C"/>
    <w:rsid w:val="60681AA9"/>
    <w:rsid w:val="608A6418"/>
    <w:rsid w:val="609C218E"/>
    <w:rsid w:val="609F196E"/>
    <w:rsid w:val="60A26D69"/>
    <w:rsid w:val="60AA3E6F"/>
    <w:rsid w:val="60B62814"/>
    <w:rsid w:val="60DD4245"/>
    <w:rsid w:val="610C4B2A"/>
    <w:rsid w:val="616E30EF"/>
    <w:rsid w:val="6171498D"/>
    <w:rsid w:val="61736957"/>
    <w:rsid w:val="61811074"/>
    <w:rsid w:val="619012B7"/>
    <w:rsid w:val="619A2136"/>
    <w:rsid w:val="61A75566"/>
    <w:rsid w:val="61B64F19"/>
    <w:rsid w:val="61CD7F83"/>
    <w:rsid w:val="61D7354F"/>
    <w:rsid w:val="61ED495B"/>
    <w:rsid w:val="61EE5FDE"/>
    <w:rsid w:val="61FA0313"/>
    <w:rsid w:val="62516C98"/>
    <w:rsid w:val="626F5370"/>
    <w:rsid w:val="627B5AC3"/>
    <w:rsid w:val="62A74B0A"/>
    <w:rsid w:val="62B249B4"/>
    <w:rsid w:val="62C1664D"/>
    <w:rsid w:val="62E53885"/>
    <w:rsid w:val="630A6E47"/>
    <w:rsid w:val="632A1297"/>
    <w:rsid w:val="633F11E7"/>
    <w:rsid w:val="6356208C"/>
    <w:rsid w:val="635F7193"/>
    <w:rsid w:val="63732C3E"/>
    <w:rsid w:val="63C11BFC"/>
    <w:rsid w:val="63C17E4E"/>
    <w:rsid w:val="63C94F54"/>
    <w:rsid w:val="63DE27AE"/>
    <w:rsid w:val="63F41FD1"/>
    <w:rsid w:val="640D6BEF"/>
    <w:rsid w:val="640F3F59"/>
    <w:rsid w:val="64170648"/>
    <w:rsid w:val="64356146"/>
    <w:rsid w:val="646D1D84"/>
    <w:rsid w:val="647A41FA"/>
    <w:rsid w:val="64A62BA0"/>
    <w:rsid w:val="64B41760"/>
    <w:rsid w:val="64F8687E"/>
    <w:rsid w:val="65210331"/>
    <w:rsid w:val="652341F0"/>
    <w:rsid w:val="654E5711"/>
    <w:rsid w:val="65536629"/>
    <w:rsid w:val="6554084E"/>
    <w:rsid w:val="65554CF2"/>
    <w:rsid w:val="657333CA"/>
    <w:rsid w:val="65907AD8"/>
    <w:rsid w:val="65984BDE"/>
    <w:rsid w:val="65B23EF2"/>
    <w:rsid w:val="65B35574"/>
    <w:rsid w:val="65B676EF"/>
    <w:rsid w:val="65C77271"/>
    <w:rsid w:val="65C854C3"/>
    <w:rsid w:val="65F91B21"/>
    <w:rsid w:val="660E3AE9"/>
    <w:rsid w:val="6618187B"/>
    <w:rsid w:val="662A7F2C"/>
    <w:rsid w:val="662D17CA"/>
    <w:rsid w:val="664B39FF"/>
    <w:rsid w:val="6659611C"/>
    <w:rsid w:val="667E2026"/>
    <w:rsid w:val="66A606CC"/>
    <w:rsid w:val="66C37A39"/>
    <w:rsid w:val="66CF2882"/>
    <w:rsid w:val="671958AB"/>
    <w:rsid w:val="67332E10"/>
    <w:rsid w:val="67515045"/>
    <w:rsid w:val="6759039D"/>
    <w:rsid w:val="67742766"/>
    <w:rsid w:val="67BF46A4"/>
    <w:rsid w:val="67C56744"/>
    <w:rsid w:val="6804655B"/>
    <w:rsid w:val="683E2528"/>
    <w:rsid w:val="68525518"/>
    <w:rsid w:val="686D2352"/>
    <w:rsid w:val="688A2F04"/>
    <w:rsid w:val="68907DEF"/>
    <w:rsid w:val="69004F74"/>
    <w:rsid w:val="69005532"/>
    <w:rsid w:val="69112CDD"/>
    <w:rsid w:val="69194288"/>
    <w:rsid w:val="691F185D"/>
    <w:rsid w:val="69354EFB"/>
    <w:rsid w:val="6937396B"/>
    <w:rsid w:val="697119CE"/>
    <w:rsid w:val="699A7177"/>
    <w:rsid w:val="69BD0841"/>
    <w:rsid w:val="69C75B99"/>
    <w:rsid w:val="69D16911"/>
    <w:rsid w:val="69F30635"/>
    <w:rsid w:val="6A211646"/>
    <w:rsid w:val="6A3550F2"/>
    <w:rsid w:val="6A570BC4"/>
    <w:rsid w:val="6A61050B"/>
    <w:rsid w:val="6A627569"/>
    <w:rsid w:val="6A841BD5"/>
    <w:rsid w:val="6A9516EC"/>
    <w:rsid w:val="6AB53B3C"/>
    <w:rsid w:val="6AD466B8"/>
    <w:rsid w:val="6AD548E7"/>
    <w:rsid w:val="6ADB7A47"/>
    <w:rsid w:val="6AE9395F"/>
    <w:rsid w:val="6AEB3A02"/>
    <w:rsid w:val="6AF24D91"/>
    <w:rsid w:val="6B036F9E"/>
    <w:rsid w:val="6B1B6095"/>
    <w:rsid w:val="6B321631"/>
    <w:rsid w:val="6B562347"/>
    <w:rsid w:val="6B824366"/>
    <w:rsid w:val="6B882FFF"/>
    <w:rsid w:val="6BA5135B"/>
    <w:rsid w:val="6BCA3618"/>
    <w:rsid w:val="6BD526E8"/>
    <w:rsid w:val="6BD6020E"/>
    <w:rsid w:val="6BD66460"/>
    <w:rsid w:val="6BEF307E"/>
    <w:rsid w:val="6BF15048"/>
    <w:rsid w:val="6C3F4006"/>
    <w:rsid w:val="6C4E4249"/>
    <w:rsid w:val="6C5E0930"/>
    <w:rsid w:val="6C756915"/>
    <w:rsid w:val="6C841DBF"/>
    <w:rsid w:val="6C8C6B1F"/>
    <w:rsid w:val="6CA83959"/>
    <w:rsid w:val="6CB00A5F"/>
    <w:rsid w:val="6D0668D1"/>
    <w:rsid w:val="6D1C52DE"/>
    <w:rsid w:val="6D21195D"/>
    <w:rsid w:val="6D2C27DC"/>
    <w:rsid w:val="6D2F7BD6"/>
    <w:rsid w:val="6D501E74"/>
    <w:rsid w:val="6D527D69"/>
    <w:rsid w:val="6D785A21"/>
    <w:rsid w:val="6D8C327A"/>
    <w:rsid w:val="6DA93E2C"/>
    <w:rsid w:val="6DAF51BB"/>
    <w:rsid w:val="6DB85E1E"/>
    <w:rsid w:val="6DCC7B1B"/>
    <w:rsid w:val="6DD8026E"/>
    <w:rsid w:val="6DDB7D5E"/>
    <w:rsid w:val="6DDD7632"/>
    <w:rsid w:val="6DFC6CEF"/>
    <w:rsid w:val="6E1F649C"/>
    <w:rsid w:val="6E245261"/>
    <w:rsid w:val="6E313E22"/>
    <w:rsid w:val="6E4C47B8"/>
    <w:rsid w:val="6E71421E"/>
    <w:rsid w:val="6E9668CB"/>
    <w:rsid w:val="6EA6036C"/>
    <w:rsid w:val="6EA939B8"/>
    <w:rsid w:val="6EAC12BE"/>
    <w:rsid w:val="6EBF2F12"/>
    <w:rsid w:val="6EC30F1E"/>
    <w:rsid w:val="6EF015E7"/>
    <w:rsid w:val="6F0F4163"/>
    <w:rsid w:val="6F2A4AF9"/>
    <w:rsid w:val="6F4162E7"/>
    <w:rsid w:val="6F58426D"/>
    <w:rsid w:val="6F795A80"/>
    <w:rsid w:val="6F863CF9"/>
    <w:rsid w:val="6F9208F0"/>
    <w:rsid w:val="6F944668"/>
    <w:rsid w:val="6FB940CF"/>
    <w:rsid w:val="6FC52A74"/>
    <w:rsid w:val="6FE54EC4"/>
    <w:rsid w:val="6FE70FA6"/>
    <w:rsid w:val="6FE729EA"/>
    <w:rsid w:val="700A349F"/>
    <w:rsid w:val="7012394F"/>
    <w:rsid w:val="7020414E"/>
    <w:rsid w:val="70457711"/>
    <w:rsid w:val="70785D38"/>
    <w:rsid w:val="70A73F27"/>
    <w:rsid w:val="70BB28C7"/>
    <w:rsid w:val="70BD374B"/>
    <w:rsid w:val="70CB230C"/>
    <w:rsid w:val="712212A8"/>
    <w:rsid w:val="71306613"/>
    <w:rsid w:val="713559D7"/>
    <w:rsid w:val="714F4CEB"/>
    <w:rsid w:val="71526589"/>
    <w:rsid w:val="715E4F2E"/>
    <w:rsid w:val="71630796"/>
    <w:rsid w:val="716D6F1F"/>
    <w:rsid w:val="71A14D3B"/>
    <w:rsid w:val="71B44B4E"/>
    <w:rsid w:val="71B763EC"/>
    <w:rsid w:val="71C254BD"/>
    <w:rsid w:val="71C50B09"/>
    <w:rsid w:val="71D13952"/>
    <w:rsid w:val="71D90A58"/>
    <w:rsid w:val="72087019"/>
    <w:rsid w:val="723E2669"/>
    <w:rsid w:val="72404633"/>
    <w:rsid w:val="727367B7"/>
    <w:rsid w:val="727918F3"/>
    <w:rsid w:val="72C11AE7"/>
    <w:rsid w:val="72C9533D"/>
    <w:rsid w:val="72D54D7C"/>
    <w:rsid w:val="72D57472"/>
    <w:rsid w:val="72FD42D3"/>
    <w:rsid w:val="72FF629D"/>
    <w:rsid w:val="73104006"/>
    <w:rsid w:val="73261A7B"/>
    <w:rsid w:val="733107D8"/>
    <w:rsid w:val="73460FAE"/>
    <w:rsid w:val="73586098"/>
    <w:rsid w:val="735C724B"/>
    <w:rsid w:val="737C169B"/>
    <w:rsid w:val="739F7299"/>
    <w:rsid w:val="73D437B9"/>
    <w:rsid w:val="73E86D31"/>
    <w:rsid w:val="73FE47A6"/>
    <w:rsid w:val="740F4638"/>
    <w:rsid w:val="74367A9C"/>
    <w:rsid w:val="745C084D"/>
    <w:rsid w:val="745D6531"/>
    <w:rsid w:val="74600FBD"/>
    <w:rsid w:val="74744A68"/>
    <w:rsid w:val="749426E4"/>
    <w:rsid w:val="749A44CF"/>
    <w:rsid w:val="74AE3AD6"/>
    <w:rsid w:val="74DA2B1D"/>
    <w:rsid w:val="74DD362F"/>
    <w:rsid w:val="750E6C6B"/>
    <w:rsid w:val="7516167C"/>
    <w:rsid w:val="75287D2D"/>
    <w:rsid w:val="757A4300"/>
    <w:rsid w:val="758D4498"/>
    <w:rsid w:val="75C30533"/>
    <w:rsid w:val="75D91027"/>
    <w:rsid w:val="75E35A02"/>
    <w:rsid w:val="760342F6"/>
    <w:rsid w:val="760D2A7F"/>
    <w:rsid w:val="761E2EDE"/>
    <w:rsid w:val="762A7AD4"/>
    <w:rsid w:val="76437692"/>
    <w:rsid w:val="76CC0B8C"/>
    <w:rsid w:val="76FA1255"/>
    <w:rsid w:val="76FB321F"/>
    <w:rsid w:val="772067E2"/>
    <w:rsid w:val="77342D4E"/>
    <w:rsid w:val="775A6197"/>
    <w:rsid w:val="776112D4"/>
    <w:rsid w:val="77664B3C"/>
    <w:rsid w:val="77764653"/>
    <w:rsid w:val="777C4360"/>
    <w:rsid w:val="77882D05"/>
    <w:rsid w:val="77D45F4A"/>
    <w:rsid w:val="77D8642D"/>
    <w:rsid w:val="77E37F3B"/>
    <w:rsid w:val="77EF4B32"/>
    <w:rsid w:val="77FA7033"/>
    <w:rsid w:val="77FC06C8"/>
    <w:rsid w:val="7819395D"/>
    <w:rsid w:val="78250553"/>
    <w:rsid w:val="785C1A9B"/>
    <w:rsid w:val="78746DE5"/>
    <w:rsid w:val="787853A5"/>
    <w:rsid w:val="78A21BA4"/>
    <w:rsid w:val="78A376CA"/>
    <w:rsid w:val="78C556E9"/>
    <w:rsid w:val="78C7160B"/>
    <w:rsid w:val="78D930EC"/>
    <w:rsid w:val="78EA5EF2"/>
    <w:rsid w:val="791A5BDE"/>
    <w:rsid w:val="791B3704"/>
    <w:rsid w:val="7924080B"/>
    <w:rsid w:val="792F71B0"/>
    <w:rsid w:val="795A422D"/>
    <w:rsid w:val="795F5CE7"/>
    <w:rsid w:val="79823784"/>
    <w:rsid w:val="799314ED"/>
    <w:rsid w:val="79BA191D"/>
    <w:rsid w:val="79C1605A"/>
    <w:rsid w:val="79C77685"/>
    <w:rsid w:val="79D12015"/>
    <w:rsid w:val="79D31AEC"/>
    <w:rsid w:val="79E306C6"/>
    <w:rsid w:val="79F3642F"/>
    <w:rsid w:val="79F857F4"/>
    <w:rsid w:val="7A1C14E2"/>
    <w:rsid w:val="7A270B71"/>
    <w:rsid w:val="7A275176"/>
    <w:rsid w:val="7A320D06"/>
    <w:rsid w:val="7A61783D"/>
    <w:rsid w:val="7A6548DF"/>
    <w:rsid w:val="7A772BBC"/>
    <w:rsid w:val="7A805F15"/>
    <w:rsid w:val="7AAA4D40"/>
    <w:rsid w:val="7AAF7244"/>
    <w:rsid w:val="7ACF29F8"/>
    <w:rsid w:val="7AD149C3"/>
    <w:rsid w:val="7B0459CB"/>
    <w:rsid w:val="7B0A68E9"/>
    <w:rsid w:val="7B227779"/>
    <w:rsid w:val="7B3B1E3C"/>
    <w:rsid w:val="7B5771E6"/>
    <w:rsid w:val="7B727E9F"/>
    <w:rsid w:val="7BC93F24"/>
    <w:rsid w:val="7C0C5586"/>
    <w:rsid w:val="7C240B22"/>
    <w:rsid w:val="7C286864"/>
    <w:rsid w:val="7C4E50B3"/>
    <w:rsid w:val="7C605FFE"/>
    <w:rsid w:val="7C694787"/>
    <w:rsid w:val="7CAB4D9F"/>
    <w:rsid w:val="7CBE4AD3"/>
    <w:rsid w:val="7CC55E61"/>
    <w:rsid w:val="7CD460A4"/>
    <w:rsid w:val="7D027A12"/>
    <w:rsid w:val="7D0E5A5A"/>
    <w:rsid w:val="7D2B02D8"/>
    <w:rsid w:val="7D366D5F"/>
    <w:rsid w:val="7D397EFB"/>
    <w:rsid w:val="7D586CD5"/>
    <w:rsid w:val="7D6722A4"/>
    <w:rsid w:val="7D8555F0"/>
    <w:rsid w:val="7DA4016C"/>
    <w:rsid w:val="7DB61C4E"/>
    <w:rsid w:val="7DB879A9"/>
    <w:rsid w:val="7DE40569"/>
    <w:rsid w:val="7E114D79"/>
    <w:rsid w:val="7E1F3C97"/>
    <w:rsid w:val="7E2B6198"/>
    <w:rsid w:val="7E350DC4"/>
    <w:rsid w:val="7E590F57"/>
    <w:rsid w:val="7E65740D"/>
    <w:rsid w:val="7E7A2C7B"/>
    <w:rsid w:val="7E90249F"/>
    <w:rsid w:val="7E92445B"/>
    <w:rsid w:val="7EBC14E6"/>
    <w:rsid w:val="7EED306E"/>
    <w:rsid w:val="7F032C71"/>
    <w:rsid w:val="7F0D7F93"/>
    <w:rsid w:val="7F1B445E"/>
    <w:rsid w:val="7F21759B"/>
    <w:rsid w:val="7F2B657D"/>
    <w:rsid w:val="7F511C2E"/>
    <w:rsid w:val="7F8567C3"/>
    <w:rsid w:val="7F86582B"/>
    <w:rsid w:val="7F8D4BB9"/>
    <w:rsid w:val="7F9B559F"/>
    <w:rsid w:val="7FA77AA0"/>
    <w:rsid w:val="7FE7259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38"/>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5">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50"/>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Normal Indent"/>
    <w:basedOn w:val="1"/>
    <w:unhideWhenUsed/>
    <w:qFormat/>
    <w:uiPriority w:val="0"/>
    <w:pPr>
      <w:ind w:firstLine="420" w:firstLineChars="200"/>
    </w:pPr>
    <w:rPr>
      <w:rFonts w:ascii="Calibri" w:hAnsi="Calibri"/>
      <w:szCs w:val="22"/>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toa heading"/>
    <w:basedOn w:val="1"/>
    <w:next w:val="1"/>
    <w:qFormat/>
    <w:uiPriority w:val="99"/>
    <w:pPr>
      <w:spacing w:before="120"/>
    </w:pPr>
    <w:rPr>
      <w:rFonts w:ascii="Arial" w:hAnsi="Arial" w:eastAsia="仿宋"/>
      <w:sz w:val="24"/>
      <w:szCs w:val="20"/>
    </w:rPr>
  </w:style>
  <w:style w:type="paragraph" w:styleId="10">
    <w:name w:val="annotation text"/>
    <w:basedOn w:val="1"/>
    <w:link w:val="47"/>
    <w:qFormat/>
    <w:uiPriority w:val="0"/>
    <w:pPr>
      <w:spacing w:line="240" w:lineRule="auto"/>
    </w:pPr>
    <w:rPr>
      <w:rFonts w:asciiTheme="minorHAnsi" w:hAnsiTheme="minorHAnsi" w:eastAsiaTheme="minorEastAsia"/>
      <w:sz w:val="21"/>
      <w:szCs w:val="24"/>
    </w:rPr>
  </w:style>
  <w:style w:type="paragraph" w:styleId="11">
    <w:name w:val="Body Text 3"/>
    <w:basedOn w:val="1"/>
    <w:link w:val="43"/>
    <w:semiHidden/>
    <w:unhideWhenUsed/>
    <w:qFormat/>
    <w:uiPriority w:val="99"/>
    <w:pPr>
      <w:spacing w:after="120"/>
    </w:pPr>
    <w:rPr>
      <w:sz w:val="16"/>
      <w:szCs w:val="16"/>
    </w:rPr>
  </w:style>
  <w:style w:type="paragraph" w:styleId="12">
    <w:name w:val="Body Text"/>
    <w:basedOn w:val="1"/>
    <w:next w:val="1"/>
    <w:link w:val="42"/>
    <w:unhideWhenUsed/>
    <w:qFormat/>
    <w:uiPriority w:val="99"/>
    <w:pPr>
      <w:spacing w:after="120" w:line="240" w:lineRule="auto"/>
      <w:jc w:val="both"/>
    </w:pPr>
    <w:rPr>
      <w:rFonts w:ascii="Times New Roman" w:hAnsi="Times New Roman" w:cs="Times New Roman"/>
      <w:kern w:val="0"/>
      <w:sz w:val="20"/>
      <w:szCs w:val="20"/>
    </w:rPr>
  </w:style>
  <w:style w:type="paragraph" w:styleId="13">
    <w:name w:val="Body Text Indent"/>
    <w:basedOn w:val="1"/>
    <w:unhideWhenUsed/>
    <w:qFormat/>
    <w:uiPriority w:val="0"/>
    <w:pPr>
      <w:ind w:firstLine="630"/>
    </w:pPr>
    <w:rPr>
      <w:rFonts w:eastAsia="仿宋_GB2312"/>
      <w:kern w:val="0"/>
      <w:sz w:val="32"/>
      <w:szCs w:val="20"/>
    </w:rPr>
  </w:style>
  <w:style w:type="paragraph" w:styleId="14">
    <w:name w:val="toc 5"/>
    <w:basedOn w:val="1"/>
    <w:next w:val="1"/>
    <w:autoRedefine/>
    <w:unhideWhenUsed/>
    <w:qFormat/>
    <w:uiPriority w:val="39"/>
    <w:pPr>
      <w:ind w:left="960"/>
    </w:pPr>
    <w:rPr>
      <w:rFonts w:asciiTheme="minorHAnsi" w:eastAsiaTheme="minorHAnsi"/>
      <w:sz w:val="18"/>
      <w:szCs w:val="18"/>
    </w:rPr>
  </w:style>
  <w:style w:type="paragraph" w:styleId="15">
    <w:name w:val="toc 3"/>
    <w:basedOn w:val="1"/>
    <w:next w:val="1"/>
    <w:autoRedefine/>
    <w:unhideWhenUsed/>
    <w:qFormat/>
    <w:uiPriority w:val="39"/>
    <w:pPr>
      <w:ind w:left="480"/>
    </w:pPr>
    <w:rPr>
      <w:rFonts w:asciiTheme="minorHAnsi" w:eastAsiaTheme="minorHAnsi"/>
      <w:i/>
      <w:iCs/>
      <w:sz w:val="20"/>
      <w:szCs w:val="20"/>
    </w:rPr>
  </w:style>
  <w:style w:type="paragraph" w:styleId="16">
    <w:name w:val="Plain Text"/>
    <w:basedOn w:val="1"/>
    <w:unhideWhenUsed/>
    <w:qFormat/>
    <w:uiPriority w:val="0"/>
    <w:rPr>
      <w:rFonts w:ascii="宋体" w:hAnsi="Courier New"/>
      <w:kern w:val="0"/>
      <w:sz w:val="20"/>
      <w:szCs w:val="20"/>
    </w:rPr>
  </w:style>
  <w:style w:type="paragraph" w:styleId="17">
    <w:name w:val="toc 8"/>
    <w:basedOn w:val="1"/>
    <w:next w:val="1"/>
    <w:autoRedefine/>
    <w:unhideWhenUsed/>
    <w:qFormat/>
    <w:uiPriority w:val="39"/>
    <w:pPr>
      <w:ind w:left="1680"/>
    </w:pPr>
    <w:rPr>
      <w:rFonts w:asciiTheme="minorHAnsi" w:eastAsiaTheme="minorHAnsi"/>
      <w:sz w:val="18"/>
      <w:szCs w:val="18"/>
    </w:rPr>
  </w:style>
  <w:style w:type="paragraph" w:styleId="18">
    <w:name w:val="footer"/>
    <w:basedOn w:val="1"/>
    <w:next w:val="1"/>
    <w:link w:val="37"/>
    <w:unhideWhenUsed/>
    <w:qFormat/>
    <w:uiPriority w:val="99"/>
    <w:pPr>
      <w:tabs>
        <w:tab w:val="center" w:pos="4153"/>
        <w:tab w:val="right" w:pos="8306"/>
      </w:tabs>
      <w:snapToGrid w:val="0"/>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1">
    <w:name w:val="toc 4"/>
    <w:basedOn w:val="1"/>
    <w:next w:val="1"/>
    <w:autoRedefine/>
    <w:unhideWhenUsed/>
    <w:qFormat/>
    <w:uiPriority w:val="39"/>
    <w:pPr>
      <w:ind w:left="720"/>
    </w:pPr>
    <w:rPr>
      <w:rFonts w:asciiTheme="minorHAnsi" w:eastAsiaTheme="minorHAnsi"/>
      <w:sz w:val="18"/>
      <w:szCs w:val="18"/>
    </w:rPr>
  </w:style>
  <w:style w:type="paragraph" w:styleId="22">
    <w:name w:val="footnote text"/>
    <w:basedOn w:val="1"/>
    <w:qFormat/>
    <w:uiPriority w:val="0"/>
    <w:pPr>
      <w:widowControl/>
      <w:jc w:val="left"/>
    </w:pPr>
    <w:rPr>
      <w:kern w:val="0"/>
      <w:sz w:val="20"/>
      <w:szCs w:val="20"/>
      <w:lang w:val="de-DE"/>
    </w:rPr>
  </w:style>
  <w:style w:type="paragraph" w:styleId="23">
    <w:name w:val="toc 6"/>
    <w:basedOn w:val="1"/>
    <w:next w:val="1"/>
    <w:autoRedefine/>
    <w:unhideWhenUsed/>
    <w:qFormat/>
    <w:uiPriority w:val="39"/>
    <w:pPr>
      <w:ind w:left="1200"/>
    </w:pPr>
    <w:rPr>
      <w:rFonts w:asciiTheme="minorHAnsi" w:eastAsiaTheme="minorHAnsi"/>
      <w:sz w:val="18"/>
      <w:szCs w:val="18"/>
    </w:rPr>
  </w:style>
  <w:style w:type="paragraph" w:styleId="24">
    <w:name w:val="toc 2"/>
    <w:basedOn w:val="1"/>
    <w:next w:val="1"/>
    <w:autoRedefine/>
    <w:unhideWhenUsed/>
    <w:qFormat/>
    <w:uiPriority w:val="39"/>
    <w:pPr>
      <w:ind w:left="240"/>
    </w:pPr>
    <w:rPr>
      <w:rFonts w:asciiTheme="minorHAnsi" w:eastAsiaTheme="minorHAnsi"/>
      <w:smallCaps/>
      <w:sz w:val="20"/>
      <w:szCs w:val="20"/>
    </w:rPr>
  </w:style>
  <w:style w:type="paragraph" w:styleId="25">
    <w:name w:val="toc 9"/>
    <w:basedOn w:val="1"/>
    <w:next w:val="1"/>
    <w:autoRedefine/>
    <w:unhideWhenUsed/>
    <w:qFormat/>
    <w:uiPriority w:val="39"/>
    <w:pPr>
      <w:ind w:left="1920"/>
    </w:pPr>
    <w:rPr>
      <w:rFonts w:asciiTheme="minorHAnsi" w:eastAsiaTheme="minorHAnsi"/>
      <w:sz w:val="18"/>
      <w:szCs w:val="18"/>
    </w:rPr>
  </w:style>
  <w:style w:type="paragraph" w:styleId="26">
    <w:name w:val="Normal (Web)"/>
    <w:basedOn w:val="1"/>
    <w:qFormat/>
    <w:uiPriority w:val="0"/>
    <w:pPr>
      <w:widowControl/>
      <w:spacing w:before="100" w:beforeAutospacing="1" w:after="100" w:afterAutospacing="1" w:line="240" w:lineRule="auto"/>
    </w:pPr>
    <w:rPr>
      <w:rFonts w:cs="宋体"/>
      <w:kern w:val="0"/>
      <w:szCs w:val="20"/>
    </w:rPr>
  </w:style>
  <w:style w:type="paragraph" w:styleId="27">
    <w:name w:val="annotation subject"/>
    <w:basedOn w:val="10"/>
    <w:next w:val="10"/>
    <w:link w:val="52"/>
    <w:semiHidden/>
    <w:unhideWhenUsed/>
    <w:qFormat/>
    <w:uiPriority w:val="99"/>
    <w:pPr>
      <w:spacing w:line="360" w:lineRule="auto"/>
    </w:pPr>
    <w:rPr>
      <w:rFonts w:ascii="宋体" w:hAnsi="宋体" w:eastAsia="宋体"/>
      <w:b/>
      <w:bCs/>
      <w:sz w:val="24"/>
      <w:szCs w:val="22"/>
    </w:rPr>
  </w:style>
  <w:style w:type="paragraph" w:styleId="28">
    <w:name w:val="Body Text First Indent 2"/>
    <w:basedOn w:val="13"/>
    <w:qFormat/>
    <w:uiPriority w:val="0"/>
    <w:pPr>
      <w:spacing w:after="120"/>
      <w:ind w:left="200" w:leftChars="200" w:firstLine="200" w:firstLineChars="200"/>
    </w:pPr>
    <w:rPr>
      <w:rFonts w:hAnsi="仿宋_GB2312" w:eastAsia="宋体"/>
      <w:sz w:val="21"/>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Hyperlink"/>
    <w:basedOn w:val="31"/>
    <w:unhideWhenUsed/>
    <w:qFormat/>
    <w:uiPriority w:val="99"/>
    <w:rPr>
      <w:color w:val="0563C1" w:themeColor="hyperlink"/>
      <w:u w:val="single"/>
      <w14:textFill>
        <w14:solidFill>
          <w14:schemeClr w14:val="hlink"/>
        </w14:solidFill>
      </w14:textFill>
    </w:rPr>
  </w:style>
  <w:style w:type="character" w:styleId="34">
    <w:name w:val="annotation reference"/>
    <w:basedOn w:val="31"/>
    <w:semiHidden/>
    <w:unhideWhenUsed/>
    <w:qFormat/>
    <w:uiPriority w:val="99"/>
    <w:rPr>
      <w:sz w:val="21"/>
      <w:szCs w:val="21"/>
    </w:rPr>
  </w:style>
  <w:style w:type="paragraph" w:customStyle="1" w:styleId="35">
    <w:name w:val="正文缩进2"/>
    <w:basedOn w:val="1"/>
    <w:qFormat/>
    <w:uiPriority w:val="0"/>
    <w:pPr>
      <w:wordWrap w:val="0"/>
      <w:ind w:firstLine="200" w:firstLineChars="200"/>
    </w:pPr>
  </w:style>
  <w:style w:type="character" w:customStyle="1" w:styleId="36">
    <w:name w:val="页眉 字符"/>
    <w:basedOn w:val="31"/>
    <w:link w:val="19"/>
    <w:qFormat/>
    <w:uiPriority w:val="99"/>
    <w:rPr>
      <w:rFonts w:eastAsia="宋体"/>
      <w:sz w:val="18"/>
      <w:szCs w:val="18"/>
    </w:rPr>
  </w:style>
  <w:style w:type="character" w:customStyle="1" w:styleId="37">
    <w:name w:val="页脚 字符"/>
    <w:basedOn w:val="31"/>
    <w:link w:val="18"/>
    <w:qFormat/>
    <w:uiPriority w:val="99"/>
    <w:rPr>
      <w:rFonts w:eastAsia="宋体"/>
      <w:sz w:val="18"/>
      <w:szCs w:val="18"/>
    </w:rPr>
  </w:style>
  <w:style w:type="character" w:customStyle="1" w:styleId="38">
    <w:name w:val="标题 1 字符"/>
    <w:basedOn w:val="31"/>
    <w:link w:val="3"/>
    <w:qFormat/>
    <w:uiPriority w:val="9"/>
    <w:rPr>
      <w:rFonts w:ascii="宋体" w:hAnsi="宋体" w:eastAsia="黑体"/>
      <w:b/>
      <w:bCs/>
      <w:kern w:val="44"/>
      <w:sz w:val="44"/>
      <w:szCs w:val="44"/>
    </w:rPr>
  </w:style>
  <w:style w:type="paragraph" w:styleId="39">
    <w:name w:val="List Paragraph"/>
    <w:basedOn w:val="1"/>
    <w:link w:val="48"/>
    <w:qFormat/>
    <w:uiPriority w:val="34"/>
    <w:pPr>
      <w:ind w:firstLine="420" w:firstLineChars="200"/>
    </w:pPr>
  </w:style>
  <w:style w:type="character" w:customStyle="1" w:styleId="40">
    <w:name w:val="标题 2 字符"/>
    <w:basedOn w:val="31"/>
    <w:link w:val="4"/>
    <w:qFormat/>
    <w:uiPriority w:val="9"/>
    <w:rPr>
      <w:rFonts w:eastAsia="宋体" w:asciiTheme="majorHAnsi" w:hAnsiTheme="majorHAnsi" w:cstheme="majorBidi"/>
      <w:b/>
      <w:bCs/>
      <w:sz w:val="32"/>
      <w:szCs w:val="32"/>
    </w:rPr>
  </w:style>
  <w:style w:type="character" w:customStyle="1" w:styleId="41">
    <w:name w:val="未处理的提及1"/>
    <w:basedOn w:val="31"/>
    <w:semiHidden/>
    <w:unhideWhenUsed/>
    <w:qFormat/>
    <w:uiPriority w:val="99"/>
    <w:rPr>
      <w:color w:val="605E5C"/>
      <w:shd w:val="clear" w:color="auto" w:fill="E1DFDD"/>
    </w:rPr>
  </w:style>
  <w:style w:type="character" w:customStyle="1" w:styleId="42">
    <w:name w:val="正文文本 字符"/>
    <w:basedOn w:val="31"/>
    <w:link w:val="12"/>
    <w:qFormat/>
    <w:uiPriority w:val="99"/>
    <w:rPr>
      <w:rFonts w:ascii="Times New Roman" w:hAnsi="Times New Roman" w:eastAsia="宋体" w:cs="Times New Roman"/>
      <w:kern w:val="0"/>
      <w:sz w:val="20"/>
      <w:szCs w:val="20"/>
    </w:rPr>
  </w:style>
  <w:style w:type="character" w:customStyle="1" w:styleId="43">
    <w:name w:val="正文文本 3 字符"/>
    <w:basedOn w:val="31"/>
    <w:link w:val="11"/>
    <w:semiHidden/>
    <w:qFormat/>
    <w:uiPriority w:val="99"/>
    <w:rPr>
      <w:rFonts w:ascii="宋体" w:hAnsi="宋体" w:eastAsia="宋体"/>
      <w:sz w:val="16"/>
      <w:szCs w:val="16"/>
    </w:rPr>
  </w:style>
  <w:style w:type="paragraph" w:customStyle="1" w:styleId="44">
    <w:name w:val="Default"/>
    <w:link w:val="45"/>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5">
    <w:name w:val="Default Char Char"/>
    <w:link w:val="44"/>
    <w:qFormat/>
    <w:uiPriority w:val="0"/>
    <w:rPr>
      <w:rFonts w:ascii=".." w:hAnsi="Times New Roman" w:eastAsia=".." w:cs="Times New Roman"/>
      <w:color w:val="000000"/>
      <w:kern w:val="0"/>
      <w:sz w:val="24"/>
      <w:szCs w:val="24"/>
    </w:rPr>
  </w:style>
  <w:style w:type="paragraph" w:styleId="46">
    <w:name w:val="No Spacing"/>
    <w:link w:val="51"/>
    <w:qFormat/>
    <w:uiPriority w:val="1"/>
    <w:pPr>
      <w:widowControl w:val="0"/>
    </w:pPr>
    <w:rPr>
      <w:rFonts w:ascii="宋体" w:hAnsi="宋体" w:eastAsia="宋体" w:cstheme="minorBidi"/>
      <w:kern w:val="2"/>
      <w:sz w:val="21"/>
      <w:szCs w:val="22"/>
      <w:lang w:val="en-US" w:eastAsia="zh-CN" w:bidi="ar-SA"/>
    </w:rPr>
  </w:style>
  <w:style w:type="character" w:customStyle="1" w:styleId="47">
    <w:name w:val="批注文字 字符"/>
    <w:basedOn w:val="31"/>
    <w:link w:val="10"/>
    <w:qFormat/>
    <w:uiPriority w:val="0"/>
    <w:rPr>
      <w:szCs w:val="24"/>
    </w:rPr>
  </w:style>
  <w:style w:type="character" w:customStyle="1" w:styleId="48">
    <w:name w:val="列表段落 字符"/>
    <w:link w:val="39"/>
    <w:qFormat/>
    <w:uiPriority w:val="34"/>
    <w:rPr>
      <w:rFonts w:ascii="宋体" w:hAnsi="宋体" w:eastAsia="宋体"/>
      <w:sz w:val="24"/>
    </w:rPr>
  </w:style>
  <w:style w:type="character" w:customStyle="1" w:styleId="49">
    <w:name w:val="标题 3 字符"/>
    <w:basedOn w:val="31"/>
    <w:link w:val="5"/>
    <w:autoRedefine/>
    <w:qFormat/>
    <w:uiPriority w:val="9"/>
    <w:rPr>
      <w:rFonts w:ascii="宋体" w:hAnsi="宋体" w:eastAsia="宋体"/>
      <w:b/>
      <w:bCs/>
      <w:sz w:val="32"/>
      <w:szCs w:val="32"/>
    </w:rPr>
  </w:style>
  <w:style w:type="character" w:customStyle="1" w:styleId="50">
    <w:name w:val="标题 4 字符"/>
    <w:basedOn w:val="31"/>
    <w:link w:val="2"/>
    <w:autoRedefine/>
    <w:qFormat/>
    <w:uiPriority w:val="9"/>
    <w:rPr>
      <w:rFonts w:eastAsia="宋体" w:asciiTheme="majorHAnsi" w:hAnsiTheme="majorHAnsi" w:cstheme="majorBidi"/>
      <w:b/>
      <w:bCs/>
      <w:sz w:val="28"/>
      <w:szCs w:val="28"/>
    </w:rPr>
  </w:style>
  <w:style w:type="character" w:customStyle="1" w:styleId="51">
    <w:name w:val="无间隔 字符"/>
    <w:link w:val="46"/>
    <w:qFormat/>
    <w:uiPriority w:val="1"/>
    <w:rPr>
      <w:rFonts w:ascii="宋体" w:hAnsi="宋体" w:eastAsia="宋体"/>
    </w:rPr>
  </w:style>
  <w:style w:type="character" w:customStyle="1" w:styleId="52">
    <w:name w:val="批注主题 字符"/>
    <w:basedOn w:val="47"/>
    <w:link w:val="27"/>
    <w:semiHidden/>
    <w:qFormat/>
    <w:uiPriority w:val="99"/>
    <w:rPr>
      <w:rFonts w:ascii="宋体" w:hAnsi="宋体" w:eastAsia="宋体"/>
      <w:b/>
      <w:bCs/>
      <w:kern w:val="2"/>
      <w:sz w:val="24"/>
      <w:szCs w:val="22"/>
    </w:rPr>
  </w:style>
  <w:style w:type="paragraph" w:customStyle="1" w:styleId="5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5">
    <w:name w:val="正文1"/>
    <w:autoRedefine/>
    <w:qFormat/>
    <w:uiPriority w:val="0"/>
    <w:pPr>
      <w:widowControl w:val="0"/>
      <w:jc w:val="both"/>
    </w:pPr>
    <w:rPr>
      <w:rFonts w:ascii="Calibri" w:hAnsi="Calibri" w:eastAsia="宋体" w:cs="Times New Roman"/>
      <w:lang w:val="en-US" w:eastAsia="zh-CN" w:bidi="ar-SA"/>
    </w:rPr>
  </w:style>
  <w:style w:type="paragraph" w:customStyle="1" w:styleId="56">
    <w:name w:val="正文_2"/>
    <w:autoRedefine/>
    <w:qFormat/>
    <w:uiPriority w:val="0"/>
    <w:pPr>
      <w:widowControl w:val="0"/>
      <w:jc w:val="both"/>
    </w:pPr>
    <w:rPr>
      <w:rFonts w:ascii="Calibri" w:hAnsi="Calibri" w:eastAsia="宋体" w:cs="Times New Roman"/>
      <w:lang w:val="en-US" w:eastAsia="zh-CN" w:bidi="ar-SA"/>
    </w:rPr>
  </w:style>
  <w:style w:type="paragraph" w:customStyle="1" w:styleId="57">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60">
    <w:name w:val="列出段落1"/>
    <w:basedOn w:val="1"/>
    <w:autoRedefine/>
    <w:qFormat/>
    <w:uiPriority w:val="0"/>
    <w:pPr>
      <w:ind w:firstLine="420" w:firstLineChars="200"/>
    </w:pPr>
    <w:rPr>
      <w:szCs w:val="21"/>
    </w:rPr>
  </w:style>
  <w:style w:type="paragraph" w:customStyle="1" w:styleId="61">
    <w:name w:val="Normal_22"/>
    <w:autoRedefine/>
    <w:qFormat/>
    <w:uiPriority w:val="0"/>
    <w:rPr>
      <w:rFonts w:ascii="Times New Roman" w:hAnsi="Times New Roman" w:eastAsia="Times New Roman" w:cs="Times New Roman"/>
      <w:sz w:val="24"/>
      <w:szCs w:val="24"/>
      <w:lang w:bidi="ar-SA"/>
    </w:rPr>
  </w:style>
  <w:style w:type="paragraph" w:customStyle="1" w:styleId="62">
    <w:name w:val="Char Char Char Char Char Char Char1 Char"/>
    <w:basedOn w:val="1"/>
    <w:autoRedefine/>
    <w:qFormat/>
    <w:uiPriority w:val="0"/>
    <w:rPr>
      <w:rFonts w:ascii="Arial" w:hAnsi="Arial" w:eastAsia="宋体" w:cs="Arial"/>
      <w:sz w:val="24"/>
    </w:rPr>
  </w:style>
  <w:style w:type="paragraph" w:customStyle="1" w:styleId="63">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character" w:customStyle="1" w:styleId="64">
    <w:name w:val="font21"/>
    <w:basedOn w:val="31"/>
    <w:autoRedefine/>
    <w:qFormat/>
    <w:uiPriority w:val="0"/>
    <w:rPr>
      <w:rFonts w:hint="eastAsia" w:ascii="宋体" w:hAnsi="宋体" w:eastAsia="宋体" w:cs="宋体"/>
      <w:color w:val="000000"/>
      <w:sz w:val="22"/>
      <w:szCs w:val="22"/>
      <w:u w:val="single"/>
    </w:rPr>
  </w:style>
  <w:style w:type="character" w:customStyle="1" w:styleId="65">
    <w:name w:val="font01"/>
    <w:basedOn w:val="31"/>
    <w:autoRedefine/>
    <w:qFormat/>
    <w:uiPriority w:val="0"/>
    <w:rPr>
      <w:rFonts w:hint="eastAsia" w:ascii="宋体" w:hAnsi="宋体" w:eastAsia="宋体" w:cs="宋体"/>
      <w:color w:val="000000"/>
      <w:sz w:val="22"/>
      <w:szCs w:val="22"/>
      <w:u w:val="none"/>
    </w:rPr>
  </w:style>
  <w:style w:type="paragraph" w:customStyle="1" w:styleId="66">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67">
    <w:name w:val="章正文"/>
    <w:basedOn w:val="1"/>
    <w:qFormat/>
    <w:uiPriority w:val="99"/>
    <w:pPr>
      <w:spacing w:beforeLines="50" w:after="120" w:line="300" w:lineRule="auto"/>
      <w:ind w:firstLine="480"/>
    </w:pPr>
    <w:rPr>
      <w:rFonts w:ascii="Helvetica" w:hAnsi="Helvetica" w:cs="Helvetica"/>
      <w:kern w:val="0"/>
      <w:sz w:val="24"/>
      <w:szCs w:val="24"/>
    </w:rPr>
  </w:style>
  <w:style w:type="table" w:customStyle="1" w:styleId="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26120</Words>
  <Characters>27866</Characters>
  <Lines>294</Lines>
  <Paragraphs>82</Paragraphs>
  <TotalTime>9</TotalTime>
  <ScaleCrop>false</ScaleCrop>
  <LinksUpToDate>false</LinksUpToDate>
  <CharactersWithSpaces>28435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杨猫猫吖</cp:lastModifiedBy>
  <cp:lastPrinted>2025-04-10T09:54:00Z</cp:lastPrinted>
  <dcterms:modified xsi:type="dcterms:W3CDTF">2025-06-25T03:21:01Z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A0026B6E93AD426C88E42923FDA52614_13</vt:lpwstr>
  </property>
  <property fmtid="{D5CDD505-2E9C-101B-9397-08002B2CF9AE}" pid="4" name="KSOTemplateDocerSaveRecord">
    <vt:lpwstr>eyJoZGlkIjoiYzQ1NWU1YjQ4ZGQ3N2I4MTU0ZWI5ODBjOTI4ZjJkNWMiLCJ1c2VySWQiOiI0MDA3Nzk4MzAifQ==</vt:lpwstr>
  </property>
</Properties>
</file>