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11252">
      <w:pPr>
        <w:spacing w:line="760" w:lineRule="exact"/>
        <w:jc w:val="both"/>
        <w:rPr>
          <w:rFonts w:hint="eastAsia" w:ascii="仿宋" w:hAnsi="仿宋" w:eastAsia="仿宋" w:cs="仿宋"/>
          <w:b/>
          <w:bCs/>
          <w:color w:val="auto"/>
          <w:sz w:val="40"/>
          <w:szCs w:val="40"/>
          <w:highlight w:val="none"/>
          <w:lang w:eastAsia="zh-CN"/>
        </w:rPr>
      </w:pPr>
    </w:p>
    <w:p w14:paraId="70CF5E96">
      <w:pPr>
        <w:spacing w:line="760" w:lineRule="exact"/>
        <w:jc w:val="center"/>
        <w:rPr>
          <w:rFonts w:hint="eastAsia" w:ascii="仿宋" w:hAnsi="仿宋" w:eastAsia="仿宋" w:cs="仿宋"/>
          <w:b/>
          <w:bCs/>
          <w:color w:val="auto"/>
          <w:sz w:val="48"/>
          <w:szCs w:val="48"/>
          <w:highlight w:val="none"/>
          <w:shd w:val="clear" w:color="auto" w:fill="auto"/>
          <w:lang w:val="en-US" w:eastAsia="zh-CN"/>
        </w:rPr>
      </w:pPr>
      <w:r>
        <w:rPr>
          <w:rFonts w:hint="eastAsia" w:ascii="仿宋" w:hAnsi="仿宋" w:eastAsia="仿宋" w:cs="仿宋"/>
          <w:b/>
          <w:bCs/>
          <w:color w:val="auto"/>
          <w:sz w:val="48"/>
          <w:szCs w:val="48"/>
          <w:highlight w:val="none"/>
          <w:shd w:val="clear" w:color="auto" w:fill="auto"/>
          <w:lang w:val="en-US" w:eastAsia="zh-CN"/>
        </w:rPr>
        <w:t>教育系统2025-2026学年大宗食材采购项目（食材包二）</w:t>
      </w:r>
    </w:p>
    <w:p w14:paraId="74465207">
      <w:pPr>
        <w:spacing w:line="760" w:lineRule="exact"/>
        <w:jc w:val="center"/>
        <w:rPr>
          <w:rFonts w:hint="default" w:ascii="仿宋" w:hAnsi="仿宋" w:eastAsia="仿宋" w:cs="仿宋"/>
          <w:b/>
          <w:bCs/>
          <w:color w:val="auto"/>
          <w:sz w:val="40"/>
          <w:szCs w:val="40"/>
          <w:highlight w:val="none"/>
          <w:shd w:val="clear" w:color="auto" w:fill="auto"/>
          <w:lang w:val="en-US" w:eastAsia="zh-CN"/>
        </w:rPr>
      </w:pPr>
      <w:r>
        <w:rPr>
          <w:rFonts w:hint="eastAsia" w:ascii="仿宋" w:hAnsi="仿宋" w:eastAsia="仿宋" w:cs="仿宋"/>
          <w:b/>
          <w:bCs/>
          <w:color w:val="auto"/>
          <w:sz w:val="40"/>
          <w:szCs w:val="40"/>
          <w:highlight w:val="none"/>
          <w:shd w:val="clear" w:color="auto" w:fill="auto"/>
          <w:lang w:eastAsia="zh-CN"/>
        </w:rPr>
        <w:t>项目编号：</w:t>
      </w:r>
      <w:r>
        <w:rPr>
          <w:rFonts w:hint="eastAsia" w:ascii="仿宋" w:hAnsi="仿宋" w:eastAsia="仿宋" w:cs="仿宋"/>
          <w:b/>
          <w:bCs/>
          <w:color w:val="auto"/>
          <w:sz w:val="40"/>
          <w:szCs w:val="40"/>
          <w:highlight w:val="none"/>
          <w:shd w:val="clear" w:color="auto" w:fill="auto"/>
          <w:lang w:val="en-US" w:eastAsia="zh-CN"/>
        </w:rPr>
        <w:t>ALTZFCG2025-028</w:t>
      </w:r>
    </w:p>
    <w:p w14:paraId="6815E044">
      <w:pPr>
        <w:spacing w:line="760" w:lineRule="exact"/>
        <w:jc w:val="center"/>
        <w:rPr>
          <w:rFonts w:hint="default" w:ascii="仿宋" w:hAnsi="仿宋" w:eastAsia="仿宋" w:cs="仿宋"/>
          <w:b/>
          <w:bCs/>
          <w:color w:val="auto"/>
          <w:sz w:val="40"/>
          <w:szCs w:val="40"/>
          <w:highlight w:val="none"/>
          <w:shd w:val="clear" w:color="auto" w:fill="auto"/>
          <w:lang w:val="en-US" w:eastAsia="zh-CN"/>
        </w:rPr>
      </w:pPr>
    </w:p>
    <w:p w14:paraId="76E1175B">
      <w:pPr>
        <w:pStyle w:val="29"/>
        <w:rPr>
          <w:rFonts w:ascii="仿宋" w:hAnsi="仿宋" w:eastAsia="仿宋" w:cs="仿宋"/>
          <w:color w:val="auto"/>
          <w:highlight w:val="none"/>
        </w:rPr>
      </w:pPr>
    </w:p>
    <w:p w14:paraId="67C00358">
      <w:pPr>
        <w:pStyle w:val="29"/>
        <w:rPr>
          <w:rFonts w:ascii="仿宋" w:hAnsi="仿宋" w:eastAsia="仿宋" w:cs="仿宋"/>
          <w:color w:val="auto"/>
          <w:highlight w:val="none"/>
        </w:rPr>
      </w:pPr>
    </w:p>
    <w:p w14:paraId="1117656D">
      <w:pPr>
        <w:pStyle w:val="29"/>
        <w:rPr>
          <w:rFonts w:ascii="仿宋" w:hAnsi="仿宋" w:eastAsia="仿宋" w:cs="仿宋"/>
          <w:color w:val="auto"/>
          <w:highlight w:val="none"/>
        </w:rPr>
      </w:pPr>
    </w:p>
    <w:p w14:paraId="2CA2E4A8">
      <w:pPr>
        <w:pStyle w:val="29"/>
        <w:jc w:val="center"/>
        <w:rPr>
          <w:rFonts w:hint="eastAsia" w:ascii="仿宋" w:hAnsi="仿宋" w:eastAsia="仿宋" w:cs="仿宋"/>
          <w:b/>
          <w:bCs/>
          <w:color w:val="auto"/>
          <w:sz w:val="130"/>
          <w:szCs w:val="130"/>
          <w:highlight w:val="none"/>
        </w:rPr>
      </w:pPr>
      <w:r>
        <w:rPr>
          <w:rFonts w:hint="eastAsia" w:ascii="仿宋" w:hAnsi="仿宋" w:eastAsia="仿宋" w:cs="仿宋"/>
          <w:b/>
          <w:color w:val="auto"/>
          <w:sz w:val="130"/>
          <w:szCs w:val="130"/>
          <w:highlight w:val="none"/>
        </w:rPr>
        <w:t>招标</w:t>
      </w:r>
      <w:r>
        <w:rPr>
          <w:rFonts w:hint="eastAsia" w:ascii="仿宋" w:hAnsi="仿宋" w:eastAsia="仿宋" w:cs="仿宋"/>
          <w:b/>
          <w:bCs/>
          <w:color w:val="auto"/>
          <w:sz w:val="130"/>
          <w:szCs w:val="130"/>
          <w:highlight w:val="none"/>
        </w:rPr>
        <w:t>文件</w:t>
      </w:r>
    </w:p>
    <w:p w14:paraId="7A38FC09">
      <w:pPr>
        <w:pStyle w:val="30"/>
        <w:rPr>
          <w:color w:val="auto"/>
          <w:highlight w:val="none"/>
        </w:rPr>
      </w:pPr>
    </w:p>
    <w:p w14:paraId="1D0FCFD0">
      <w:pPr>
        <w:pStyle w:val="22"/>
        <w:rPr>
          <w:color w:val="auto"/>
          <w:highlight w:val="none"/>
        </w:rPr>
      </w:pPr>
    </w:p>
    <w:p w14:paraId="08C16A7C">
      <w:pPr>
        <w:rPr>
          <w:color w:val="auto"/>
          <w:highlight w:val="none"/>
        </w:rPr>
      </w:pPr>
    </w:p>
    <w:p w14:paraId="7DF3448C">
      <w:pPr>
        <w:rPr>
          <w:color w:val="auto"/>
          <w:highlight w:val="none"/>
        </w:rPr>
      </w:pPr>
    </w:p>
    <w:p w14:paraId="357D9674">
      <w:pPr>
        <w:rPr>
          <w:color w:val="auto"/>
          <w:highlight w:val="none"/>
        </w:rPr>
      </w:pPr>
    </w:p>
    <w:p w14:paraId="0A85CC80">
      <w:pPr>
        <w:pStyle w:val="29"/>
        <w:rPr>
          <w:rFonts w:ascii="仿宋" w:hAnsi="仿宋" w:eastAsia="仿宋" w:cs="仿宋"/>
          <w:color w:val="auto"/>
          <w:highlight w:val="none"/>
        </w:rPr>
      </w:pPr>
    </w:p>
    <w:p w14:paraId="42DB05E8">
      <w:pPr>
        <w:pStyle w:val="33"/>
        <w:keepNext w:val="0"/>
        <w:keepLines w:val="0"/>
        <w:pageBreakBefore w:val="0"/>
        <w:widowControl/>
        <w:kinsoku/>
        <w:wordWrap/>
        <w:overflowPunct/>
        <w:topLinePunct w:val="0"/>
        <w:autoSpaceDE/>
        <w:autoSpaceDN/>
        <w:bidi w:val="0"/>
        <w:adjustRightInd w:val="0"/>
        <w:snapToGrid w:val="0"/>
        <w:spacing w:line="560" w:lineRule="atLeast"/>
        <w:ind w:firstLine="482"/>
        <w:textAlignment w:val="baseline"/>
        <w:rPr>
          <w:rFonts w:hint="eastAsia" w:ascii="仿宋" w:hAnsi="仿宋" w:eastAsia="仿宋" w:cs="仿宋"/>
          <w:b w:val="0"/>
          <w:bCs/>
          <w:color w:val="auto"/>
          <w:sz w:val="36"/>
          <w:szCs w:val="36"/>
          <w:highlight w:val="none"/>
          <w:lang w:eastAsia="zh-CN"/>
        </w:rPr>
      </w:pPr>
    </w:p>
    <w:p w14:paraId="7331846F">
      <w:pPr>
        <w:pStyle w:val="33"/>
        <w:keepNext w:val="0"/>
        <w:keepLines w:val="0"/>
        <w:pageBreakBefore w:val="0"/>
        <w:widowControl/>
        <w:kinsoku/>
        <w:wordWrap/>
        <w:overflowPunct/>
        <w:topLinePunct w:val="0"/>
        <w:autoSpaceDE/>
        <w:autoSpaceDN/>
        <w:bidi w:val="0"/>
        <w:adjustRightInd w:val="0"/>
        <w:snapToGrid w:val="0"/>
        <w:spacing w:line="560" w:lineRule="atLeast"/>
        <w:ind w:firstLine="482"/>
        <w:textAlignment w:val="baseline"/>
        <w:rPr>
          <w:rFonts w:hint="default" w:ascii="仿宋" w:hAnsi="仿宋" w:eastAsia="仿宋" w:cs="仿宋"/>
          <w:b w:val="0"/>
          <w:bCs/>
          <w:color w:val="auto"/>
          <w:sz w:val="36"/>
          <w:szCs w:val="36"/>
          <w:highlight w:val="none"/>
          <w:lang w:val="en-US" w:eastAsia="zh-CN"/>
        </w:rPr>
      </w:pPr>
      <w:r>
        <w:rPr>
          <w:rFonts w:hint="eastAsia" w:ascii="仿宋" w:hAnsi="仿宋" w:eastAsia="仿宋" w:cs="仿宋"/>
          <w:b w:val="0"/>
          <w:bCs/>
          <w:color w:val="auto"/>
          <w:sz w:val="36"/>
          <w:szCs w:val="36"/>
          <w:highlight w:val="none"/>
          <w:lang w:eastAsia="zh-CN"/>
        </w:rPr>
        <w:t>采购单位：</w:t>
      </w:r>
      <w:r>
        <w:rPr>
          <w:rFonts w:hint="eastAsia" w:ascii="仿宋" w:hAnsi="仿宋" w:eastAsia="仿宋" w:cs="仿宋"/>
          <w:b w:val="0"/>
          <w:bCs/>
          <w:color w:val="auto"/>
          <w:sz w:val="36"/>
          <w:szCs w:val="36"/>
          <w:highlight w:val="none"/>
          <w:lang w:val="en-US" w:eastAsia="zh-CN"/>
        </w:rPr>
        <w:t>青河县教育局</w:t>
      </w:r>
    </w:p>
    <w:p w14:paraId="1CF05C17">
      <w:pPr>
        <w:pStyle w:val="33"/>
        <w:keepNext w:val="0"/>
        <w:keepLines w:val="0"/>
        <w:pageBreakBefore w:val="0"/>
        <w:widowControl/>
        <w:kinsoku/>
        <w:wordWrap/>
        <w:overflowPunct/>
        <w:topLinePunct w:val="0"/>
        <w:autoSpaceDE/>
        <w:autoSpaceDN/>
        <w:bidi w:val="0"/>
        <w:adjustRightInd w:val="0"/>
        <w:snapToGrid w:val="0"/>
        <w:spacing w:line="560" w:lineRule="atLeast"/>
        <w:ind w:firstLine="482"/>
        <w:textAlignment w:val="baseline"/>
        <w:rPr>
          <w:rFonts w:hint="eastAsia" w:ascii="仿宋" w:hAnsi="仿宋" w:eastAsia="仿宋" w:cs="仿宋"/>
          <w:b w:val="0"/>
          <w:bCs/>
          <w:color w:val="auto"/>
          <w:sz w:val="36"/>
          <w:szCs w:val="36"/>
          <w:highlight w:val="none"/>
          <w:lang w:eastAsia="zh-CN"/>
        </w:rPr>
      </w:pPr>
    </w:p>
    <w:p w14:paraId="252CF780">
      <w:pPr>
        <w:pStyle w:val="33"/>
        <w:keepNext w:val="0"/>
        <w:keepLines w:val="0"/>
        <w:pageBreakBefore w:val="0"/>
        <w:widowControl/>
        <w:kinsoku/>
        <w:wordWrap/>
        <w:overflowPunct/>
        <w:topLinePunct w:val="0"/>
        <w:autoSpaceDE/>
        <w:autoSpaceDN/>
        <w:bidi w:val="0"/>
        <w:adjustRightInd w:val="0"/>
        <w:snapToGrid w:val="0"/>
        <w:spacing w:line="560" w:lineRule="atLeast"/>
        <w:ind w:firstLine="482"/>
        <w:textAlignment w:val="baseline"/>
        <w:rPr>
          <w:rFonts w:hint="eastAsia" w:ascii="仿宋" w:hAnsi="仿宋" w:eastAsia="仿宋" w:cs="仿宋"/>
          <w:b w:val="0"/>
          <w:bCs/>
          <w:color w:val="auto"/>
          <w:sz w:val="36"/>
          <w:szCs w:val="36"/>
          <w:highlight w:val="none"/>
          <w:lang w:val="en-US" w:eastAsia="zh-CN"/>
        </w:rPr>
      </w:pPr>
      <w:r>
        <w:rPr>
          <w:rFonts w:hint="eastAsia" w:ascii="仿宋" w:hAnsi="仿宋" w:eastAsia="仿宋" w:cs="仿宋"/>
          <w:b w:val="0"/>
          <w:bCs/>
          <w:color w:val="auto"/>
          <w:sz w:val="36"/>
          <w:szCs w:val="36"/>
          <w:highlight w:val="none"/>
          <w:lang w:eastAsia="zh-CN"/>
        </w:rPr>
        <w:t>代理机构：</w:t>
      </w:r>
      <w:r>
        <w:rPr>
          <w:rFonts w:hint="eastAsia" w:ascii="仿宋" w:hAnsi="仿宋" w:eastAsia="仿宋" w:cs="仿宋"/>
          <w:b w:val="0"/>
          <w:bCs/>
          <w:color w:val="auto"/>
          <w:sz w:val="36"/>
          <w:szCs w:val="36"/>
          <w:highlight w:val="none"/>
          <w:lang w:val="en-US" w:eastAsia="zh-CN"/>
        </w:rPr>
        <w:t>新疆天壹中山工程咨询有限公司</w:t>
      </w:r>
    </w:p>
    <w:p w14:paraId="3D325180">
      <w:pPr>
        <w:pStyle w:val="33"/>
        <w:keepNext w:val="0"/>
        <w:keepLines w:val="0"/>
        <w:pageBreakBefore w:val="0"/>
        <w:widowControl/>
        <w:kinsoku/>
        <w:wordWrap/>
        <w:overflowPunct/>
        <w:topLinePunct w:val="0"/>
        <w:autoSpaceDE/>
        <w:autoSpaceDN/>
        <w:bidi w:val="0"/>
        <w:adjustRightInd w:val="0"/>
        <w:snapToGrid w:val="0"/>
        <w:spacing w:line="560" w:lineRule="atLeast"/>
        <w:jc w:val="center"/>
        <w:textAlignment w:val="baseline"/>
        <w:rPr>
          <w:rFonts w:hint="eastAsia" w:ascii="仿宋" w:hAnsi="仿宋" w:eastAsia="仿宋" w:cs="仿宋"/>
          <w:b w:val="0"/>
          <w:bCs/>
          <w:color w:val="auto"/>
          <w:sz w:val="36"/>
          <w:szCs w:val="36"/>
          <w:highlight w:val="none"/>
          <w:lang w:val="en-US" w:eastAsia="zh-CN"/>
        </w:rPr>
      </w:pPr>
    </w:p>
    <w:p w14:paraId="73EB8FA0">
      <w:pPr>
        <w:pStyle w:val="33"/>
        <w:keepNext w:val="0"/>
        <w:keepLines w:val="0"/>
        <w:pageBreakBefore w:val="0"/>
        <w:widowControl/>
        <w:kinsoku/>
        <w:wordWrap/>
        <w:overflowPunct/>
        <w:topLinePunct w:val="0"/>
        <w:autoSpaceDE/>
        <w:autoSpaceDN/>
        <w:bidi w:val="0"/>
        <w:adjustRightInd w:val="0"/>
        <w:snapToGrid w:val="0"/>
        <w:spacing w:line="560" w:lineRule="atLeast"/>
        <w:jc w:val="center"/>
        <w:textAlignment w:val="baseline"/>
        <w:rPr>
          <w:rFonts w:hint="default" w:ascii="仿宋" w:hAnsi="仿宋" w:eastAsia="仿宋" w:cs="仿宋"/>
          <w:b w:val="0"/>
          <w:bCs/>
          <w:color w:val="auto"/>
          <w:sz w:val="36"/>
          <w:szCs w:val="36"/>
          <w:highlight w:val="none"/>
          <w:lang w:val="en-US" w:eastAsia="zh-CN"/>
        </w:rPr>
      </w:pPr>
      <w:r>
        <w:rPr>
          <w:rFonts w:hint="eastAsia" w:ascii="仿宋" w:hAnsi="仿宋" w:eastAsia="仿宋" w:cs="仿宋"/>
          <w:b w:val="0"/>
          <w:bCs/>
          <w:color w:val="auto"/>
          <w:sz w:val="36"/>
          <w:szCs w:val="36"/>
          <w:highlight w:val="none"/>
          <w:lang w:val="en-US" w:eastAsia="zh-CN"/>
        </w:rPr>
        <w:t>2025年7月</w:t>
      </w:r>
    </w:p>
    <w:p w14:paraId="16DF86C6">
      <w:pPr>
        <w:pStyle w:val="33"/>
        <w:rPr>
          <w:rFonts w:ascii="仿宋" w:hAnsi="仿宋" w:eastAsia="仿宋" w:cs="仿宋"/>
          <w:b/>
          <w:color w:val="auto"/>
          <w:sz w:val="36"/>
          <w:szCs w:val="36"/>
          <w:highlight w:val="none"/>
          <w:lang w:eastAsia="zh-CN"/>
        </w:rPr>
      </w:pPr>
    </w:p>
    <w:p w14:paraId="7E295733">
      <w:pPr>
        <w:jc w:val="center"/>
        <w:rPr>
          <w:rFonts w:hint="eastAsia" w:ascii="仿宋" w:hAnsi="仿宋" w:eastAsia="仿宋" w:cs="仿宋"/>
          <w:b/>
          <w:color w:val="auto"/>
          <w:sz w:val="44"/>
          <w:szCs w:val="44"/>
          <w:highlight w:val="none"/>
          <w:lang w:eastAsia="zh-CN"/>
        </w:rPr>
      </w:pPr>
    </w:p>
    <w:p w14:paraId="2F253593">
      <w:pPr>
        <w:spacing w:line="240" w:lineRule="exact"/>
        <w:rPr>
          <w:rFonts w:ascii="仿宋" w:hAnsi="仿宋" w:eastAsia="仿宋" w:cs="仿宋"/>
          <w:color w:val="auto"/>
          <w:sz w:val="44"/>
          <w:szCs w:val="44"/>
          <w:highlight w:val="none"/>
          <w:lang w:eastAsia="zh-CN"/>
        </w:rPr>
        <w:sectPr>
          <w:headerReference r:id="rId3" w:type="default"/>
          <w:footerReference r:id="rId4" w:type="default"/>
          <w:pgSz w:w="11905" w:h="16838"/>
          <w:pgMar w:top="1440" w:right="1417" w:bottom="1440" w:left="1417" w:header="850" w:footer="992" w:gutter="0"/>
          <w:pgNumType w:start="1"/>
          <w:cols w:space="0" w:num="1"/>
          <w:rtlGutter w:val="0"/>
          <w:docGrid w:type="linesAndChars" w:linePitch="332" w:charSpace="1057"/>
        </w:sectPr>
      </w:pPr>
    </w:p>
    <w:p w14:paraId="2C308DEB">
      <w:pPr>
        <w:pStyle w:val="35"/>
        <w:spacing w:before="0" w:line="360" w:lineRule="auto"/>
        <w:jc w:val="center"/>
        <w:rPr>
          <w:rFonts w:ascii="仿宋" w:hAnsi="仿宋" w:eastAsia="仿宋" w:cs="仿宋"/>
          <w:color w:val="auto"/>
          <w:sz w:val="30"/>
          <w:szCs w:val="30"/>
          <w:highlight w:val="none"/>
        </w:rPr>
      </w:pPr>
      <w:r>
        <w:rPr>
          <w:rFonts w:hint="eastAsia" w:ascii="仿宋" w:hAnsi="仿宋" w:eastAsia="仿宋" w:cs="仿宋"/>
          <w:color w:val="auto"/>
          <w:sz w:val="44"/>
          <w:szCs w:val="44"/>
          <w:highlight w:val="none"/>
          <w:lang w:val="zh-CN"/>
        </w:rPr>
        <w:t>目    录</w:t>
      </w:r>
    </w:p>
    <w:p w14:paraId="469935EB">
      <w:pPr>
        <w:widowControl/>
        <w:rPr>
          <w:rFonts w:ascii="仿宋" w:hAnsi="仿宋" w:eastAsia="仿宋" w:cs="仿宋"/>
          <w:color w:val="auto"/>
          <w:sz w:val="30"/>
          <w:szCs w:val="30"/>
          <w:highlight w:val="none"/>
        </w:rPr>
      </w:pPr>
    </w:p>
    <w:p w14:paraId="1C20CD45">
      <w:pPr>
        <w:numPr>
          <w:ilvl w:val="0"/>
          <w:numId w:val="2"/>
        </w:numPr>
        <w:spacing w:line="600" w:lineRule="auto"/>
        <w:jc w:val="both"/>
        <w:rPr>
          <w:rFonts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eastAsia="zh-CN"/>
        </w:rPr>
        <w:t xml:space="preserve">     招标公告</w:t>
      </w:r>
      <w:r>
        <w:rPr>
          <w:rFonts w:ascii="Arial" w:hAnsi="Arial" w:eastAsia="仿宋" w:cs="Arial"/>
          <w:b/>
          <w:color w:val="auto"/>
          <w:sz w:val="30"/>
          <w:szCs w:val="30"/>
          <w:highlight w:val="none"/>
          <w:lang w:eastAsia="zh-CN"/>
        </w:rPr>
        <w:t>…………………………………………</w:t>
      </w:r>
      <w:r>
        <w:rPr>
          <w:rFonts w:hint="eastAsia" w:ascii="仿宋" w:hAnsi="仿宋" w:eastAsia="仿宋" w:cs="仿宋"/>
          <w:b/>
          <w:color w:val="auto"/>
          <w:sz w:val="30"/>
          <w:szCs w:val="30"/>
          <w:highlight w:val="none"/>
          <w:lang w:eastAsia="zh-CN"/>
        </w:rPr>
        <w:t>1</w:t>
      </w:r>
    </w:p>
    <w:p w14:paraId="33C54A01">
      <w:pPr>
        <w:numPr>
          <w:ilvl w:val="0"/>
          <w:numId w:val="2"/>
        </w:numPr>
        <w:spacing w:line="600" w:lineRule="auto"/>
        <w:jc w:val="both"/>
        <w:rPr>
          <w:rFonts w:ascii="Arial" w:hAnsi="Arial" w:eastAsia="仿宋" w:cs="Arial"/>
          <w:b/>
          <w:color w:val="auto"/>
          <w:sz w:val="30"/>
          <w:szCs w:val="30"/>
          <w:highlight w:val="none"/>
          <w:lang w:eastAsia="zh-CN"/>
        </w:rPr>
      </w:pPr>
      <w:r>
        <w:rPr>
          <w:rFonts w:hint="eastAsia" w:ascii="仿宋" w:hAnsi="仿宋" w:eastAsia="仿宋" w:cs="仿宋"/>
          <w:b/>
          <w:color w:val="auto"/>
          <w:sz w:val="30"/>
          <w:szCs w:val="30"/>
          <w:highlight w:val="none"/>
          <w:lang w:eastAsia="zh-CN"/>
        </w:rPr>
        <w:t xml:space="preserve">     供应商须知</w:t>
      </w:r>
      <w:r>
        <w:rPr>
          <w:rFonts w:ascii="Arial" w:hAnsi="Arial" w:eastAsia="仿宋" w:cs="Arial"/>
          <w:b/>
          <w:color w:val="auto"/>
          <w:sz w:val="30"/>
          <w:szCs w:val="30"/>
          <w:highlight w:val="none"/>
          <w:lang w:eastAsia="zh-CN"/>
        </w:rPr>
        <w:t>………………………………………</w:t>
      </w:r>
      <w:r>
        <w:rPr>
          <w:rFonts w:hint="eastAsia" w:ascii="仿宋" w:hAnsi="仿宋" w:eastAsia="仿宋" w:cs="仿宋"/>
          <w:b/>
          <w:color w:val="auto"/>
          <w:sz w:val="30"/>
          <w:szCs w:val="30"/>
          <w:highlight w:val="none"/>
          <w:lang w:val="en-US" w:eastAsia="zh-CN"/>
        </w:rPr>
        <w:t>4</w:t>
      </w:r>
    </w:p>
    <w:p w14:paraId="7391A594">
      <w:pPr>
        <w:numPr>
          <w:ilvl w:val="0"/>
          <w:numId w:val="2"/>
        </w:numPr>
        <w:spacing w:line="600" w:lineRule="auto"/>
        <w:jc w:val="both"/>
        <w:rPr>
          <w:rFonts w:ascii="Arial" w:hAnsi="Arial" w:eastAsia="仿宋" w:cs="Arial"/>
          <w:b/>
          <w:color w:val="auto"/>
          <w:sz w:val="30"/>
          <w:szCs w:val="30"/>
          <w:highlight w:val="none"/>
          <w:lang w:eastAsia="zh-CN"/>
        </w:rPr>
      </w:pPr>
      <w:r>
        <w:rPr>
          <w:rFonts w:hint="eastAsia" w:ascii="仿宋" w:hAnsi="仿宋" w:eastAsia="仿宋" w:cs="仿宋"/>
          <w:b/>
          <w:color w:val="auto"/>
          <w:sz w:val="30"/>
          <w:szCs w:val="30"/>
          <w:highlight w:val="none"/>
          <w:lang w:eastAsia="zh-CN"/>
        </w:rPr>
        <w:t xml:space="preserve">     评标办法</w:t>
      </w:r>
      <w:r>
        <w:rPr>
          <w:rFonts w:ascii="Arial" w:hAnsi="Arial" w:eastAsia="仿宋" w:cs="Arial"/>
          <w:b/>
          <w:color w:val="auto"/>
          <w:sz w:val="30"/>
          <w:szCs w:val="30"/>
          <w:highlight w:val="none"/>
          <w:lang w:eastAsia="zh-CN"/>
        </w:rPr>
        <w:t>…………………………………………</w:t>
      </w:r>
      <w:r>
        <w:rPr>
          <w:rFonts w:hint="eastAsia" w:ascii="仿宋" w:hAnsi="仿宋" w:eastAsia="仿宋" w:cs="仿宋"/>
          <w:b/>
          <w:color w:val="auto"/>
          <w:sz w:val="30"/>
          <w:szCs w:val="30"/>
          <w:highlight w:val="none"/>
          <w:lang w:val="en-US" w:eastAsia="zh-CN"/>
        </w:rPr>
        <w:t>38</w:t>
      </w:r>
    </w:p>
    <w:p w14:paraId="584AADBF">
      <w:pPr>
        <w:numPr>
          <w:ilvl w:val="0"/>
          <w:numId w:val="2"/>
        </w:numPr>
        <w:spacing w:line="600" w:lineRule="auto"/>
        <w:jc w:val="both"/>
        <w:rPr>
          <w:rFonts w:hint="default" w:ascii="Arial" w:hAnsi="Arial" w:eastAsia="仿宋" w:cs="Arial"/>
          <w:b/>
          <w:color w:val="auto"/>
          <w:sz w:val="30"/>
          <w:szCs w:val="30"/>
          <w:highlight w:val="none"/>
          <w:lang w:val="en-US" w:eastAsia="zh-CN"/>
        </w:rPr>
      </w:pPr>
      <w:r>
        <w:rPr>
          <w:rFonts w:hint="eastAsia" w:ascii="仿宋" w:hAnsi="仿宋" w:eastAsia="仿宋" w:cs="仿宋"/>
          <w:b/>
          <w:color w:val="auto"/>
          <w:sz w:val="30"/>
          <w:szCs w:val="30"/>
          <w:highlight w:val="none"/>
          <w:lang w:eastAsia="zh-CN"/>
        </w:rPr>
        <w:t xml:space="preserve">     技术规格、数量及质量要求</w:t>
      </w:r>
      <w:r>
        <w:rPr>
          <w:rFonts w:ascii="Arial" w:hAnsi="Arial" w:eastAsia="仿宋" w:cs="Arial"/>
          <w:b/>
          <w:color w:val="auto"/>
          <w:sz w:val="30"/>
          <w:szCs w:val="30"/>
          <w:highlight w:val="none"/>
          <w:lang w:eastAsia="zh-CN"/>
        </w:rPr>
        <w:t>……………………</w:t>
      </w:r>
      <w:r>
        <w:rPr>
          <w:rFonts w:hint="eastAsia" w:ascii="仿宋" w:hAnsi="仿宋" w:eastAsia="仿宋" w:cs="仿宋"/>
          <w:b/>
          <w:color w:val="auto"/>
          <w:sz w:val="30"/>
          <w:szCs w:val="30"/>
          <w:highlight w:val="none"/>
          <w:lang w:val="en-US" w:eastAsia="zh-CN"/>
        </w:rPr>
        <w:t>46</w:t>
      </w:r>
    </w:p>
    <w:p w14:paraId="637F9DA2">
      <w:pPr>
        <w:spacing w:line="600" w:lineRule="auto"/>
        <w:jc w:val="both"/>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eastAsia="zh-CN"/>
        </w:rPr>
        <w:t>第五部分      合同条款及格式</w:t>
      </w:r>
      <w:r>
        <w:rPr>
          <w:rFonts w:ascii="Arial" w:hAnsi="Arial" w:eastAsia="仿宋" w:cs="Arial"/>
          <w:b/>
          <w:color w:val="auto"/>
          <w:sz w:val="30"/>
          <w:szCs w:val="30"/>
          <w:highlight w:val="none"/>
          <w:lang w:eastAsia="zh-CN"/>
        </w:rPr>
        <w:t>…………………………………</w:t>
      </w:r>
      <w:r>
        <w:rPr>
          <w:rFonts w:hint="eastAsia" w:ascii="仿宋" w:hAnsi="仿宋" w:eastAsia="仿宋" w:cs="仿宋"/>
          <w:b/>
          <w:color w:val="auto"/>
          <w:sz w:val="30"/>
          <w:szCs w:val="30"/>
          <w:highlight w:val="none"/>
          <w:lang w:val="en-US" w:eastAsia="zh-CN"/>
        </w:rPr>
        <w:t>52</w:t>
      </w:r>
    </w:p>
    <w:p w14:paraId="0A38C564">
      <w:pPr>
        <w:spacing w:line="600" w:lineRule="auto"/>
        <w:jc w:val="both"/>
        <w:rPr>
          <w:rFonts w:hint="default" w:ascii="仿宋" w:hAnsi="仿宋" w:eastAsia="仿宋" w:cs="仿宋"/>
          <w:color w:val="auto"/>
          <w:highlight w:val="none"/>
          <w:lang w:val="en-US" w:eastAsia="zh-CN"/>
        </w:rPr>
      </w:pPr>
      <w:r>
        <w:rPr>
          <w:rFonts w:hint="eastAsia" w:ascii="仿宋" w:hAnsi="仿宋" w:eastAsia="仿宋" w:cs="仿宋"/>
          <w:b/>
          <w:color w:val="auto"/>
          <w:sz w:val="30"/>
          <w:szCs w:val="30"/>
          <w:highlight w:val="none"/>
          <w:lang w:eastAsia="zh-CN"/>
        </w:rPr>
        <w:t>第六部分      投标文件格式</w:t>
      </w:r>
      <w:r>
        <w:rPr>
          <w:rFonts w:ascii="Arial" w:hAnsi="Arial" w:eastAsia="仿宋" w:cs="Arial"/>
          <w:b/>
          <w:color w:val="auto"/>
          <w:sz w:val="30"/>
          <w:szCs w:val="30"/>
          <w:highlight w:val="none"/>
          <w:lang w:eastAsia="zh-CN"/>
        </w:rPr>
        <w:t>……………………………………</w:t>
      </w:r>
      <w:r>
        <w:rPr>
          <w:rFonts w:hint="eastAsia" w:ascii="仿宋" w:hAnsi="仿宋" w:eastAsia="仿宋" w:cs="仿宋"/>
          <w:b/>
          <w:color w:val="auto"/>
          <w:sz w:val="30"/>
          <w:szCs w:val="30"/>
          <w:highlight w:val="none"/>
          <w:lang w:val="en-US" w:eastAsia="zh-CN"/>
        </w:rPr>
        <w:t>58</w:t>
      </w:r>
    </w:p>
    <w:p w14:paraId="6BDC8BDE">
      <w:pPr>
        <w:pStyle w:val="8"/>
        <w:numPr>
          <w:ilvl w:val="0"/>
          <w:numId w:val="0"/>
        </w:numPr>
        <w:spacing w:line="480" w:lineRule="auto"/>
        <w:rPr>
          <w:rFonts w:ascii="仿宋" w:hAnsi="仿宋" w:eastAsia="仿宋" w:cs="仿宋"/>
          <w:color w:val="auto"/>
          <w:highlight w:val="none"/>
          <w:lang w:eastAsia="zh-CN"/>
        </w:rPr>
      </w:pPr>
    </w:p>
    <w:p w14:paraId="1539DF86">
      <w:pPr>
        <w:spacing w:line="480" w:lineRule="auto"/>
        <w:rPr>
          <w:rFonts w:ascii="仿宋" w:hAnsi="仿宋" w:eastAsia="仿宋" w:cs="仿宋"/>
          <w:color w:val="auto"/>
          <w:highlight w:val="none"/>
          <w:lang w:eastAsia="zh-CN"/>
        </w:rPr>
      </w:pPr>
    </w:p>
    <w:p w14:paraId="5ACF74AC">
      <w:pPr>
        <w:pStyle w:val="4"/>
        <w:rPr>
          <w:rFonts w:ascii="仿宋" w:hAnsi="仿宋" w:eastAsia="仿宋" w:cs="仿宋"/>
          <w:color w:val="auto"/>
          <w:highlight w:val="none"/>
          <w:lang w:eastAsia="zh-CN"/>
        </w:rPr>
      </w:pPr>
    </w:p>
    <w:p w14:paraId="156F65F4">
      <w:pPr>
        <w:rPr>
          <w:rFonts w:ascii="仿宋" w:hAnsi="仿宋" w:eastAsia="仿宋" w:cs="仿宋"/>
          <w:color w:val="auto"/>
          <w:highlight w:val="none"/>
          <w:lang w:eastAsia="zh-CN"/>
        </w:rPr>
      </w:pPr>
    </w:p>
    <w:p w14:paraId="2679B083">
      <w:pPr>
        <w:pStyle w:val="4"/>
        <w:rPr>
          <w:rFonts w:ascii="仿宋" w:hAnsi="仿宋" w:eastAsia="仿宋" w:cs="仿宋"/>
          <w:color w:val="auto"/>
          <w:highlight w:val="none"/>
          <w:lang w:eastAsia="zh-CN"/>
        </w:rPr>
      </w:pPr>
    </w:p>
    <w:p w14:paraId="2C0F866C">
      <w:pPr>
        <w:rPr>
          <w:rFonts w:ascii="仿宋" w:hAnsi="仿宋" w:eastAsia="仿宋" w:cs="仿宋"/>
          <w:color w:val="auto"/>
          <w:highlight w:val="none"/>
          <w:lang w:eastAsia="zh-CN"/>
        </w:rPr>
      </w:pPr>
    </w:p>
    <w:p w14:paraId="59FCAEF4">
      <w:pPr>
        <w:pStyle w:val="4"/>
        <w:rPr>
          <w:rFonts w:ascii="仿宋" w:hAnsi="仿宋" w:eastAsia="仿宋" w:cs="仿宋"/>
          <w:color w:val="auto"/>
          <w:highlight w:val="none"/>
          <w:lang w:eastAsia="zh-CN"/>
        </w:rPr>
      </w:pPr>
    </w:p>
    <w:p w14:paraId="5FF77560">
      <w:pPr>
        <w:rPr>
          <w:rFonts w:ascii="仿宋" w:hAnsi="仿宋" w:eastAsia="仿宋" w:cs="仿宋"/>
          <w:color w:val="auto"/>
          <w:highlight w:val="none"/>
          <w:lang w:eastAsia="zh-CN"/>
        </w:rPr>
      </w:pPr>
    </w:p>
    <w:p w14:paraId="5395C01D">
      <w:pPr>
        <w:pStyle w:val="4"/>
        <w:rPr>
          <w:rFonts w:ascii="仿宋" w:hAnsi="仿宋" w:eastAsia="仿宋" w:cs="仿宋"/>
          <w:color w:val="auto"/>
          <w:highlight w:val="none"/>
          <w:lang w:eastAsia="zh-CN"/>
        </w:rPr>
      </w:pPr>
    </w:p>
    <w:p w14:paraId="16D27FD9">
      <w:pPr>
        <w:pStyle w:val="36"/>
        <w:keepNext/>
        <w:keepLines/>
        <w:spacing w:before="120" w:after="300"/>
        <w:jc w:val="both"/>
        <w:rPr>
          <w:rFonts w:ascii="仿宋" w:hAnsi="仿宋" w:eastAsia="仿宋" w:cs="仿宋"/>
          <w:b/>
          <w:bCs/>
          <w:color w:val="auto"/>
          <w:highlight w:val="none"/>
        </w:rPr>
        <w:sectPr>
          <w:footerReference r:id="rId5" w:type="default"/>
          <w:pgSz w:w="11905" w:h="16838"/>
          <w:pgMar w:top="1440" w:right="1417" w:bottom="1440" w:left="1417" w:header="850" w:footer="992" w:gutter="0"/>
          <w:pgNumType w:start="1"/>
          <w:cols w:space="0" w:num="1"/>
          <w:rtlGutter w:val="0"/>
          <w:docGrid w:type="linesAndChars" w:linePitch="332" w:charSpace="1057"/>
        </w:sectPr>
      </w:pPr>
    </w:p>
    <w:p w14:paraId="66D6A153">
      <w:pPr>
        <w:pStyle w:val="36"/>
        <w:keepNext/>
        <w:keepLines/>
        <w:pageBreakBefore w:val="0"/>
        <w:kinsoku/>
        <w:wordWrap/>
        <w:overflowPunct/>
        <w:topLinePunct w:val="0"/>
        <w:autoSpaceDE/>
        <w:autoSpaceDN/>
        <w:bidi w:val="0"/>
        <w:adjustRightInd/>
        <w:snapToGrid/>
        <w:spacing w:before="120" w:after="300" w:line="400" w:lineRule="exact"/>
        <w:textAlignment w:val="auto"/>
        <w:rPr>
          <w:rFonts w:ascii="仿宋" w:hAnsi="仿宋" w:eastAsia="仿宋" w:cs="仿宋"/>
          <w:b/>
          <w:bCs/>
          <w:color w:val="auto"/>
          <w:highlight w:val="none"/>
          <w:lang w:eastAsia="zh-CN"/>
        </w:rPr>
      </w:pPr>
      <w:r>
        <w:rPr>
          <w:rFonts w:hint="eastAsia" w:ascii="仿宋" w:hAnsi="仿宋" w:eastAsia="仿宋" w:cs="仿宋"/>
          <w:b/>
          <w:bCs/>
          <w:color w:val="auto"/>
          <w:highlight w:val="none"/>
        </w:rPr>
        <w:t>第一部分</w:t>
      </w:r>
      <w:r>
        <w:rPr>
          <w:rFonts w:hint="eastAsia" w:ascii="仿宋" w:hAnsi="仿宋" w:eastAsia="仿宋" w:cs="仿宋"/>
          <w:b/>
          <w:bCs/>
          <w:color w:val="auto"/>
          <w:highlight w:val="none"/>
          <w:lang w:val="en-US" w:eastAsia="zh-CN"/>
        </w:rPr>
        <w:t xml:space="preserve"> </w:t>
      </w:r>
      <w:r>
        <w:rPr>
          <w:rFonts w:hint="eastAsia" w:ascii="仿宋" w:hAnsi="仿宋" w:eastAsia="仿宋" w:cs="仿宋"/>
          <w:b/>
          <w:bCs/>
          <w:color w:val="auto"/>
          <w:highlight w:val="none"/>
          <w:lang w:eastAsia="zh-CN"/>
        </w:rPr>
        <w:t>招标公告</w:t>
      </w:r>
    </w:p>
    <w:p w14:paraId="0956B1C2">
      <w:pPr>
        <w:pStyle w:val="3"/>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i w:val="0"/>
          <w:iCs w:val="0"/>
          <w:caps w:val="0"/>
          <w:color w:val="auto"/>
          <w:spacing w:val="0"/>
          <w:kern w:val="0"/>
          <w:sz w:val="32"/>
          <w:szCs w:val="32"/>
          <w:highlight w:val="none"/>
          <w:lang w:val="en-US" w:eastAsia="zh-CN" w:bidi="ar"/>
        </w:rPr>
      </w:pPr>
      <w:r>
        <w:rPr>
          <w:rFonts w:hint="eastAsia" w:ascii="仿宋" w:hAnsi="仿宋" w:eastAsia="仿宋" w:cs="仿宋"/>
          <w:b/>
          <w:bCs/>
          <w:i w:val="0"/>
          <w:iCs w:val="0"/>
          <w:caps w:val="0"/>
          <w:color w:val="auto"/>
          <w:spacing w:val="0"/>
          <w:kern w:val="0"/>
          <w:sz w:val="32"/>
          <w:szCs w:val="32"/>
          <w:highlight w:val="none"/>
          <w:lang w:val="en-US" w:eastAsia="zh-CN" w:bidi="ar"/>
        </w:rPr>
        <w:t>教育系统2025-2026学年大宗食材采购项目（食材包二）</w:t>
      </w:r>
    </w:p>
    <w:p w14:paraId="49294BE6">
      <w:pPr>
        <w:pStyle w:val="3"/>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i w:val="0"/>
          <w:iCs w:val="0"/>
          <w:caps w:val="0"/>
          <w:color w:val="auto"/>
          <w:spacing w:val="0"/>
          <w:kern w:val="0"/>
          <w:sz w:val="32"/>
          <w:szCs w:val="32"/>
          <w:highlight w:val="none"/>
          <w:lang w:val="en-US" w:eastAsia="zh-CN" w:bidi="ar"/>
        </w:rPr>
      </w:pPr>
      <w:r>
        <w:rPr>
          <w:rFonts w:hint="eastAsia" w:ascii="仿宋" w:hAnsi="仿宋" w:eastAsia="仿宋" w:cs="仿宋"/>
          <w:b/>
          <w:bCs/>
          <w:i w:val="0"/>
          <w:iCs w:val="0"/>
          <w:caps w:val="0"/>
          <w:color w:val="auto"/>
          <w:spacing w:val="0"/>
          <w:kern w:val="0"/>
          <w:sz w:val="32"/>
          <w:szCs w:val="32"/>
          <w:highlight w:val="none"/>
          <w:lang w:val="en-US" w:eastAsia="zh-CN" w:bidi="ar"/>
        </w:rPr>
        <w:t>公开招标公告</w:t>
      </w:r>
    </w:p>
    <w:p w14:paraId="56BC8537">
      <w:pPr>
        <w:rPr>
          <w:rFonts w:hint="eastAsia"/>
          <w:color w:val="auto"/>
          <w:highlight w:val="none"/>
          <w:lang w:val="en-US" w:eastAsia="zh-CN"/>
        </w:r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C54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trPr>
        <w:tc>
          <w:tcPr>
            <w:tcW w:w="8522" w:type="dxa"/>
            <w:noWrap w:val="0"/>
            <w:vAlign w:val="top"/>
          </w:tcPr>
          <w:p w14:paraId="70D37D67">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00" w:lineRule="exact"/>
              <w:ind w:right="0"/>
              <w:jc w:val="left"/>
              <w:textAlignment w:val="auto"/>
              <w:rPr>
                <w:rFonts w:hint="eastAsia" w:ascii="仿宋" w:hAnsi="仿宋" w:eastAsia="仿宋" w:cs="仿宋"/>
                <w:b w:val="0"/>
                <w:bCs w:val="0"/>
                <w:i w:val="0"/>
                <w:iCs w:val="0"/>
                <w:caps w:val="0"/>
                <w:color w:val="auto"/>
                <w:spacing w:val="0"/>
                <w:sz w:val="24"/>
                <w:szCs w:val="24"/>
                <w:highlight w:val="none"/>
                <w:lang w:eastAsia="zh-CN"/>
              </w:rPr>
            </w:pPr>
            <w:r>
              <w:rPr>
                <w:rFonts w:hint="eastAsia" w:ascii="仿宋" w:hAnsi="仿宋" w:eastAsia="仿宋" w:cs="仿宋"/>
                <w:b w:val="0"/>
                <w:bCs w:val="0"/>
                <w:i w:val="0"/>
                <w:iCs w:val="0"/>
                <w:caps w:val="0"/>
                <w:color w:val="auto"/>
                <w:spacing w:val="0"/>
                <w:sz w:val="24"/>
                <w:szCs w:val="24"/>
                <w:highlight w:val="none"/>
                <w:lang w:eastAsia="zh-CN"/>
              </w:rPr>
              <w:t>项目概况</w:t>
            </w:r>
          </w:p>
          <w:p w14:paraId="31FAC9CD">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00" w:lineRule="exact"/>
              <w:ind w:left="0" w:right="0" w:firstLine="480" w:firstLineChars="200"/>
              <w:jc w:val="both"/>
              <w:textAlignment w:val="auto"/>
              <w:rPr>
                <w:b w:val="0"/>
                <w:bCs w:val="0"/>
                <w:color w:val="auto"/>
                <w:sz w:val="36"/>
                <w:szCs w:val="36"/>
                <w:highlight w:val="none"/>
                <w:vertAlign w:val="baseline"/>
              </w:rPr>
            </w:pPr>
            <w:r>
              <w:rPr>
                <w:rFonts w:hint="eastAsia" w:ascii="仿宋" w:hAnsi="仿宋" w:eastAsia="仿宋" w:cs="仿宋"/>
                <w:i w:val="0"/>
                <w:iCs w:val="0"/>
                <w:caps w:val="0"/>
                <w:color w:val="auto"/>
                <w:spacing w:val="0"/>
                <w:sz w:val="24"/>
                <w:szCs w:val="24"/>
                <w:highlight w:val="none"/>
                <w:u w:val="single"/>
                <w:lang w:val="en-US" w:eastAsia="zh-CN"/>
              </w:rPr>
              <w:t>教育系统2025-2026学年大宗食材采购项目（食材包二）</w:t>
            </w:r>
            <w:r>
              <w:rPr>
                <w:rFonts w:hint="eastAsia" w:ascii="仿宋" w:hAnsi="仿宋" w:eastAsia="仿宋" w:cs="仿宋"/>
                <w:i w:val="0"/>
                <w:iCs w:val="0"/>
                <w:caps w:val="0"/>
                <w:color w:val="auto"/>
                <w:spacing w:val="0"/>
                <w:sz w:val="24"/>
                <w:szCs w:val="24"/>
                <w:highlight w:val="none"/>
              </w:rPr>
              <w:t>的潜在投标人应在政采云平台线上获取招标文件</w:t>
            </w:r>
            <w:r>
              <w:rPr>
                <w:rFonts w:hint="eastAsia" w:ascii="仿宋" w:hAnsi="仿宋" w:eastAsia="仿宋" w:cs="仿宋"/>
                <w:i w:val="0"/>
                <w:iCs w:val="0"/>
                <w:caps w:val="0"/>
                <w:color w:val="auto"/>
                <w:spacing w:val="0"/>
                <w:sz w:val="24"/>
                <w:szCs w:val="24"/>
                <w:highlight w:val="none"/>
                <w:lang w:eastAsia="zh-CN"/>
              </w:rPr>
              <w:t>，</w:t>
            </w:r>
            <w:r>
              <w:rPr>
                <w:rFonts w:hint="eastAsia" w:ascii="仿宋" w:hAnsi="仿宋" w:eastAsia="仿宋" w:cs="仿宋"/>
                <w:b w:val="0"/>
                <w:bCs w:val="0"/>
                <w:i w:val="0"/>
                <w:iCs w:val="0"/>
                <w:caps w:val="0"/>
                <w:color w:val="auto"/>
                <w:spacing w:val="0"/>
                <w:sz w:val="24"/>
                <w:szCs w:val="24"/>
                <w:highlight w:val="none"/>
              </w:rPr>
              <w:t>并于</w:t>
            </w:r>
            <w:r>
              <w:rPr>
                <w:rFonts w:hint="eastAsia" w:ascii="仿宋" w:hAnsi="仿宋" w:eastAsia="仿宋" w:cs="仿宋"/>
                <w:b w:val="0"/>
                <w:bCs w:val="0"/>
                <w:i w:val="0"/>
                <w:iCs w:val="0"/>
                <w:caps w:val="0"/>
                <w:color w:val="auto"/>
                <w:spacing w:val="0"/>
                <w:sz w:val="24"/>
                <w:szCs w:val="24"/>
                <w:highlight w:val="none"/>
                <w:u w:val="single"/>
              </w:rPr>
              <w:t>202</w:t>
            </w:r>
            <w:r>
              <w:rPr>
                <w:rFonts w:hint="eastAsia" w:ascii="仿宋" w:hAnsi="仿宋" w:eastAsia="仿宋" w:cs="仿宋"/>
                <w:b w:val="0"/>
                <w:bCs w:val="0"/>
                <w:i w:val="0"/>
                <w:iCs w:val="0"/>
                <w:caps w:val="0"/>
                <w:color w:val="auto"/>
                <w:spacing w:val="0"/>
                <w:sz w:val="24"/>
                <w:szCs w:val="24"/>
                <w:highlight w:val="none"/>
                <w:u w:val="single"/>
                <w:lang w:val="en-US" w:eastAsia="zh-CN"/>
              </w:rPr>
              <w:t>5</w:t>
            </w:r>
            <w:r>
              <w:rPr>
                <w:rFonts w:hint="eastAsia" w:ascii="仿宋" w:hAnsi="仿宋" w:eastAsia="仿宋" w:cs="仿宋"/>
                <w:b w:val="0"/>
                <w:bCs w:val="0"/>
                <w:i w:val="0"/>
                <w:iCs w:val="0"/>
                <w:caps w:val="0"/>
                <w:color w:val="auto"/>
                <w:spacing w:val="0"/>
                <w:sz w:val="24"/>
                <w:szCs w:val="24"/>
                <w:highlight w:val="none"/>
                <w:u w:val="single"/>
              </w:rPr>
              <w:t>年</w:t>
            </w:r>
            <w:r>
              <w:rPr>
                <w:rFonts w:hint="eastAsia" w:ascii="仿宋" w:hAnsi="仿宋" w:eastAsia="仿宋" w:cs="仿宋"/>
                <w:b w:val="0"/>
                <w:bCs w:val="0"/>
                <w:i w:val="0"/>
                <w:iCs w:val="0"/>
                <w:caps w:val="0"/>
                <w:color w:val="auto"/>
                <w:spacing w:val="0"/>
                <w:sz w:val="24"/>
                <w:szCs w:val="24"/>
                <w:highlight w:val="none"/>
                <w:u w:val="single"/>
                <w:lang w:val="en-US" w:eastAsia="zh-CN"/>
              </w:rPr>
              <w:t xml:space="preserve"> 7 </w:t>
            </w:r>
            <w:r>
              <w:rPr>
                <w:rFonts w:hint="eastAsia" w:ascii="仿宋" w:hAnsi="仿宋" w:eastAsia="仿宋" w:cs="仿宋"/>
                <w:b w:val="0"/>
                <w:bCs w:val="0"/>
                <w:i w:val="0"/>
                <w:iCs w:val="0"/>
                <w:caps w:val="0"/>
                <w:color w:val="auto"/>
                <w:spacing w:val="0"/>
                <w:sz w:val="24"/>
                <w:szCs w:val="24"/>
                <w:highlight w:val="none"/>
                <w:u w:val="single"/>
              </w:rPr>
              <w:t>月</w:t>
            </w:r>
            <w:r>
              <w:rPr>
                <w:rFonts w:hint="eastAsia" w:ascii="仿宋" w:hAnsi="仿宋" w:eastAsia="仿宋" w:cs="仿宋"/>
                <w:b w:val="0"/>
                <w:bCs w:val="0"/>
                <w:i w:val="0"/>
                <w:iCs w:val="0"/>
                <w:caps w:val="0"/>
                <w:color w:val="auto"/>
                <w:spacing w:val="0"/>
                <w:sz w:val="24"/>
                <w:szCs w:val="24"/>
                <w:highlight w:val="none"/>
                <w:u w:val="single"/>
                <w:lang w:val="en-US" w:eastAsia="zh-CN"/>
              </w:rPr>
              <w:t>29</w:t>
            </w:r>
            <w:r>
              <w:rPr>
                <w:rFonts w:hint="eastAsia" w:ascii="仿宋" w:hAnsi="仿宋" w:eastAsia="仿宋" w:cs="仿宋"/>
                <w:b w:val="0"/>
                <w:bCs w:val="0"/>
                <w:i w:val="0"/>
                <w:iCs w:val="0"/>
                <w:caps w:val="0"/>
                <w:color w:val="auto"/>
                <w:spacing w:val="0"/>
                <w:sz w:val="24"/>
                <w:szCs w:val="24"/>
                <w:highlight w:val="none"/>
                <w:u w:val="single"/>
              </w:rPr>
              <w:t>日</w:t>
            </w:r>
            <w:r>
              <w:rPr>
                <w:rFonts w:hint="eastAsia" w:ascii="仿宋" w:hAnsi="仿宋" w:eastAsia="仿宋" w:cs="仿宋"/>
                <w:b w:val="0"/>
                <w:bCs w:val="0"/>
                <w:i w:val="0"/>
                <w:iCs w:val="0"/>
                <w:caps w:val="0"/>
                <w:color w:val="auto"/>
                <w:spacing w:val="0"/>
                <w:sz w:val="24"/>
                <w:szCs w:val="24"/>
                <w:highlight w:val="none"/>
                <w:u w:val="single"/>
                <w:lang w:val="en-US" w:eastAsia="zh-CN"/>
              </w:rPr>
              <w:t>13</w:t>
            </w:r>
            <w:r>
              <w:rPr>
                <w:rFonts w:hint="eastAsia" w:ascii="仿宋" w:hAnsi="仿宋" w:eastAsia="仿宋" w:cs="仿宋"/>
                <w:b w:val="0"/>
                <w:bCs w:val="0"/>
                <w:i w:val="0"/>
                <w:iCs w:val="0"/>
                <w:caps w:val="0"/>
                <w:color w:val="auto"/>
                <w:spacing w:val="0"/>
                <w:sz w:val="24"/>
                <w:szCs w:val="24"/>
                <w:highlight w:val="none"/>
                <w:u w:val="single"/>
              </w:rPr>
              <w:t>:</w:t>
            </w:r>
            <w:r>
              <w:rPr>
                <w:rFonts w:hint="eastAsia" w:ascii="仿宋" w:hAnsi="仿宋" w:eastAsia="仿宋" w:cs="仿宋"/>
                <w:b w:val="0"/>
                <w:bCs w:val="0"/>
                <w:i w:val="0"/>
                <w:iCs w:val="0"/>
                <w:caps w:val="0"/>
                <w:color w:val="auto"/>
                <w:spacing w:val="0"/>
                <w:sz w:val="24"/>
                <w:szCs w:val="24"/>
                <w:highlight w:val="none"/>
                <w:u w:val="single"/>
                <w:lang w:val="en-US" w:eastAsia="zh-CN"/>
              </w:rPr>
              <w:t>0</w:t>
            </w:r>
            <w:r>
              <w:rPr>
                <w:rFonts w:hint="eastAsia" w:ascii="仿宋" w:hAnsi="仿宋" w:eastAsia="仿宋" w:cs="仿宋"/>
                <w:b w:val="0"/>
                <w:bCs w:val="0"/>
                <w:i w:val="0"/>
                <w:iCs w:val="0"/>
                <w:caps w:val="0"/>
                <w:color w:val="auto"/>
                <w:spacing w:val="0"/>
                <w:sz w:val="24"/>
                <w:szCs w:val="24"/>
                <w:highlight w:val="none"/>
                <w:u w:val="single"/>
              </w:rPr>
              <w:t>0</w:t>
            </w:r>
            <w:r>
              <w:rPr>
                <w:rFonts w:hint="eastAsia" w:ascii="仿宋" w:hAnsi="仿宋" w:eastAsia="仿宋" w:cs="仿宋"/>
                <w:b w:val="0"/>
                <w:bCs w:val="0"/>
                <w:i w:val="0"/>
                <w:iCs w:val="0"/>
                <w:caps w:val="0"/>
                <w:color w:val="auto"/>
                <w:spacing w:val="0"/>
                <w:sz w:val="24"/>
                <w:szCs w:val="24"/>
                <w:highlight w:val="none"/>
              </w:rPr>
              <w:t>（北京</w:t>
            </w:r>
            <w:r>
              <w:rPr>
                <w:rFonts w:hint="eastAsia" w:ascii="仿宋" w:hAnsi="仿宋" w:eastAsia="仿宋" w:cs="仿宋"/>
                <w:b w:val="0"/>
                <w:bCs w:val="0"/>
                <w:i w:val="0"/>
                <w:iCs w:val="0"/>
                <w:caps w:val="0"/>
                <w:color w:val="auto"/>
                <w:spacing w:val="0"/>
                <w:sz w:val="24"/>
                <w:szCs w:val="24"/>
                <w:highlight w:val="none"/>
              </w:rPr>
              <w:t>时间）前递交投标文件。</w:t>
            </w:r>
          </w:p>
        </w:tc>
      </w:tr>
    </w:tbl>
    <w:p w14:paraId="55823EA6">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highlight w:val="none"/>
        </w:rPr>
      </w:pPr>
      <w:r>
        <w:rPr>
          <w:rFonts w:hint="eastAsia" w:ascii="仿宋" w:hAnsi="仿宋" w:eastAsia="仿宋" w:cs="仿宋"/>
          <w:b/>
          <w:bCs/>
          <w:i w:val="0"/>
          <w:iCs w:val="0"/>
          <w:caps w:val="0"/>
          <w:color w:val="auto"/>
          <w:spacing w:val="0"/>
          <w:sz w:val="24"/>
          <w:szCs w:val="24"/>
          <w:highlight w:val="none"/>
        </w:rPr>
        <w:t>一、项目基本情况</w:t>
      </w:r>
    </w:p>
    <w:p w14:paraId="1628312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default" w:ascii="仿宋" w:hAnsi="仿宋" w:eastAsia="仿宋" w:cs="仿宋"/>
          <w:b w:val="0"/>
          <w:bCs w:val="0"/>
          <w:i w:val="0"/>
          <w:iCs w:val="0"/>
          <w:caps w:val="0"/>
          <w:color w:val="auto"/>
          <w:spacing w:val="0"/>
          <w:sz w:val="24"/>
          <w:szCs w:val="24"/>
          <w:highlight w:val="none"/>
          <w:lang w:val="en-US" w:eastAsia="zh-CN"/>
        </w:rPr>
      </w:pPr>
      <w:r>
        <w:rPr>
          <w:rFonts w:hint="eastAsia" w:ascii="仿宋" w:hAnsi="仿宋" w:eastAsia="仿宋" w:cs="仿宋"/>
          <w:b w:val="0"/>
          <w:bCs w:val="0"/>
          <w:i w:val="0"/>
          <w:iCs w:val="0"/>
          <w:caps w:val="0"/>
          <w:color w:val="auto"/>
          <w:spacing w:val="0"/>
          <w:sz w:val="24"/>
          <w:szCs w:val="24"/>
          <w:highlight w:val="none"/>
        </w:rPr>
        <w:t>项目编号：</w:t>
      </w:r>
      <w:r>
        <w:rPr>
          <w:rFonts w:hint="eastAsia" w:ascii="仿宋" w:hAnsi="仿宋" w:eastAsia="仿宋" w:cs="仿宋"/>
          <w:b w:val="0"/>
          <w:bCs w:val="0"/>
          <w:i w:val="0"/>
          <w:iCs w:val="0"/>
          <w:caps w:val="0"/>
          <w:color w:val="auto"/>
          <w:spacing w:val="0"/>
          <w:sz w:val="24"/>
          <w:szCs w:val="24"/>
          <w:highlight w:val="none"/>
          <w:lang w:val="en-US" w:eastAsia="zh-CN"/>
        </w:rPr>
        <w:t>ALTZFCG2025-028</w:t>
      </w:r>
    </w:p>
    <w:p w14:paraId="3A09BE4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w w:val="90"/>
          <w:sz w:val="24"/>
          <w:szCs w:val="24"/>
          <w:highlight w:val="none"/>
          <w:lang w:val="en-US" w:eastAsia="zh-CN"/>
        </w:rPr>
      </w:pPr>
      <w:r>
        <w:rPr>
          <w:rFonts w:hint="eastAsia" w:ascii="仿宋" w:hAnsi="仿宋" w:eastAsia="仿宋" w:cs="仿宋"/>
          <w:b w:val="0"/>
          <w:bCs w:val="0"/>
          <w:i w:val="0"/>
          <w:iCs w:val="0"/>
          <w:caps w:val="0"/>
          <w:color w:val="auto"/>
          <w:spacing w:val="0"/>
          <w:sz w:val="24"/>
          <w:szCs w:val="24"/>
          <w:highlight w:val="none"/>
        </w:rPr>
        <w:t>项目名称：</w:t>
      </w:r>
      <w:r>
        <w:rPr>
          <w:rFonts w:hint="eastAsia" w:ascii="仿宋" w:hAnsi="仿宋" w:eastAsia="仿宋" w:cs="仿宋"/>
          <w:b w:val="0"/>
          <w:bCs w:val="0"/>
          <w:i w:val="0"/>
          <w:iCs w:val="0"/>
          <w:caps w:val="0"/>
          <w:color w:val="auto"/>
          <w:spacing w:val="0"/>
          <w:sz w:val="24"/>
          <w:szCs w:val="24"/>
          <w:highlight w:val="none"/>
          <w:lang w:val="en-US" w:eastAsia="zh-CN"/>
        </w:rPr>
        <w:t>教育系统2025-2026学年大宗食材采购项目（食材包二）</w:t>
      </w:r>
    </w:p>
    <w:p w14:paraId="36CDB653">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rPr>
      </w:pPr>
      <w:r>
        <w:rPr>
          <w:rFonts w:hint="eastAsia" w:ascii="仿宋" w:hAnsi="仿宋" w:eastAsia="仿宋" w:cs="仿宋"/>
          <w:b w:val="0"/>
          <w:bCs w:val="0"/>
          <w:i w:val="0"/>
          <w:iCs w:val="0"/>
          <w:caps w:val="0"/>
          <w:color w:val="auto"/>
          <w:spacing w:val="0"/>
          <w:sz w:val="24"/>
          <w:szCs w:val="24"/>
          <w:highlight w:val="none"/>
        </w:rPr>
        <w:t>采购方式：公开招标</w:t>
      </w:r>
    </w:p>
    <w:p w14:paraId="257333F4">
      <w:pPr>
        <w:pStyle w:val="19"/>
        <w:keepNext w:val="0"/>
        <w:keepLines w:val="0"/>
        <w:pageBreakBefore w:val="0"/>
        <w:widowControl/>
        <w:suppressLineNumbers w:val="0"/>
        <w:tabs>
          <w:tab w:val="left" w:pos="7250"/>
        </w:tabs>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lang w:val="en-US" w:eastAsia="zh-CN"/>
        </w:rPr>
      </w:pPr>
      <w:r>
        <w:rPr>
          <w:rFonts w:hint="eastAsia" w:ascii="仿宋" w:hAnsi="仿宋" w:eastAsia="仿宋" w:cs="仿宋"/>
          <w:b w:val="0"/>
          <w:bCs w:val="0"/>
          <w:i w:val="0"/>
          <w:iCs w:val="0"/>
          <w:caps w:val="0"/>
          <w:color w:val="auto"/>
          <w:spacing w:val="0"/>
          <w:sz w:val="24"/>
          <w:szCs w:val="24"/>
          <w:highlight w:val="none"/>
        </w:rPr>
        <w:t>预算金额（元）：</w:t>
      </w:r>
      <w:r>
        <w:rPr>
          <w:rFonts w:hint="eastAsia" w:ascii="仿宋" w:hAnsi="仿宋" w:eastAsia="仿宋" w:cs="仿宋"/>
          <w:b w:val="0"/>
          <w:bCs w:val="0"/>
          <w:i w:val="0"/>
          <w:iCs w:val="0"/>
          <w:caps w:val="0"/>
          <w:color w:val="auto"/>
          <w:spacing w:val="0"/>
          <w:sz w:val="24"/>
          <w:szCs w:val="24"/>
          <w:highlight w:val="none"/>
          <w:lang w:val="en-US" w:eastAsia="zh-CN"/>
        </w:rPr>
        <w:t>1元</w:t>
      </w:r>
      <w:r>
        <w:rPr>
          <w:rFonts w:hint="eastAsia" w:ascii="仿宋" w:hAnsi="仿宋" w:eastAsia="仿宋" w:cs="仿宋"/>
          <w:b w:val="0"/>
          <w:bCs w:val="0"/>
          <w:i w:val="0"/>
          <w:iCs w:val="0"/>
          <w:caps w:val="0"/>
          <w:color w:val="auto"/>
          <w:spacing w:val="0"/>
          <w:sz w:val="24"/>
          <w:szCs w:val="24"/>
          <w:highlight w:val="none"/>
          <w:lang w:val="en-US" w:eastAsia="zh-CN"/>
        </w:rPr>
        <w:tab/>
      </w:r>
    </w:p>
    <w:p w14:paraId="79664CA0">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rPr>
      </w:pPr>
      <w:r>
        <w:rPr>
          <w:rFonts w:hint="eastAsia" w:ascii="仿宋" w:hAnsi="仿宋" w:eastAsia="仿宋" w:cs="仿宋"/>
          <w:b w:val="0"/>
          <w:bCs w:val="0"/>
          <w:i w:val="0"/>
          <w:iCs w:val="0"/>
          <w:caps w:val="0"/>
          <w:color w:val="auto"/>
          <w:spacing w:val="0"/>
          <w:sz w:val="24"/>
          <w:szCs w:val="24"/>
          <w:highlight w:val="none"/>
        </w:rPr>
        <w:t>最高限价（元）：</w:t>
      </w:r>
    </w:p>
    <w:p w14:paraId="22ED279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rPr>
      </w:pPr>
      <w:r>
        <w:rPr>
          <w:rFonts w:hint="eastAsia" w:ascii="仿宋" w:hAnsi="仿宋" w:eastAsia="仿宋" w:cs="仿宋"/>
          <w:b w:val="0"/>
          <w:bCs w:val="0"/>
          <w:i w:val="0"/>
          <w:iCs w:val="0"/>
          <w:caps w:val="0"/>
          <w:color w:val="auto"/>
          <w:spacing w:val="0"/>
          <w:sz w:val="24"/>
          <w:szCs w:val="24"/>
          <w:highlight w:val="none"/>
        </w:rPr>
        <w:t>采购需求：</w:t>
      </w:r>
    </w:p>
    <w:p w14:paraId="4DB6DB0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lang w:eastAsia="zh-CN"/>
        </w:rPr>
      </w:pPr>
      <w:r>
        <w:rPr>
          <w:rFonts w:hint="eastAsia" w:ascii="仿宋" w:hAnsi="仿宋" w:eastAsia="仿宋" w:cs="仿宋"/>
          <w:b w:val="0"/>
          <w:bCs w:val="0"/>
          <w:i w:val="0"/>
          <w:iCs w:val="0"/>
          <w:caps w:val="0"/>
          <w:color w:val="auto"/>
          <w:spacing w:val="0"/>
          <w:sz w:val="24"/>
          <w:szCs w:val="24"/>
          <w:highlight w:val="none"/>
          <w:lang w:eastAsia="zh-CN"/>
        </w:rPr>
        <w:t>标项一</w:t>
      </w:r>
    </w:p>
    <w:p w14:paraId="0C68D658">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default" w:ascii="仿宋" w:hAnsi="仿宋" w:eastAsia="仿宋" w:cs="仿宋"/>
          <w:b w:val="0"/>
          <w:bCs w:val="0"/>
          <w:i w:val="0"/>
          <w:iCs w:val="0"/>
          <w:caps w:val="0"/>
          <w:color w:val="auto"/>
          <w:spacing w:val="0"/>
          <w:sz w:val="24"/>
          <w:szCs w:val="24"/>
          <w:highlight w:val="none"/>
          <w:lang w:val="en-US" w:eastAsia="zh-CN"/>
        </w:rPr>
      </w:pPr>
      <w:r>
        <w:rPr>
          <w:rFonts w:hint="eastAsia" w:ascii="仿宋" w:hAnsi="仿宋" w:eastAsia="仿宋" w:cs="仿宋"/>
          <w:b w:val="0"/>
          <w:bCs w:val="0"/>
          <w:i w:val="0"/>
          <w:iCs w:val="0"/>
          <w:caps w:val="0"/>
          <w:color w:val="auto"/>
          <w:spacing w:val="0"/>
          <w:sz w:val="24"/>
          <w:szCs w:val="24"/>
          <w:highlight w:val="none"/>
          <w:lang w:eastAsia="zh-CN"/>
        </w:rPr>
        <w:t>标项名称:</w:t>
      </w:r>
      <w:r>
        <w:rPr>
          <w:rFonts w:hint="eastAsia" w:ascii="仿宋" w:hAnsi="仿宋" w:eastAsia="仿宋" w:cs="仿宋"/>
          <w:b w:val="0"/>
          <w:bCs w:val="0"/>
          <w:i w:val="0"/>
          <w:iCs w:val="0"/>
          <w:caps w:val="0"/>
          <w:color w:val="auto"/>
          <w:spacing w:val="0"/>
          <w:sz w:val="24"/>
          <w:szCs w:val="24"/>
          <w:highlight w:val="none"/>
          <w:lang w:val="en-US" w:eastAsia="zh-CN"/>
        </w:rPr>
        <w:t>教育系统2025-2026学年大宗食材采购项目（食材包二）</w:t>
      </w:r>
    </w:p>
    <w:p w14:paraId="53F6524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lang w:val="en-US" w:eastAsia="zh-CN"/>
        </w:rPr>
      </w:pPr>
      <w:r>
        <w:rPr>
          <w:rFonts w:hint="eastAsia" w:ascii="仿宋" w:hAnsi="仿宋" w:eastAsia="仿宋" w:cs="仿宋"/>
          <w:b w:val="0"/>
          <w:bCs w:val="0"/>
          <w:i w:val="0"/>
          <w:iCs w:val="0"/>
          <w:caps w:val="0"/>
          <w:color w:val="auto"/>
          <w:spacing w:val="0"/>
          <w:sz w:val="24"/>
          <w:szCs w:val="24"/>
          <w:highlight w:val="none"/>
          <w:lang w:eastAsia="zh-CN"/>
        </w:rPr>
        <w:t>数量:</w:t>
      </w:r>
      <w:r>
        <w:rPr>
          <w:rFonts w:hint="eastAsia" w:ascii="仿宋" w:hAnsi="仿宋" w:eastAsia="仿宋" w:cs="仿宋"/>
          <w:b w:val="0"/>
          <w:bCs w:val="0"/>
          <w:i w:val="0"/>
          <w:iCs w:val="0"/>
          <w:caps w:val="0"/>
          <w:color w:val="auto"/>
          <w:spacing w:val="0"/>
          <w:sz w:val="24"/>
          <w:szCs w:val="24"/>
          <w:highlight w:val="none"/>
          <w:lang w:val="en-US" w:eastAsia="zh-CN"/>
        </w:rPr>
        <w:t>1批</w:t>
      </w:r>
    </w:p>
    <w:p w14:paraId="06E27BFE">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default" w:ascii="仿宋" w:hAnsi="仿宋" w:eastAsia="仿宋" w:cs="仿宋"/>
          <w:b w:val="0"/>
          <w:bCs w:val="0"/>
          <w:i w:val="0"/>
          <w:iCs w:val="0"/>
          <w:caps w:val="0"/>
          <w:color w:val="auto"/>
          <w:spacing w:val="0"/>
          <w:sz w:val="24"/>
          <w:szCs w:val="24"/>
          <w:highlight w:val="none"/>
          <w:lang w:val="en-US" w:eastAsia="zh-CN"/>
        </w:rPr>
      </w:pPr>
      <w:r>
        <w:rPr>
          <w:rFonts w:hint="eastAsia" w:ascii="仿宋" w:hAnsi="仿宋" w:eastAsia="仿宋" w:cs="仿宋"/>
          <w:b w:val="0"/>
          <w:bCs w:val="0"/>
          <w:i w:val="0"/>
          <w:iCs w:val="0"/>
          <w:caps w:val="0"/>
          <w:color w:val="auto"/>
          <w:spacing w:val="0"/>
          <w:sz w:val="24"/>
          <w:szCs w:val="24"/>
          <w:highlight w:val="none"/>
          <w:lang w:eastAsia="zh-CN"/>
        </w:rPr>
        <w:t>预算金额（元）：</w:t>
      </w:r>
      <w:r>
        <w:rPr>
          <w:rFonts w:hint="eastAsia" w:ascii="仿宋" w:hAnsi="仿宋" w:eastAsia="仿宋" w:cs="仿宋"/>
          <w:b w:val="0"/>
          <w:bCs w:val="0"/>
          <w:i w:val="0"/>
          <w:iCs w:val="0"/>
          <w:caps w:val="0"/>
          <w:color w:val="auto"/>
          <w:spacing w:val="0"/>
          <w:sz w:val="24"/>
          <w:szCs w:val="24"/>
          <w:highlight w:val="none"/>
          <w:lang w:val="en-US" w:eastAsia="zh-CN"/>
        </w:rPr>
        <w:t>1元</w:t>
      </w:r>
    </w:p>
    <w:p w14:paraId="03BF17ED">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lang w:val="en-US" w:eastAsia="zh-CN"/>
        </w:rPr>
      </w:pPr>
      <w:r>
        <w:rPr>
          <w:rFonts w:hint="eastAsia" w:ascii="仿宋" w:hAnsi="仿宋" w:eastAsia="仿宋" w:cs="仿宋"/>
          <w:b w:val="0"/>
          <w:bCs w:val="0"/>
          <w:i w:val="0"/>
          <w:iCs w:val="0"/>
          <w:caps w:val="0"/>
          <w:color w:val="auto"/>
          <w:spacing w:val="0"/>
          <w:sz w:val="24"/>
          <w:szCs w:val="24"/>
          <w:highlight w:val="none"/>
          <w:lang w:eastAsia="zh-CN"/>
        </w:rPr>
        <w:t>简要规格描述或项目基本概况介绍、用途：</w:t>
      </w:r>
      <w:r>
        <w:rPr>
          <w:rFonts w:hint="eastAsia" w:ascii="仿宋" w:hAnsi="仿宋" w:eastAsia="仿宋" w:cs="仿宋"/>
          <w:b w:val="0"/>
          <w:bCs w:val="0"/>
          <w:i w:val="0"/>
          <w:iCs w:val="0"/>
          <w:caps w:val="0"/>
          <w:color w:val="auto"/>
          <w:spacing w:val="0"/>
          <w:sz w:val="24"/>
          <w:szCs w:val="24"/>
          <w:highlight w:val="none"/>
          <w:lang w:val="en-US" w:eastAsia="zh-CN"/>
        </w:rPr>
        <w:t>采购大宗食材包括牛肉、羊肉等。</w:t>
      </w:r>
      <w:r>
        <w:rPr>
          <w:rFonts w:hint="eastAsia" w:ascii="仿宋" w:hAnsi="仿宋" w:eastAsia="仿宋" w:cs="仿宋"/>
          <w:b w:val="0"/>
          <w:bCs w:val="0"/>
          <w:i w:val="0"/>
          <w:iCs w:val="0"/>
          <w:caps w:val="0"/>
          <w:color w:val="auto"/>
          <w:spacing w:val="0"/>
          <w:sz w:val="24"/>
          <w:szCs w:val="24"/>
          <w:highlight w:val="none"/>
          <w:lang w:eastAsia="zh-CN"/>
        </w:rPr>
        <w:t>（参数详见附表）</w:t>
      </w:r>
      <w:r>
        <w:rPr>
          <w:rFonts w:hint="eastAsia" w:ascii="仿宋" w:hAnsi="仿宋" w:eastAsia="仿宋" w:cs="仿宋"/>
          <w:b w:val="0"/>
          <w:bCs w:val="0"/>
          <w:i w:val="0"/>
          <w:iCs w:val="0"/>
          <w:caps w:val="0"/>
          <w:color w:val="auto"/>
          <w:spacing w:val="0"/>
          <w:sz w:val="24"/>
          <w:szCs w:val="24"/>
          <w:highlight w:val="none"/>
          <w:lang w:val="en-US" w:eastAsia="zh-CN"/>
        </w:rPr>
        <w:t>。</w:t>
      </w:r>
    </w:p>
    <w:p w14:paraId="5721AF26">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lang w:eastAsia="zh-CN"/>
        </w:rPr>
      </w:pPr>
      <w:r>
        <w:rPr>
          <w:rFonts w:hint="eastAsia" w:ascii="仿宋" w:hAnsi="仿宋" w:eastAsia="仿宋" w:cs="仿宋"/>
          <w:b w:val="0"/>
          <w:bCs w:val="0"/>
          <w:i w:val="0"/>
          <w:iCs w:val="0"/>
          <w:caps w:val="0"/>
          <w:color w:val="auto"/>
          <w:spacing w:val="0"/>
          <w:sz w:val="24"/>
          <w:szCs w:val="24"/>
          <w:highlight w:val="none"/>
          <w:lang w:eastAsia="zh-CN"/>
        </w:rPr>
        <w:t>合同履约期限：详见招标文件</w:t>
      </w:r>
    </w:p>
    <w:p w14:paraId="63A50DE8">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val="0"/>
          <w:bCs w:val="0"/>
          <w:i w:val="0"/>
          <w:iCs w:val="0"/>
          <w:caps w:val="0"/>
          <w:color w:val="auto"/>
          <w:spacing w:val="0"/>
          <w:sz w:val="24"/>
          <w:szCs w:val="24"/>
          <w:highlight w:val="none"/>
          <w:lang w:eastAsia="zh-CN"/>
        </w:rPr>
      </w:pPr>
      <w:r>
        <w:rPr>
          <w:rFonts w:hint="eastAsia" w:ascii="仿宋" w:hAnsi="仿宋" w:eastAsia="仿宋" w:cs="仿宋"/>
          <w:b w:val="0"/>
          <w:bCs w:val="0"/>
          <w:i w:val="0"/>
          <w:iCs w:val="0"/>
          <w:caps w:val="0"/>
          <w:color w:val="auto"/>
          <w:spacing w:val="0"/>
          <w:sz w:val="24"/>
          <w:szCs w:val="24"/>
          <w:highlight w:val="none"/>
          <w:lang w:eastAsia="zh-CN"/>
        </w:rPr>
        <w:t>本项目不接受联合体投标。</w:t>
      </w:r>
    </w:p>
    <w:p w14:paraId="3122E02D">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highlight w:val="none"/>
        </w:rPr>
      </w:pPr>
      <w:r>
        <w:rPr>
          <w:rFonts w:hint="eastAsia" w:ascii="仿宋" w:hAnsi="仿宋" w:eastAsia="仿宋" w:cs="仿宋"/>
          <w:b/>
          <w:bCs/>
          <w:i w:val="0"/>
          <w:iCs w:val="0"/>
          <w:caps w:val="0"/>
          <w:color w:val="auto"/>
          <w:spacing w:val="0"/>
          <w:sz w:val="24"/>
          <w:szCs w:val="24"/>
          <w:highlight w:val="none"/>
        </w:rPr>
        <w:t>二、申请人的资格要求：</w:t>
      </w:r>
    </w:p>
    <w:p w14:paraId="7FD29AA8">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b w:val="0"/>
          <w:bCs w:val="0"/>
          <w:i w:val="0"/>
          <w:iCs w:val="0"/>
          <w:caps w:val="0"/>
          <w:color w:val="auto"/>
          <w:spacing w:val="0"/>
          <w:sz w:val="24"/>
          <w:szCs w:val="24"/>
          <w:highlight w:val="none"/>
        </w:rPr>
      </w:pPr>
      <w:r>
        <w:rPr>
          <w:rFonts w:hint="eastAsia" w:ascii="仿宋" w:hAnsi="仿宋" w:eastAsia="仿宋" w:cs="仿宋"/>
          <w:b w:val="0"/>
          <w:bCs w:val="0"/>
          <w:i w:val="0"/>
          <w:iCs w:val="0"/>
          <w:caps w:val="0"/>
          <w:color w:val="auto"/>
          <w:spacing w:val="0"/>
          <w:sz w:val="24"/>
          <w:szCs w:val="24"/>
          <w:highlight w:val="none"/>
        </w:rPr>
        <w:t>1.满足《中华人民共和国政府采购法》第二十二条规定；</w:t>
      </w:r>
    </w:p>
    <w:p w14:paraId="1A84414A">
      <w:pPr>
        <w:keepNext w:val="0"/>
        <w:keepLines w:val="0"/>
        <w:pageBreakBefore w:val="0"/>
        <w:kinsoku/>
        <w:wordWrap/>
        <w:overflowPunct/>
        <w:topLinePunct w:val="0"/>
        <w:autoSpaceDE/>
        <w:autoSpaceDN/>
        <w:bidi w:val="0"/>
        <w:spacing w:line="360" w:lineRule="exact"/>
        <w:ind w:firstLine="480" w:firstLineChars="200"/>
        <w:rPr>
          <w:rFonts w:hint="eastAsia" w:ascii="仿宋" w:hAnsi="仿宋" w:eastAsia="仿宋" w:cs="仿宋"/>
          <w:b w:val="0"/>
          <w:bCs w:val="0"/>
          <w:i w:val="0"/>
          <w:iCs w:val="0"/>
          <w:caps w:val="0"/>
          <w:color w:val="auto"/>
          <w:spacing w:val="0"/>
          <w:sz w:val="24"/>
          <w:szCs w:val="24"/>
          <w:highlight w:val="none"/>
          <w:lang w:eastAsia="zh-CN"/>
        </w:rPr>
      </w:pPr>
      <w:r>
        <w:rPr>
          <w:rFonts w:hint="eastAsia" w:ascii="仿宋" w:hAnsi="仿宋" w:eastAsia="仿宋" w:cs="仿宋"/>
          <w:b w:val="0"/>
          <w:bCs w:val="0"/>
          <w:i w:val="0"/>
          <w:iCs w:val="0"/>
          <w:caps w:val="0"/>
          <w:color w:val="auto"/>
          <w:spacing w:val="0"/>
          <w:sz w:val="24"/>
          <w:szCs w:val="24"/>
          <w:highlight w:val="none"/>
        </w:rPr>
        <w:t>2.落实政府采购政策需满足的资格要求：</w:t>
      </w:r>
      <w:r>
        <w:rPr>
          <w:rFonts w:hint="eastAsia" w:ascii="仿宋" w:hAnsi="仿宋" w:eastAsia="仿宋" w:cs="仿宋"/>
          <w:b w:val="0"/>
          <w:bCs w:val="0"/>
          <w:i w:val="0"/>
          <w:iCs w:val="0"/>
          <w:caps w:val="0"/>
          <w:color w:val="auto"/>
          <w:spacing w:val="0"/>
          <w:sz w:val="24"/>
          <w:szCs w:val="24"/>
          <w:highlight w:val="none"/>
          <w:lang w:val="en-US" w:eastAsia="zh-CN"/>
        </w:rPr>
        <w:t>该项目不专门面向</w:t>
      </w:r>
      <w:r>
        <w:rPr>
          <w:rFonts w:hint="eastAsia" w:ascii="仿宋" w:hAnsi="仿宋" w:eastAsia="仿宋" w:cs="仿宋"/>
          <w:b w:val="0"/>
          <w:bCs w:val="0"/>
          <w:i w:val="0"/>
          <w:iCs w:val="0"/>
          <w:caps w:val="0"/>
          <w:color w:val="auto"/>
          <w:spacing w:val="0"/>
          <w:sz w:val="24"/>
          <w:szCs w:val="24"/>
          <w:highlight w:val="none"/>
        </w:rPr>
        <w:t>中小企业</w:t>
      </w:r>
      <w:r>
        <w:rPr>
          <w:rFonts w:hint="eastAsia" w:ascii="仿宋" w:hAnsi="仿宋" w:eastAsia="仿宋" w:cs="仿宋"/>
          <w:b w:val="0"/>
          <w:bCs w:val="0"/>
          <w:i w:val="0"/>
          <w:iCs w:val="0"/>
          <w:caps w:val="0"/>
          <w:color w:val="auto"/>
          <w:spacing w:val="0"/>
          <w:sz w:val="24"/>
          <w:szCs w:val="24"/>
          <w:highlight w:val="none"/>
          <w:lang w:eastAsia="zh-CN"/>
        </w:rPr>
        <w:t>。</w:t>
      </w:r>
    </w:p>
    <w:p w14:paraId="7EA97BA1">
      <w:pPr>
        <w:pStyle w:val="33"/>
        <w:keepNext w:val="0"/>
        <w:keepLines w:val="0"/>
        <w:pageBreakBefore w:val="0"/>
        <w:kinsoku/>
        <w:wordWrap/>
        <w:overflowPunct/>
        <w:topLinePunct w:val="0"/>
        <w:autoSpaceDE/>
        <w:autoSpaceDN/>
        <w:bidi w:val="0"/>
        <w:spacing w:line="360" w:lineRule="exact"/>
        <w:ind w:left="0" w:leftChars="0" w:firstLine="480" w:firstLineChars="200"/>
        <w:rPr>
          <w:rFonts w:hint="eastAsia" w:ascii="仿宋" w:hAnsi="仿宋" w:eastAsia="仿宋" w:cs="仿宋"/>
          <w:b w:val="0"/>
          <w:bCs w:val="0"/>
          <w:i w:val="0"/>
          <w:iCs w:val="0"/>
          <w:caps w:val="0"/>
          <w:color w:val="auto"/>
          <w:spacing w:val="0"/>
          <w:sz w:val="24"/>
          <w:szCs w:val="24"/>
          <w:highlight w:val="none"/>
        </w:rPr>
      </w:pPr>
      <w:r>
        <w:rPr>
          <w:rFonts w:hint="eastAsia" w:ascii="仿宋" w:hAnsi="仿宋" w:eastAsia="仿宋" w:cs="仿宋"/>
          <w:b w:val="0"/>
          <w:bCs w:val="0"/>
          <w:i w:val="0"/>
          <w:iCs w:val="0"/>
          <w:caps w:val="0"/>
          <w:color w:val="auto"/>
          <w:spacing w:val="0"/>
          <w:sz w:val="24"/>
          <w:szCs w:val="24"/>
          <w:highlight w:val="none"/>
        </w:rPr>
        <w:t xml:space="preserve">3.本项目的特定资格要求：经销商须提供《食品经营许可证》或向市场监管部门提交备案的资料；厂家须提供《食品生产许可证》或向市场监管部门提交备案的资料 ； </w:t>
      </w:r>
    </w:p>
    <w:p w14:paraId="37F75773">
      <w:pPr>
        <w:pStyle w:val="33"/>
        <w:keepNext w:val="0"/>
        <w:keepLines w:val="0"/>
        <w:pageBreakBefore w:val="0"/>
        <w:kinsoku/>
        <w:wordWrap/>
        <w:overflowPunct/>
        <w:topLinePunct w:val="0"/>
        <w:autoSpaceDE/>
        <w:autoSpaceDN/>
        <w:bidi w:val="0"/>
        <w:spacing w:line="360" w:lineRule="exact"/>
        <w:ind w:left="0" w:leftChars="0" w:firstLine="482" w:firstLineChars="200"/>
        <w:rPr>
          <w:rFonts w:hint="eastAsia" w:ascii="仿宋" w:hAnsi="仿宋" w:eastAsia="仿宋" w:cs="仿宋"/>
          <w:b/>
          <w:bCs/>
          <w:i w:val="0"/>
          <w:iCs w:val="0"/>
          <w:caps w:val="0"/>
          <w:color w:val="auto"/>
          <w:spacing w:val="0"/>
          <w:sz w:val="24"/>
          <w:szCs w:val="24"/>
          <w:highlight w:val="none"/>
        </w:rPr>
      </w:pPr>
      <w:r>
        <w:rPr>
          <w:rFonts w:hint="eastAsia" w:ascii="仿宋" w:hAnsi="仿宋" w:eastAsia="仿宋" w:cs="仿宋"/>
          <w:b/>
          <w:bCs/>
          <w:i w:val="0"/>
          <w:iCs w:val="0"/>
          <w:caps w:val="0"/>
          <w:color w:val="auto"/>
          <w:spacing w:val="0"/>
          <w:sz w:val="24"/>
          <w:szCs w:val="24"/>
          <w:highlight w:val="none"/>
        </w:rPr>
        <w:t>三、获取招标文件</w:t>
      </w:r>
    </w:p>
    <w:p w14:paraId="29BC756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1、时间：</w:t>
      </w:r>
      <w:r>
        <w:rPr>
          <w:rFonts w:hint="eastAsia" w:ascii="仿宋" w:hAnsi="仿宋" w:eastAsia="仿宋" w:cs="仿宋"/>
          <w:color w:val="auto"/>
          <w:sz w:val="24"/>
          <w:szCs w:val="24"/>
          <w:highlight w:val="none"/>
          <w:u w:val="single"/>
          <w:lang w:eastAsia="zh-CN"/>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lang w:eastAsia="zh-CN"/>
        </w:rPr>
        <w:t>年</w:t>
      </w:r>
      <w:r>
        <w:rPr>
          <w:rFonts w:hint="eastAsia" w:ascii="仿宋" w:hAnsi="仿宋" w:eastAsia="仿宋" w:cs="仿宋"/>
          <w:color w:val="auto"/>
          <w:sz w:val="24"/>
          <w:szCs w:val="24"/>
          <w:highlight w:val="none"/>
          <w:u w:val="single"/>
          <w:lang w:val="en-US" w:eastAsia="zh-CN"/>
        </w:rPr>
        <w:t xml:space="preserve"> 7</w:t>
      </w:r>
      <w:r>
        <w:rPr>
          <w:rFonts w:hint="eastAsia" w:ascii="仿宋" w:hAnsi="仿宋" w:eastAsia="仿宋" w:cs="仿宋"/>
          <w:color w:val="auto"/>
          <w:sz w:val="24"/>
          <w:szCs w:val="24"/>
          <w:highlight w:val="none"/>
          <w:u w:val="single"/>
          <w:lang w:eastAsia="zh-CN"/>
        </w:rPr>
        <w:t>月</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lang w:eastAsia="zh-CN"/>
        </w:rPr>
        <w:t>日至</w:t>
      </w:r>
      <w:r>
        <w:rPr>
          <w:rFonts w:hint="eastAsia" w:ascii="仿宋" w:hAnsi="仿宋" w:eastAsia="仿宋" w:cs="仿宋"/>
          <w:color w:val="auto"/>
          <w:sz w:val="24"/>
          <w:szCs w:val="24"/>
          <w:highlight w:val="none"/>
          <w:u w:val="single"/>
          <w:lang w:eastAsia="zh-CN"/>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lang w:eastAsia="zh-CN"/>
        </w:rPr>
        <w:t>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lang w:eastAsia="zh-CN"/>
        </w:rPr>
        <w:t>月</w:t>
      </w:r>
      <w:r>
        <w:rPr>
          <w:rFonts w:hint="eastAsia" w:ascii="仿宋" w:hAnsi="仿宋" w:eastAsia="仿宋" w:cs="仿宋"/>
          <w:color w:val="auto"/>
          <w:sz w:val="24"/>
          <w:szCs w:val="24"/>
          <w:highlight w:val="none"/>
          <w:u w:val="single"/>
          <w:lang w:val="en-US" w:eastAsia="zh-CN"/>
        </w:rPr>
        <w:t xml:space="preserve"> 14</w:t>
      </w:r>
      <w:r>
        <w:rPr>
          <w:rFonts w:hint="eastAsia" w:ascii="仿宋" w:hAnsi="仿宋" w:eastAsia="仿宋" w:cs="仿宋"/>
          <w:color w:val="auto"/>
          <w:sz w:val="24"/>
          <w:szCs w:val="24"/>
          <w:highlight w:val="none"/>
          <w:u w:val="single"/>
          <w:lang w:eastAsia="zh-CN"/>
        </w:rPr>
        <w:t>日</w:t>
      </w:r>
      <w:r>
        <w:rPr>
          <w:rFonts w:hint="eastAsia" w:ascii="仿宋" w:hAnsi="仿宋" w:eastAsia="仿宋" w:cs="仿宋"/>
          <w:color w:val="auto"/>
          <w:sz w:val="24"/>
          <w:szCs w:val="24"/>
          <w:highlight w:val="none"/>
          <w:lang w:eastAsia="zh-CN"/>
        </w:rPr>
        <w:t>，每天上午10:00至</w:t>
      </w: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eastAsia="zh-CN"/>
        </w:rPr>
        <w:t>0，下午16:</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eastAsia="zh-CN"/>
        </w:rPr>
        <w:t>0至</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lang w:eastAsia="zh-CN"/>
        </w:rPr>
        <w:t>（北京时间，节假日除外）</w:t>
      </w:r>
    </w:p>
    <w:p w14:paraId="3C7B7B3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2、地点：政采云平台线上</w:t>
      </w:r>
    </w:p>
    <w:p w14:paraId="2E8BF29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3、方式：供应商登录政采云平台https://www.zcygov.cn/在线申请获取采购文件（进入“项目采购”应用，在获取采购文件菜单中选择项目，申请获取采购文件）</w:t>
      </w:r>
    </w:p>
    <w:p w14:paraId="084AD94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4、售价（元）：0</w:t>
      </w:r>
    </w:p>
    <w:p w14:paraId="7376A710">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四、提交投标文件截止时间、开标时间和地点</w:t>
      </w:r>
    </w:p>
    <w:p w14:paraId="7FD41140">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截止时间</w:t>
      </w:r>
      <w:r>
        <w:rPr>
          <w:rFonts w:hint="eastAsia" w:ascii="仿宋" w:hAnsi="仿宋" w:eastAsia="仿宋" w:cs="仿宋"/>
          <w:color w:val="auto"/>
          <w:kern w:val="2"/>
          <w:sz w:val="24"/>
          <w:szCs w:val="24"/>
          <w:highlight w:val="none"/>
          <w:lang w:eastAsia="zh-CN" w:bidi="ar-SA"/>
        </w:rPr>
        <w:t>：</w:t>
      </w:r>
      <w:r>
        <w:rPr>
          <w:rFonts w:hint="eastAsia" w:ascii="仿宋" w:hAnsi="仿宋" w:eastAsia="仿宋" w:cs="仿宋"/>
          <w:color w:val="auto"/>
          <w:kern w:val="2"/>
          <w:sz w:val="24"/>
          <w:szCs w:val="24"/>
          <w:highlight w:val="none"/>
          <w:u w:val="single"/>
          <w:lang w:eastAsia="zh-CN" w:bidi="ar-SA"/>
        </w:rPr>
        <w:t>202</w:t>
      </w:r>
      <w:r>
        <w:rPr>
          <w:rFonts w:hint="eastAsia" w:ascii="仿宋" w:hAnsi="仿宋" w:eastAsia="仿宋" w:cs="仿宋"/>
          <w:color w:val="auto"/>
          <w:kern w:val="2"/>
          <w:sz w:val="24"/>
          <w:szCs w:val="24"/>
          <w:highlight w:val="none"/>
          <w:u w:val="single"/>
          <w:lang w:val="en-US" w:eastAsia="zh-CN" w:bidi="ar-SA"/>
        </w:rPr>
        <w:t>5</w:t>
      </w:r>
      <w:r>
        <w:rPr>
          <w:rFonts w:hint="eastAsia" w:ascii="仿宋" w:hAnsi="仿宋" w:eastAsia="仿宋" w:cs="仿宋"/>
          <w:color w:val="auto"/>
          <w:kern w:val="2"/>
          <w:sz w:val="24"/>
          <w:szCs w:val="24"/>
          <w:highlight w:val="none"/>
          <w:u w:val="single"/>
          <w:lang w:eastAsia="zh-CN" w:bidi="ar-SA"/>
        </w:rPr>
        <w:t>年</w:t>
      </w:r>
      <w:r>
        <w:rPr>
          <w:rFonts w:hint="eastAsia" w:ascii="仿宋" w:hAnsi="仿宋" w:eastAsia="仿宋" w:cs="仿宋"/>
          <w:color w:val="auto"/>
          <w:kern w:val="2"/>
          <w:sz w:val="24"/>
          <w:szCs w:val="24"/>
          <w:highlight w:val="none"/>
          <w:u w:val="single"/>
          <w:lang w:val="en-US" w:eastAsia="zh-CN" w:bidi="ar-SA"/>
        </w:rPr>
        <w:t xml:space="preserve"> 7 </w:t>
      </w:r>
      <w:r>
        <w:rPr>
          <w:rFonts w:hint="eastAsia" w:ascii="仿宋" w:hAnsi="仿宋" w:eastAsia="仿宋" w:cs="仿宋"/>
          <w:color w:val="auto"/>
          <w:kern w:val="2"/>
          <w:sz w:val="24"/>
          <w:szCs w:val="24"/>
          <w:highlight w:val="none"/>
          <w:u w:val="single"/>
          <w:lang w:eastAsia="zh-CN" w:bidi="ar-SA"/>
        </w:rPr>
        <w:t>月</w:t>
      </w:r>
      <w:r>
        <w:rPr>
          <w:rFonts w:hint="eastAsia" w:ascii="仿宋" w:hAnsi="仿宋" w:eastAsia="仿宋" w:cs="仿宋"/>
          <w:color w:val="auto"/>
          <w:kern w:val="2"/>
          <w:sz w:val="24"/>
          <w:szCs w:val="24"/>
          <w:highlight w:val="none"/>
          <w:u w:val="single"/>
          <w:lang w:val="en-US" w:eastAsia="zh-CN" w:bidi="ar-SA"/>
        </w:rPr>
        <w:t>29</w:t>
      </w:r>
      <w:r>
        <w:rPr>
          <w:rFonts w:hint="eastAsia" w:ascii="仿宋" w:hAnsi="仿宋" w:eastAsia="仿宋" w:cs="仿宋"/>
          <w:color w:val="auto"/>
          <w:kern w:val="2"/>
          <w:sz w:val="24"/>
          <w:szCs w:val="24"/>
          <w:highlight w:val="none"/>
          <w:u w:val="single"/>
          <w:lang w:eastAsia="zh-CN" w:bidi="ar-SA"/>
        </w:rPr>
        <w:t xml:space="preserve">日 </w:t>
      </w:r>
      <w:r>
        <w:rPr>
          <w:rFonts w:hint="eastAsia" w:ascii="仿宋" w:hAnsi="仿宋" w:eastAsia="仿宋" w:cs="仿宋"/>
          <w:color w:val="auto"/>
          <w:kern w:val="2"/>
          <w:sz w:val="24"/>
          <w:szCs w:val="24"/>
          <w:highlight w:val="none"/>
          <w:u w:val="single"/>
          <w:lang w:val="en-US" w:eastAsia="zh-CN" w:bidi="ar-SA"/>
        </w:rPr>
        <w:t>13</w:t>
      </w:r>
      <w:r>
        <w:rPr>
          <w:rFonts w:hint="eastAsia" w:ascii="仿宋" w:hAnsi="仿宋" w:eastAsia="仿宋" w:cs="仿宋"/>
          <w:color w:val="auto"/>
          <w:kern w:val="2"/>
          <w:sz w:val="24"/>
          <w:szCs w:val="24"/>
          <w:highlight w:val="none"/>
          <w:u w:val="single"/>
          <w:lang w:eastAsia="zh-CN" w:bidi="ar-SA"/>
        </w:rPr>
        <w:t>：</w:t>
      </w:r>
      <w:r>
        <w:rPr>
          <w:rFonts w:hint="eastAsia" w:ascii="仿宋" w:hAnsi="仿宋" w:eastAsia="仿宋" w:cs="仿宋"/>
          <w:color w:val="auto"/>
          <w:kern w:val="2"/>
          <w:sz w:val="24"/>
          <w:szCs w:val="24"/>
          <w:highlight w:val="none"/>
          <w:u w:val="single"/>
          <w:lang w:val="en-US" w:eastAsia="zh-CN" w:bidi="ar-SA"/>
        </w:rPr>
        <w:t>00</w:t>
      </w:r>
      <w:r>
        <w:rPr>
          <w:rFonts w:hint="eastAsia" w:ascii="仿宋" w:hAnsi="仿宋" w:eastAsia="仿宋" w:cs="仿宋"/>
          <w:color w:val="auto"/>
          <w:kern w:val="2"/>
          <w:sz w:val="24"/>
          <w:szCs w:val="24"/>
          <w:highlight w:val="none"/>
          <w:u w:val="single"/>
          <w:lang w:eastAsia="zh-CN" w:bidi="ar-SA"/>
        </w:rPr>
        <w:t xml:space="preserve"> </w:t>
      </w:r>
      <w:r>
        <w:rPr>
          <w:rFonts w:hint="eastAsia" w:ascii="仿宋" w:hAnsi="仿宋" w:eastAsia="仿宋" w:cs="仿宋"/>
          <w:color w:val="auto"/>
          <w:kern w:val="2"/>
          <w:sz w:val="24"/>
          <w:szCs w:val="24"/>
          <w:highlight w:val="none"/>
          <w:lang w:eastAsia="zh-CN" w:bidi="ar-SA"/>
        </w:rPr>
        <w:t>（北</w:t>
      </w:r>
      <w:r>
        <w:rPr>
          <w:rFonts w:hint="eastAsia" w:ascii="仿宋" w:hAnsi="仿宋" w:eastAsia="仿宋" w:cs="仿宋"/>
          <w:color w:val="auto"/>
          <w:kern w:val="2"/>
          <w:sz w:val="24"/>
          <w:szCs w:val="24"/>
          <w:highlight w:val="none"/>
          <w:lang w:eastAsia="zh-CN" w:bidi="ar-SA"/>
        </w:rPr>
        <w:t>京时间）</w:t>
      </w:r>
    </w:p>
    <w:p w14:paraId="249B8AC6">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投标地点：政府采购云平台（www.zcygov.cn）供应商应于递交投标文件截止时间之前将电子投标文件上传到“政采云”平台。</w:t>
      </w:r>
    </w:p>
    <w:p w14:paraId="0D6AB13A">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开标时间：</w:t>
      </w:r>
      <w:r>
        <w:rPr>
          <w:rFonts w:hint="eastAsia" w:ascii="仿宋" w:hAnsi="仿宋" w:eastAsia="仿宋" w:cs="仿宋"/>
          <w:color w:val="auto"/>
          <w:kern w:val="2"/>
          <w:sz w:val="24"/>
          <w:szCs w:val="24"/>
          <w:highlight w:val="none"/>
          <w:u w:val="single"/>
          <w:lang w:eastAsia="zh-CN" w:bidi="ar-SA"/>
        </w:rPr>
        <w:t>202</w:t>
      </w:r>
      <w:r>
        <w:rPr>
          <w:rFonts w:hint="eastAsia" w:ascii="仿宋" w:hAnsi="仿宋" w:eastAsia="仿宋" w:cs="仿宋"/>
          <w:color w:val="auto"/>
          <w:kern w:val="2"/>
          <w:sz w:val="24"/>
          <w:szCs w:val="24"/>
          <w:highlight w:val="none"/>
          <w:u w:val="single"/>
          <w:lang w:val="en-US" w:eastAsia="zh-CN" w:bidi="ar-SA"/>
        </w:rPr>
        <w:t>5</w:t>
      </w:r>
      <w:r>
        <w:rPr>
          <w:rFonts w:hint="eastAsia" w:ascii="仿宋" w:hAnsi="仿宋" w:eastAsia="仿宋" w:cs="仿宋"/>
          <w:color w:val="auto"/>
          <w:kern w:val="2"/>
          <w:sz w:val="24"/>
          <w:szCs w:val="24"/>
          <w:highlight w:val="none"/>
          <w:u w:val="single"/>
          <w:lang w:eastAsia="zh-CN" w:bidi="ar-SA"/>
        </w:rPr>
        <w:t>年</w:t>
      </w:r>
      <w:r>
        <w:rPr>
          <w:rFonts w:hint="eastAsia" w:ascii="仿宋" w:hAnsi="仿宋" w:eastAsia="仿宋" w:cs="仿宋"/>
          <w:color w:val="auto"/>
          <w:kern w:val="2"/>
          <w:sz w:val="24"/>
          <w:szCs w:val="24"/>
          <w:highlight w:val="none"/>
          <w:u w:val="single"/>
          <w:lang w:val="en-US" w:eastAsia="zh-CN" w:bidi="ar-SA"/>
        </w:rPr>
        <w:t>7</w:t>
      </w:r>
      <w:r>
        <w:rPr>
          <w:rFonts w:hint="eastAsia" w:ascii="仿宋" w:hAnsi="仿宋" w:eastAsia="仿宋" w:cs="仿宋"/>
          <w:color w:val="auto"/>
          <w:kern w:val="2"/>
          <w:sz w:val="24"/>
          <w:szCs w:val="24"/>
          <w:highlight w:val="none"/>
          <w:u w:val="single"/>
          <w:lang w:eastAsia="zh-CN" w:bidi="ar-SA"/>
        </w:rPr>
        <w:t>月</w:t>
      </w:r>
      <w:r>
        <w:rPr>
          <w:rFonts w:hint="eastAsia" w:ascii="仿宋" w:hAnsi="仿宋" w:eastAsia="仿宋" w:cs="仿宋"/>
          <w:color w:val="auto"/>
          <w:kern w:val="2"/>
          <w:sz w:val="24"/>
          <w:szCs w:val="24"/>
          <w:highlight w:val="none"/>
          <w:u w:val="single"/>
          <w:lang w:val="en-US" w:eastAsia="zh-CN" w:bidi="ar-SA"/>
        </w:rPr>
        <w:t xml:space="preserve"> 29</w:t>
      </w:r>
      <w:r>
        <w:rPr>
          <w:rFonts w:hint="eastAsia" w:ascii="仿宋" w:hAnsi="仿宋" w:eastAsia="仿宋" w:cs="仿宋"/>
          <w:color w:val="auto"/>
          <w:kern w:val="2"/>
          <w:sz w:val="24"/>
          <w:szCs w:val="24"/>
          <w:highlight w:val="none"/>
          <w:u w:val="single"/>
          <w:lang w:eastAsia="zh-CN" w:bidi="ar-SA"/>
        </w:rPr>
        <w:t xml:space="preserve">日 </w:t>
      </w:r>
      <w:r>
        <w:rPr>
          <w:rFonts w:hint="eastAsia" w:ascii="仿宋" w:hAnsi="仿宋" w:eastAsia="仿宋" w:cs="仿宋"/>
          <w:color w:val="auto"/>
          <w:kern w:val="2"/>
          <w:sz w:val="24"/>
          <w:szCs w:val="24"/>
          <w:highlight w:val="none"/>
          <w:u w:val="single"/>
          <w:lang w:val="en-US" w:eastAsia="zh-CN" w:bidi="ar-SA"/>
        </w:rPr>
        <w:t>13</w:t>
      </w:r>
      <w:r>
        <w:rPr>
          <w:rFonts w:hint="eastAsia" w:ascii="仿宋" w:hAnsi="仿宋" w:eastAsia="仿宋" w:cs="仿宋"/>
          <w:color w:val="auto"/>
          <w:kern w:val="2"/>
          <w:sz w:val="24"/>
          <w:szCs w:val="24"/>
          <w:highlight w:val="none"/>
          <w:u w:val="single"/>
          <w:lang w:eastAsia="zh-CN" w:bidi="ar-SA"/>
        </w:rPr>
        <w:t>：</w:t>
      </w:r>
      <w:r>
        <w:rPr>
          <w:rFonts w:hint="eastAsia" w:ascii="仿宋" w:hAnsi="仿宋" w:eastAsia="仿宋" w:cs="仿宋"/>
          <w:color w:val="auto"/>
          <w:kern w:val="2"/>
          <w:sz w:val="24"/>
          <w:szCs w:val="24"/>
          <w:highlight w:val="none"/>
          <w:u w:val="single"/>
          <w:lang w:val="en-US" w:eastAsia="zh-CN" w:bidi="ar-SA"/>
        </w:rPr>
        <w:t>00</w:t>
      </w:r>
      <w:r>
        <w:rPr>
          <w:rFonts w:hint="eastAsia" w:ascii="仿宋" w:hAnsi="仿宋" w:eastAsia="仿宋" w:cs="仿宋"/>
          <w:color w:val="auto"/>
          <w:kern w:val="2"/>
          <w:sz w:val="24"/>
          <w:szCs w:val="24"/>
          <w:highlight w:val="none"/>
          <w:lang w:eastAsia="zh-CN" w:bidi="ar-SA"/>
        </w:rPr>
        <w:t>（北京时间）</w:t>
      </w:r>
    </w:p>
    <w:p w14:paraId="30CD5F0F">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开标地点：投标人登录政采云平台https://www.zcygov.cn/，进入“项目采购-开标评标-右边选择对应项目点击“进入项目”进入开标大厅。</w:t>
      </w:r>
    </w:p>
    <w:p w14:paraId="71F9082E">
      <w:pPr>
        <w:keepNext w:val="0"/>
        <w:keepLines w:val="0"/>
        <w:pageBreakBefore w:val="0"/>
        <w:kinsoku/>
        <w:wordWrap/>
        <w:overflowPunct/>
        <w:topLinePunct w:val="0"/>
        <w:autoSpaceDE/>
        <w:autoSpaceDN/>
        <w:bidi w:val="0"/>
        <w:adjustRightInd/>
        <w:snapToGrid/>
        <w:spacing w:line="360" w:lineRule="exact"/>
        <w:textAlignment w:val="auto"/>
        <w:rPr>
          <w:rFonts w:ascii="仿宋" w:hAnsi="仿宋" w:eastAsia="仿宋" w:cs="仿宋"/>
          <w:b/>
          <w:bCs/>
          <w:color w:val="auto"/>
          <w:kern w:val="2"/>
          <w:sz w:val="24"/>
          <w:szCs w:val="24"/>
          <w:highlight w:val="none"/>
          <w:lang w:eastAsia="zh-CN" w:bidi="ar-SA"/>
        </w:rPr>
      </w:pPr>
      <w:r>
        <w:rPr>
          <w:rFonts w:hint="eastAsia" w:ascii="仿宋" w:hAnsi="仿宋" w:eastAsia="仿宋" w:cs="仿宋"/>
          <w:b/>
          <w:bCs/>
          <w:color w:val="auto"/>
          <w:kern w:val="2"/>
          <w:sz w:val="24"/>
          <w:szCs w:val="24"/>
          <w:highlight w:val="none"/>
          <w:lang w:eastAsia="zh-CN" w:bidi="ar-SA"/>
        </w:rPr>
        <w:t>五、公告期限</w:t>
      </w:r>
    </w:p>
    <w:p w14:paraId="5A70B3E7">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自本公告发布之日起5个工作日</w:t>
      </w:r>
    </w:p>
    <w:p w14:paraId="169BF266">
      <w:pPr>
        <w:keepNext w:val="0"/>
        <w:keepLines w:val="0"/>
        <w:pageBreakBefore w:val="0"/>
        <w:numPr>
          <w:ilvl w:val="0"/>
          <w:numId w:val="3"/>
        </w:numPr>
        <w:kinsoku/>
        <w:wordWrap/>
        <w:overflowPunct/>
        <w:topLinePunct w:val="0"/>
        <w:autoSpaceDE/>
        <w:autoSpaceDN/>
        <w:bidi w:val="0"/>
        <w:adjustRightInd/>
        <w:snapToGrid/>
        <w:spacing w:line="360" w:lineRule="exact"/>
        <w:textAlignment w:val="auto"/>
        <w:rPr>
          <w:rFonts w:hint="eastAsia" w:ascii="仿宋" w:hAnsi="仿宋" w:eastAsia="仿宋" w:cs="仿宋"/>
          <w:b w:val="0"/>
          <w:bCs w:val="0"/>
          <w:i w:val="0"/>
          <w:iCs w:val="0"/>
          <w:caps w:val="0"/>
          <w:color w:val="auto"/>
          <w:spacing w:val="0"/>
          <w:sz w:val="24"/>
          <w:szCs w:val="24"/>
          <w:highlight w:val="none"/>
          <w:lang w:eastAsia="zh-CN"/>
        </w:rPr>
      </w:pPr>
      <w:r>
        <w:rPr>
          <w:rFonts w:hint="eastAsia" w:ascii="仿宋" w:hAnsi="仿宋" w:eastAsia="仿宋" w:cs="仿宋"/>
          <w:b/>
          <w:bCs/>
          <w:color w:val="auto"/>
          <w:kern w:val="2"/>
          <w:sz w:val="24"/>
          <w:szCs w:val="24"/>
          <w:highlight w:val="none"/>
          <w:lang w:eastAsia="zh-CN" w:bidi="ar-SA"/>
        </w:rPr>
        <w:t>其他补充事宜：</w:t>
      </w:r>
      <w:r>
        <w:rPr>
          <w:rFonts w:hint="eastAsia" w:ascii="仿宋" w:hAnsi="仿宋" w:eastAsia="仿宋" w:cs="仿宋"/>
          <w:b w:val="0"/>
          <w:bCs w:val="0"/>
          <w:i w:val="0"/>
          <w:iCs w:val="0"/>
          <w:caps w:val="0"/>
          <w:color w:val="auto"/>
          <w:spacing w:val="0"/>
          <w:sz w:val="24"/>
          <w:szCs w:val="24"/>
          <w:highlight w:val="none"/>
          <w:lang w:eastAsia="zh-CN"/>
        </w:rPr>
        <w:t>无</w:t>
      </w:r>
    </w:p>
    <w:p w14:paraId="438A9BE0">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特别提示：</w:t>
      </w:r>
    </w:p>
    <w:p w14:paraId="1EFB67F1">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1、采购限额标准以上，200万元以下的货物和服务采购项目、400万元以下的工程采购项目，适宜由中小企业提供的，采购人应当专门面向中小企业采购。</w:t>
      </w:r>
    </w:p>
    <w:p w14:paraId="777368A4">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2、超过200万元的货物和服务采购项目，预留该部分采购项目预算总额的30%以上专门面向中小企业采购，其中预留给小微企业的比例不低于60%。</w:t>
      </w:r>
    </w:p>
    <w:p w14:paraId="7F027BA5">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3、超过400万元的工程采购项目中适宜由中小企业提供的，预留该部分采购项目预算总额的40%以上专门面向中小企业采购，其中预留给小微企业的比例不低于60%。</w:t>
      </w:r>
    </w:p>
    <w:p w14:paraId="32FD550F">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9023BF7">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kern w:val="2"/>
          <w:sz w:val="24"/>
          <w:szCs w:val="24"/>
          <w:highlight w:val="none"/>
          <w:lang w:eastAsia="zh-CN" w:bidi="ar-SA"/>
        </w:rPr>
      </w:pPr>
      <w:r>
        <w:rPr>
          <w:rFonts w:hint="eastAsia" w:ascii="仿宋" w:hAnsi="仿宋" w:eastAsia="仿宋" w:cs="仿宋"/>
          <w:color w:val="auto"/>
          <w:kern w:val="2"/>
          <w:sz w:val="24"/>
          <w:szCs w:val="24"/>
          <w:highlight w:val="none"/>
          <w:lang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5798D77">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jc w:val="left"/>
        <w:textAlignment w:val="auto"/>
        <w:rPr>
          <w:rFonts w:hint="eastAsia" w:ascii="仿宋" w:hAnsi="仿宋" w:eastAsia="仿宋" w:cs="仿宋"/>
          <w:b/>
          <w:bCs/>
          <w:i w:val="0"/>
          <w:iCs w:val="0"/>
          <w:caps w:val="0"/>
          <w:color w:val="auto"/>
          <w:spacing w:val="0"/>
          <w:sz w:val="24"/>
          <w:szCs w:val="24"/>
          <w:highlight w:val="none"/>
        </w:rPr>
      </w:pPr>
      <w:r>
        <w:rPr>
          <w:rFonts w:hint="eastAsia" w:ascii="仿宋" w:hAnsi="仿宋" w:eastAsia="仿宋" w:cs="仿宋"/>
          <w:b/>
          <w:bCs/>
          <w:i w:val="0"/>
          <w:iCs w:val="0"/>
          <w:caps w:val="0"/>
          <w:color w:val="auto"/>
          <w:spacing w:val="0"/>
          <w:sz w:val="24"/>
          <w:szCs w:val="24"/>
          <w:highlight w:val="none"/>
        </w:rPr>
        <w:t>七、对本次采购提出询问，请按以下方式联系</w:t>
      </w:r>
    </w:p>
    <w:p w14:paraId="1624A26D">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1.采购人信息</w:t>
      </w:r>
    </w:p>
    <w:p w14:paraId="0DB911D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名 称：</w:t>
      </w:r>
      <w:r>
        <w:rPr>
          <w:rFonts w:hint="eastAsia" w:ascii="仿宋" w:hAnsi="仿宋" w:eastAsia="仿宋" w:cs="仿宋"/>
          <w:i w:val="0"/>
          <w:iCs w:val="0"/>
          <w:caps w:val="0"/>
          <w:color w:val="auto"/>
          <w:spacing w:val="0"/>
          <w:sz w:val="24"/>
          <w:szCs w:val="24"/>
          <w:highlight w:val="none"/>
          <w:lang w:eastAsia="zh-CN"/>
        </w:rPr>
        <w:t>青河县教育局</w:t>
      </w:r>
    </w:p>
    <w:p w14:paraId="3F318C7D">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地 址：</w:t>
      </w:r>
      <w:r>
        <w:rPr>
          <w:rFonts w:hint="eastAsia" w:ascii="仿宋" w:hAnsi="仿宋" w:eastAsia="仿宋" w:cs="仿宋"/>
          <w:i w:val="0"/>
          <w:iCs w:val="0"/>
          <w:caps w:val="0"/>
          <w:color w:val="auto"/>
          <w:spacing w:val="0"/>
          <w:sz w:val="24"/>
          <w:szCs w:val="24"/>
          <w:highlight w:val="none"/>
          <w:lang w:eastAsia="zh-CN"/>
        </w:rPr>
        <w:t>青河县</w:t>
      </w:r>
    </w:p>
    <w:p w14:paraId="21106821">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联系方式：</w:t>
      </w:r>
      <w:r>
        <w:rPr>
          <w:rFonts w:hint="eastAsia" w:ascii="仿宋" w:hAnsi="仿宋" w:eastAsia="仿宋" w:cs="仿宋"/>
          <w:i w:val="0"/>
          <w:iCs w:val="0"/>
          <w:caps w:val="0"/>
          <w:color w:val="auto"/>
          <w:spacing w:val="0"/>
          <w:sz w:val="24"/>
          <w:szCs w:val="24"/>
          <w:highlight w:val="none"/>
          <w:lang w:val="en-US" w:eastAsia="zh-CN"/>
        </w:rPr>
        <w:t>15022829331</w:t>
      </w:r>
    </w:p>
    <w:p w14:paraId="25D82AC9">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val="en-US" w:eastAsia="zh-CN"/>
        </w:rPr>
        <w:t>2.采购代理机构信息</w:t>
      </w:r>
    </w:p>
    <w:p w14:paraId="1075DC3F">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highlight w:val="none"/>
          <w:lang w:eastAsia="zh-CN"/>
        </w:rPr>
        <w:t>名称：新疆天壹中山工程咨询有限公司</w:t>
      </w:r>
    </w:p>
    <w:p w14:paraId="03792DFC">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highlight w:val="none"/>
          <w:lang w:eastAsia="zh-CN"/>
        </w:rPr>
        <w:t>地址：阿勒泰市团结路2区润德茗苑1栋四层6号</w:t>
      </w:r>
    </w:p>
    <w:p w14:paraId="76C8F088">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lang w:eastAsia="zh-CN"/>
        </w:rPr>
        <w:t>联系人：朱丹丹</w:t>
      </w:r>
    </w:p>
    <w:p w14:paraId="2969B185">
      <w:pPr>
        <w:pStyle w:val="19"/>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right="0" w:firstLine="480" w:firstLineChars="200"/>
        <w:jc w:val="left"/>
        <w:textAlignment w:val="auto"/>
        <w:rPr>
          <w:rStyle w:val="26"/>
          <w:rFonts w:hint="eastAsia" w:ascii="仿宋" w:hAnsi="仿宋" w:eastAsia="仿宋" w:cs="仿宋"/>
          <w:b/>
          <w:bCs w:val="0"/>
          <w:i w:val="0"/>
          <w:iCs w:val="0"/>
          <w:caps w:val="0"/>
          <w:color w:val="auto"/>
          <w:spacing w:val="0"/>
          <w:sz w:val="32"/>
          <w:szCs w:val="32"/>
          <w:highlight w:val="none"/>
        </w:rPr>
      </w:pPr>
      <w:r>
        <w:rPr>
          <w:rFonts w:hint="eastAsia" w:ascii="仿宋" w:hAnsi="仿宋" w:eastAsia="仿宋" w:cs="仿宋"/>
          <w:i w:val="0"/>
          <w:iCs w:val="0"/>
          <w:caps w:val="0"/>
          <w:color w:val="auto"/>
          <w:spacing w:val="0"/>
          <w:sz w:val="24"/>
          <w:szCs w:val="24"/>
          <w:highlight w:val="none"/>
          <w:lang w:eastAsia="zh-CN"/>
        </w:rPr>
        <w:t>联系方式：</w:t>
      </w:r>
      <w:r>
        <w:rPr>
          <w:rFonts w:hint="eastAsia" w:ascii="仿宋" w:hAnsi="仿宋" w:eastAsia="仿宋" w:cs="仿宋"/>
          <w:i w:val="0"/>
          <w:iCs w:val="0"/>
          <w:caps w:val="0"/>
          <w:color w:val="auto"/>
          <w:spacing w:val="0"/>
          <w:sz w:val="24"/>
          <w:szCs w:val="24"/>
          <w:highlight w:val="none"/>
          <w:lang w:val="en-US" w:eastAsia="zh-CN"/>
        </w:rPr>
        <w:t>0906-6286802</w:t>
      </w:r>
    </w:p>
    <w:p w14:paraId="03516ABB">
      <w:pPr>
        <w:numPr>
          <w:ilvl w:val="0"/>
          <w:numId w:val="0"/>
        </w:numPr>
        <w:spacing w:line="360" w:lineRule="auto"/>
        <w:jc w:val="center"/>
        <w:rPr>
          <w:rFonts w:ascii="仿宋" w:hAnsi="仿宋" w:eastAsia="仿宋" w:cs="仿宋"/>
          <w:color w:val="auto"/>
          <w:sz w:val="28"/>
          <w:szCs w:val="28"/>
          <w:highlight w:val="none"/>
        </w:rPr>
      </w:pPr>
      <w:r>
        <w:rPr>
          <w:rFonts w:hint="eastAsia" w:ascii="仿宋" w:hAnsi="仿宋" w:eastAsia="仿宋" w:cs="仿宋"/>
          <w:b/>
          <w:bCs/>
          <w:color w:val="auto"/>
          <w:sz w:val="36"/>
          <w:szCs w:val="36"/>
          <w:highlight w:val="none"/>
          <w:lang w:eastAsia="zh-CN"/>
        </w:rPr>
        <w:t>第二部分</w:t>
      </w: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供应商须知</w:t>
      </w:r>
    </w:p>
    <w:p w14:paraId="41DBA1D5">
      <w:pPr>
        <w:numPr>
          <w:ilvl w:val="0"/>
          <w:numId w:val="0"/>
        </w:numPr>
        <w:spacing w:line="360" w:lineRule="auto"/>
        <w:jc w:val="center"/>
        <w:rPr>
          <w:rFonts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供应商</w:t>
      </w:r>
      <w:r>
        <w:rPr>
          <w:rFonts w:hint="eastAsia" w:ascii="仿宋" w:hAnsi="仿宋" w:eastAsia="仿宋" w:cs="仿宋"/>
          <w:b/>
          <w:bCs/>
          <w:color w:val="auto"/>
          <w:sz w:val="28"/>
          <w:szCs w:val="28"/>
          <w:highlight w:val="none"/>
        </w:rPr>
        <w:t>须知前附表</w:t>
      </w:r>
    </w:p>
    <w:tbl>
      <w:tblPr>
        <w:tblStyle w:val="23"/>
        <w:tblW w:w="9365" w:type="dxa"/>
        <w:jc w:val="center"/>
        <w:tblLayout w:type="fixed"/>
        <w:tblCellMar>
          <w:top w:w="0" w:type="dxa"/>
          <w:left w:w="108" w:type="dxa"/>
          <w:bottom w:w="0" w:type="dxa"/>
          <w:right w:w="108" w:type="dxa"/>
        </w:tblCellMar>
      </w:tblPr>
      <w:tblGrid>
        <w:gridCol w:w="558"/>
        <w:gridCol w:w="1407"/>
        <w:gridCol w:w="7400"/>
      </w:tblGrid>
      <w:tr w14:paraId="25EAC665">
        <w:tblPrEx>
          <w:tblCellMar>
            <w:top w:w="0" w:type="dxa"/>
            <w:left w:w="108" w:type="dxa"/>
            <w:bottom w:w="0" w:type="dxa"/>
            <w:right w:w="108" w:type="dxa"/>
          </w:tblCellMar>
        </w:tblPrEx>
        <w:trPr>
          <w:trHeight w:val="563"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CB9E6CC">
            <w:pPr>
              <w:keepNext w:val="0"/>
              <w:keepLines w:val="0"/>
              <w:pageBreakBefore w:val="0"/>
              <w:widowControl/>
              <w:wordWrap/>
              <w:overflowPunct/>
              <w:topLinePunct w:val="0"/>
              <w:bidi w:val="0"/>
              <w:spacing w:line="320" w:lineRule="exact"/>
              <w:jc w:val="center"/>
              <w:rPr>
                <w:rFonts w:hint="eastAsia" w:ascii="方正仿宋_GBK" w:hAnsi="方正仿宋_GBK" w:eastAsia="方正仿宋_GBK" w:cs="方正仿宋_GBK"/>
                <w:b/>
                <w:color w:val="auto"/>
                <w:sz w:val="24"/>
                <w:szCs w:val="24"/>
                <w:highlight w:val="none"/>
              </w:rPr>
            </w:pPr>
            <w:r>
              <w:rPr>
                <w:rFonts w:hint="eastAsia" w:ascii="方正仿宋_GBK" w:hAnsi="方正仿宋_GBK" w:eastAsia="方正仿宋_GBK" w:cs="方正仿宋_GBK"/>
                <w:b/>
                <w:color w:val="auto"/>
                <w:sz w:val="24"/>
                <w:szCs w:val="24"/>
                <w:highlight w:val="none"/>
              </w:rPr>
              <w:t>序 号</w:t>
            </w:r>
          </w:p>
        </w:tc>
        <w:tc>
          <w:tcPr>
            <w:tcW w:w="1407" w:type="dxa"/>
            <w:tcBorders>
              <w:top w:val="single" w:color="auto" w:sz="4" w:space="0"/>
              <w:left w:val="single" w:color="auto" w:sz="4" w:space="0"/>
              <w:bottom w:val="single" w:color="auto" w:sz="4" w:space="0"/>
              <w:right w:val="single" w:color="auto" w:sz="4" w:space="0"/>
            </w:tcBorders>
            <w:vAlign w:val="center"/>
          </w:tcPr>
          <w:p w14:paraId="2668ECEC">
            <w:pPr>
              <w:keepNext w:val="0"/>
              <w:keepLines w:val="0"/>
              <w:pageBreakBefore w:val="0"/>
              <w:widowControl/>
              <w:wordWrap/>
              <w:overflowPunct/>
              <w:topLinePunct w:val="0"/>
              <w:bidi w:val="0"/>
              <w:spacing w:line="320" w:lineRule="exact"/>
              <w:jc w:val="center"/>
              <w:rPr>
                <w:rFonts w:hint="eastAsia" w:ascii="方正仿宋_GBK" w:hAnsi="方正仿宋_GBK" w:eastAsia="方正仿宋_GBK" w:cs="方正仿宋_GBK"/>
                <w:b/>
                <w:color w:val="auto"/>
                <w:sz w:val="24"/>
                <w:szCs w:val="24"/>
                <w:highlight w:val="none"/>
              </w:rPr>
            </w:pPr>
            <w:r>
              <w:rPr>
                <w:rFonts w:hint="eastAsia" w:ascii="方正仿宋_GBK" w:hAnsi="方正仿宋_GBK" w:eastAsia="方正仿宋_GBK" w:cs="方正仿宋_GBK"/>
                <w:b/>
                <w:color w:val="auto"/>
                <w:sz w:val="24"/>
                <w:szCs w:val="24"/>
                <w:highlight w:val="none"/>
              </w:rPr>
              <w:t>名  称</w:t>
            </w:r>
          </w:p>
        </w:tc>
        <w:tc>
          <w:tcPr>
            <w:tcW w:w="7400" w:type="dxa"/>
            <w:tcBorders>
              <w:top w:val="single" w:color="auto" w:sz="4" w:space="0"/>
              <w:left w:val="single" w:color="auto" w:sz="4" w:space="0"/>
              <w:bottom w:val="single" w:color="auto" w:sz="4" w:space="0"/>
              <w:right w:val="single" w:color="auto" w:sz="4" w:space="0"/>
            </w:tcBorders>
            <w:vAlign w:val="center"/>
          </w:tcPr>
          <w:p w14:paraId="30EB6C64">
            <w:pPr>
              <w:keepNext w:val="0"/>
              <w:keepLines w:val="0"/>
              <w:pageBreakBefore w:val="0"/>
              <w:widowControl/>
              <w:wordWrap/>
              <w:overflowPunct/>
              <w:topLinePunct w:val="0"/>
              <w:bidi w:val="0"/>
              <w:spacing w:line="320" w:lineRule="exact"/>
              <w:jc w:val="center"/>
              <w:rPr>
                <w:rFonts w:hint="eastAsia" w:ascii="方正仿宋_GBK" w:hAnsi="方正仿宋_GBK" w:eastAsia="方正仿宋_GBK" w:cs="方正仿宋_GBK"/>
                <w:b/>
                <w:color w:val="auto"/>
                <w:sz w:val="24"/>
                <w:szCs w:val="24"/>
                <w:highlight w:val="none"/>
              </w:rPr>
            </w:pPr>
            <w:r>
              <w:rPr>
                <w:rFonts w:hint="eastAsia" w:ascii="方正仿宋_GBK" w:hAnsi="方正仿宋_GBK" w:eastAsia="方正仿宋_GBK" w:cs="方正仿宋_GBK"/>
                <w:b/>
                <w:color w:val="auto"/>
                <w:sz w:val="24"/>
                <w:szCs w:val="24"/>
                <w:highlight w:val="none"/>
              </w:rPr>
              <w:t>编  列  内  容</w:t>
            </w:r>
          </w:p>
        </w:tc>
      </w:tr>
      <w:tr w14:paraId="5F4A94BE">
        <w:tblPrEx>
          <w:tblCellMar>
            <w:top w:w="0" w:type="dxa"/>
            <w:left w:w="108" w:type="dxa"/>
            <w:bottom w:w="0" w:type="dxa"/>
            <w:right w:w="108" w:type="dxa"/>
          </w:tblCellMar>
        </w:tblPrEx>
        <w:trPr>
          <w:trHeight w:val="209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446E918">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w:t>
            </w:r>
          </w:p>
        </w:tc>
        <w:tc>
          <w:tcPr>
            <w:tcW w:w="1407" w:type="dxa"/>
            <w:tcBorders>
              <w:top w:val="single" w:color="auto" w:sz="4" w:space="0"/>
              <w:left w:val="single" w:color="auto" w:sz="4" w:space="0"/>
              <w:bottom w:val="single" w:color="auto" w:sz="4" w:space="0"/>
              <w:right w:val="single" w:color="auto" w:sz="4" w:space="0"/>
            </w:tcBorders>
            <w:vAlign w:val="center"/>
          </w:tcPr>
          <w:p w14:paraId="6C5AE34E">
            <w:pPr>
              <w:pStyle w:val="33"/>
              <w:keepNext w:val="0"/>
              <w:keepLines w:val="0"/>
              <w:pageBreakBefore w:val="0"/>
              <w:wordWrap/>
              <w:overflowPunct/>
              <w:topLinePunct w:val="0"/>
              <w:bidi w:val="0"/>
              <w:spacing w:line="320" w:lineRule="exact"/>
              <w:ind w:firstLine="0"/>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项目名称：</w:t>
            </w:r>
          </w:p>
          <w:p w14:paraId="2577198C">
            <w:pPr>
              <w:pStyle w:val="33"/>
              <w:keepNext w:val="0"/>
              <w:keepLines w:val="0"/>
              <w:pageBreakBefore w:val="0"/>
              <w:wordWrap/>
              <w:overflowPunct/>
              <w:topLinePunct w:val="0"/>
              <w:bidi w:val="0"/>
              <w:spacing w:line="320" w:lineRule="exact"/>
              <w:ind w:firstLine="0"/>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项目编号：</w:t>
            </w:r>
          </w:p>
          <w:p w14:paraId="1A974238">
            <w:pPr>
              <w:pStyle w:val="33"/>
              <w:keepNext w:val="0"/>
              <w:keepLines w:val="0"/>
              <w:pageBreakBefore w:val="0"/>
              <w:wordWrap/>
              <w:overflowPunct/>
              <w:topLinePunct w:val="0"/>
              <w:bidi w:val="0"/>
              <w:spacing w:line="320" w:lineRule="exact"/>
              <w:ind w:firstLine="0"/>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采购内容：</w:t>
            </w:r>
          </w:p>
          <w:p w14:paraId="06542BAD">
            <w:pPr>
              <w:pStyle w:val="33"/>
              <w:keepNext w:val="0"/>
              <w:keepLines w:val="0"/>
              <w:pageBreakBefore w:val="0"/>
              <w:wordWrap/>
              <w:overflowPunct/>
              <w:topLinePunct w:val="0"/>
              <w:bidi w:val="0"/>
              <w:spacing w:line="320" w:lineRule="exact"/>
              <w:ind w:firstLine="0"/>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供货期：</w:t>
            </w:r>
          </w:p>
        </w:tc>
        <w:tc>
          <w:tcPr>
            <w:tcW w:w="7400" w:type="dxa"/>
            <w:tcBorders>
              <w:top w:val="single" w:color="auto" w:sz="4" w:space="0"/>
              <w:left w:val="single" w:color="auto" w:sz="4" w:space="0"/>
              <w:bottom w:val="single" w:color="auto" w:sz="4" w:space="0"/>
              <w:right w:val="single" w:color="auto" w:sz="4" w:space="0"/>
            </w:tcBorders>
            <w:vAlign w:val="center"/>
          </w:tcPr>
          <w:p w14:paraId="689DBA14">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项目名称：教育系统2025-2026学年大宗食材采购项目（食材包二）</w:t>
            </w:r>
          </w:p>
          <w:p w14:paraId="4B9AEAC9">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项目编号：ALTZFCG2025-028</w:t>
            </w:r>
          </w:p>
          <w:p w14:paraId="686C7D9F">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采购内容：采购1批牛肉、羊肉食材等（具体详见采购清单）</w:t>
            </w:r>
          </w:p>
          <w:p w14:paraId="62D5C3F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K" w:hAnsi="方正仿宋_GBK" w:eastAsia="方正仿宋_GBK" w:cs="方正仿宋_GBK"/>
                <w:color w:val="auto"/>
                <w:szCs w:val="24"/>
                <w:highlight w:val="none"/>
                <w:lang w:eastAsia="zh-CN"/>
              </w:rPr>
            </w:pPr>
            <w:r>
              <w:rPr>
                <w:rFonts w:hint="eastAsia" w:ascii="方正仿宋_GB2312" w:hAnsi="方正仿宋_GB2312" w:eastAsia="方正仿宋_GB2312" w:cs="方正仿宋_GB2312"/>
                <w:color w:val="auto"/>
                <w:sz w:val="24"/>
                <w:szCs w:val="24"/>
                <w:highlight w:val="none"/>
                <w:lang w:val="en-US" w:eastAsia="zh-CN"/>
              </w:rPr>
              <w:t>交货期</w:t>
            </w:r>
            <w:r>
              <w:rPr>
                <w:rFonts w:hint="eastAsia" w:ascii="方正仿宋_GB2312" w:hAnsi="方正仿宋_GB2312" w:eastAsia="方正仿宋_GB2312" w:cs="方正仿宋_GB2312"/>
                <w:color w:val="auto"/>
                <w:sz w:val="24"/>
                <w:szCs w:val="24"/>
                <w:highlight w:val="none"/>
                <w:lang w:val="en-US" w:eastAsia="zh-CN"/>
              </w:rPr>
              <w:t>：2025年8月-2026年8月1学年(合同履约期间，学生数以实际发生数为准，</w:t>
            </w:r>
            <w:r>
              <w:rPr>
                <w:rFonts w:hint="eastAsia" w:ascii="仿宋_GB2312" w:hAnsi="仿宋_GB2312" w:eastAsia="仿宋_GB2312" w:cs="仿宋_GB2312"/>
                <w:color w:val="auto"/>
                <w:sz w:val="24"/>
                <w:szCs w:val="24"/>
                <w:highlight w:val="none"/>
                <w:lang w:val="en-US" w:eastAsia="zh-CN"/>
              </w:rPr>
              <w:t>供货期随政策变化。</w:t>
            </w:r>
            <w:r>
              <w:rPr>
                <w:rFonts w:hint="eastAsia" w:ascii="方正仿宋_GB2312" w:hAnsi="方正仿宋_GB2312" w:eastAsia="方正仿宋_GB2312" w:cs="方正仿宋_GB2312"/>
                <w:color w:val="auto"/>
                <w:sz w:val="24"/>
                <w:szCs w:val="24"/>
                <w:highlight w:val="none"/>
                <w:lang w:val="en-US" w:eastAsia="zh-CN"/>
              </w:rPr>
              <w:t>）</w:t>
            </w:r>
            <w:r>
              <w:rPr>
                <w:rFonts w:hint="eastAsia" w:ascii="方正仿宋_GB2312" w:hAnsi="方正仿宋_GB2312" w:eastAsia="方正仿宋_GB2312" w:cs="方正仿宋_GB2312"/>
                <w:color w:val="auto"/>
                <w:sz w:val="24"/>
                <w:szCs w:val="24"/>
                <w:highlight w:val="none"/>
                <w:lang w:val="en-US" w:eastAsia="zh-CN"/>
              </w:rPr>
              <w:t>。</w:t>
            </w:r>
          </w:p>
        </w:tc>
      </w:tr>
      <w:tr w14:paraId="24DE06D3">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02111D1">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w:t>
            </w:r>
          </w:p>
        </w:tc>
        <w:tc>
          <w:tcPr>
            <w:tcW w:w="1407" w:type="dxa"/>
            <w:tcBorders>
              <w:top w:val="single" w:color="auto" w:sz="4" w:space="0"/>
              <w:left w:val="single" w:color="auto" w:sz="4" w:space="0"/>
              <w:bottom w:val="single" w:color="auto" w:sz="4" w:space="0"/>
              <w:right w:val="single" w:color="auto" w:sz="4" w:space="0"/>
            </w:tcBorders>
            <w:vAlign w:val="center"/>
          </w:tcPr>
          <w:p w14:paraId="4ADC5A71">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采购人信息</w:t>
            </w:r>
          </w:p>
        </w:tc>
        <w:tc>
          <w:tcPr>
            <w:tcW w:w="7400" w:type="dxa"/>
            <w:tcBorders>
              <w:top w:val="single" w:color="auto" w:sz="4" w:space="0"/>
              <w:left w:val="single" w:color="auto" w:sz="4" w:space="0"/>
              <w:bottom w:val="single" w:color="auto" w:sz="4" w:space="0"/>
              <w:right w:val="single" w:color="auto" w:sz="4" w:space="0"/>
            </w:tcBorders>
            <w:vAlign w:val="center"/>
          </w:tcPr>
          <w:p w14:paraId="6965CE01">
            <w:pPr>
              <w:keepNext w:val="0"/>
              <w:keepLines w:val="0"/>
              <w:pageBreakBefore w:val="0"/>
              <w:wordWrap/>
              <w:overflowPunct/>
              <w:topLinePunct w:val="0"/>
              <w:bidi w:val="0"/>
              <w:spacing w:line="320" w:lineRule="exac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采购单位：青河县教育局</w:t>
            </w:r>
          </w:p>
          <w:p w14:paraId="741E854C">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联 系 人：马老师　  联系方式：</w:t>
            </w:r>
            <w:r>
              <w:rPr>
                <w:rFonts w:hint="eastAsia" w:ascii="方正仿宋_GB2312" w:hAnsi="方正仿宋_GB2312" w:eastAsia="方正仿宋_GB2312" w:cs="方正仿宋_GB2312"/>
                <w:i w:val="0"/>
                <w:iCs w:val="0"/>
                <w:caps w:val="0"/>
                <w:color w:val="auto"/>
                <w:spacing w:val="0"/>
                <w:sz w:val="24"/>
                <w:szCs w:val="24"/>
                <w:highlight w:val="none"/>
                <w:lang w:val="en-US" w:eastAsia="zh-CN"/>
              </w:rPr>
              <w:t>15022829331</w:t>
            </w:r>
          </w:p>
        </w:tc>
      </w:tr>
      <w:tr w14:paraId="3EED8C46">
        <w:tblPrEx>
          <w:tblCellMar>
            <w:top w:w="0" w:type="dxa"/>
            <w:left w:w="108" w:type="dxa"/>
            <w:bottom w:w="0" w:type="dxa"/>
            <w:right w:w="108" w:type="dxa"/>
          </w:tblCellMar>
        </w:tblPrEx>
        <w:trPr>
          <w:trHeight w:val="162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7FB0D398">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3</w:t>
            </w:r>
          </w:p>
        </w:tc>
        <w:tc>
          <w:tcPr>
            <w:tcW w:w="1407" w:type="dxa"/>
            <w:tcBorders>
              <w:top w:val="single" w:color="auto" w:sz="4" w:space="0"/>
              <w:left w:val="single" w:color="auto" w:sz="4" w:space="0"/>
              <w:bottom w:val="single" w:color="auto" w:sz="4" w:space="0"/>
              <w:right w:val="single" w:color="auto" w:sz="4" w:space="0"/>
            </w:tcBorders>
            <w:vAlign w:val="center"/>
          </w:tcPr>
          <w:p w14:paraId="735794AC">
            <w:pPr>
              <w:keepNext w:val="0"/>
              <w:keepLines w:val="0"/>
              <w:pageBreakBefore w:val="0"/>
              <w:wordWrap/>
              <w:overflowPunct/>
              <w:topLinePunct w:val="0"/>
              <w:bidi w:val="0"/>
              <w:spacing w:line="320" w:lineRule="exact"/>
              <w:jc w:val="center"/>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采购代理机构</w:t>
            </w:r>
          </w:p>
        </w:tc>
        <w:tc>
          <w:tcPr>
            <w:tcW w:w="7400" w:type="dxa"/>
            <w:tcBorders>
              <w:top w:val="single" w:color="auto" w:sz="4" w:space="0"/>
              <w:left w:val="single" w:color="auto" w:sz="4" w:space="0"/>
              <w:bottom w:val="single" w:color="auto" w:sz="4" w:space="0"/>
              <w:right w:val="single" w:color="auto" w:sz="4" w:space="0"/>
            </w:tcBorders>
            <w:vAlign w:val="center"/>
          </w:tcPr>
          <w:p w14:paraId="4C63A2C4">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名 称：新疆天壹中山工程咨询有限公司　　　　　　　　   　</w:t>
            </w:r>
          </w:p>
          <w:p w14:paraId="04E62255">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地 址：阿勒泰市团结路2区润德茗苑1栋四层6号</w:t>
            </w:r>
          </w:p>
          <w:p w14:paraId="23C9A352">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项目联系人：朱丹丹  联系方式：0906-6286802</w:t>
            </w:r>
          </w:p>
        </w:tc>
      </w:tr>
      <w:tr w14:paraId="20CFD03D">
        <w:tblPrEx>
          <w:tblCellMar>
            <w:top w:w="0" w:type="dxa"/>
            <w:left w:w="108" w:type="dxa"/>
            <w:bottom w:w="0" w:type="dxa"/>
            <w:right w:w="108" w:type="dxa"/>
          </w:tblCellMar>
        </w:tblPrEx>
        <w:trPr>
          <w:trHeight w:val="124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F78453F">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4</w:t>
            </w:r>
          </w:p>
        </w:tc>
        <w:tc>
          <w:tcPr>
            <w:tcW w:w="1407" w:type="dxa"/>
            <w:tcBorders>
              <w:top w:val="single" w:color="auto" w:sz="4" w:space="0"/>
              <w:left w:val="single" w:color="auto" w:sz="4" w:space="0"/>
              <w:bottom w:val="single" w:color="auto" w:sz="4" w:space="0"/>
              <w:right w:val="single" w:color="auto" w:sz="4" w:space="0"/>
            </w:tcBorders>
            <w:vAlign w:val="center"/>
          </w:tcPr>
          <w:p w14:paraId="7C90997D">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最终交货地点</w:t>
            </w:r>
          </w:p>
        </w:tc>
        <w:tc>
          <w:tcPr>
            <w:tcW w:w="7400" w:type="dxa"/>
            <w:tcBorders>
              <w:top w:val="single" w:color="auto" w:sz="4" w:space="0"/>
              <w:left w:val="single" w:color="auto" w:sz="4" w:space="0"/>
              <w:bottom w:val="single" w:color="auto" w:sz="4" w:space="0"/>
              <w:right w:val="single" w:color="auto" w:sz="4" w:space="0"/>
            </w:tcBorders>
            <w:vAlign w:val="center"/>
          </w:tcPr>
          <w:p w14:paraId="2F425AA9">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全县公办幼儿园及义务教育阶段</w:t>
            </w:r>
            <w:r>
              <w:rPr>
                <w:rFonts w:hint="eastAsia" w:ascii="仿宋_GB2312" w:hAnsi="仿宋_GB2312" w:eastAsia="仿宋_GB2312" w:cs="仿宋_GB2312"/>
                <w:color w:val="auto"/>
                <w:sz w:val="24"/>
                <w:szCs w:val="24"/>
                <w:highlight w:val="none"/>
                <w:lang w:val="en-US" w:eastAsia="zh-CN"/>
              </w:rPr>
              <w:t>等各校.</w:t>
            </w:r>
            <w:r>
              <w:rPr>
                <w:rFonts w:hint="eastAsia" w:ascii="仿宋_GB2312" w:hAnsi="仿宋_GB2312" w:eastAsia="仿宋_GB2312" w:cs="仿宋_GB2312"/>
                <w:color w:val="auto"/>
                <w:sz w:val="24"/>
                <w:szCs w:val="24"/>
                <w:highlight w:val="none"/>
                <w:lang w:val="en-US" w:eastAsia="zh-CN"/>
              </w:rPr>
              <w:t>（送货需送至指定地点后进行专人统一验收。接受监督与检验。不符合需求，有权退换货品，须无条件更换货品且并不影响学生正常就餐）</w:t>
            </w:r>
          </w:p>
        </w:tc>
      </w:tr>
      <w:tr w14:paraId="68E3A4F6">
        <w:tblPrEx>
          <w:tblCellMar>
            <w:top w:w="0" w:type="dxa"/>
            <w:left w:w="108" w:type="dxa"/>
            <w:bottom w:w="0" w:type="dxa"/>
            <w:right w:w="108" w:type="dxa"/>
          </w:tblCellMar>
        </w:tblPrEx>
        <w:trPr>
          <w:trHeight w:val="45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8F5EDEE">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5</w:t>
            </w:r>
          </w:p>
        </w:tc>
        <w:tc>
          <w:tcPr>
            <w:tcW w:w="1407" w:type="dxa"/>
            <w:tcBorders>
              <w:top w:val="single" w:color="auto" w:sz="4" w:space="0"/>
              <w:left w:val="single" w:color="auto" w:sz="4" w:space="0"/>
              <w:bottom w:val="single" w:color="auto" w:sz="4" w:space="0"/>
              <w:right w:val="single" w:color="auto" w:sz="4" w:space="0"/>
            </w:tcBorders>
            <w:vAlign w:val="center"/>
          </w:tcPr>
          <w:p w14:paraId="09FC1A1A">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资格要求</w:t>
            </w:r>
          </w:p>
        </w:tc>
        <w:tc>
          <w:tcPr>
            <w:tcW w:w="7400" w:type="dxa"/>
            <w:tcBorders>
              <w:top w:val="single" w:color="auto" w:sz="4" w:space="0"/>
              <w:left w:val="single" w:color="auto" w:sz="4" w:space="0"/>
              <w:bottom w:val="single" w:color="auto" w:sz="4" w:space="0"/>
              <w:right w:val="single" w:color="auto" w:sz="4" w:space="0"/>
            </w:tcBorders>
            <w:vAlign w:val="center"/>
          </w:tcPr>
          <w:p w14:paraId="0089F402">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一、供应商必须符合《政府采购法》第二十二条规定的条件；</w:t>
            </w:r>
          </w:p>
          <w:p w14:paraId="54C3039B">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（1）具有独立承担民事责任能力的法人、其他组织或自然人，法人或者其他组织须提供营业执照等证明文件，自然人须提供身份证明；</w:t>
            </w:r>
          </w:p>
          <w:p w14:paraId="1D4977A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（2）参加政府采购活动前3年内在经营活动中没有重大违法记录的书面声明并加盖公章；</w:t>
            </w:r>
          </w:p>
          <w:p w14:paraId="2F50AABD">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（3）具有履行合同所必需的设备和专业技术能力的承诺函；</w:t>
            </w:r>
          </w:p>
          <w:p w14:paraId="2384EBE1">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（4）投标人须具备投标截止之日起半年内任意两个月的纳税证明或完税证明，依法免税的单位应提供相关证明材料；</w:t>
            </w:r>
          </w:p>
          <w:p w14:paraId="328CDFD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（5）投标人须具备投标截止之日起半年内任意两个月的缴纳社会保障资金的证明材料，依法不需要缴纳社会保障资金的单位应提供相关证明材料；</w:t>
            </w:r>
          </w:p>
          <w:p w14:paraId="3D6704FF">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提供近一年2024年度经审计的财务报告（包括审计报告、资产负债表和利润表，成立时间至投标截止时间不足一年的可提供成立后任意时段的资产负债表）；成立时间至投标截止时间不足一年的可提供成立后任意时段的资产负债表）；或其开标前三个月内基本存款账户开户银行出具的资信证明及基本存款账户开户许可证（或基本存款账户信息相关证明文件）；或信用担保机构出具的投标担保函；</w:t>
            </w:r>
          </w:p>
          <w:p w14:paraId="2CD79E06">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2、经销商须提供《食品经营许可证》或向市场监管部门提交备案的资料；厂家须提供《食品生产许可证》或向市场监管部门提交备案的资料；</w:t>
            </w:r>
          </w:p>
          <w:p w14:paraId="1BC8B1B7">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3、按照《财政部关于在政府采购活动中查询及使用信用记录有关 问题的通知》（财库（2016）125 号）的要求，被“信用中国 ”网 站、“ 中国政府采购网 ”网站列入失信被执行人、政府采购严重违 法失信行为记录名单的，不得参与本项目的政府采购活动；</w:t>
            </w:r>
          </w:p>
          <w:p w14:paraId="195AED58">
            <w:pPr>
              <w:pStyle w:val="19"/>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right="0"/>
              <w:jc w:val="lef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4、本项目不得转包分包，不接受联合体投标。</w:t>
            </w:r>
          </w:p>
        </w:tc>
      </w:tr>
      <w:tr w14:paraId="49A7F65C">
        <w:tblPrEx>
          <w:tblCellMar>
            <w:top w:w="0" w:type="dxa"/>
            <w:left w:w="108" w:type="dxa"/>
            <w:bottom w:w="0" w:type="dxa"/>
            <w:right w:w="108" w:type="dxa"/>
          </w:tblCellMar>
        </w:tblPrEx>
        <w:trPr>
          <w:trHeight w:val="45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4982B0BC">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6</w:t>
            </w:r>
          </w:p>
        </w:tc>
        <w:tc>
          <w:tcPr>
            <w:tcW w:w="1407" w:type="dxa"/>
            <w:tcBorders>
              <w:top w:val="single" w:color="auto" w:sz="4" w:space="0"/>
              <w:left w:val="single" w:color="auto" w:sz="4" w:space="0"/>
              <w:bottom w:val="single" w:color="auto" w:sz="4" w:space="0"/>
              <w:right w:val="single" w:color="auto" w:sz="4" w:space="0"/>
            </w:tcBorders>
            <w:vAlign w:val="center"/>
          </w:tcPr>
          <w:p w14:paraId="3DF2C7F8">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采购范围</w:t>
            </w:r>
          </w:p>
        </w:tc>
        <w:tc>
          <w:tcPr>
            <w:tcW w:w="7400" w:type="dxa"/>
            <w:tcBorders>
              <w:top w:val="single" w:color="auto" w:sz="4" w:space="0"/>
              <w:left w:val="single" w:color="auto" w:sz="4" w:space="0"/>
              <w:bottom w:val="single" w:color="auto" w:sz="4" w:space="0"/>
              <w:right w:val="single" w:color="auto" w:sz="4" w:space="0"/>
            </w:tcBorders>
            <w:vAlign w:val="center"/>
          </w:tcPr>
          <w:p w14:paraId="70F5DB21">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采购人不接受进口产品。</w:t>
            </w:r>
          </w:p>
        </w:tc>
      </w:tr>
      <w:tr w14:paraId="673F788C">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834CB53">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7</w:t>
            </w:r>
          </w:p>
        </w:tc>
        <w:tc>
          <w:tcPr>
            <w:tcW w:w="1407" w:type="dxa"/>
            <w:tcBorders>
              <w:top w:val="single" w:color="auto" w:sz="4" w:space="0"/>
              <w:left w:val="single" w:color="auto" w:sz="4" w:space="0"/>
              <w:bottom w:val="single" w:color="auto" w:sz="4" w:space="0"/>
              <w:right w:val="single" w:color="auto" w:sz="4" w:space="0"/>
            </w:tcBorders>
            <w:vAlign w:val="center"/>
          </w:tcPr>
          <w:p w14:paraId="56012D8E">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资金来源</w:t>
            </w:r>
          </w:p>
        </w:tc>
        <w:tc>
          <w:tcPr>
            <w:tcW w:w="7400" w:type="dxa"/>
            <w:tcBorders>
              <w:top w:val="single" w:color="auto" w:sz="4" w:space="0"/>
              <w:left w:val="single" w:color="auto" w:sz="4" w:space="0"/>
              <w:bottom w:val="single" w:color="auto" w:sz="4" w:space="0"/>
              <w:right w:val="single" w:color="auto" w:sz="4" w:space="0"/>
            </w:tcBorders>
            <w:vAlign w:val="center"/>
          </w:tcPr>
          <w:p w14:paraId="759C135A">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财政</w:t>
            </w:r>
            <w:r>
              <w:rPr>
                <w:rFonts w:hint="eastAsia" w:ascii="方正仿宋_GBK" w:hAnsi="方正仿宋_GBK" w:eastAsia="方正仿宋_GBK" w:cs="方正仿宋_GBK"/>
                <w:color w:val="auto"/>
                <w:sz w:val="24"/>
                <w:szCs w:val="24"/>
                <w:highlight w:val="none"/>
                <w:lang w:eastAsia="zh-CN"/>
              </w:rPr>
              <w:t>资金</w:t>
            </w:r>
          </w:p>
        </w:tc>
      </w:tr>
      <w:tr w14:paraId="22ABEEFC">
        <w:tblPrEx>
          <w:tblCellMar>
            <w:top w:w="0" w:type="dxa"/>
            <w:left w:w="108" w:type="dxa"/>
            <w:bottom w:w="0" w:type="dxa"/>
            <w:right w:w="108" w:type="dxa"/>
          </w:tblCellMar>
        </w:tblPrEx>
        <w:trPr>
          <w:trHeight w:val="52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97F22F6">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8</w:t>
            </w:r>
          </w:p>
        </w:tc>
        <w:tc>
          <w:tcPr>
            <w:tcW w:w="1407" w:type="dxa"/>
            <w:tcBorders>
              <w:top w:val="single" w:color="auto" w:sz="4" w:space="0"/>
              <w:left w:val="single" w:color="auto" w:sz="4" w:space="0"/>
              <w:bottom w:val="single" w:color="auto" w:sz="4" w:space="0"/>
              <w:right w:val="single" w:color="auto" w:sz="4" w:space="0"/>
            </w:tcBorders>
            <w:vAlign w:val="center"/>
          </w:tcPr>
          <w:p w14:paraId="5BCD751B">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招标方式</w:t>
            </w:r>
          </w:p>
        </w:tc>
        <w:tc>
          <w:tcPr>
            <w:tcW w:w="7400" w:type="dxa"/>
            <w:tcBorders>
              <w:top w:val="single" w:color="auto" w:sz="4" w:space="0"/>
              <w:left w:val="single" w:color="auto" w:sz="4" w:space="0"/>
              <w:bottom w:val="single" w:color="auto" w:sz="4" w:space="0"/>
              <w:right w:val="single" w:color="auto" w:sz="4" w:space="0"/>
            </w:tcBorders>
            <w:vAlign w:val="center"/>
          </w:tcPr>
          <w:p w14:paraId="229F3176">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 xml:space="preserve">公开招标(本项目采用网上电子招投标)  </w:t>
            </w:r>
          </w:p>
        </w:tc>
      </w:tr>
      <w:tr w14:paraId="59BEF313">
        <w:tblPrEx>
          <w:tblCellMar>
            <w:top w:w="0" w:type="dxa"/>
            <w:left w:w="108" w:type="dxa"/>
            <w:bottom w:w="0" w:type="dxa"/>
            <w:right w:w="108" w:type="dxa"/>
          </w:tblCellMar>
        </w:tblPrEx>
        <w:trPr>
          <w:trHeight w:val="318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72DD93D0">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9</w:t>
            </w:r>
          </w:p>
        </w:tc>
        <w:tc>
          <w:tcPr>
            <w:tcW w:w="1407" w:type="dxa"/>
            <w:tcBorders>
              <w:top w:val="single" w:color="auto" w:sz="4" w:space="0"/>
              <w:left w:val="single" w:color="auto" w:sz="4" w:space="0"/>
              <w:bottom w:val="single" w:color="auto" w:sz="4" w:space="0"/>
              <w:right w:val="single" w:color="auto" w:sz="4" w:space="0"/>
            </w:tcBorders>
            <w:vAlign w:val="center"/>
          </w:tcPr>
          <w:p w14:paraId="2154A2A4">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供应商信用查询</w:t>
            </w:r>
          </w:p>
        </w:tc>
        <w:tc>
          <w:tcPr>
            <w:tcW w:w="7400" w:type="dxa"/>
            <w:tcBorders>
              <w:top w:val="single" w:color="auto" w:sz="4" w:space="0"/>
              <w:left w:val="single" w:color="auto" w:sz="4" w:space="0"/>
              <w:bottom w:val="single" w:color="auto" w:sz="4" w:space="0"/>
              <w:right w:val="single" w:color="auto" w:sz="4" w:space="0"/>
            </w:tcBorders>
            <w:vAlign w:val="center"/>
          </w:tcPr>
          <w:p w14:paraId="2719FD67">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1、查询渠道：信用中国（网址：http://www.creditchina.gov.cn）、中国政府采购网(网址：http://www.ccgp.gov.cn）。</w:t>
            </w:r>
          </w:p>
          <w:p w14:paraId="4F30E96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2、截止时</w:t>
            </w:r>
            <w:r>
              <w:rPr>
                <w:rFonts w:hint="eastAsia" w:ascii="方正仿宋_GBK" w:hAnsi="方正仿宋_GBK" w:eastAsia="方正仿宋_GBK" w:cs="方正仿宋_GBK"/>
                <w:color w:val="auto"/>
                <w:sz w:val="24"/>
                <w:szCs w:val="24"/>
                <w:highlight w:val="none"/>
                <w:lang w:val="en-US" w:eastAsia="zh-CN"/>
              </w:rPr>
              <w:t>间</w:t>
            </w:r>
            <w:r>
              <w:rPr>
                <w:rFonts w:hint="eastAsia" w:ascii="方正仿宋_GBK" w:hAnsi="方正仿宋_GBK" w:eastAsia="方正仿宋_GBK" w:cs="方正仿宋_GBK"/>
                <w:color w:val="auto"/>
                <w:sz w:val="24"/>
                <w:szCs w:val="24"/>
                <w:highlight w:val="none"/>
                <w:lang w:eastAsia="zh-CN"/>
              </w:rPr>
              <w:t>：开标后评标前。</w:t>
            </w:r>
          </w:p>
          <w:p w14:paraId="18640965">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3、信用信息查询记录和证据留存的具体方式：由采购组织机构在规定查询时间内打印信用信息查询记录并归入项目档案。</w:t>
            </w:r>
          </w:p>
          <w:p w14:paraId="2C6E3196">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4、使用规则：对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6E691A7D">
        <w:tblPrEx>
          <w:tblCellMar>
            <w:top w:w="0" w:type="dxa"/>
            <w:left w:w="108" w:type="dxa"/>
            <w:bottom w:w="0" w:type="dxa"/>
            <w:right w:w="108" w:type="dxa"/>
          </w:tblCellMar>
        </w:tblPrEx>
        <w:trPr>
          <w:trHeight w:val="104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F2C43D6">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10</w:t>
            </w:r>
          </w:p>
        </w:tc>
        <w:tc>
          <w:tcPr>
            <w:tcW w:w="1407" w:type="dxa"/>
            <w:tcBorders>
              <w:top w:val="single" w:color="auto" w:sz="4" w:space="0"/>
              <w:left w:val="single" w:color="auto" w:sz="4" w:space="0"/>
              <w:bottom w:val="single" w:color="auto" w:sz="4" w:space="0"/>
              <w:right w:val="single" w:color="auto" w:sz="4" w:space="0"/>
            </w:tcBorders>
            <w:vAlign w:val="center"/>
          </w:tcPr>
          <w:p w14:paraId="016CF48C">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是否接受联合体投标</w:t>
            </w:r>
          </w:p>
        </w:tc>
        <w:tc>
          <w:tcPr>
            <w:tcW w:w="7400" w:type="dxa"/>
            <w:tcBorders>
              <w:top w:val="single" w:color="auto" w:sz="4" w:space="0"/>
              <w:left w:val="single" w:color="auto" w:sz="4" w:space="0"/>
              <w:bottom w:val="single" w:color="auto" w:sz="4" w:space="0"/>
              <w:right w:val="single" w:color="auto" w:sz="4" w:space="0"/>
            </w:tcBorders>
            <w:vAlign w:val="center"/>
          </w:tcPr>
          <w:p w14:paraId="71147472">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■不接受</w:t>
            </w:r>
          </w:p>
          <w:p w14:paraId="1DA355B9">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□接  受</w:t>
            </w:r>
          </w:p>
        </w:tc>
      </w:tr>
      <w:tr w14:paraId="24FACF80">
        <w:tblPrEx>
          <w:tblCellMar>
            <w:top w:w="0" w:type="dxa"/>
            <w:left w:w="108" w:type="dxa"/>
            <w:bottom w:w="0" w:type="dxa"/>
            <w:right w:w="108" w:type="dxa"/>
          </w:tblCellMar>
        </w:tblPrEx>
        <w:trPr>
          <w:trHeight w:val="88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687D43F">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11</w:t>
            </w:r>
          </w:p>
        </w:tc>
        <w:tc>
          <w:tcPr>
            <w:tcW w:w="1407" w:type="dxa"/>
            <w:tcBorders>
              <w:top w:val="single" w:color="auto" w:sz="4" w:space="0"/>
              <w:left w:val="single" w:color="auto" w:sz="4" w:space="0"/>
              <w:bottom w:val="single" w:color="auto" w:sz="4" w:space="0"/>
              <w:right w:val="single" w:color="auto" w:sz="4" w:space="0"/>
            </w:tcBorders>
            <w:vAlign w:val="center"/>
          </w:tcPr>
          <w:p w14:paraId="0399D528">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投标截止时间 （开标时间）</w:t>
            </w:r>
          </w:p>
        </w:tc>
        <w:tc>
          <w:tcPr>
            <w:tcW w:w="7400" w:type="dxa"/>
            <w:tcBorders>
              <w:top w:val="single" w:color="auto" w:sz="4" w:space="0"/>
              <w:left w:val="single" w:color="auto" w:sz="4" w:space="0"/>
              <w:bottom w:val="single" w:color="auto" w:sz="4" w:space="0"/>
              <w:right w:val="single" w:color="auto" w:sz="4" w:space="0"/>
            </w:tcBorders>
            <w:vAlign w:val="center"/>
          </w:tcPr>
          <w:p w14:paraId="7BE7B8C6">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截止时间：</w:t>
            </w:r>
            <w:r>
              <w:rPr>
                <w:rFonts w:hint="eastAsia" w:ascii="方正仿宋_GBK" w:hAnsi="方正仿宋_GBK" w:eastAsia="方正仿宋_GBK" w:cs="方正仿宋_GBK"/>
                <w:color w:val="auto"/>
                <w:kern w:val="2"/>
                <w:sz w:val="24"/>
                <w:szCs w:val="24"/>
                <w:highlight w:val="none"/>
                <w:u w:val="single"/>
                <w:lang w:eastAsia="zh-CN" w:bidi="ar-SA"/>
              </w:rPr>
              <w:t>202</w:t>
            </w:r>
            <w:r>
              <w:rPr>
                <w:rFonts w:hint="eastAsia" w:ascii="方正仿宋_GBK" w:hAnsi="方正仿宋_GBK" w:eastAsia="方正仿宋_GBK" w:cs="方正仿宋_GBK"/>
                <w:color w:val="auto"/>
                <w:kern w:val="2"/>
                <w:sz w:val="24"/>
                <w:szCs w:val="24"/>
                <w:highlight w:val="none"/>
                <w:u w:val="single"/>
                <w:lang w:val="en-US" w:eastAsia="zh-CN" w:bidi="ar-SA"/>
              </w:rPr>
              <w:t>5</w:t>
            </w:r>
            <w:r>
              <w:rPr>
                <w:rFonts w:hint="eastAsia" w:ascii="方正仿宋_GBK" w:hAnsi="方正仿宋_GBK" w:eastAsia="方正仿宋_GBK" w:cs="方正仿宋_GBK"/>
                <w:color w:val="auto"/>
                <w:kern w:val="2"/>
                <w:sz w:val="24"/>
                <w:szCs w:val="24"/>
                <w:highlight w:val="none"/>
                <w:u w:val="single"/>
                <w:lang w:eastAsia="zh-CN" w:bidi="ar-SA"/>
              </w:rPr>
              <w:t>年</w:t>
            </w:r>
            <w:r>
              <w:rPr>
                <w:rFonts w:hint="eastAsia" w:ascii="方正仿宋_GBK" w:hAnsi="方正仿宋_GBK" w:eastAsia="方正仿宋_GBK" w:cs="方正仿宋_GBK"/>
                <w:color w:val="auto"/>
                <w:kern w:val="2"/>
                <w:sz w:val="24"/>
                <w:szCs w:val="24"/>
                <w:highlight w:val="none"/>
                <w:u w:val="single"/>
                <w:lang w:val="en-US" w:eastAsia="zh-CN" w:bidi="ar-SA"/>
              </w:rPr>
              <w:t xml:space="preserve"> 7 </w:t>
            </w:r>
            <w:r>
              <w:rPr>
                <w:rFonts w:hint="eastAsia" w:ascii="方正仿宋_GBK" w:hAnsi="方正仿宋_GBK" w:eastAsia="方正仿宋_GBK" w:cs="方正仿宋_GBK"/>
                <w:color w:val="auto"/>
                <w:kern w:val="2"/>
                <w:sz w:val="24"/>
                <w:szCs w:val="24"/>
                <w:highlight w:val="none"/>
                <w:u w:val="single"/>
                <w:lang w:eastAsia="zh-CN" w:bidi="ar-SA"/>
              </w:rPr>
              <w:t>月</w:t>
            </w:r>
            <w:r>
              <w:rPr>
                <w:rFonts w:hint="eastAsia" w:ascii="方正仿宋_GBK" w:hAnsi="方正仿宋_GBK" w:eastAsia="方正仿宋_GBK" w:cs="方正仿宋_GBK"/>
                <w:color w:val="auto"/>
                <w:kern w:val="2"/>
                <w:sz w:val="24"/>
                <w:szCs w:val="24"/>
                <w:highlight w:val="none"/>
                <w:u w:val="single"/>
                <w:lang w:val="en-US" w:eastAsia="zh-CN" w:bidi="ar-SA"/>
              </w:rPr>
              <w:t xml:space="preserve"> 29</w:t>
            </w:r>
            <w:r>
              <w:rPr>
                <w:rFonts w:hint="eastAsia" w:ascii="方正仿宋_GBK" w:hAnsi="方正仿宋_GBK" w:eastAsia="方正仿宋_GBK" w:cs="方正仿宋_GBK"/>
                <w:color w:val="auto"/>
                <w:kern w:val="2"/>
                <w:sz w:val="24"/>
                <w:szCs w:val="24"/>
                <w:highlight w:val="none"/>
                <w:u w:val="single"/>
                <w:lang w:eastAsia="zh-CN" w:bidi="ar-SA"/>
              </w:rPr>
              <w:t>日</w:t>
            </w:r>
            <w:r>
              <w:rPr>
                <w:rFonts w:hint="eastAsia" w:ascii="方正仿宋_GBK" w:hAnsi="方正仿宋_GBK" w:eastAsia="方正仿宋_GBK" w:cs="方正仿宋_GBK"/>
                <w:color w:val="auto"/>
                <w:sz w:val="24"/>
                <w:szCs w:val="24"/>
                <w:highlight w:val="none"/>
                <w:u w:val="single"/>
                <w:lang w:eastAsia="zh-CN"/>
              </w:rPr>
              <w:t>上午</w:t>
            </w:r>
            <w:r>
              <w:rPr>
                <w:rFonts w:hint="eastAsia" w:ascii="方正仿宋_GBK" w:hAnsi="方正仿宋_GBK" w:eastAsia="方正仿宋_GBK" w:cs="方正仿宋_GBK"/>
                <w:color w:val="auto"/>
                <w:sz w:val="24"/>
                <w:szCs w:val="24"/>
                <w:highlight w:val="none"/>
                <w:u w:val="single"/>
                <w:lang w:val="en-US" w:eastAsia="zh-CN"/>
              </w:rPr>
              <w:t>13</w:t>
            </w:r>
            <w:r>
              <w:rPr>
                <w:rFonts w:hint="eastAsia" w:ascii="方正仿宋_GBK" w:hAnsi="方正仿宋_GBK" w:eastAsia="方正仿宋_GBK" w:cs="方正仿宋_GBK"/>
                <w:color w:val="auto"/>
                <w:sz w:val="24"/>
                <w:szCs w:val="24"/>
                <w:highlight w:val="none"/>
                <w:u w:val="single"/>
                <w:lang w:eastAsia="zh-CN"/>
              </w:rPr>
              <w:t>时</w:t>
            </w:r>
            <w:r>
              <w:rPr>
                <w:rFonts w:hint="eastAsia" w:ascii="方正仿宋_GBK" w:hAnsi="方正仿宋_GBK" w:eastAsia="方正仿宋_GBK" w:cs="方正仿宋_GBK"/>
                <w:color w:val="auto"/>
                <w:sz w:val="24"/>
                <w:szCs w:val="24"/>
                <w:highlight w:val="none"/>
                <w:u w:val="single"/>
                <w:lang w:val="en-US" w:eastAsia="zh-CN"/>
              </w:rPr>
              <w:t>00</w:t>
            </w:r>
            <w:r>
              <w:rPr>
                <w:rFonts w:hint="eastAsia" w:ascii="方正仿宋_GBK" w:hAnsi="方正仿宋_GBK" w:eastAsia="方正仿宋_GBK" w:cs="方正仿宋_GBK"/>
                <w:color w:val="auto"/>
                <w:sz w:val="24"/>
                <w:szCs w:val="24"/>
                <w:highlight w:val="none"/>
                <w:u w:val="single"/>
                <w:lang w:eastAsia="zh-CN"/>
              </w:rPr>
              <w:t>分</w:t>
            </w:r>
            <w:r>
              <w:rPr>
                <w:rFonts w:hint="eastAsia" w:ascii="方正仿宋_GBK" w:hAnsi="方正仿宋_GBK" w:eastAsia="方正仿宋_GBK" w:cs="方正仿宋_GBK"/>
                <w:color w:val="auto"/>
                <w:sz w:val="24"/>
                <w:szCs w:val="24"/>
                <w:highlight w:val="none"/>
                <w:lang w:eastAsia="zh-CN"/>
              </w:rPr>
              <w:t>（北京时间）</w:t>
            </w:r>
          </w:p>
        </w:tc>
      </w:tr>
      <w:tr w14:paraId="5C945966">
        <w:tblPrEx>
          <w:tblCellMar>
            <w:top w:w="0" w:type="dxa"/>
            <w:left w:w="108" w:type="dxa"/>
            <w:bottom w:w="0" w:type="dxa"/>
            <w:right w:w="108" w:type="dxa"/>
          </w:tblCellMar>
        </w:tblPrEx>
        <w:trPr>
          <w:trHeight w:val="47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C29D537">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12</w:t>
            </w:r>
          </w:p>
        </w:tc>
        <w:tc>
          <w:tcPr>
            <w:tcW w:w="1407" w:type="dxa"/>
            <w:tcBorders>
              <w:top w:val="single" w:color="auto" w:sz="4" w:space="0"/>
              <w:left w:val="single" w:color="auto" w:sz="4" w:space="0"/>
              <w:bottom w:val="single" w:color="auto" w:sz="4" w:space="0"/>
              <w:right w:val="single" w:color="auto" w:sz="4" w:space="0"/>
            </w:tcBorders>
            <w:vAlign w:val="center"/>
          </w:tcPr>
          <w:p w14:paraId="0E3FED1E">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投标有效期</w:t>
            </w:r>
          </w:p>
        </w:tc>
        <w:tc>
          <w:tcPr>
            <w:tcW w:w="7400" w:type="dxa"/>
            <w:tcBorders>
              <w:top w:val="single" w:color="auto" w:sz="4" w:space="0"/>
              <w:left w:val="single" w:color="auto" w:sz="4" w:space="0"/>
              <w:bottom w:val="single" w:color="auto" w:sz="4" w:space="0"/>
              <w:right w:val="single" w:color="auto" w:sz="4" w:space="0"/>
            </w:tcBorders>
            <w:vAlign w:val="center"/>
          </w:tcPr>
          <w:p w14:paraId="0A875533">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 xml:space="preserve"> </w:t>
            </w:r>
            <w:r>
              <w:rPr>
                <w:rFonts w:hint="eastAsia" w:ascii="方正仿宋_GBK" w:hAnsi="方正仿宋_GBK" w:eastAsia="方正仿宋_GBK" w:cs="方正仿宋_GBK"/>
                <w:color w:val="auto"/>
                <w:sz w:val="24"/>
                <w:szCs w:val="24"/>
                <w:highlight w:val="none"/>
                <w:lang w:val="en-US" w:eastAsia="zh-CN"/>
              </w:rPr>
              <w:t>9</w:t>
            </w:r>
            <w:r>
              <w:rPr>
                <w:rFonts w:hint="eastAsia" w:ascii="方正仿宋_GBK" w:hAnsi="方正仿宋_GBK" w:eastAsia="方正仿宋_GBK" w:cs="方正仿宋_GBK"/>
                <w:color w:val="auto"/>
                <w:sz w:val="24"/>
                <w:szCs w:val="24"/>
                <w:highlight w:val="none"/>
                <w:lang w:eastAsia="zh-CN"/>
              </w:rPr>
              <w:t>0 天</w:t>
            </w:r>
          </w:p>
        </w:tc>
      </w:tr>
      <w:tr w14:paraId="5803F57B">
        <w:tblPrEx>
          <w:tblCellMar>
            <w:top w:w="0" w:type="dxa"/>
            <w:left w:w="108" w:type="dxa"/>
            <w:bottom w:w="0" w:type="dxa"/>
            <w:right w:w="108" w:type="dxa"/>
          </w:tblCellMar>
        </w:tblPrEx>
        <w:trPr>
          <w:trHeight w:val="63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342ADFEB">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13</w:t>
            </w:r>
          </w:p>
        </w:tc>
        <w:tc>
          <w:tcPr>
            <w:tcW w:w="1407" w:type="dxa"/>
            <w:tcBorders>
              <w:top w:val="single" w:color="auto" w:sz="4" w:space="0"/>
              <w:left w:val="single" w:color="auto" w:sz="4" w:space="0"/>
              <w:bottom w:val="single" w:color="auto" w:sz="4" w:space="0"/>
              <w:right w:val="single" w:color="auto" w:sz="4" w:space="0"/>
            </w:tcBorders>
            <w:vAlign w:val="center"/>
          </w:tcPr>
          <w:p w14:paraId="20BF109C">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投标保证金</w:t>
            </w:r>
          </w:p>
        </w:tc>
        <w:tc>
          <w:tcPr>
            <w:tcW w:w="7400" w:type="dxa"/>
            <w:tcBorders>
              <w:top w:val="single" w:color="auto" w:sz="4" w:space="0"/>
              <w:left w:val="single" w:color="auto" w:sz="4" w:space="0"/>
              <w:bottom w:val="single" w:color="auto" w:sz="4" w:space="0"/>
              <w:right w:val="single" w:color="auto" w:sz="4" w:space="0"/>
            </w:tcBorders>
            <w:vAlign w:val="center"/>
          </w:tcPr>
          <w:p w14:paraId="1A3EE795">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pacing w:val="0"/>
                <w:w w:val="100"/>
                <w:kern w:val="0"/>
                <w:position w:val="0"/>
                <w:sz w:val="24"/>
                <w:szCs w:val="24"/>
                <w:highlight w:val="none"/>
              </w:rPr>
              <w:t>1、本</w:t>
            </w:r>
            <w:r>
              <w:rPr>
                <w:rFonts w:hint="eastAsia" w:ascii="方正仿宋_GBK" w:hAnsi="方正仿宋_GBK" w:eastAsia="方正仿宋_GBK" w:cs="方正仿宋_GBK"/>
                <w:color w:val="auto"/>
                <w:sz w:val="24"/>
                <w:szCs w:val="24"/>
                <w:highlight w:val="none"/>
                <w:lang w:eastAsia="zh-CN"/>
              </w:rPr>
              <w:t>次采购项目的投标保证金：</w:t>
            </w:r>
            <w:r>
              <w:rPr>
                <w:rFonts w:hint="eastAsia" w:ascii="方正仿宋_GBK" w:hAnsi="方正仿宋_GBK" w:eastAsia="方正仿宋_GBK" w:cs="方正仿宋_GBK"/>
                <w:color w:val="auto"/>
                <w:sz w:val="24"/>
                <w:szCs w:val="24"/>
                <w:highlight w:val="none"/>
                <w:lang w:val="en-US" w:eastAsia="zh-CN"/>
              </w:rPr>
              <w:t>60000</w:t>
            </w:r>
            <w:r>
              <w:rPr>
                <w:rFonts w:hint="eastAsia" w:ascii="方正仿宋_GBK" w:hAnsi="方正仿宋_GBK" w:eastAsia="方正仿宋_GBK" w:cs="方正仿宋_GBK"/>
                <w:color w:val="auto"/>
                <w:sz w:val="24"/>
                <w:szCs w:val="24"/>
                <w:highlight w:val="none"/>
                <w:lang w:eastAsia="zh-CN"/>
              </w:rPr>
              <w:t>元（</w:t>
            </w:r>
            <w:r>
              <w:rPr>
                <w:rFonts w:hint="eastAsia" w:ascii="方正仿宋_GB2312" w:hAnsi="方正仿宋_GB2312" w:eastAsia="方正仿宋_GB2312" w:cs="方正仿宋_GB2312"/>
                <w:color w:val="auto"/>
                <w:sz w:val="24"/>
                <w:szCs w:val="24"/>
                <w:highlight w:val="none"/>
                <w:lang w:val="en-US" w:eastAsia="zh-CN"/>
              </w:rPr>
              <w:t>陆万</w:t>
            </w:r>
            <w:r>
              <w:rPr>
                <w:rFonts w:hint="eastAsia" w:ascii="方正仿宋_GBK" w:hAnsi="方正仿宋_GBK" w:eastAsia="方正仿宋_GBK" w:cs="方正仿宋_GBK"/>
                <w:color w:val="auto"/>
                <w:sz w:val="24"/>
                <w:szCs w:val="24"/>
                <w:highlight w:val="none"/>
                <w:lang w:val="en-US" w:eastAsia="zh-CN"/>
              </w:rPr>
              <w:t>元整</w:t>
            </w:r>
            <w:r>
              <w:rPr>
                <w:rFonts w:hint="eastAsia" w:ascii="方正仿宋_GBK" w:hAnsi="方正仿宋_GBK" w:eastAsia="方正仿宋_GBK" w:cs="方正仿宋_GBK"/>
                <w:color w:val="auto"/>
                <w:sz w:val="24"/>
                <w:szCs w:val="24"/>
                <w:highlight w:val="none"/>
                <w:lang w:eastAsia="zh-CN"/>
              </w:rPr>
              <w:t>）；</w:t>
            </w:r>
          </w:p>
          <w:p w14:paraId="6236BF26">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2、保</w:t>
            </w:r>
            <w:r>
              <w:rPr>
                <w:rFonts w:hint="eastAsia" w:ascii="方正仿宋_GBK" w:hAnsi="方正仿宋_GBK" w:eastAsia="方正仿宋_GBK" w:cs="方正仿宋_GBK"/>
                <w:color w:val="auto"/>
                <w:sz w:val="24"/>
                <w:szCs w:val="24"/>
                <w:highlight w:val="none"/>
                <w:lang w:val="en-US" w:eastAsia="zh-CN"/>
              </w:rPr>
              <w:t>投标保证金必须以投标人名义采用支票、汇票、本票或者金融机构、担保机构出具的保函等非现金形式提交形式缴纳，不可以采用现金方式（包括以存现方式）提交。</w:t>
            </w:r>
          </w:p>
          <w:p w14:paraId="0A8EA1FB">
            <w:pPr>
              <w:keepNext w:val="0"/>
              <w:keepLines w:val="0"/>
              <w:pageBreakBefore w:val="0"/>
              <w:widowControl/>
              <w:tabs>
                <w:tab w:val="left" w:pos="1080"/>
              </w:tabs>
              <w:kinsoku w:val="0"/>
              <w:wordWrap/>
              <w:overflowPunct/>
              <w:topLinePunct w:val="0"/>
              <w:autoSpaceDE w:val="0"/>
              <w:autoSpaceDN w:val="0"/>
              <w:bidi w:val="0"/>
              <w:adjustRightInd w:val="0"/>
              <w:snapToGrid w:val="0"/>
              <w:spacing w:line="320" w:lineRule="exact"/>
              <w:ind w:right="0"/>
              <w:textAlignment w:val="baseline"/>
              <w:rPr>
                <w:rFonts w:hint="eastAsia" w:ascii="方正仿宋_GBK" w:hAnsi="方正仿宋_GBK" w:eastAsia="方正仿宋_GBK" w:cs="方正仿宋_GBK"/>
                <w:b w:val="0"/>
                <w:bCs/>
                <w:color w:val="auto"/>
                <w:spacing w:val="0"/>
                <w:w w:val="100"/>
                <w:kern w:val="0"/>
                <w:position w:val="0"/>
                <w:sz w:val="24"/>
                <w:szCs w:val="24"/>
                <w:highlight w:val="none"/>
              </w:rPr>
            </w:pPr>
            <w:r>
              <w:rPr>
                <w:rFonts w:hint="eastAsia" w:ascii="方正仿宋_GBK" w:hAnsi="方正仿宋_GBK" w:eastAsia="方正仿宋_GBK" w:cs="方正仿宋_GBK"/>
                <w:b/>
                <w:color w:val="auto"/>
                <w:spacing w:val="0"/>
                <w:w w:val="100"/>
                <w:kern w:val="0"/>
                <w:position w:val="0"/>
                <w:sz w:val="24"/>
                <w:szCs w:val="24"/>
                <w:highlight w:val="none"/>
                <w:lang w:val="en-US" w:eastAsia="zh-CN"/>
              </w:rPr>
              <w:t>3、递交方式：</w:t>
            </w:r>
            <w:r>
              <w:rPr>
                <w:rFonts w:hint="eastAsia" w:ascii="方正仿宋_GBK" w:hAnsi="方正仿宋_GBK" w:eastAsia="方正仿宋_GBK" w:cs="方正仿宋_GBK"/>
                <w:b w:val="0"/>
                <w:bCs/>
                <w:color w:val="auto"/>
                <w:spacing w:val="0"/>
                <w:w w:val="100"/>
                <w:kern w:val="0"/>
                <w:position w:val="0"/>
                <w:sz w:val="24"/>
                <w:szCs w:val="24"/>
                <w:highlight w:val="none"/>
                <w:lang w:val="en-US" w:eastAsia="zh-CN"/>
              </w:rPr>
              <w:t>投标人将投标保证金从企业基本帐户汇至以下账户</w:t>
            </w:r>
          </w:p>
          <w:p w14:paraId="46C4AE79">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lang w:val="en-US" w:eastAsia="zh-CN"/>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4、账户信息：</w:t>
            </w:r>
          </w:p>
          <w:p w14:paraId="228CB73F">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lang w:val="en-US" w:eastAsia="zh-CN"/>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开户名称：新疆天壹中山工程咨询有限公司</w:t>
            </w:r>
          </w:p>
          <w:p w14:paraId="473E23A6">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lang w:val="en-US" w:eastAsia="zh-CN"/>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行    号：102902012016</w:t>
            </w:r>
          </w:p>
          <w:p w14:paraId="3006B9C4">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lang w:val="en-US" w:eastAsia="zh-CN"/>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开户银行：中国工商银行股份有限公司阿勒泰解放路分理处</w:t>
            </w:r>
          </w:p>
          <w:p w14:paraId="3D1FBC8C">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lang w:val="en-US" w:eastAsia="zh-CN"/>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帐    号：3008120309000004941</w:t>
            </w:r>
          </w:p>
          <w:p w14:paraId="7EE88A53">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lang w:val="en-US" w:eastAsia="zh-CN"/>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 xml:space="preserve">咨询电话：0906-6286808（招标代理财务办公室） </w:t>
            </w:r>
          </w:p>
          <w:p w14:paraId="3659EA4D">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 xml:space="preserve">递交时间：投标截止时间之前（投标提交投标保证金应充分考虑资金在途时间、跨行等因素导致的延迟到账情况，各投标人缴纳投标保证金时需在附加信息及用途栏内注明“投标保证金、项目名称（可简写）”，以投标保证金接收方银行到账信息为准） </w:t>
            </w:r>
          </w:p>
          <w:p w14:paraId="2A6465BE">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 xml:space="preserve">注：采用保函形式递交保证金的（基本账户办理保函）： </w:t>
            </w:r>
          </w:p>
          <w:p w14:paraId="463D90B0">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 xml:space="preserve">（1）根据国家现行采购政策，投标保证金可以使用金融系统电子保函。 </w:t>
            </w:r>
          </w:p>
          <w:p w14:paraId="152879E1">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 xml:space="preserve">电子保函按照“一包段一保函”的原则，办理电子保函必须在投标截止时间（开标时间）前完成。投标人需自行评估异地、跨行、公休日等因素造成的保函办理延迟风险，并承担相应责任；开标前，投保人必须下载加密保单作为保证金缴纳凭证放入投标文件中； </w:t>
            </w:r>
          </w:p>
          <w:p w14:paraId="7917DC03">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 xml:space="preserve">（2）电子保函操作流程：登录政采云平台→点击右上角[金融服务]进入 </w:t>
            </w:r>
          </w:p>
          <w:p w14:paraId="3883E7C5">
            <w:pPr>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b/>
                <w:bCs/>
                <w:color w:val="auto"/>
                <w:spacing w:val="0"/>
                <w:w w:val="100"/>
                <w:kern w:val="0"/>
                <w:position w:val="0"/>
                <w:sz w:val="24"/>
                <w:szCs w:val="24"/>
                <w:highlight w:val="none"/>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 xml:space="preserve">详情页→点击页面上方[保险/保函]，根据实际情况申请办理即可。供应商须在投标截止时间前，将所投项目对应的保函随响应文件一起上传到政采云平台。 </w:t>
            </w:r>
          </w:p>
          <w:p w14:paraId="344E166F">
            <w:pPr>
              <w:keepNext w:val="0"/>
              <w:keepLines w:val="0"/>
              <w:pageBreakBefore w:val="0"/>
              <w:numPr>
                <w:ilvl w:val="0"/>
                <w:numId w:val="0"/>
              </w:numPr>
              <w:shd w:val="clear" w:color="auto" w:fill="auto"/>
              <w:wordWrap/>
              <w:overflowPunct/>
              <w:topLinePunct w:val="0"/>
              <w:bidi w:val="0"/>
              <w:spacing w:line="320" w:lineRule="exact"/>
              <w:jc w:val="lef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b/>
                <w:bCs/>
                <w:color w:val="auto"/>
                <w:spacing w:val="0"/>
                <w:w w:val="100"/>
                <w:kern w:val="0"/>
                <w:position w:val="0"/>
                <w:sz w:val="24"/>
                <w:szCs w:val="24"/>
                <w:highlight w:val="none"/>
                <w:lang w:val="en-US" w:eastAsia="zh-CN"/>
              </w:rPr>
              <w:t>友情提示：银行法定节假日不办理公对公账户电汇业务，请提前办理。投标保证金是否在规定截止时间前到户的风险由投标单位承担，投标保证金在银行的划转需要一定时间，望投标单位尽早缴纳！</w:t>
            </w:r>
            <w:r>
              <w:rPr>
                <w:rFonts w:hint="eastAsia" w:ascii="方正仿宋_GBK" w:hAnsi="方正仿宋_GBK" w:eastAsia="方正仿宋_GBK" w:cs="方正仿宋_GBK"/>
                <w:b w:val="0"/>
                <w:bCs w:val="0"/>
                <w:color w:val="auto"/>
                <w:sz w:val="24"/>
                <w:szCs w:val="24"/>
                <w:highlight w:val="none"/>
                <w:lang w:val="en-US" w:eastAsia="zh-CN"/>
              </w:rPr>
              <w:t xml:space="preserve">                     </w:t>
            </w:r>
            <w:r>
              <w:rPr>
                <w:rFonts w:hint="eastAsia" w:ascii="方正仿宋_GBK" w:hAnsi="方正仿宋_GBK" w:eastAsia="方正仿宋_GBK" w:cs="方正仿宋_GBK"/>
                <w:color w:val="auto"/>
                <w:sz w:val="24"/>
                <w:szCs w:val="24"/>
                <w:highlight w:val="none"/>
                <w:lang w:eastAsia="zh-CN"/>
              </w:rPr>
              <w:t xml:space="preserve"> </w:t>
            </w:r>
          </w:p>
        </w:tc>
      </w:tr>
      <w:tr w14:paraId="26D1390B">
        <w:tblPrEx>
          <w:tblCellMar>
            <w:top w:w="0" w:type="dxa"/>
            <w:left w:w="108" w:type="dxa"/>
            <w:bottom w:w="0" w:type="dxa"/>
            <w:right w:w="108" w:type="dxa"/>
          </w:tblCellMar>
        </w:tblPrEx>
        <w:trPr>
          <w:trHeight w:val="96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36816C5">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14</w:t>
            </w:r>
          </w:p>
        </w:tc>
        <w:tc>
          <w:tcPr>
            <w:tcW w:w="1407" w:type="dxa"/>
            <w:tcBorders>
              <w:top w:val="single" w:color="auto" w:sz="4" w:space="0"/>
              <w:left w:val="single" w:color="auto" w:sz="4" w:space="0"/>
              <w:bottom w:val="single" w:color="auto" w:sz="4" w:space="0"/>
              <w:right w:val="single" w:color="auto" w:sz="4" w:space="0"/>
            </w:tcBorders>
            <w:vAlign w:val="center"/>
          </w:tcPr>
          <w:p w14:paraId="3BC81FB8">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是否允许递交备选  投标方案</w:t>
            </w:r>
          </w:p>
        </w:tc>
        <w:tc>
          <w:tcPr>
            <w:tcW w:w="7400" w:type="dxa"/>
            <w:tcBorders>
              <w:top w:val="single" w:color="auto" w:sz="4" w:space="0"/>
              <w:left w:val="single" w:color="auto" w:sz="4" w:space="0"/>
              <w:bottom w:val="single" w:color="auto" w:sz="4" w:space="0"/>
              <w:right w:val="single" w:color="auto" w:sz="4" w:space="0"/>
            </w:tcBorders>
            <w:vAlign w:val="center"/>
          </w:tcPr>
          <w:p w14:paraId="63A51751">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☑不允许</w:t>
            </w:r>
          </w:p>
          <w:p w14:paraId="7F7E4F1B">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□允  许</w:t>
            </w:r>
          </w:p>
        </w:tc>
      </w:tr>
      <w:tr w14:paraId="7B12A4A2">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F66FA03">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15</w:t>
            </w:r>
          </w:p>
        </w:tc>
        <w:tc>
          <w:tcPr>
            <w:tcW w:w="1407" w:type="dxa"/>
            <w:tcBorders>
              <w:top w:val="single" w:color="auto" w:sz="4" w:space="0"/>
              <w:left w:val="single" w:color="auto" w:sz="4" w:space="0"/>
              <w:bottom w:val="single" w:color="auto" w:sz="4" w:space="0"/>
              <w:right w:val="single" w:color="auto" w:sz="4" w:space="0"/>
            </w:tcBorders>
            <w:vAlign w:val="center"/>
          </w:tcPr>
          <w:p w14:paraId="4A52AB6F">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招标文件领取</w:t>
            </w:r>
          </w:p>
        </w:tc>
        <w:tc>
          <w:tcPr>
            <w:tcW w:w="7400" w:type="dxa"/>
            <w:tcBorders>
              <w:top w:val="single" w:color="auto" w:sz="4" w:space="0"/>
              <w:left w:val="single" w:color="auto" w:sz="4" w:space="0"/>
              <w:bottom w:val="single" w:color="auto" w:sz="4" w:space="0"/>
              <w:right w:val="single" w:color="auto" w:sz="4" w:space="0"/>
            </w:tcBorders>
            <w:vAlign w:val="center"/>
          </w:tcPr>
          <w:p w14:paraId="225F0AF8">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u w:val="none"/>
                <w:lang w:eastAsia="zh-CN"/>
              </w:rPr>
              <w:t>时间：</w:t>
            </w:r>
            <w:r>
              <w:rPr>
                <w:rFonts w:hint="eastAsia" w:ascii="方正仿宋_GBK" w:hAnsi="方正仿宋_GBK" w:eastAsia="方正仿宋_GBK" w:cs="方正仿宋_GBK"/>
                <w:color w:val="auto"/>
                <w:sz w:val="24"/>
                <w:szCs w:val="24"/>
                <w:highlight w:val="none"/>
                <w:u w:val="single"/>
                <w:lang w:eastAsia="zh-CN"/>
              </w:rPr>
              <w:t>202</w:t>
            </w:r>
            <w:r>
              <w:rPr>
                <w:rFonts w:hint="eastAsia" w:ascii="方正仿宋_GBK" w:hAnsi="方正仿宋_GBK" w:eastAsia="方正仿宋_GBK" w:cs="方正仿宋_GBK"/>
                <w:color w:val="auto"/>
                <w:sz w:val="24"/>
                <w:szCs w:val="24"/>
                <w:highlight w:val="none"/>
                <w:u w:val="single"/>
                <w:lang w:val="en-US" w:eastAsia="zh-CN"/>
              </w:rPr>
              <w:t>5</w:t>
            </w:r>
            <w:r>
              <w:rPr>
                <w:rFonts w:hint="eastAsia" w:ascii="方正仿宋_GBK" w:hAnsi="方正仿宋_GBK" w:eastAsia="方正仿宋_GBK" w:cs="方正仿宋_GBK"/>
                <w:color w:val="auto"/>
                <w:sz w:val="24"/>
                <w:szCs w:val="24"/>
                <w:highlight w:val="none"/>
                <w:u w:val="single"/>
                <w:lang w:eastAsia="zh-CN"/>
              </w:rPr>
              <w:t>年</w:t>
            </w:r>
            <w:r>
              <w:rPr>
                <w:rFonts w:hint="eastAsia" w:ascii="方正仿宋_GBK" w:hAnsi="方正仿宋_GBK" w:eastAsia="方正仿宋_GBK" w:cs="方正仿宋_GBK"/>
                <w:color w:val="auto"/>
                <w:sz w:val="24"/>
                <w:szCs w:val="24"/>
                <w:highlight w:val="none"/>
                <w:u w:val="single"/>
                <w:lang w:val="en-US" w:eastAsia="zh-CN"/>
              </w:rPr>
              <w:t>7</w:t>
            </w:r>
            <w:r>
              <w:rPr>
                <w:rFonts w:hint="eastAsia" w:ascii="方正仿宋_GBK" w:hAnsi="方正仿宋_GBK" w:eastAsia="方正仿宋_GBK" w:cs="方正仿宋_GBK"/>
                <w:color w:val="auto"/>
                <w:sz w:val="24"/>
                <w:szCs w:val="24"/>
                <w:highlight w:val="none"/>
                <w:u w:val="single"/>
                <w:lang w:eastAsia="zh-CN"/>
              </w:rPr>
              <w:t>月</w:t>
            </w:r>
            <w:r>
              <w:rPr>
                <w:rFonts w:hint="eastAsia" w:ascii="方正仿宋_GBK" w:hAnsi="方正仿宋_GBK" w:eastAsia="方正仿宋_GBK" w:cs="方正仿宋_GBK"/>
                <w:color w:val="auto"/>
                <w:sz w:val="24"/>
                <w:szCs w:val="24"/>
                <w:highlight w:val="none"/>
                <w:u w:val="single"/>
                <w:lang w:val="en-US" w:eastAsia="zh-CN"/>
              </w:rPr>
              <w:t>7</w:t>
            </w:r>
            <w:r>
              <w:rPr>
                <w:rFonts w:hint="eastAsia" w:ascii="方正仿宋_GBK" w:hAnsi="方正仿宋_GBK" w:eastAsia="方正仿宋_GBK" w:cs="方正仿宋_GBK"/>
                <w:color w:val="auto"/>
                <w:sz w:val="24"/>
                <w:szCs w:val="24"/>
                <w:highlight w:val="none"/>
                <w:u w:val="single"/>
                <w:lang w:eastAsia="zh-CN"/>
              </w:rPr>
              <w:t>日至202</w:t>
            </w:r>
            <w:r>
              <w:rPr>
                <w:rFonts w:hint="eastAsia" w:ascii="方正仿宋_GBK" w:hAnsi="方正仿宋_GBK" w:eastAsia="方正仿宋_GBK" w:cs="方正仿宋_GBK"/>
                <w:color w:val="auto"/>
                <w:sz w:val="24"/>
                <w:szCs w:val="24"/>
                <w:highlight w:val="none"/>
                <w:u w:val="single"/>
                <w:lang w:val="en-US" w:eastAsia="zh-CN"/>
              </w:rPr>
              <w:t>5</w:t>
            </w:r>
            <w:r>
              <w:rPr>
                <w:rFonts w:hint="eastAsia" w:ascii="方正仿宋_GBK" w:hAnsi="方正仿宋_GBK" w:eastAsia="方正仿宋_GBK" w:cs="方正仿宋_GBK"/>
                <w:color w:val="auto"/>
                <w:sz w:val="24"/>
                <w:szCs w:val="24"/>
                <w:highlight w:val="none"/>
                <w:u w:val="single"/>
                <w:lang w:eastAsia="zh-CN"/>
              </w:rPr>
              <w:t>年</w:t>
            </w:r>
            <w:r>
              <w:rPr>
                <w:rFonts w:hint="eastAsia" w:ascii="方正仿宋_GBK" w:hAnsi="方正仿宋_GBK" w:eastAsia="方正仿宋_GBK" w:cs="方正仿宋_GBK"/>
                <w:color w:val="auto"/>
                <w:sz w:val="24"/>
                <w:szCs w:val="24"/>
                <w:highlight w:val="none"/>
                <w:u w:val="single"/>
                <w:lang w:val="en-US" w:eastAsia="zh-CN"/>
              </w:rPr>
              <w:t>7</w:t>
            </w:r>
            <w:r>
              <w:rPr>
                <w:rFonts w:hint="eastAsia" w:ascii="方正仿宋_GBK" w:hAnsi="方正仿宋_GBK" w:eastAsia="方正仿宋_GBK" w:cs="方正仿宋_GBK"/>
                <w:color w:val="auto"/>
                <w:sz w:val="24"/>
                <w:szCs w:val="24"/>
                <w:highlight w:val="none"/>
                <w:u w:val="single"/>
                <w:lang w:eastAsia="zh-CN"/>
              </w:rPr>
              <w:t>月</w:t>
            </w:r>
            <w:r>
              <w:rPr>
                <w:rFonts w:hint="eastAsia" w:ascii="方正仿宋_GBK" w:hAnsi="方正仿宋_GBK" w:eastAsia="方正仿宋_GBK" w:cs="方正仿宋_GBK"/>
                <w:color w:val="auto"/>
                <w:sz w:val="24"/>
                <w:szCs w:val="24"/>
                <w:highlight w:val="none"/>
                <w:u w:val="single"/>
                <w:lang w:val="en-US" w:eastAsia="zh-CN"/>
              </w:rPr>
              <w:t>14</w:t>
            </w:r>
            <w:r>
              <w:rPr>
                <w:rFonts w:hint="eastAsia" w:ascii="方正仿宋_GBK" w:hAnsi="方正仿宋_GBK" w:eastAsia="方正仿宋_GBK" w:cs="方正仿宋_GBK"/>
                <w:color w:val="auto"/>
                <w:sz w:val="24"/>
                <w:szCs w:val="24"/>
                <w:highlight w:val="none"/>
                <w:u w:val="single"/>
                <w:lang w:eastAsia="zh-CN"/>
              </w:rPr>
              <w:t>日</w:t>
            </w:r>
            <w:r>
              <w:rPr>
                <w:rFonts w:hint="eastAsia" w:ascii="方正仿宋_GBK" w:hAnsi="方正仿宋_GBK" w:eastAsia="方正仿宋_GBK" w:cs="方正仿宋_GBK"/>
                <w:color w:val="auto"/>
                <w:sz w:val="24"/>
                <w:szCs w:val="24"/>
                <w:highlight w:val="none"/>
                <w:lang w:eastAsia="zh-CN"/>
              </w:rPr>
              <w:t>，每天上午10:00至1</w:t>
            </w: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0</w:t>
            </w:r>
            <w:r>
              <w:rPr>
                <w:rFonts w:hint="eastAsia" w:ascii="方正仿宋_GBK" w:hAnsi="方正仿宋_GBK" w:eastAsia="方正仿宋_GBK" w:cs="方正仿宋_GBK"/>
                <w:color w:val="auto"/>
                <w:sz w:val="24"/>
                <w:szCs w:val="24"/>
                <w:highlight w:val="none"/>
                <w:lang w:eastAsia="zh-CN"/>
              </w:rPr>
              <w:t>0，下午16:</w:t>
            </w:r>
            <w:r>
              <w:rPr>
                <w:rFonts w:hint="eastAsia" w:ascii="方正仿宋_GBK" w:hAnsi="方正仿宋_GBK" w:eastAsia="方正仿宋_GBK" w:cs="方正仿宋_GBK"/>
                <w:color w:val="auto"/>
                <w:sz w:val="24"/>
                <w:szCs w:val="24"/>
                <w:highlight w:val="none"/>
                <w:lang w:val="en-US" w:eastAsia="zh-CN"/>
              </w:rPr>
              <w:t>0</w:t>
            </w:r>
            <w:r>
              <w:rPr>
                <w:rFonts w:hint="eastAsia" w:ascii="方正仿宋_GBK" w:hAnsi="方正仿宋_GBK" w:eastAsia="方正仿宋_GBK" w:cs="方正仿宋_GBK"/>
                <w:color w:val="auto"/>
                <w:sz w:val="24"/>
                <w:szCs w:val="24"/>
                <w:highlight w:val="none"/>
                <w:lang w:eastAsia="zh-CN"/>
              </w:rPr>
              <w:t>0至</w:t>
            </w:r>
            <w:r>
              <w:rPr>
                <w:rFonts w:hint="eastAsia" w:ascii="方正仿宋_GBK" w:hAnsi="方正仿宋_GBK" w:eastAsia="方正仿宋_GBK" w:cs="方正仿宋_GBK"/>
                <w:color w:val="auto"/>
                <w:sz w:val="24"/>
                <w:szCs w:val="24"/>
                <w:highlight w:val="none"/>
                <w:lang w:val="en-US" w:eastAsia="zh-CN"/>
              </w:rPr>
              <w:t>23</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eastAsia="zh-CN"/>
              </w:rPr>
              <w:t>59</w:t>
            </w:r>
            <w:r>
              <w:rPr>
                <w:rFonts w:hint="eastAsia" w:ascii="方正仿宋_GBK" w:hAnsi="方正仿宋_GBK" w:eastAsia="方正仿宋_GBK" w:cs="方正仿宋_GBK"/>
                <w:color w:val="auto"/>
                <w:sz w:val="24"/>
                <w:szCs w:val="24"/>
                <w:highlight w:val="none"/>
                <w:lang w:eastAsia="zh-CN"/>
              </w:rPr>
              <w:t>（北京时间，节假日除外）</w:t>
            </w:r>
          </w:p>
          <w:p w14:paraId="02AF072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地点：政采云平台线上。</w:t>
            </w:r>
          </w:p>
          <w:p w14:paraId="5E79558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方式：供应商登录政采云平台https://www.zcygov.cn/在线申请获取采购文件（进入“项目采购”应用，在获取采购文件菜单中选择项目，申请获取采购文件）</w:t>
            </w:r>
          </w:p>
          <w:p w14:paraId="366BD1A3">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（2）供应商获取招标文件前应注册成为政府采购云平台正式供应商。</w:t>
            </w:r>
          </w:p>
        </w:tc>
      </w:tr>
      <w:tr w14:paraId="4AB0D1CD">
        <w:tblPrEx>
          <w:tblCellMar>
            <w:top w:w="0" w:type="dxa"/>
            <w:left w:w="108" w:type="dxa"/>
            <w:bottom w:w="0" w:type="dxa"/>
            <w:right w:w="108" w:type="dxa"/>
          </w:tblCellMar>
        </w:tblPrEx>
        <w:trPr>
          <w:trHeight w:val="26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021F8F5">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16</w:t>
            </w:r>
          </w:p>
        </w:tc>
        <w:tc>
          <w:tcPr>
            <w:tcW w:w="1407" w:type="dxa"/>
            <w:tcBorders>
              <w:top w:val="single" w:color="auto" w:sz="4" w:space="0"/>
              <w:left w:val="single" w:color="auto" w:sz="4" w:space="0"/>
              <w:bottom w:val="single" w:color="auto" w:sz="4" w:space="0"/>
              <w:right w:val="single" w:color="auto" w:sz="4" w:space="0"/>
            </w:tcBorders>
            <w:vAlign w:val="center"/>
          </w:tcPr>
          <w:p w14:paraId="0D076F15">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投标文件形式</w:t>
            </w:r>
          </w:p>
        </w:tc>
        <w:tc>
          <w:tcPr>
            <w:tcW w:w="7400" w:type="dxa"/>
            <w:tcBorders>
              <w:top w:val="single" w:color="auto" w:sz="4" w:space="0"/>
              <w:left w:val="single" w:color="auto" w:sz="4" w:space="0"/>
              <w:bottom w:val="single" w:color="auto" w:sz="4" w:space="0"/>
              <w:right w:val="single" w:color="auto" w:sz="4" w:space="0"/>
            </w:tcBorders>
            <w:vAlign w:val="center"/>
          </w:tcPr>
          <w:p w14:paraId="07E5BD34">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“电子加密投标文件”是指通过“政采云电子交易客户端”完成投标文件编制后生成并加密的数据电文形式的投标文件。</w:t>
            </w:r>
          </w:p>
        </w:tc>
      </w:tr>
      <w:tr w14:paraId="1020F0D4">
        <w:tblPrEx>
          <w:tblCellMar>
            <w:top w:w="0" w:type="dxa"/>
            <w:left w:w="108" w:type="dxa"/>
            <w:bottom w:w="0" w:type="dxa"/>
            <w:right w:w="108" w:type="dxa"/>
          </w:tblCellMar>
        </w:tblPrEx>
        <w:trPr>
          <w:trHeight w:val="73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7BE8353C">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17</w:t>
            </w:r>
          </w:p>
        </w:tc>
        <w:tc>
          <w:tcPr>
            <w:tcW w:w="1407" w:type="dxa"/>
            <w:tcBorders>
              <w:top w:val="single" w:color="auto" w:sz="4" w:space="0"/>
              <w:left w:val="single" w:color="auto" w:sz="4" w:space="0"/>
              <w:bottom w:val="single" w:color="auto" w:sz="4" w:space="0"/>
              <w:right w:val="single" w:color="auto" w:sz="4" w:space="0"/>
            </w:tcBorders>
            <w:vAlign w:val="center"/>
          </w:tcPr>
          <w:p w14:paraId="605158CF">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投标文件要求</w:t>
            </w:r>
          </w:p>
        </w:tc>
        <w:tc>
          <w:tcPr>
            <w:tcW w:w="7400" w:type="dxa"/>
            <w:tcBorders>
              <w:top w:val="single" w:color="auto" w:sz="4" w:space="0"/>
              <w:left w:val="single" w:color="auto" w:sz="4" w:space="0"/>
              <w:bottom w:val="single" w:color="auto" w:sz="4" w:space="0"/>
              <w:right w:val="single" w:color="auto" w:sz="4" w:space="0"/>
            </w:tcBorders>
            <w:vAlign w:val="center"/>
          </w:tcPr>
          <w:p w14:paraId="1545CC80">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1、一份电子加密标书（“.jmbs”格式）。</w:t>
            </w:r>
          </w:p>
          <w:p w14:paraId="5BC0E3A0">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2、每份电子投标文件应包括资格证明文件和商务及技术文件两部分。</w:t>
            </w:r>
          </w:p>
        </w:tc>
      </w:tr>
      <w:tr w14:paraId="72BEC8DA">
        <w:tblPrEx>
          <w:tblCellMar>
            <w:top w:w="0" w:type="dxa"/>
            <w:left w:w="108" w:type="dxa"/>
            <w:bottom w:w="0" w:type="dxa"/>
            <w:right w:w="108" w:type="dxa"/>
          </w:tblCellMar>
        </w:tblPrEx>
        <w:trPr>
          <w:trHeight w:val="2741" w:hRule="atLeast"/>
          <w:jc w:val="center"/>
        </w:trPr>
        <w:tc>
          <w:tcPr>
            <w:tcW w:w="558" w:type="dxa"/>
            <w:tcBorders>
              <w:top w:val="single" w:color="auto" w:sz="4" w:space="0"/>
              <w:left w:val="single" w:color="auto" w:sz="4" w:space="0"/>
              <w:right w:val="single" w:color="auto" w:sz="4" w:space="0"/>
            </w:tcBorders>
            <w:vAlign w:val="center"/>
          </w:tcPr>
          <w:p w14:paraId="077C8913">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18</w:t>
            </w:r>
          </w:p>
        </w:tc>
        <w:tc>
          <w:tcPr>
            <w:tcW w:w="1407" w:type="dxa"/>
            <w:tcBorders>
              <w:top w:val="single" w:color="auto" w:sz="4" w:space="0"/>
              <w:left w:val="single" w:color="auto" w:sz="4" w:space="0"/>
              <w:right w:val="single" w:color="auto" w:sz="4" w:space="0"/>
            </w:tcBorders>
            <w:vAlign w:val="center"/>
          </w:tcPr>
          <w:p w14:paraId="5EC6DB8A">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投标文件的上传和递交</w:t>
            </w:r>
          </w:p>
        </w:tc>
        <w:tc>
          <w:tcPr>
            <w:tcW w:w="7400" w:type="dxa"/>
            <w:tcBorders>
              <w:top w:val="single" w:color="auto" w:sz="4" w:space="0"/>
              <w:left w:val="single" w:color="auto" w:sz="4" w:space="0"/>
              <w:bottom w:val="single" w:color="auto" w:sz="4" w:space="0"/>
              <w:right w:val="single" w:color="auto" w:sz="4" w:space="0"/>
            </w:tcBorders>
            <w:vAlign w:val="center"/>
          </w:tcPr>
          <w:p w14:paraId="5B2B9C96">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1.电子加密投标文件：投标文件制作完成并生成加密标书，在投标截止时间前，供应商需将加密的投标文件上传至政采云平台，在开标时间开始后，待采购组织机构发出解密通知后30分钟内解密投标文件。</w:t>
            </w:r>
          </w:p>
          <w:p w14:paraId="123A728D">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a.供应商未能在投标截止时间前成功上传电子加密投标文件的投标无效。</w:t>
            </w:r>
          </w:p>
          <w:p w14:paraId="5E88E298">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b.供应商成功上传电子加密投标文件后，可自行打印投标文件接收回执。</w:t>
            </w:r>
          </w:p>
        </w:tc>
      </w:tr>
      <w:tr w14:paraId="26271B0A">
        <w:tblPrEx>
          <w:tblCellMar>
            <w:top w:w="0" w:type="dxa"/>
            <w:left w:w="108" w:type="dxa"/>
            <w:bottom w:w="0" w:type="dxa"/>
            <w:right w:w="108" w:type="dxa"/>
          </w:tblCellMar>
        </w:tblPrEx>
        <w:trPr>
          <w:trHeight w:val="823"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77B1E19E">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19</w:t>
            </w:r>
          </w:p>
        </w:tc>
        <w:tc>
          <w:tcPr>
            <w:tcW w:w="1407" w:type="dxa"/>
            <w:tcBorders>
              <w:top w:val="single" w:color="auto" w:sz="4" w:space="0"/>
              <w:left w:val="single" w:color="auto" w:sz="4" w:space="0"/>
              <w:bottom w:val="single" w:color="auto" w:sz="4" w:space="0"/>
              <w:right w:val="single" w:color="auto" w:sz="4" w:space="0"/>
            </w:tcBorders>
            <w:vAlign w:val="center"/>
          </w:tcPr>
          <w:p w14:paraId="1064EB81">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评标委员会的组建</w:t>
            </w:r>
          </w:p>
        </w:tc>
        <w:tc>
          <w:tcPr>
            <w:tcW w:w="7400" w:type="dxa"/>
            <w:tcBorders>
              <w:top w:val="single" w:color="auto" w:sz="4" w:space="0"/>
              <w:left w:val="single" w:color="auto" w:sz="4" w:space="0"/>
              <w:bottom w:val="single" w:color="auto" w:sz="4" w:space="0"/>
              <w:right w:val="single" w:color="auto" w:sz="4" w:space="0"/>
            </w:tcBorders>
            <w:vAlign w:val="center"/>
          </w:tcPr>
          <w:p w14:paraId="50658DC4">
            <w:pPr>
              <w:keepNext w:val="0"/>
              <w:keepLines w:val="0"/>
              <w:pageBreakBefore w:val="0"/>
              <w:wordWrap/>
              <w:overflowPunct/>
              <w:topLinePunct w:val="0"/>
              <w:bidi w:val="0"/>
              <w:spacing w:line="320" w:lineRule="exact"/>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评标委员会由招标人依法组建；评审专家</w:t>
            </w:r>
            <w:r>
              <w:rPr>
                <w:rFonts w:hint="eastAsia" w:ascii="仿宋_GB2312" w:hAnsi="仿宋_GB2312" w:eastAsia="仿宋_GB2312" w:cs="仿宋_GB2312"/>
                <w:color w:val="auto"/>
                <w:sz w:val="24"/>
                <w:szCs w:val="24"/>
                <w:highlight w:val="none"/>
                <w:lang w:val="en-US" w:eastAsia="zh-CN"/>
              </w:rPr>
              <w:t>5人及以上</w:t>
            </w:r>
          </w:p>
          <w:p w14:paraId="2C40B284">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评标专家确定方式：评标委员会由招标人在开标前从政采云专家库中随机抽取</w:t>
            </w:r>
          </w:p>
        </w:tc>
      </w:tr>
      <w:tr w14:paraId="33B58876">
        <w:tblPrEx>
          <w:tblCellMar>
            <w:top w:w="0" w:type="dxa"/>
            <w:left w:w="108" w:type="dxa"/>
            <w:bottom w:w="0" w:type="dxa"/>
            <w:right w:w="108" w:type="dxa"/>
          </w:tblCellMar>
        </w:tblPrEx>
        <w:trPr>
          <w:trHeight w:val="130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9BDF4B3">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20</w:t>
            </w:r>
          </w:p>
        </w:tc>
        <w:tc>
          <w:tcPr>
            <w:tcW w:w="1407" w:type="dxa"/>
            <w:tcBorders>
              <w:top w:val="single" w:color="auto" w:sz="4" w:space="0"/>
              <w:left w:val="single" w:color="auto" w:sz="4" w:space="0"/>
              <w:bottom w:val="single" w:color="auto" w:sz="4" w:space="0"/>
              <w:right w:val="single" w:color="auto" w:sz="4" w:space="0"/>
            </w:tcBorders>
            <w:vAlign w:val="center"/>
          </w:tcPr>
          <w:p w14:paraId="3C8C09E0">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是否授权评标委员会确定中标候选人</w:t>
            </w:r>
          </w:p>
        </w:tc>
        <w:tc>
          <w:tcPr>
            <w:tcW w:w="7400" w:type="dxa"/>
            <w:tcBorders>
              <w:top w:val="single" w:color="auto" w:sz="4" w:space="0"/>
              <w:left w:val="single" w:color="auto" w:sz="4" w:space="0"/>
              <w:bottom w:val="single" w:color="auto" w:sz="4" w:space="0"/>
              <w:right w:val="single" w:color="auto" w:sz="4" w:space="0"/>
            </w:tcBorders>
            <w:vAlign w:val="center"/>
          </w:tcPr>
          <w:p w14:paraId="63336C83">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zh-CN" w:eastAsia="zh-CN"/>
              </w:rPr>
            </w:pPr>
            <w:r>
              <w:rPr>
                <w:rFonts w:hint="eastAsia" w:ascii="方正仿宋_GBK" w:hAnsi="方正仿宋_GBK" w:eastAsia="方正仿宋_GBK" w:cs="方正仿宋_GBK"/>
                <w:color w:val="auto"/>
                <w:sz w:val="24"/>
                <w:szCs w:val="24"/>
                <w:highlight w:val="none"/>
                <w:lang w:val="en-US" w:eastAsia="zh-CN"/>
              </w:rPr>
              <w:t>否</w:t>
            </w:r>
          </w:p>
        </w:tc>
      </w:tr>
      <w:tr w14:paraId="58DAC03A">
        <w:tblPrEx>
          <w:tblCellMar>
            <w:top w:w="0" w:type="dxa"/>
            <w:left w:w="108" w:type="dxa"/>
            <w:bottom w:w="0" w:type="dxa"/>
            <w:right w:w="108" w:type="dxa"/>
          </w:tblCellMar>
        </w:tblPrEx>
        <w:trPr>
          <w:trHeight w:val="86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70E1C86">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21</w:t>
            </w:r>
          </w:p>
        </w:tc>
        <w:tc>
          <w:tcPr>
            <w:tcW w:w="1407" w:type="dxa"/>
            <w:tcBorders>
              <w:top w:val="single" w:color="auto" w:sz="4" w:space="0"/>
              <w:left w:val="single" w:color="auto" w:sz="4" w:space="0"/>
              <w:bottom w:val="single" w:color="auto" w:sz="4" w:space="0"/>
              <w:right w:val="single" w:color="auto" w:sz="4" w:space="0"/>
            </w:tcBorders>
            <w:vAlign w:val="center"/>
          </w:tcPr>
          <w:p w14:paraId="06DE7137">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递交投标文件地点</w:t>
            </w:r>
          </w:p>
        </w:tc>
        <w:tc>
          <w:tcPr>
            <w:tcW w:w="7400" w:type="dxa"/>
            <w:tcBorders>
              <w:top w:val="single" w:color="auto" w:sz="4" w:space="0"/>
              <w:left w:val="single" w:color="auto" w:sz="4" w:space="0"/>
              <w:bottom w:val="single" w:color="auto" w:sz="4" w:space="0"/>
              <w:right w:val="single" w:color="auto" w:sz="4" w:space="0"/>
            </w:tcBorders>
            <w:vAlign w:val="center"/>
          </w:tcPr>
          <w:p w14:paraId="5B0ABF5C">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投标截止时间：</w:t>
            </w:r>
            <w:r>
              <w:rPr>
                <w:rFonts w:hint="eastAsia" w:ascii="方正仿宋_GBK" w:hAnsi="方正仿宋_GBK" w:eastAsia="方正仿宋_GBK" w:cs="方正仿宋_GBK"/>
                <w:color w:val="auto"/>
                <w:kern w:val="2"/>
                <w:sz w:val="24"/>
                <w:szCs w:val="24"/>
                <w:highlight w:val="none"/>
                <w:u w:val="single"/>
                <w:lang w:eastAsia="zh-CN" w:bidi="ar-SA"/>
              </w:rPr>
              <w:t>202</w:t>
            </w:r>
            <w:r>
              <w:rPr>
                <w:rFonts w:hint="eastAsia" w:ascii="方正仿宋_GBK" w:hAnsi="方正仿宋_GBK" w:eastAsia="方正仿宋_GBK" w:cs="方正仿宋_GBK"/>
                <w:color w:val="auto"/>
                <w:kern w:val="2"/>
                <w:sz w:val="24"/>
                <w:szCs w:val="24"/>
                <w:highlight w:val="none"/>
                <w:u w:val="single"/>
                <w:lang w:val="en-US" w:eastAsia="zh-CN" w:bidi="ar-SA"/>
              </w:rPr>
              <w:t>5</w:t>
            </w:r>
            <w:r>
              <w:rPr>
                <w:rFonts w:hint="eastAsia" w:ascii="方正仿宋_GBK" w:hAnsi="方正仿宋_GBK" w:eastAsia="方正仿宋_GBK" w:cs="方正仿宋_GBK"/>
                <w:color w:val="auto"/>
                <w:kern w:val="2"/>
                <w:sz w:val="24"/>
                <w:szCs w:val="24"/>
                <w:highlight w:val="none"/>
                <w:u w:val="single"/>
                <w:lang w:eastAsia="zh-CN" w:bidi="ar-SA"/>
              </w:rPr>
              <w:t>年</w:t>
            </w:r>
            <w:r>
              <w:rPr>
                <w:rFonts w:hint="eastAsia" w:ascii="方正仿宋_GBK" w:hAnsi="方正仿宋_GBK" w:eastAsia="方正仿宋_GBK" w:cs="方正仿宋_GBK"/>
                <w:color w:val="auto"/>
                <w:kern w:val="2"/>
                <w:sz w:val="24"/>
                <w:szCs w:val="24"/>
                <w:highlight w:val="none"/>
                <w:u w:val="single"/>
                <w:lang w:val="en-US" w:eastAsia="zh-CN" w:bidi="ar-SA"/>
              </w:rPr>
              <w:t>7</w:t>
            </w:r>
            <w:r>
              <w:rPr>
                <w:rFonts w:hint="eastAsia" w:ascii="方正仿宋_GBK" w:hAnsi="方正仿宋_GBK" w:eastAsia="方正仿宋_GBK" w:cs="方正仿宋_GBK"/>
                <w:color w:val="auto"/>
                <w:kern w:val="2"/>
                <w:sz w:val="24"/>
                <w:szCs w:val="24"/>
                <w:highlight w:val="none"/>
                <w:u w:val="single"/>
                <w:lang w:eastAsia="zh-CN" w:bidi="ar-SA"/>
              </w:rPr>
              <w:t>月</w:t>
            </w:r>
            <w:r>
              <w:rPr>
                <w:rFonts w:hint="eastAsia" w:ascii="方正仿宋_GBK" w:hAnsi="方正仿宋_GBK" w:eastAsia="方正仿宋_GBK" w:cs="方正仿宋_GBK"/>
                <w:color w:val="auto"/>
                <w:kern w:val="2"/>
                <w:sz w:val="24"/>
                <w:szCs w:val="24"/>
                <w:highlight w:val="none"/>
                <w:u w:val="single"/>
                <w:lang w:val="en-US" w:eastAsia="zh-CN" w:bidi="ar-SA"/>
              </w:rPr>
              <w:t>29</w:t>
            </w:r>
            <w:r>
              <w:rPr>
                <w:rFonts w:hint="eastAsia" w:ascii="方正仿宋_GBK" w:hAnsi="方正仿宋_GBK" w:eastAsia="方正仿宋_GBK" w:cs="方正仿宋_GBK"/>
                <w:color w:val="auto"/>
                <w:kern w:val="2"/>
                <w:sz w:val="24"/>
                <w:szCs w:val="24"/>
                <w:highlight w:val="none"/>
                <w:u w:val="single"/>
                <w:lang w:eastAsia="zh-CN" w:bidi="ar-SA"/>
              </w:rPr>
              <w:t>日</w:t>
            </w:r>
            <w:r>
              <w:rPr>
                <w:rFonts w:hint="eastAsia" w:ascii="方正仿宋_GBK" w:hAnsi="方正仿宋_GBK" w:eastAsia="方正仿宋_GBK" w:cs="方正仿宋_GBK"/>
                <w:color w:val="auto"/>
                <w:sz w:val="24"/>
                <w:szCs w:val="24"/>
                <w:highlight w:val="none"/>
                <w:lang w:eastAsia="zh-CN"/>
              </w:rPr>
              <w:t>上午</w:t>
            </w:r>
            <w:r>
              <w:rPr>
                <w:rFonts w:hint="eastAsia" w:ascii="方正仿宋_GBK" w:hAnsi="方正仿宋_GBK" w:eastAsia="方正仿宋_GBK" w:cs="方正仿宋_GBK"/>
                <w:color w:val="auto"/>
                <w:sz w:val="24"/>
                <w:szCs w:val="24"/>
                <w:highlight w:val="none"/>
                <w:lang w:val="en-US" w:eastAsia="zh-CN"/>
              </w:rPr>
              <w:t>13</w:t>
            </w:r>
            <w:r>
              <w:rPr>
                <w:rFonts w:hint="eastAsia" w:ascii="方正仿宋_GBK" w:hAnsi="方正仿宋_GBK" w:eastAsia="方正仿宋_GBK" w:cs="方正仿宋_GBK"/>
                <w:color w:val="auto"/>
                <w:sz w:val="24"/>
                <w:szCs w:val="24"/>
                <w:highlight w:val="none"/>
                <w:lang w:eastAsia="zh-CN"/>
              </w:rPr>
              <w:t>时</w:t>
            </w:r>
            <w:r>
              <w:rPr>
                <w:rFonts w:hint="eastAsia" w:ascii="方正仿宋_GBK" w:hAnsi="方正仿宋_GBK" w:eastAsia="方正仿宋_GBK" w:cs="方正仿宋_GBK"/>
                <w:color w:val="auto"/>
                <w:sz w:val="24"/>
                <w:szCs w:val="24"/>
                <w:highlight w:val="none"/>
                <w:lang w:val="en-US" w:eastAsia="zh-CN"/>
              </w:rPr>
              <w:t>00</w:t>
            </w:r>
            <w:r>
              <w:rPr>
                <w:rFonts w:hint="eastAsia" w:ascii="方正仿宋_GBK" w:hAnsi="方正仿宋_GBK" w:eastAsia="方正仿宋_GBK" w:cs="方正仿宋_GBK"/>
                <w:color w:val="auto"/>
                <w:sz w:val="24"/>
                <w:szCs w:val="24"/>
                <w:highlight w:val="none"/>
                <w:lang w:eastAsia="zh-CN"/>
              </w:rPr>
              <w:t>分（北京时间）</w:t>
            </w:r>
          </w:p>
          <w:p w14:paraId="0461B239">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投标地点：新疆政府采购云平台（www.zcygov.cn）</w:t>
            </w:r>
          </w:p>
        </w:tc>
      </w:tr>
      <w:tr w14:paraId="2B61C345">
        <w:tblPrEx>
          <w:tblCellMar>
            <w:top w:w="0" w:type="dxa"/>
            <w:left w:w="108" w:type="dxa"/>
            <w:bottom w:w="0" w:type="dxa"/>
            <w:right w:w="108" w:type="dxa"/>
          </w:tblCellMar>
        </w:tblPrEx>
        <w:trPr>
          <w:trHeight w:val="866" w:hRule="atLeast"/>
          <w:jc w:val="center"/>
        </w:trPr>
        <w:tc>
          <w:tcPr>
            <w:tcW w:w="558" w:type="dxa"/>
            <w:tcBorders>
              <w:top w:val="single" w:color="auto" w:sz="4" w:space="0"/>
              <w:left w:val="single" w:color="auto" w:sz="4" w:space="0"/>
              <w:right w:val="single" w:color="auto" w:sz="4" w:space="0"/>
            </w:tcBorders>
            <w:vAlign w:val="center"/>
          </w:tcPr>
          <w:p w14:paraId="55A0F4D1">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22</w:t>
            </w:r>
          </w:p>
        </w:tc>
        <w:tc>
          <w:tcPr>
            <w:tcW w:w="1407" w:type="dxa"/>
            <w:tcBorders>
              <w:top w:val="single" w:color="auto" w:sz="4" w:space="0"/>
              <w:left w:val="single" w:color="auto" w:sz="4" w:space="0"/>
              <w:right w:val="single" w:color="auto" w:sz="4" w:space="0"/>
            </w:tcBorders>
            <w:vAlign w:val="center"/>
          </w:tcPr>
          <w:p w14:paraId="3F3C5EF4">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开标时间和地点</w:t>
            </w:r>
          </w:p>
        </w:tc>
        <w:tc>
          <w:tcPr>
            <w:tcW w:w="7400" w:type="dxa"/>
            <w:tcBorders>
              <w:top w:val="single" w:color="auto" w:sz="4" w:space="0"/>
              <w:left w:val="single" w:color="auto" w:sz="4" w:space="0"/>
              <w:right w:val="single" w:color="auto" w:sz="4" w:space="0"/>
            </w:tcBorders>
            <w:vAlign w:val="center"/>
          </w:tcPr>
          <w:p w14:paraId="46EEEDFA">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开标时间：</w:t>
            </w:r>
            <w:r>
              <w:rPr>
                <w:rFonts w:hint="eastAsia" w:ascii="方正仿宋_GBK" w:hAnsi="方正仿宋_GBK" w:eastAsia="方正仿宋_GBK" w:cs="方正仿宋_GBK"/>
                <w:color w:val="auto"/>
                <w:kern w:val="2"/>
                <w:sz w:val="24"/>
                <w:szCs w:val="24"/>
                <w:highlight w:val="none"/>
                <w:u w:val="single"/>
                <w:lang w:eastAsia="zh-CN" w:bidi="ar-SA"/>
              </w:rPr>
              <w:t>202</w:t>
            </w:r>
            <w:r>
              <w:rPr>
                <w:rFonts w:hint="eastAsia" w:ascii="方正仿宋_GBK" w:hAnsi="方正仿宋_GBK" w:eastAsia="方正仿宋_GBK" w:cs="方正仿宋_GBK"/>
                <w:color w:val="auto"/>
                <w:kern w:val="2"/>
                <w:sz w:val="24"/>
                <w:szCs w:val="24"/>
                <w:highlight w:val="none"/>
                <w:u w:val="single"/>
                <w:lang w:val="en-US" w:eastAsia="zh-CN" w:bidi="ar-SA"/>
              </w:rPr>
              <w:t>5</w:t>
            </w:r>
            <w:r>
              <w:rPr>
                <w:rFonts w:hint="eastAsia" w:ascii="方正仿宋_GBK" w:hAnsi="方正仿宋_GBK" w:eastAsia="方正仿宋_GBK" w:cs="方正仿宋_GBK"/>
                <w:color w:val="auto"/>
                <w:kern w:val="2"/>
                <w:sz w:val="24"/>
                <w:szCs w:val="24"/>
                <w:highlight w:val="none"/>
                <w:u w:val="single"/>
                <w:lang w:eastAsia="zh-CN" w:bidi="ar-SA"/>
              </w:rPr>
              <w:t>年</w:t>
            </w:r>
            <w:r>
              <w:rPr>
                <w:rFonts w:hint="eastAsia" w:ascii="方正仿宋_GBK" w:hAnsi="方正仿宋_GBK" w:eastAsia="方正仿宋_GBK" w:cs="方正仿宋_GBK"/>
                <w:color w:val="auto"/>
                <w:kern w:val="2"/>
                <w:sz w:val="24"/>
                <w:szCs w:val="24"/>
                <w:highlight w:val="none"/>
                <w:u w:val="single"/>
                <w:lang w:val="en-US" w:eastAsia="zh-CN" w:bidi="ar-SA"/>
              </w:rPr>
              <w:t>7</w:t>
            </w:r>
            <w:r>
              <w:rPr>
                <w:rFonts w:hint="eastAsia" w:ascii="方正仿宋_GBK" w:hAnsi="方正仿宋_GBK" w:eastAsia="方正仿宋_GBK" w:cs="方正仿宋_GBK"/>
                <w:color w:val="auto"/>
                <w:kern w:val="2"/>
                <w:sz w:val="24"/>
                <w:szCs w:val="24"/>
                <w:highlight w:val="none"/>
                <w:u w:val="single"/>
                <w:lang w:eastAsia="zh-CN" w:bidi="ar-SA"/>
              </w:rPr>
              <w:t>月</w:t>
            </w:r>
            <w:r>
              <w:rPr>
                <w:rFonts w:hint="eastAsia" w:ascii="方正仿宋_GBK" w:hAnsi="方正仿宋_GBK" w:eastAsia="方正仿宋_GBK" w:cs="方正仿宋_GBK"/>
                <w:color w:val="auto"/>
                <w:kern w:val="2"/>
                <w:sz w:val="24"/>
                <w:szCs w:val="24"/>
                <w:highlight w:val="none"/>
                <w:u w:val="single"/>
                <w:lang w:val="en-US" w:eastAsia="zh-CN" w:bidi="ar-SA"/>
              </w:rPr>
              <w:t>29</w:t>
            </w:r>
            <w:r>
              <w:rPr>
                <w:rFonts w:hint="eastAsia" w:ascii="方正仿宋_GBK" w:hAnsi="方正仿宋_GBK" w:eastAsia="方正仿宋_GBK" w:cs="方正仿宋_GBK"/>
                <w:color w:val="auto"/>
                <w:kern w:val="2"/>
                <w:sz w:val="24"/>
                <w:szCs w:val="24"/>
                <w:highlight w:val="none"/>
                <w:u w:val="single"/>
                <w:lang w:eastAsia="zh-CN" w:bidi="ar-SA"/>
              </w:rPr>
              <w:t>日</w:t>
            </w:r>
            <w:r>
              <w:rPr>
                <w:rFonts w:hint="eastAsia" w:ascii="方正仿宋_GBK" w:hAnsi="方正仿宋_GBK" w:eastAsia="方正仿宋_GBK" w:cs="方正仿宋_GBK"/>
                <w:color w:val="auto"/>
                <w:sz w:val="24"/>
                <w:szCs w:val="24"/>
                <w:highlight w:val="none"/>
                <w:lang w:eastAsia="zh-CN"/>
              </w:rPr>
              <w:t>上午</w:t>
            </w:r>
            <w:r>
              <w:rPr>
                <w:rFonts w:hint="eastAsia" w:ascii="方正仿宋_GBK" w:hAnsi="方正仿宋_GBK" w:eastAsia="方正仿宋_GBK" w:cs="方正仿宋_GBK"/>
                <w:color w:val="auto"/>
                <w:sz w:val="24"/>
                <w:szCs w:val="24"/>
                <w:highlight w:val="none"/>
                <w:lang w:val="en-US" w:eastAsia="zh-CN"/>
              </w:rPr>
              <w:t>13</w:t>
            </w:r>
            <w:r>
              <w:rPr>
                <w:rFonts w:hint="eastAsia" w:ascii="方正仿宋_GBK" w:hAnsi="方正仿宋_GBK" w:eastAsia="方正仿宋_GBK" w:cs="方正仿宋_GBK"/>
                <w:color w:val="auto"/>
                <w:sz w:val="24"/>
                <w:szCs w:val="24"/>
                <w:highlight w:val="none"/>
                <w:lang w:eastAsia="zh-CN"/>
              </w:rPr>
              <w:t>时</w:t>
            </w:r>
            <w:r>
              <w:rPr>
                <w:rFonts w:hint="eastAsia" w:ascii="方正仿宋_GBK" w:hAnsi="方正仿宋_GBK" w:eastAsia="方正仿宋_GBK" w:cs="方正仿宋_GBK"/>
                <w:color w:val="auto"/>
                <w:sz w:val="24"/>
                <w:szCs w:val="24"/>
                <w:highlight w:val="none"/>
                <w:lang w:val="en-US" w:eastAsia="zh-CN"/>
              </w:rPr>
              <w:t>00</w:t>
            </w:r>
            <w:r>
              <w:rPr>
                <w:rFonts w:hint="eastAsia" w:ascii="方正仿宋_GBK" w:hAnsi="方正仿宋_GBK" w:eastAsia="方正仿宋_GBK" w:cs="方正仿宋_GBK"/>
                <w:color w:val="auto"/>
                <w:sz w:val="24"/>
                <w:szCs w:val="24"/>
                <w:highlight w:val="none"/>
                <w:lang w:eastAsia="zh-CN"/>
              </w:rPr>
              <w:t>分（北京时间）</w:t>
            </w:r>
          </w:p>
          <w:p w14:paraId="42D045FA">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 xml:space="preserve">开标地点：新疆政府采购云平台（www.zcygov.cn）         </w:t>
            </w:r>
          </w:p>
        </w:tc>
      </w:tr>
      <w:tr w14:paraId="7F6EE71D">
        <w:tblPrEx>
          <w:tblCellMar>
            <w:top w:w="0" w:type="dxa"/>
            <w:left w:w="108" w:type="dxa"/>
            <w:bottom w:w="0" w:type="dxa"/>
            <w:right w:w="108" w:type="dxa"/>
          </w:tblCellMar>
        </w:tblPrEx>
        <w:trPr>
          <w:trHeight w:val="710" w:hRule="atLeast"/>
          <w:jc w:val="center"/>
        </w:trPr>
        <w:tc>
          <w:tcPr>
            <w:tcW w:w="558" w:type="dxa"/>
            <w:vMerge w:val="restart"/>
            <w:tcBorders>
              <w:top w:val="single" w:color="auto" w:sz="4" w:space="0"/>
              <w:left w:val="single" w:color="auto" w:sz="4" w:space="0"/>
              <w:right w:val="single" w:color="auto" w:sz="4" w:space="0"/>
            </w:tcBorders>
            <w:vAlign w:val="center"/>
          </w:tcPr>
          <w:p w14:paraId="72AA9C98">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23</w:t>
            </w:r>
          </w:p>
        </w:tc>
        <w:tc>
          <w:tcPr>
            <w:tcW w:w="1407" w:type="dxa"/>
            <w:vMerge w:val="restart"/>
            <w:tcBorders>
              <w:top w:val="single" w:color="auto" w:sz="4" w:space="0"/>
              <w:left w:val="single" w:color="auto" w:sz="4" w:space="0"/>
              <w:right w:val="single" w:color="auto" w:sz="4" w:space="0"/>
            </w:tcBorders>
            <w:vAlign w:val="center"/>
          </w:tcPr>
          <w:p w14:paraId="7F615A62">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重要说明</w:t>
            </w:r>
          </w:p>
        </w:tc>
        <w:tc>
          <w:tcPr>
            <w:tcW w:w="7400" w:type="dxa"/>
            <w:tcBorders>
              <w:top w:val="single" w:color="auto" w:sz="4" w:space="0"/>
              <w:left w:val="single" w:color="auto" w:sz="4" w:space="0"/>
              <w:right w:val="single" w:color="auto" w:sz="4" w:space="0"/>
            </w:tcBorders>
            <w:vAlign w:val="center"/>
          </w:tcPr>
          <w:p w14:paraId="2D9F7EB2">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1.本项目采用全流程不见面电子开评标，投标供应商需要使用CA加密设备，供应商可通过新疆数字证书认证中心官网（https://www.xjca.com.cn/）或下载“新疆政务通”APP自行进行申领。</w:t>
            </w:r>
          </w:p>
          <w:p w14:paraId="7E6F4770">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2.本项目实行网上投标，采用加密电子投标文件(供应商须使用CA加密设备通过政采云电子投标客户端制作投标文件)。若供应商参与投标，自行承担投标一切费用。</w:t>
            </w:r>
          </w:p>
          <w:p w14:paraId="31B25081">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w:t>
            </w:r>
          </w:p>
          <w:p w14:paraId="39746B86">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14:paraId="0D0AC2C1">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5.供应商在开标时须使用制作加密电子投标文件所使用的CA锁及电脑，电脑须提前配置好浏览器（建议使用谷歌浏览器），以便开标时解锁。</w:t>
            </w:r>
          </w:p>
          <w:p w14:paraId="362B1C82">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6.供应商对不见面开评标系统的技术操作咨询，可通过https://edu.zcygov.cn/luban/xinjiang-e-biding自助查询，也可在政采云帮助中心常见问题解答和操作流程讲解视频中自助查询，网址为：</w:t>
            </w:r>
            <w:r>
              <w:rPr>
                <w:rFonts w:hint="eastAsia" w:ascii="方正仿宋_GBK" w:hAnsi="方正仿宋_GBK" w:eastAsia="方正仿宋_GBK" w:cs="方正仿宋_GBK"/>
                <w:color w:val="auto"/>
                <w:sz w:val="24"/>
                <w:szCs w:val="24"/>
                <w:highlight w:val="none"/>
                <w:lang w:eastAsia="zh-CN"/>
              </w:rPr>
              <w:fldChar w:fldCharType="begin"/>
            </w:r>
            <w:r>
              <w:rPr>
                <w:rFonts w:hint="eastAsia" w:ascii="方正仿宋_GBK" w:hAnsi="方正仿宋_GBK" w:eastAsia="方正仿宋_GBK" w:cs="方正仿宋_GBK"/>
                <w:color w:val="auto"/>
                <w:sz w:val="24"/>
                <w:szCs w:val="24"/>
                <w:highlight w:val="none"/>
                <w:lang w:eastAsia="zh-CN"/>
              </w:rPr>
              <w:instrText xml:space="preserve"> HYPERLINK "https://service.zcygov.cn/#/help，\“项目采购\”—\“操作流程-电子招投标\”—\“政府采购项目电子交易管理操作指南-供应商\”版面获取操作指南。" </w:instrText>
            </w:r>
            <w:r>
              <w:rPr>
                <w:rFonts w:hint="eastAsia" w:ascii="方正仿宋_GBK" w:hAnsi="方正仿宋_GBK" w:eastAsia="方正仿宋_GBK" w:cs="方正仿宋_GBK"/>
                <w:color w:val="auto"/>
                <w:sz w:val="24"/>
                <w:szCs w:val="24"/>
                <w:highlight w:val="none"/>
                <w:lang w:eastAsia="zh-CN"/>
              </w:rPr>
              <w:fldChar w:fldCharType="separate"/>
            </w:r>
            <w:r>
              <w:rPr>
                <w:rFonts w:hint="eastAsia" w:ascii="方正仿宋_GBK" w:hAnsi="方正仿宋_GBK" w:eastAsia="方正仿宋_GBK" w:cs="方正仿宋_GBK"/>
                <w:color w:val="auto"/>
                <w:sz w:val="24"/>
                <w:szCs w:val="24"/>
                <w:highlight w:val="none"/>
                <w:lang w:eastAsia="zh-CN"/>
              </w:rPr>
              <w:t>https://service.zcygov.cn/#/help，“项目采购”—“操作流程-电子招投标”—“政府采购项目电子交易管理操作指南-供应商”版面获取操作指南。</w:t>
            </w:r>
            <w:r>
              <w:rPr>
                <w:rFonts w:hint="eastAsia" w:ascii="方正仿宋_GBK" w:hAnsi="方正仿宋_GBK" w:eastAsia="方正仿宋_GBK" w:cs="方正仿宋_GBK"/>
                <w:color w:val="auto"/>
                <w:sz w:val="24"/>
                <w:szCs w:val="24"/>
                <w:highlight w:val="none"/>
                <w:lang w:eastAsia="zh-CN"/>
              </w:rPr>
              <w:fldChar w:fldCharType="end"/>
            </w:r>
          </w:p>
          <w:p w14:paraId="6313B346">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7.为了保证开评标顺利进行，政采云线上开标功能完全实现，供应商开标所使用的电脑设备须具有视频及语音功能。</w:t>
            </w:r>
          </w:p>
        </w:tc>
      </w:tr>
      <w:tr w14:paraId="48126B47">
        <w:tblPrEx>
          <w:tblCellMar>
            <w:top w:w="0" w:type="dxa"/>
            <w:left w:w="108" w:type="dxa"/>
            <w:bottom w:w="0" w:type="dxa"/>
            <w:right w:w="108" w:type="dxa"/>
          </w:tblCellMar>
        </w:tblPrEx>
        <w:trPr>
          <w:trHeight w:val="710" w:hRule="atLeast"/>
          <w:jc w:val="center"/>
        </w:trPr>
        <w:tc>
          <w:tcPr>
            <w:tcW w:w="558" w:type="dxa"/>
            <w:vMerge w:val="continue"/>
            <w:tcBorders>
              <w:left w:val="single" w:color="auto" w:sz="4" w:space="0"/>
              <w:bottom w:val="single" w:color="auto" w:sz="4" w:space="0"/>
              <w:right w:val="single" w:color="auto" w:sz="4" w:space="0"/>
            </w:tcBorders>
            <w:vAlign w:val="center"/>
          </w:tcPr>
          <w:p w14:paraId="0D320F64">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p>
        </w:tc>
        <w:tc>
          <w:tcPr>
            <w:tcW w:w="1407" w:type="dxa"/>
            <w:vMerge w:val="continue"/>
            <w:tcBorders>
              <w:left w:val="single" w:color="auto" w:sz="4" w:space="0"/>
              <w:bottom w:val="single" w:color="auto" w:sz="4" w:space="0"/>
              <w:right w:val="single" w:color="auto" w:sz="4" w:space="0"/>
            </w:tcBorders>
            <w:vAlign w:val="center"/>
          </w:tcPr>
          <w:p w14:paraId="4839252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p>
        </w:tc>
        <w:tc>
          <w:tcPr>
            <w:tcW w:w="7400" w:type="dxa"/>
            <w:tcBorders>
              <w:top w:val="single" w:color="auto" w:sz="4" w:space="0"/>
              <w:left w:val="single" w:color="auto" w:sz="4" w:space="0"/>
              <w:bottom w:val="single" w:color="auto" w:sz="4" w:space="0"/>
              <w:right w:val="single" w:color="auto" w:sz="4" w:space="0"/>
            </w:tcBorders>
            <w:vAlign w:val="center"/>
          </w:tcPr>
          <w:p w14:paraId="5495B175">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1、电子招投标情况说明：</w:t>
            </w:r>
          </w:p>
          <w:p w14:paraId="60270A83">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（1）电子招投标：本项目以数据电文形式，依托“政府采购云平台（www.zcygov.cn）”进行招投标活动。</w:t>
            </w:r>
          </w:p>
          <w:p w14:paraId="0E3E15CE">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5FC2E92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（3）招标文件的获取：使用账号登录或者短信验证码或者使用CA登录政采云平台；进入“项目采购”应用，在获取招标文件菜单中选择项目，获取招标文件 。</w:t>
            </w:r>
          </w:p>
          <w:p w14:paraId="45DE6A1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（4）投标文件的制作：在“政采云电子交易客户端”中完成“填写基本信息”、“导入投标文件”、“标书关联”、“标书检查”、“电子签名”、“生成电子标书”等操作。</w:t>
            </w:r>
          </w:p>
          <w:p w14:paraId="47087891">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（5）投标文件的传输递交：供应商在投标截止时间前将加密的投标文件上传至政府采购云平台，如不提供或未按要求提供的，将导致投标文件而失去投标资格）。</w:t>
            </w:r>
          </w:p>
          <w:p w14:paraId="45558450">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（6）投标文件的解密：供应商按照平台提示和招标文件的规定在半小时内完成在线解密。通过“政府采购云平台”上传递交的投标文件无法按时解密，否则视为投标文件撤回。</w:t>
            </w:r>
          </w:p>
          <w:p w14:paraId="78357C86">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（7）具体操作指南：详见政采云平台“服务中心-帮助文档-项目采购-操作流程-电子招投标-政府采购项目电子交易管理操作指南-供应商”。</w:t>
            </w:r>
          </w:p>
          <w:p w14:paraId="5AD3FF3B">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（8）供应商在进行上述操作时，如遇技术问题可登录政采云（https://</w:t>
            </w:r>
            <w:r>
              <w:rPr>
                <w:rFonts w:hint="eastAsia" w:ascii="方正仿宋_GBK" w:hAnsi="方正仿宋_GBK" w:eastAsia="方正仿宋_GBK" w:cs="方正仿宋_GBK"/>
                <w:color w:val="auto"/>
                <w:sz w:val="24"/>
                <w:szCs w:val="24"/>
                <w:highlight w:val="none"/>
              </w:rPr>
              <w:fldChar w:fldCharType="begin"/>
            </w:r>
            <w:r>
              <w:rPr>
                <w:rFonts w:hint="eastAsia" w:ascii="方正仿宋_GBK" w:hAnsi="方正仿宋_GBK" w:eastAsia="方正仿宋_GBK" w:cs="方正仿宋_GBK"/>
                <w:color w:val="auto"/>
                <w:sz w:val="24"/>
                <w:szCs w:val="24"/>
                <w:highlight w:val="none"/>
              </w:rPr>
              <w:instrText xml:space="preserve"> HYPERLINK "http://www.zcygov.cn/" \h </w:instrText>
            </w:r>
            <w:r>
              <w:rPr>
                <w:rFonts w:hint="eastAsia" w:ascii="方正仿宋_GBK" w:hAnsi="方正仿宋_GBK" w:eastAsia="方正仿宋_GBK" w:cs="方正仿宋_GBK"/>
                <w:color w:val="auto"/>
                <w:sz w:val="24"/>
                <w:szCs w:val="24"/>
                <w:highlight w:val="none"/>
              </w:rPr>
              <w:fldChar w:fldCharType="separate"/>
            </w:r>
            <w:r>
              <w:rPr>
                <w:rFonts w:hint="eastAsia" w:ascii="方正仿宋_GBK" w:hAnsi="方正仿宋_GBK" w:eastAsia="方正仿宋_GBK" w:cs="方正仿宋_GBK"/>
                <w:color w:val="auto"/>
                <w:sz w:val="24"/>
                <w:szCs w:val="24"/>
                <w:highlight w:val="none"/>
                <w:lang w:eastAsia="zh-CN"/>
              </w:rPr>
              <w:t>www.zcygov.cn/</w:t>
            </w:r>
            <w:r>
              <w:rPr>
                <w:rFonts w:hint="eastAsia" w:ascii="方正仿宋_GBK" w:hAnsi="方正仿宋_GBK" w:eastAsia="方正仿宋_GBK" w:cs="方正仿宋_GBK"/>
                <w:color w:val="auto"/>
                <w:sz w:val="24"/>
                <w:szCs w:val="24"/>
                <w:highlight w:val="none"/>
                <w:lang w:eastAsia="zh-CN"/>
              </w:rPr>
              <w:fldChar w:fldCharType="end"/>
            </w:r>
            <w:r>
              <w:rPr>
                <w:rFonts w:hint="eastAsia" w:ascii="方正仿宋_GBK" w:hAnsi="方正仿宋_GBK" w:eastAsia="方正仿宋_GBK" w:cs="方正仿宋_GBK"/>
                <w:color w:val="auto"/>
                <w:sz w:val="24"/>
                <w:szCs w:val="24"/>
                <w:highlight w:val="none"/>
                <w:lang w:eastAsia="zh-CN"/>
              </w:rPr>
              <w:t>），点击右侧咨询小采，获取采小蜜智能服务管家帮助，或拨打政采云服务热线 95763 获取热线服务帮助。</w:t>
            </w:r>
          </w:p>
          <w:p w14:paraId="61B9BCDE">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温馨提醒：供应商应提前上传，以便在上传时遇到技术问题，有充足的时间请教平台的技术人员。</w:t>
            </w:r>
          </w:p>
          <w:p w14:paraId="6275EA00">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供应商认为招标文件使自己的权益受到损害的，可以自收到招标文件之日（招标文件公告期限届满之前收到招标文件的，以完成获取招标文件申请后下载招标文件的时间为准）或者招标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未按规定获取招标文件 或逾期提出的不予受理、答复。</w:t>
            </w:r>
          </w:p>
        </w:tc>
      </w:tr>
      <w:tr w14:paraId="685133D2">
        <w:tblPrEx>
          <w:tblCellMar>
            <w:top w:w="0" w:type="dxa"/>
            <w:left w:w="108" w:type="dxa"/>
            <w:bottom w:w="0" w:type="dxa"/>
            <w:right w:w="108" w:type="dxa"/>
          </w:tblCellMar>
        </w:tblPrEx>
        <w:trPr>
          <w:trHeight w:val="91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069554E">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24</w:t>
            </w:r>
          </w:p>
        </w:tc>
        <w:tc>
          <w:tcPr>
            <w:tcW w:w="1407" w:type="dxa"/>
            <w:tcBorders>
              <w:top w:val="single" w:color="auto" w:sz="4" w:space="0"/>
              <w:left w:val="single" w:color="auto" w:sz="4" w:space="0"/>
              <w:bottom w:val="single" w:color="auto" w:sz="4" w:space="0"/>
              <w:right w:val="single" w:color="auto" w:sz="4" w:space="0"/>
            </w:tcBorders>
            <w:vAlign w:val="center"/>
          </w:tcPr>
          <w:p w14:paraId="090E3F73">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中标候选人公示媒介</w:t>
            </w:r>
          </w:p>
        </w:tc>
        <w:tc>
          <w:tcPr>
            <w:tcW w:w="7400" w:type="dxa"/>
            <w:tcBorders>
              <w:top w:val="single" w:color="auto" w:sz="4" w:space="0"/>
              <w:left w:val="single" w:color="auto" w:sz="4" w:space="0"/>
              <w:bottom w:val="single" w:color="auto" w:sz="4" w:space="0"/>
              <w:right w:val="single" w:color="auto" w:sz="4" w:space="0"/>
            </w:tcBorders>
            <w:vAlign w:val="center"/>
          </w:tcPr>
          <w:p w14:paraId="364D8D98">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新疆政府采购网，公示期为一个工作日。</w:t>
            </w:r>
          </w:p>
        </w:tc>
      </w:tr>
      <w:tr w14:paraId="4CF3A398">
        <w:tblPrEx>
          <w:tblCellMar>
            <w:top w:w="0" w:type="dxa"/>
            <w:left w:w="108" w:type="dxa"/>
            <w:bottom w:w="0" w:type="dxa"/>
            <w:right w:w="108" w:type="dxa"/>
          </w:tblCellMar>
        </w:tblPrEx>
        <w:trPr>
          <w:trHeight w:val="4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A9FB73D">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25</w:t>
            </w:r>
          </w:p>
        </w:tc>
        <w:tc>
          <w:tcPr>
            <w:tcW w:w="8807" w:type="dxa"/>
            <w:gridSpan w:val="2"/>
            <w:tcBorders>
              <w:top w:val="single" w:color="auto" w:sz="4" w:space="0"/>
              <w:left w:val="single" w:color="auto" w:sz="4" w:space="0"/>
              <w:bottom w:val="single" w:color="auto" w:sz="4" w:space="0"/>
              <w:right w:val="single" w:color="auto" w:sz="4" w:space="0"/>
            </w:tcBorders>
            <w:vAlign w:val="center"/>
          </w:tcPr>
          <w:p w14:paraId="69056C19">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招标代理服务费</w:t>
            </w:r>
          </w:p>
        </w:tc>
      </w:tr>
      <w:tr w14:paraId="5DF4A24D">
        <w:tblPrEx>
          <w:tblCellMar>
            <w:top w:w="0" w:type="dxa"/>
            <w:left w:w="108" w:type="dxa"/>
            <w:bottom w:w="0" w:type="dxa"/>
            <w:right w:w="108" w:type="dxa"/>
          </w:tblCellMar>
        </w:tblPrEx>
        <w:trPr>
          <w:trHeight w:val="655"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625EA95">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p>
        </w:tc>
        <w:tc>
          <w:tcPr>
            <w:tcW w:w="8807" w:type="dxa"/>
            <w:gridSpan w:val="2"/>
            <w:tcBorders>
              <w:top w:val="single" w:color="auto" w:sz="4" w:space="0"/>
              <w:left w:val="single" w:color="auto" w:sz="4" w:space="0"/>
              <w:bottom w:val="single" w:color="auto" w:sz="4" w:space="0"/>
              <w:right w:val="single" w:color="auto" w:sz="4" w:space="0"/>
            </w:tcBorders>
            <w:vAlign w:val="center"/>
          </w:tcPr>
          <w:p w14:paraId="29D6677A">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该项目包一代理服务费为6000元（陆仟元整）代理服务费由中标企业承担。</w:t>
            </w:r>
          </w:p>
        </w:tc>
      </w:tr>
      <w:tr w14:paraId="05283508">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29DCB05">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26</w:t>
            </w:r>
          </w:p>
        </w:tc>
        <w:tc>
          <w:tcPr>
            <w:tcW w:w="8807" w:type="dxa"/>
            <w:gridSpan w:val="2"/>
            <w:tcBorders>
              <w:top w:val="single" w:color="auto" w:sz="4" w:space="0"/>
              <w:left w:val="single" w:color="auto" w:sz="4" w:space="0"/>
              <w:bottom w:val="single" w:color="auto" w:sz="4" w:space="0"/>
              <w:right w:val="single" w:color="auto" w:sz="4" w:space="0"/>
            </w:tcBorders>
            <w:vAlign w:val="center"/>
          </w:tcPr>
          <w:p w14:paraId="5B4DD17B">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评标办法：本项目采用综合评分法</w:t>
            </w:r>
          </w:p>
        </w:tc>
      </w:tr>
      <w:tr w14:paraId="10456458">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893D387">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27</w:t>
            </w:r>
          </w:p>
        </w:tc>
        <w:tc>
          <w:tcPr>
            <w:tcW w:w="8807" w:type="dxa"/>
            <w:gridSpan w:val="2"/>
            <w:tcBorders>
              <w:top w:val="single" w:color="auto" w:sz="4" w:space="0"/>
              <w:left w:val="single" w:color="auto" w:sz="4" w:space="0"/>
              <w:bottom w:val="single" w:color="auto" w:sz="4" w:space="0"/>
              <w:right w:val="single" w:color="auto" w:sz="4" w:space="0"/>
            </w:tcBorders>
            <w:vAlign w:val="center"/>
          </w:tcPr>
          <w:p w14:paraId="2838E5CD">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不管投标结果如何，供应商均应承担自己投标所需一切费用。</w:t>
            </w:r>
          </w:p>
        </w:tc>
      </w:tr>
      <w:tr w14:paraId="6AF0518C">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95970C0">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28</w:t>
            </w:r>
          </w:p>
        </w:tc>
        <w:tc>
          <w:tcPr>
            <w:tcW w:w="8807" w:type="dxa"/>
            <w:gridSpan w:val="2"/>
            <w:tcBorders>
              <w:top w:val="single" w:color="auto" w:sz="4" w:space="0"/>
              <w:left w:val="single" w:color="auto" w:sz="4" w:space="0"/>
              <w:bottom w:val="single" w:color="auto" w:sz="4" w:space="0"/>
              <w:right w:val="single" w:color="auto" w:sz="4" w:space="0"/>
            </w:tcBorders>
            <w:vAlign w:val="center"/>
          </w:tcPr>
          <w:p w14:paraId="0C442251">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eastAsia="zh-CN"/>
              </w:rPr>
              <w:t>本次招标预算价：</w:t>
            </w:r>
            <w:r>
              <w:rPr>
                <w:rFonts w:hint="eastAsia" w:ascii="方正仿宋_GBK" w:hAnsi="方正仿宋_GBK" w:eastAsia="方正仿宋_GBK" w:cs="方正仿宋_GBK"/>
                <w:color w:val="auto"/>
                <w:sz w:val="24"/>
                <w:szCs w:val="24"/>
                <w:highlight w:val="none"/>
                <w:lang w:val="en-US" w:eastAsia="zh-CN"/>
              </w:rPr>
              <w:t xml:space="preserve">  </w:t>
            </w:r>
            <w:r>
              <w:rPr>
                <w:rFonts w:hint="eastAsia" w:ascii="方正仿宋_GBK" w:hAnsi="方正仿宋_GBK" w:eastAsia="方正仿宋_GBK" w:cs="方正仿宋_GBK"/>
                <w:b/>
                <w:bCs/>
                <w:color w:val="auto"/>
                <w:sz w:val="24"/>
                <w:szCs w:val="24"/>
                <w:highlight w:val="none"/>
                <w:lang w:val="en-US" w:eastAsia="zh-CN"/>
              </w:rPr>
              <w:t xml:space="preserve">1 </w:t>
            </w:r>
            <w:r>
              <w:rPr>
                <w:rFonts w:hint="eastAsia" w:ascii="方正仿宋_GBK" w:hAnsi="方正仿宋_GBK" w:eastAsia="方正仿宋_GBK" w:cs="方正仿宋_GBK"/>
                <w:b/>
                <w:bCs/>
                <w:color w:val="auto"/>
                <w:sz w:val="24"/>
                <w:szCs w:val="24"/>
                <w:highlight w:val="none"/>
                <w:lang w:eastAsia="zh-CN"/>
              </w:rPr>
              <w:t>元。</w:t>
            </w:r>
            <w:r>
              <w:rPr>
                <w:rFonts w:hint="eastAsia" w:ascii="仿宋_GB2312" w:hAnsi="仿宋_GB2312" w:eastAsia="仿宋_GB2312" w:cs="仿宋_GB2312"/>
                <w:b/>
                <w:bCs/>
                <w:color w:val="auto"/>
                <w:sz w:val="24"/>
                <w:szCs w:val="24"/>
                <w:highlight w:val="none"/>
                <w:lang w:eastAsia="zh-CN"/>
              </w:rPr>
              <w:t>（以实际发生量的金额结算）</w:t>
            </w:r>
          </w:p>
          <w:p w14:paraId="55EE1327">
            <w:pPr>
              <w:keepNext w:val="0"/>
              <w:keepLines w:val="0"/>
              <w:pageBreakBefore w:val="0"/>
              <w:wordWrap/>
              <w:overflowPunct/>
              <w:topLinePunct w:val="0"/>
              <w:bidi w:val="0"/>
              <w:spacing w:line="32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报价方式：报价时供应商仅</w:t>
            </w:r>
            <w:r>
              <w:rPr>
                <w:rFonts w:hint="eastAsia" w:ascii="仿宋_GB2312" w:hAnsi="仿宋_GB2312" w:eastAsia="仿宋_GB2312" w:cs="仿宋_GB2312"/>
                <w:color w:val="auto"/>
                <w:kern w:val="2"/>
                <w:sz w:val="24"/>
                <w:szCs w:val="24"/>
                <w:highlight w:val="none"/>
                <w:lang w:val="en-US" w:eastAsia="zh-CN" w:bidi="ar-SA"/>
              </w:rPr>
              <w:t>报下浮率</w:t>
            </w:r>
          </w:p>
          <w:p w14:paraId="1C44C7E6">
            <w:pPr>
              <w:keepNext w:val="0"/>
              <w:keepLines w:val="0"/>
              <w:pageBreakBefore w:val="0"/>
              <w:wordWrap/>
              <w:overflowPunct/>
              <w:topLinePunct w:val="0"/>
              <w:bidi w:val="0"/>
              <w:spacing w:line="32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（1）按照开标一览表的要求填写下浮率。</w:t>
            </w:r>
          </w:p>
          <w:p w14:paraId="17CB202D">
            <w:pPr>
              <w:keepNext w:val="0"/>
              <w:keepLines w:val="0"/>
              <w:pageBreakBefore w:val="0"/>
              <w:wordWrap/>
              <w:overflowPunct/>
              <w:topLinePunct w:val="0"/>
              <w:bidi w:val="0"/>
              <w:spacing w:line="32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（2）本项目只允许供应商在响应文件中有一个方案响应，不接受任何有选择的方案或报价；供应商未按要求，提供了选择方案或报价的，其响应文件将被视为无效响应</w:t>
            </w:r>
            <w:r>
              <w:rPr>
                <w:rFonts w:hint="eastAsia" w:ascii="仿宋_GB2312" w:hAnsi="仿宋_GB2312" w:eastAsia="仿宋_GB2312" w:cs="仿宋_GB2312"/>
                <w:color w:val="auto"/>
                <w:sz w:val="24"/>
                <w:szCs w:val="24"/>
                <w:highlight w:val="none"/>
                <w:lang w:val="en-US" w:eastAsia="zh-CN"/>
              </w:rPr>
              <w:t xml:space="preserve">文件。 </w:t>
            </w:r>
          </w:p>
          <w:p w14:paraId="2FC7DA04">
            <w:pPr>
              <w:keepNext w:val="0"/>
              <w:keepLines w:val="0"/>
              <w:pageBreakBefore w:val="0"/>
              <w:wordWrap/>
              <w:overflowPunct/>
              <w:topLinePunct w:val="0"/>
              <w:bidi w:val="0"/>
              <w:spacing w:line="32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（3）投标价格参照北园春集团官网（http：//www.beiyuanchun.com/）供货当日公布的价格与采购方实地询价相结合，再结合报下浮率（各类产品分别下浮）结算。</w:t>
            </w:r>
            <w:r>
              <w:rPr>
                <w:rFonts w:hint="eastAsia" w:ascii="仿宋_GB2312" w:hAnsi="仿宋_GB2312" w:eastAsia="仿宋_GB2312" w:cs="仿宋_GB2312"/>
                <w:color w:val="auto"/>
                <w:sz w:val="24"/>
                <w:szCs w:val="24"/>
                <w:highlight w:val="none"/>
                <w:lang w:val="en-US" w:eastAsia="zh-CN"/>
              </w:rPr>
              <w:t>北园春网站上查询不到价格的商品，参照本</w:t>
            </w:r>
            <w:r>
              <w:rPr>
                <w:rFonts w:hint="eastAsia" w:ascii="仿宋_GB2312" w:hAnsi="仿宋_GB2312" w:eastAsia="仿宋_GB2312" w:cs="仿宋_GB2312"/>
                <w:color w:val="auto"/>
                <w:sz w:val="24"/>
                <w:szCs w:val="24"/>
                <w:highlight w:val="none"/>
                <w:lang w:val="en-US" w:eastAsia="zh-CN"/>
              </w:rPr>
              <w:t>地实地询价</w:t>
            </w:r>
            <w:r>
              <w:rPr>
                <w:rFonts w:hint="eastAsia" w:ascii="仿宋_GB2312" w:hAnsi="仿宋_GB2312" w:eastAsia="仿宋_GB2312" w:cs="仿宋_GB2312"/>
                <w:color w:val="auto"/>
                <w:sz w:val="24"/>
                <w:szCs w:val="24"/>
                <w:highlight w:val="none"/>
                <w:lang w:val="en-US" w:eastAsia="zh-CN"/>
              </w:rPr>
              <w:t>，结合报下浮率（各类产品分别下浮）。且最终报价均为到货价（此价格包括物品储藏、运输、搬运装卸、税费等一切相关费用）。</w:t>
            </w:r>
          </w:p>
          <w:p w14:paraId="13DC1460">
            <w:pPr>
              <w:keepNext w:val="0"/>
              <w:keepLines w:val="0"/>
              <w:pageBreakBefore w:val="0"/>
              <w:wordWrap/>
              <w:overflowPunct/>
              <w:topLinePunct w:val="0"/>
              <w:bidi w:val="0"/>
              <w:spacing w:line="320" w:lineRule="exact"/>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val="en-US" w:eastAsia="zh-CN"/>
              </w:rPr>
              <w:t>基准价为参考每类货物单价为基准价,牛羊肉类等一月两次询价定价，食材定价需价格认定，认定按照北园春集团官网当日公布价格询价的与本地实地询价结合下浮结算。</w:t>
            </w:r>
            <w:r>
              <w:rPr>
                <w:rFonts w:hint="eastAsia" w:ascii="仿宋_GB2312" w:hAnsi="仿宋_GB2312" w:eastAsia="仿宋_GB2312" w:cs="仿宋_GB2312"/>
                <w:color w:val="auto"/>
                <w:sz w:val="24"/>
                <w:szCs w:val="24"/>
                <w:highlight w:val="none"/>
                <w:lang w:val="en-US" w:eastAsia="zh-CN"/>
              </w:rPr>
              <w:t>（北园春网站上查询不到价格的商品，参照本</w:t>
            </w:r>
            <w:r>
              <w:rPr>
                <w:rFonts w:hint="eastAsia" w:ascii="仿宋_GB2312" w:hAnsi="仿宋_GB2312" w:eastAsia="仿宋_GB2312" w:cs="仿宋_GB2312"/>
                <w:color w:val="auto"/>
                <w:sz w:val="24"/>
                <w:szCs w:val="24"/>
                <w:highlight w:val="none"/>
                <w:lang w:val="en-US" w:eastAsia="zh-CN"/>
              </w:rPr>
              <w:t>地实地询价格为</w:t>
            </w:r>
            <w:r>
              <w:rPr>
                <w:rFonts w:hint="eastAsia" w:ascii="仿宋_GB2312" w:hAnsi="仿宋_GB2312" w:eastAsia="仿宋_GB2312" w:cs="仿宋_GB2312"/>
                <w:color w:val="auto"/>
                <w:sz w:val="24"/>
                <w:szCs w:val="24"/>
                <w:highlight w:val="none"/>
                <w:lang w:val="en-US" w:eastAsia="zh-CN"/>
              </w:rPr>
              <w:t>基准下浮），且最终报价均为到货价（此价格包括物品储藏、运输、搬运装卸、税费等一切相关费用）；</w:t>
            </w:r>
          </w:p>
          <w:p w14:paraId="396A5FF7">
            <w:pPr>
              <w:keepNext w:val="0"/>
              <w:keepLines w:val="0"/>
              <w:pageBreakBefore w:val="0"/>
              <w:wordWrap/>
              <w:overflowPunct/>
              <w:topLinePunct w:val="0"/>
              <w:bidi w:val="0"/>
              <w:spacing w:line="32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（5）供应商的报价应为所确定的招标范围内的全部工作内容的价格体现。 </w:t>
            </w:r>
          </w:p>
          <w:p w14:paraId="7ECE679C">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（6）招标文件中未列出的相关辅助材料和在实施过程中涉及到的运杂费、保险费、税金等其他一切费用应在报价时一并考虑，项目实施过程中不再单独结算。</w:t>
            </w:r>
          </w:p>
        </w:tc>
      </w:tr>
      <w:tr w14:paraId="59CEC31C">
        <w:tblPrEx>
          <w:tblCellMar>
            <w:top w:w="0" w:type="dxa"/>
            <w:left w:w="108" w:type="dxa"/>
            <w:bottom w:w="0" w:type="dxa"/>
            <w:right w:w="108" w:type="dxa"/>
          </w:tblCellMar>
        </w:tblPrEx>
        <w:trPr>
          <w:trHeight w:val="8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F227FAB">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29</w:t>
            </w:r>
          </w:p>
        </w:tc>
        <w:tc>
          <w:tcPr>
            <w:tcW w:w="1407" w:type="dxa"/>
            <w:tcBorders>
              <w:top w:val="single" w:color="auto" w:sz="4" w:space="0"/>
              <w:left w:val="single" w:color="auto" w:sz="4" w:space="0"/>
              <w:bottom w:val="single" w:color="auto" w:sz="4" w:space="0"/>
              <w:right w:val="single" w:color="auto" w:sz="4" w:space="0"/>
            </w:tcBorders>
            <w:vAlign w:val="center"/>
          </w:tcPr>
          <w:p w14:paraId="3641EEF0">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中小微企业政策文件</w:t>
            </w:r>
          </w:p>
        </w:tc>
        <w:tc>
          <w:tcPr>
            <w:tcW w:w="7400" w:type="dxa"/>
            <w:tcBorders>
              <w:top w:val="single" w:color="auto" w:sz="4" w:space="0"/>
              <w:left w:val="single" w:color="auto" w:sz="4" w:space="0"/>
              <w:bottom w:val="single" w:color="auto" w:sz="4" w:space="0"/>
              <w:right w:val="single" w:color="auto" w:sz="4" w:space="0"/>
            </w:tcBorders>
            <w:vAlign w:val="center"/>
          </w:tcPr>
          <w:p w14:paraId="7320D532">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（1）根据财政部、工业和信息化部关于印发《政府采购促进中小企业发展管理办法》的通知（财库[2020]46号）和（财库[2022]19号），</w:t>
            </w:r>
            <w:r>
              <w:rPr>
                <w:rFonts w:hint="eastAsia" w:ascii="方正仿宋_GBK" w:hAnsi="方正仿宋_GBK" w:eastAsia="方正仿宋_GBK" w:cs="方正仿宋_GBK"/>
                <w:b/>
                <w:bCs/>
                <w:color w:val="auto"/>
                <w:sz w:val="24"/>
                <w:szCs w:val="24"/>
                <w:highlight w:val="none"/>
                <w:lang w:eastAsia="zh-CN"/>
              </w:rPr>
              <w:t>供应商所投产品的制造商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方正仿宋_GBK" w:hAnsi="方正仿宋_GBK" w:eastAsia="方正仿宋_GBK" w:cs="方正仿宋_GBK"/>
                <w:color w:val="auto"/>
                <w:sz w:val="24"/>
                <w:szCs w:val="24"/>
                <w:highlight w:val="none"/>
                <w:lang w:eastAsia="zh-CN"/>
              </w:rPr>
              <w:t>。</w:t>
            </w:r>
          </w:p>
        </w:tc>
      </w:tr>
      <w:tr w14:paraId="37B6BA66">
        <w:tblPrEx>
          <w:tblCellMar>
            <w:top w:w="0" w:type="dxa"/>
            <w:left w:w="108" w:type="dxa"/>
            <w:bottom w:w="0" w:type="dxa"/>
            <w:right w:w="108" w:type="dxa"/>
          </w:tblCellMar>
        </w:tblPrEx>
        <w:trPr>
          <w:trHeight w:val="584" w:hRule="atLeast"/>
          <w:jc w:val="center"/>
        </w:trPr>
        <w:tc>
          <w:tcPr>
            <w:tcW w:w="558" w:type="dxa"/>
            <w:vMerge w:val="restart"/>
            <w:tcBorders>
              <w:top w:val="single" w:color="auto" w:sz="4" w:space="0"/>
              <w:left w:val="single" w:color="auto" w:sz="4" w:space="0"/>
              <w:right w:val="single" w:color="auto" w:sz="4" w:space="0"/>
            </w:tcBorders>
            <w:vAlign w:val="center"/>
          </w:tcPr>
          <w:p w14:paraId="4532ECC9">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30</w:t>
            </w:r>
          </w:p>
        </w:tc>
        <w:tc>
          <w:tcPr>
            <w:tcW w:w="1407" w:type="dxa"/>
            <w:vMerge w:val="restart"/>
            <w:tcBorders>
              <w:top w:val="single" w:color="auto" w:sz="4" w:space="0"/>
              <w:left w:val="single" w:color="auto" w:sz="4" w:space="0"/>
              <w:right w:val="single" w:color="auto" w:sz="4" w:space="0"/>
            </w:tcBorders>
            <w:vAlign w:val="center"/>
          </w:tcPr>
          <w:p w14:paraId="070989AB">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中小微企业政策文件说明</w:t>
            </w:r>
          </w:p>
        </w:tc>
        <w:tc>
          <w:tcPr>
            <w:tcW w:w="7400" w:type="dxa"/>
            <w:tcBorders>
              <w:top w:val="single" w:color="auto" w:sz="4" w:space="0"/>
              <w:left w:val="single" w:color="auto" w:sz="4" w:space="0"/>
              <w:bottom w:val="single" w:color="auto" w:sz="4" w:space="0"/>
              <w:right w:val="single" w:color="auto" w:sz="4" w:space="0"/>
            </w:tcBorders>
            <w:vAlign w:val="center"/>
          </w:tcPr>
          <w:p w14:paraId="2329943E">
            <w:pPr>
              <w:pStyle w:val="65"/>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textAlignment w:val="baseline"/>
              <w:rPr>
                <w:rFonts w:hint="eastAsia" w:ascii="方正仿宋_GBK" w:hAnsi="方正仿宋_GBK" w:eastAsia="方正仿宋_GBK" w:cs="方正仿宋_GBK"/>
                <w:color w:val="auto"/>
                <w:spacing w:val="0"/>
                <w:w w:val="100"/>
                <w:position w:val="0"/>
                <w:sz w:val="24"/>
                <w:szCs w:val="24"/>
                <w:highlight w:val="none"/>
              </w:rPr>
            </w:pPr>
            <w:r>
              <w:rPr>
                <w:rFonts w:hint="eastAsia" w:ascii="方正仿宋_GBK" w:hAnsi="方正仿宋_GBK" w:eastAsia="方正仿宋_GBK" w:cs="方正仿宋_GBK"/>
                <w:color w:val="auto"/>
                <w:spacing w:val="0"/>
                <w:w w:val="100"/>
                <w:position w:val="0"/>
                <w:sz w:val="24"/>
                <w:szCs w:val="24"/>
                <w:highlight w:val="none"/>
              </w:rPr>
              <w:t>1.中小企业政策</w:t>
            </w:r>
          </w:p>
          <w:p w14:paraId="66A48C18">
            <w:pPr>
              <w:pStyle w:val="65"/>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firstLine="9"/>
              <w:textAlignment w:val="baseline"/>
              <w:rPr>
                <w:rFonts w:hint="eastAsia" w:ascii="方正仿宋_GBK" w:hAnsi="方正仿宋_GBK" w:eastAsia="方正仿宋_GBK" w:cs="方正仿宋_GBK"/>
                <w:color w:val="auto"/>
                <w:spacing w:val="0"/>
                <w:w w:val="100"/>
                <w:position w:val="0"/>
                <w:sz w:val="24"/>
                <w:szCs w:val="24"/>
                <w:highlight w:val="none"/>
                <w:lang w:eastAsia="zh-CN"/>
              </w:rPr>
            </w:pPr>
            <w:r>
              <w:rPr>
                <w:rFonts w:hint="eastAsia" w:ascii="方正仿宋_GBK" w:hAnsi="方正仿宋_GBK" w:eastAsia="方正仿宋_GBK" w:cs="方正仿宋_GBK"/>
                <w:color w:val="auto"/>
                <w:spacing w:val="0"/>
                <w:w w:val="100"/>
                <w:position w:val="0"/>
                <w:sz w:val="24"/>
                <w:szCs w:val="24"/>
                <w:highlight w:val="none"/>
              </w:rPr>
              <w:t>☑非专门面向中小企业预留采购项目。供应商提供的货物全部由符合政策要求的小微企业制造、服务和工程由符合政策要求的小微企业承接，应对小微企业报价给予10%（工程项目为6%）扣除</w:t>
            </w:r>
            <w:r>
              <w:rPr>
                <w:rFonts w:hint="eastAsia" w:ascii="方正仿宋_GBK" w:hAnsi="方正仿宋_GBK" w:eastAsia="方正仿宋_GBK" w:cs="方正仿宋_GBK"/>
                <w:color w:val="auto"/>
                <w:spacing w:val="0"/>
                <w:w w:val="100"/>
                <w:position w:val="0"/>
                <w:sz w:val="24"/>
                <w:szCs w:val="24"/>
                <w:highlight w:val="none"/>
                <w:lang w:eastAsia="zh-CN"/>
              </w:rPr>
              <w:t>。</w:t>
            </w:r>
          </w:p>
          <w:p w14:paraId="61929517">
            <w:pPr>
              <w:pStyle w:val="65"/>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firstLine="22"/>
              <w:textAlignment w:val="baseline"/>
              <w:rPr>
                <w:rFonts w:hint="eastAsia" w:ascii="方正仿宋_GBK" w:hAnsi="方正仿宋_GBK" w:eastAsia="方正仿宋_GBK" w:cs="方正仿宋_GBK"/>
                <w:color w:val="auto"/>
                <w:spacing w:val="0"/>
                <w:w w:val="100"/>
                <w:position w:val="0"/>
                <w:sz w:val="24"/>
                <w:szCs w:val="24"/>
                <w:highlight w:val="none"/>
              </w:rPr>
            </w:pPr>
            <w:r>
              <w:rPr>
                <w:rFonts w:hint="eastAsia" w:ascii="方正仿宋_GBK" w:hAnsi="方正仿宋_GBK" w:eastAsia="方正仿宋_GBK" w:cs="方正仿宋_GBK"/>
                <w:color w:val="auto"/>
                <w:spacing w:val="0"/>
                <w:w w:val="100"/>
                <w:position w:val="0"/>
                <w:sz w:val="24"/>
                <w:szCs w:val="24"/>
                <w:highlight w:val="none"/>
              </w:rPr>
              <w:t>□专门面向中小企业采购项目。即：供应商为中小微企业或监狱企业或残疾人福利性单位；供应商提供的货物全部由符合政策要求的中小微企业制造、服务和工程全部由符合政策要求的中小微企业承接。</w:t>
            </w:r>
          </w:p>
          <w:p w14:paraId="0646AA3E">
            <w:pPr>
              <w:pStyle w:val="65"/>
              <w:keepNext w:val="0"/>
              <w:keepLines w:val="0"/>
              <w:pageBreakBefore w:val="0"/>
              <w:widowControl/>
              <w:kinsoku w:val="0"/>
              <w:wordWrap/>
              <w:overflowPunct/>
              <w:topLinePunct w:val="0"/>
              <w:autoSpaceDE w:val="0"/>
              <w:autoSpaceDN w:val="0"/>
              <w:bidi w:val="0"/>
              <w:adjustRightInd w:val="0"/>
              <w:snapToGrid w:val="0"/>
              <w:spacing w:line="320" w:lineRule="exact"/>
              <w:ind w:left="120" w:leftChars="50" w:right="0" w:firstLine="25"/>
              <w:textAlignment w:val="baseline"/>
              <w:rPr>
                <w:rFonts w:hint="eastAsia" w:ascii="方正仿宋_GBK" w:hAnsi="方正仿宋_GBK" w:eastAsia="方正仿宋_GBK" w:cs="方正仿宋_GBK"/>
                <w:color w:val="auto"/>
                <w:spacing w:val="0"/>
                <w:w w:val="100"/>
                <w:position w:val="0"/>
                <w:sz w:val="24"/>
                <w:szCs w:val="24"/>
                <w:highlight w:val="none"/>
              </w:rPr>
            </w:pPr>
            <w:r>
              <w:rPr>
                <w:rFonts w:hint="eastAsia" w:ascii="方正仿宋_GBK" w:hAnsi="方正仿宋_GBK" w:eastAsia="方正仿宋_GBK" w:cs="方正仿宋_GBK"/>
                <w:color w:val="auto"/>
                <w:spacing w:val="0"/>
                <w:w w:val="100"/>
                <w:position w:val="0"/>
                <w:sz w:val="24"/>
                <w:szCs w:val="24"/>
                <w:highlight w:val="none"/>
              </w:rPr>
              <w:t>□专门面向小微企业采购项目。即：供应商为小微企业或监狱企业或残疾人福利性单位；供应商提供的货物全部由符合政策要求的小微企业制造、服务和工程全部由符合政策要求的小微企业承接。</w:t>
            </w:r>
          </w:p>
          <w:p w14:paraId="544F5B69">
            <w:pPr>
              <w:keepNext w:val="0"/>
              <w:keepLines w:val="0"/>
              <w:pageBreakBefore w:val="0"/>
              <w:numPr>
                <w:ilvl w:val="0"/>
                <w:numId w:val="4"/>
              </w:numPr>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pacing w:val="0"/>
                <w:w w:val="100"/>
                <w:position w:val="0"/>
                <w:sz w:val="24"/>
                <w:szCs w:val="24"/>
                <w:highlight w:val="none"/>
              </w:rPr>
              <w:t>2.其它落实政府采购政策的资格要求：</w:t>
            </w:r>
            <w:r>
              <w:rPr>
                <w:rFonts w:hint="eastAsia" w:ascii="方正仿宋_GBK" w:hAnsi="方正仿宋_GBK" w:eastAsia="方正仿宋_GBK" w:cs="方正仿宋_GBK"/>
                <w:color w:val="auto"/>
                <w:spacing w:val="0"/>
                <w:w w:val="100"/>
                <w:position w:val="0"/>
                <w:sz w:val="24"/>
                <w:szCs w:val="24"/>
                <w:highlight w:val="none"/>
                <w:u w:val="single" w:color="auto"/>
              </w:rPr>
              <w:t>/</w:t>
            </w:r>
            <w:r>
              <w:rPr>
                <w:rFonts w:hint="eastAsia" w:ascii="方正仿宋_GBK" w:hAnsi="方正仿宋_GBK" w:eastAsia="方正仿宋_GBK" w:cs="方正仿宋_GBK"/>
                <w:color w:val="auto"/>
                <w:spacing w:val="0"/>
                <w:w w:val="100"/>
                <w:position w:val="0"/>
                <w:sz w:val="24"/>
                <w:szCs w:val="24"/>
                <w:highlight w:val="none"/>
              </w:rPr>
              <w:t>。</w:t>
            </w:r>
          </w:p>
        </w:tc>
      </w:tr>
      <w:tr w14:paraId="4426B408">
        <w:tblPrEx>
          <w:tblCellMar>
            <w:top w:w="0" w:type="dxa"/>
            <w:left w:w="108" w:type="dxa"/>
            <w:bottom w:w="0" w:type="dxa"/>
            <w:right w:w="108" w:type="dxa"/>
          </w:tblCellMar>
        </w:tblPrEx>
        <w:trPr>
          <w:trHeight w:val="459" w:hRule="atLeast"/>
          <w:jc w:val="center"/>
        </w:trPr>
        <w:tc>
          <w:tcPr>
            <w:tcW w:w="558" w:type="dxa"/>
            <w:vMerge w:val="continue"/>
            <w:tcBorders>
              <w:left w:val="single" w:color="auto" w:sz="4" w:space="0"/>
              <w:right w:val="single" w:color="auto" w:sz="4" w:space="0"/>
            </w:tcBorders>
            <w:vAlign w:val="center"/>
          </w:tcPr>
          <w:p w14:paraId="0680EC89">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p>
        </w:tc>
        <w:tc>
          <w:tcPr>
            <w:tcW w:w="1407" w:type="dxa"/>
            <w:vMerge w:val="continue"/>
            <w:tcBorders>
              <w:left w:val="single" w:color="auto" w:sz="4" w:space="0"/>
              <w:right w:val="single" w:color="auto" w:sz="4" w:space="0"/>
            </w:tcBorders>
            <w:vAlign w:val="center"/>
          </w:tcPr>
          <w:p w14:paraId="492E7168">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p>
        </w:tc>
        <w:tc>
          <w:tcPr>
            <w:tcW w:w="7400" w:type="dxa"/>
            <w:tcBorders>
              <w:top w:val="single" w:color="auto" w:sz="4" w:space="0"/>
              <w:left w:val="single" w:color="auto" w:sz="4" w:space="0"/>
              <w:bottom w:val="single" w:color="auto" w:sz="4" w:space="0"/>
              <w:right w:val="single" w:color="auto" w:sz="4" w:space="0"/>
            </w:tcBorders>
            <w:vAlign w:val="center"/>
          </w:tcPr>
          <w:p w14:paraId="1580A2D4">
            <w:pPr>
              <w:keepNext w:val="0"/>
              <w:keepLines w:val="0"/>
              <w:pageBreakBefore w:val="0"/>
              <w:numPr>
                <w:ilvl w:val="0"/>
                <w:numId w:val="0"/>
              </w:numPr>
              <w:wordWrap/>
              <w:overflowPunct/>
              <w:topLinePunct w:val="0"/>
              <w:bidi w:val="0"/>
              <w:spacing w:line="320" w:lineRule="exact"/>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b/>
                <w:bCs/>
                <w:color w:val="auto"/>
                <w:sz w:val="24"/>
                <w:szCs w:val="24"/>
                <w:highlight w:val="none"/>
                <w:lang w:eastAsia="zh-CN"/>
              </w:rPr>
              <w:t>（2）</w:t>
            </w:r>
            <w:r>
              <w:rPr>
                <w:rFonts w:hint="eastAsia" w:ascii="方正仿宋_GBK" w:hAnsi="方正仿宋_GBK" w:eastAsia="方正仿宋_GBK" w:cs="方正仿宋_GBK"/>
                <w:b/>
                <w:bCs/>
                <w:color w:val="auto"/>
                <w:spacing w:val="0"/>
                <w:w w:val="100"/>
                <w:position w:val="0"/>
                <w:sz w:val="24"/>
                <w:szCs w:val="24"/>
                <w:highlight w:val="none"/>
              </w:rPr>
              <w:t>小微企业报价给予扣除：</w:t>
            </w:r>
            <w:r>
              <w:rPr>
                <w:rFonts w:hint="eastAsia" w:ascii="方正仿宋_GBK" w:hAnsi="方正仿宋_GBK" w:eastAsia="方正仿宋_GBK" w:cs="方正仿宋_GBK"/>
                <w:b/>
                <w:bCs/>
                <w:color w:val="auto"/>
                <w:spacing w:val="0"/>
                <w:w w:val="100"/>
                <w:position w:val="0"/>
                <w:sz w:val="24"/>
                <w:szCs w:val="24"/>
                <w:highlight w:val="none"/>
                <w:u w:val="single" w:color="auto"/>
              </w:rPr>
              <w:t>10%</w:t>
            </w:r>
          </w:p>
        </w:tc>
      </w:tr>
      <w:tr w14:paraId="7C10524B">
        <w:tblPrEx>
          <w:tblCellMar>
            <w:top w:w="0" w:type="dxa"/>
            <w:left w:w="108" w:type="dxa"/>
            <w:bottom w:w="0" w:type="dxa"/>
            <w:right w:w="108" w:type="dxa"/>
          </w:tblCellMar>
        </w:tblPrEx>
        <w:trPr>
          <w:trHeight w:val="459" w:hRule="atLeast"/>
          <w:jc w:val="center"/>
        </w:trPr>
        <w:tc>
          <w:tcPr>
            <w:tcW w:w="558" w:type="dxa"/>
            <w:vMerge w:val="continue"/>
            <w:tcBorders>
              <w:left w:val="single" w:color="auto" w:sz="4" w:space="0"/>
              <w:right w:val="single" w:color="auto" w:sz="4" w:space="0"/>
            </w:tcBorders>
            <w:vAlign w:val="center"/>
          </w:tcPr>
          <w:p w14:paraId="54791D6D">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p>
        </w:tc>
        <w:tc>
          <w:tcPr>
            <w:tcW w:w="1407" w:type="dxa"/>
            <w:vMerge w:val="continue"/>
            <w:tcBorders>
              <w:left w:val="single" w:color="auto" w:sz="4" w:space="0"/>
              <w:right w:val="single" w:color="auto" w:sz="4" w:space="0"/>
            </w:tcBorders>
            <w:vAlign w:val="center"/>
          </w:tcPr>
          <w:p w14:paraId="7C7F5A85">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p>
        </w:tc>
        <w:tc>
          <w:tcPr>
            <w:tcW w:w="7400" w:type="dxa"/>
            <w:tcBorders>
              <w:top w:val="single" w:color="auto" w:sz="4" w:space="0"/>
              <w:left w:val="single" w:color="auto" w:sz="4" w:space="0"/>
              <w:bottom w:val="single" w:color="auto" w:sz="4" w:space="0"/>
              <w:right w:val="single" w:color="auto" w:sz="4" w:space="0"/>
            </w:tcBorders>
            <w:vAlign w:val="center"/>
          </w:tcPr>
          <w:p w14:paraId="1BCF99C8">
            <w:pPr>
              <w:keepNext w:val="0"/>
              <w:keepLines w:val="0"/>
              <w:pageBreakBefore w:val="0"/>
              <w:numPr>
                <w:ilvl w:val="0"/>
                <w:numId w:val="0"/>
              </w:numPr>
              <w:wordWrap/>
              <w:overflowPunct/>
              <w:topLinePunct w:val="0"/>
              <w:bidi w:val="0"/>
              <w:spacing w:line="320" w:lineRule="exact"/>
              <w:rPr>
                <w:rFonts w:hint="eastAsia" w:ascii="方正仿宋_GBK" w:hAnsi="方正仿宋_GBK" w:eastAsia="方正仿宋_GBK" w:cs="方正仿宋_GBK"/>
                <w:b/>
                <w:bCs/>
                <w:color w:val="auto"/>
                <w:sz w:val="24"/>
                <w:szCs w:val="24"/>
                <w:highlight w:val="none"/>
                <w:lang w:eastAsia="zh-CN"/>
              </w:rPr>
            </w:pPr>
            <w:r>
              <w:rPr>
                <w:rFonts w:hint="eastAsia" w:ascii="方正仿宋_GBK" w:hAnsi="方正仿宋_GBK" w:eastAsia="方正仿宋_GBK" w:cs="方正仿宋_GBK"/>
                <w:b/>
                <w:bCs/>
                <w:color w:val="auto"/>
                <w:sz w:val="24"/>
                <w:szCs w:val="24"/>
                <w:highlight w:val="none"/>
                <w:lang w:eastAsia="zh-CN"/>
              </w:rPr>
              <w:t>（</w:t>
            </w:r>
            <w:r>
              <w:rPr>
                <w:rFonts w:hint="eastAsia" w:ascii="方正仿宋_GBK" w:hAnsi="方正仿宋_GBK" w:eastAsia="方正仿宋_GBK" w:cs="方正仿宋_GBK"/>
                <w:b/>
                <w:bCs/>
                <w:color w:val="auto"/>
                <w:sz w:val="24"/>
                <w:szCs w:val="24"/>
                <w:highlight w:val="none"/>
                <w:lang w:val="en-US" w:eastAsia="zh-CN"/>
              </w:rPr>
              <w:t>3</w:t>
            </w:r>
            <w:r>
              <w:rPr>
                <w:rFonts w:hint="eastAsia" w:ascii="方正仿宋_GBK" w:hAnsi="方正仿宋_GBK" w:eastAsia="方正仿宋_GBK" w:cs="方正仿宋_GBK"/>
                <w:b/>
                <w:bCs/>
                <w:color w:val="auto"/>
                <w:sz w:val="24"/>
                <w:szCs w:val="24"/>
                <w:highlight w:val="none"/>
                <w:lang w:eastAsia="zh-CN"/>
              </w:rPr>
              <w:t>）本项目货物所属行业：</w:t>
            </w:r>
            <w:r>
              <w:rPr>
                <w:rFonts w:hint="eastAsia" w:ascii="方正仿宋_GBK" w:hAnsi="方正仿宋_GBK" w:eastAsia="方正仿宋_GBK" w:cs="方正仿宋_GBK"/>
                <w:b/>
                <w:bCs/>
                <w:color w:val="auto"/>
                <w:sz w:val="24"/>
                <w:szCs w:val="24"/>
                <w:highlight w:val="none"/>
                <w:lang w:val="en-US" w:eastAsia="zh-CN"/>
              </w:rPr>
              <w:t>批发</w:t>
            </w:r>
            <w:r>
              <w:rPr>
                <w:rFonts w:hint="eastAsia" w:ascii="方正仿宋_GBK" w:hAnsi="方正仿宋_GBK" w:eastAsia="方正仿宋_GBK" w:cs="方正仿宋_GBK"/>
                <w:b/>
                <w:bCs/>
                <w:color w:val="auto"/>
                <w:sz w:val="24"/>
                <w:szCs w:val="24"/>
                <w:highlight w:val="none"/>
                <w:lang w:eastAsia="zh-CN"/>
              </w:rPr>
              <w:t>业</w:t>
            </w:r>
          </w:p>
        </w:tc>
      </w:tr>
      <w:tr w14:paraId="313BD774">
        <w:tblPrEx>
          <w:tblCellMar>
            <w:top w:w="0" w:type="dxa"/>
            <w:left w:w="108" w:type="dxa"/>
            <w:bottom w:w="0" w:type="dxa"/>
            <w:right w:w="108" w:type="dxa"/>
          </w:tblCellMar>
        </w:tblPrEx>
        <w:trPr>
          <w:trHeight w:val="459" w:hRule="atLeast"/>
          <w:jc w:val="center"/>
        </w:trPr>
        <w:tc>
          <w:tcPr>
            <w:tcW w:w="558" w:type="dxa"/>
            <w:vMerge w:val="continue"/>
            <w:tcBorders>
              <w:left w:val="single" w:color="auto" w:sz="4" w:space="0"/>
              <w:bottom w:val="single" w:color="auto" w:sz="4" w:space="0"/>
              <w:right w:val="single" w:color="auto" w:sz="4" w:space="0"/>
            </w:tcBorders>
            <w:vAlign w:val="center"/>
          </w:tcPr>
          <w:p w14:paraId="3F70F6CA">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p>
        </w:tc>
        <w:tc>
          <w:tcPr>
            <w:tcW w:w="1407" w:type="dxa"/>
            <w:vMerge w:val="continue"/>
            <w:tcBorders>
              <w:left w:val="single" w:color="auto" w:sz="4" w:space="0"/>
              <w:bottom w:val="single" w:color="auto" w:sz="4" w:space="0"/>
              <w:right w:val="single" w:color="auto" w:sz="4" w:space="0"/>
            </w:tcBorders>
            <w:vAlign w:val="center"/>
          </w:tcPr>
          <w:p w14:paraId="241B4619">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p>
        </w:tc>
        <w:tc>
          <w:tcPr>
            <w:tcW w:w="7400" w:type="dxa"/>
            <w:tcBorders>
              <w:top w:val="single" w:color="auto" w:sz="4" w:space="0"/>
              <w:left w:val="single" w:color="auto" w:sz="4" w:space="0"/>
              <w:bottom w:val="single" w:color="auto" w:sz="4" w:space="0"/>
              <w:right w:val="single" w:color="auto" w:sz="4" w:space="0"/>
            </w:tcBorders>
            <w:vAlign w:val="center"/>
          </w:tcPr>
          <w:p w14:paraId="6675C2D2">
            <w:pPr>
              <w:keepNext w:val="0"/>
              <w:keepLines w:val="0"/>
              <w:pageBreakBefore w:val="0"/>
              <w:wordWrap/>
              <w:overflowPunct/>
              <w:topLinePunct w:val="0"/>
              <w:bidi w:val="0"/>
              <w:spacing w:line="320" w:lineRule="exact"/>
              <w:rPr>
                <w:rFonts w:hint="eastAsia" w:ascii="方正仿宋_GBK" w:hAnsi="方正仿宋_GBK" w:eastAsia="方正仿宋_GBK" w:cs="方正仿宋_GBK"/>
                <w:b/>
                <w:color w:val="auto"/>
                <w:sz w:val="24"/>
                <w:szCs w:val="24"/>
                <w:highlight w:val="none"/>
                <w:lang w:eastAsia="zh-CN"/>
              </w:rPr>
            </w:pPr>
            <w:r>
              <w:rPr>
                <w:rFonts w:hint="eastAsia" w:ascii="方正仿宋_GBK" w:hAnsi="方正仿宋_GBK" w:eastAsia="方正仿宋_GBK" w:cs="方正仿宋_GBK"/>
                <w:b/>
                <w:color w:val="auto"/>
                <w:sz w:val="24"/>
                <w:szCs w:val="24"/>
                <w:highlight w:val="none"/>
                <w:lang w:eastAsia="zh-CN"/>
              </w:rPr>
              <w:t>着重提醒：投标供应商在提供《中小企业声明函》时，</w:t>
            </w:r>
            <w:r>
              <w:rPr>
                <w:rFonts w:hint="eastAsia" w:ascii="方正仿宋_GBK" w:hAnsi="方正仿宋_GBK" w:eastAsia="方正仿宋_GBK" w:cs="方正仿宋_GBK"/>
                <w:b/>
                <w:color w:val="auto"/>
                <w:sz w:val="24"/>
                <w:szCs w:val="24"/>
                <w:highlight w:val="none"/>
                <w:lang w:eastAsia="zh-CN"/>
              </w:rPr>
              <w:t>必须将招标文件采购标的物全部列入《中小企业声明函》，否则做废标处理</w:t>
            </w:r>
            <w:r>
              <w:rPr>
                <w:rFonts w:hint="eastAsia" w:ascii="方正仿宋_GBK" w:hAnsi="方正仿宋_GBK" w:eastAsia="方正仿宋_GBK" w:cs="方正仿宋_GBK"/>
                <w:b/>
                <w:color w:val="auto"/>
                <w:sz w:val="24"/>
                <w:szCs w:val="24"/>
                <w:highlight w:val="none"/>
                <w:lang w:eastAsia="zh-CN"/>
              </w:rPr>
              <w:t>。</w:t>
            </w:r>
          </w:p>
        </w:tc>
      </w:tr>
      <w:tr w14:paraId="7A4FBFEC">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BDC202D">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31</w:t>
            </w:r>
          </w:p>
        </w:tc>
        <w:tc>
          <w:tcPr>
            <w:tcW w:w="1407" w:type="dxa"/>
            <w:tcBorders>
              <w:top w:val="single" w:color="auto" w:sz="4" w:space="0"/>
              <w:left w:val="single" w:color="auto" w:sz="4" w:space="0"/>
              <w:bottom w:val="single" w:color="auto" w:sz="4" w:space="0"/>
              <w:right w:val="single" w:color="auto" w:sz="4" w:space="0"/>
            </w:tcBorders>
            <w:vAlign w:val="center"/>
          </w:tcPr>
          <w:p w14:paraId="4C446842">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zh-CN" w:eastAsia="zh-CN"/>
              </w:rPr>
            </w:pPr>
          </w:p>
          <w:p w14:paraId="1993CFFE">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val="zh-CN" w:eastAsia="zh-CN"/>
              </w:rPr>
            </w:pPr>
            <w:r>
              <w:rPr>
                <w:rFonts w:hint="eastAsia" w:ascii="方正仿宋_GBK" w:hAnsi="方正仿宋_GBK" w:eastAsia="方正仿宋_GBK" w:cs="方正仿宋_GBK"/>
                <w:color w:val="auto"/>
                <w:sz w:val="24"/>
                <w:szCs w:val="24"/>
                <w:highlight w:val="none"/>
                <w:lang w:val="zh-CN" w:eastAsia="zh-CN"/>
              </w:rPr>
              <w:t>履约保证金</w:t>
            </w:r>
          </w:p>
          <w:p w14:paraId="6921BC50">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p>
        </w:tc>
        <w:tc>
          <w:tcPr>
            <w:tcW w:w="7400" w:type="dxa"/>
            <w:tcBorders>
              <w:top w:val="single" w:color="auto" w:sz="4" w:space="0"/>
              <w:left w:val="single" w:color="auto" w:sz="4" w:space="0"/>
              <w:bottom w:val="single" w:color="auto" w:sz="4" w:space="0"/>
              <w:right w:val="single" w:color="auto" w:sz="4" w:space="0"/>
            </w:tcBorders>
            <w:vAlign w:val="center"/>
          </w:tcPr>
          <w:p w14:paraId="45CFB903">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zh-CN" w:eastAsia="zh-CN"/>
              </w:rPr>
              <w:t>中标人</w:t>
            </w:r>
            <w:r>
              <w:rPr>
                <w:rFonts w:hint="eastAsia" w:ascii="仿宋_GB2312" w:hAnsi="仿宋_GB2312" w:eastAsia="仿宋_GB2312" w:cs="仿宋_GB2312"/>
                <w:b w:val="0"/>
                <w:bCs w:val="0"/>
                <w:color w:val="auto"/>
                <w:sz w:val="24"/>
                <w:szCs w:val="24"/>
                <w:highlight w:val="none"/>
                <w:lang w:eastAsia="zh-CN"/>
              </w:rPr>
              <w:t>应在领取《中标通知书》后</w:t>
            </w:r>
            <w:r>
              <w:rPr>
                <w:rFonts w:hint="eastAsia" w:ascii="仿宋_GB2312" w:hAnsi="仿宋_GB2312" w:eastAsia="仿宋_GB2312" w:cs="仿宋_GB2312"/>
                <w:b w:val="0"/>
                <w:bCs w:val="0"/>
                <w:color w:val="auto"/>
                <w:sz w:val="24"/>
                <w:szCs w:val="24"/>
                <w:highlight w:val="none"/>
                <w:lang w:val="en-US" w:eastAsia="zh-CN"/>
              </w:rPr>
              <w:t>签订合同前</w:t>
            </w:r>
            <w:r>
              <w:rPr>
                <w:rFonts w:hint="eastAsia" w:ascii="仿宋_GB2312" w:hAnsi="仿宋_GB2312" w:eastAsia="仿宋_GB2312" w:cs="仿宋_GB2312"/>
                <w:b w:val="0"/>
                <w:bCs w:val="0"/>
                <w:color w:val="auto"/>
                <w:sz w:val="24"/>
                <w:szCs w:val="24"/>
                <w:highlight w:val="none"/>
                <w:lang w:eastAsia="zh-CN"/>
              </w:rPr>
              <w:t>，办理履约保证金，</w:t>
            </w:r>
            <w:r>
              <w:rPr>
                <w:rFonts w:hint="eastAsia" w:ascii="仿宋_GB2312" w:hAnsi="仿宋_GB2312" w:eastAsia="仿宋_GB2312" w:cs="仿宋_GB2312"/>
                <w:b w:val="0"/>
                <w:bCs w:val="0"/>
                <w:color w:val="auto"/>
                <w:sz w:val="24"/>
                <w:szCs w:val="24"/>
                <w:highlight w:val="none"/>
                <w:lang w:val="zh-CN" w:eastAsia="zh-CN"/>
              </w:rPr>
              <w:t>履约保证金</w:t>
            </w:r>
            <w:r>
              <w:rPr>
                <w:rFonts w:hint="eastAsia" w:ascii="仿宋_GB2312" w:hAnsi="仿宋_GB2312" w:eastAsia="仿宋_GB2312" w:cs="仿宋_GB2312"/>
                <w:b w:val="0"/>
                <w:bCs w:val="0"/>
                <w:color w:val="auto"/>
                <w:sz w:val="24"/>
                <w:szCs w:val="24"/>
                <w:highlight w:val="none"/>
                <w:lang w:val="en-US" w:eastAsia="zh-CN"/>
              </w:rPr>
              <w:t>不低于5万元，具体招标人和中标企业商讨确定后提交，未按约定提交履约保证金的</w:t>
            </w:r>
            <w:r>
              <w:rPr>
                <w:rFonts w:hint="eastAsia" w:ascii="仿宋_GB2312" w:hAnsi="仿宋_GB2312" w:eastAsia="仿宋_GB2312" w:cs="仿宋_GB2312"/>
                <w:b w:val="0"/>
                <w:bCs w:val="0"/>
                <w:color w:val="auto"/>
                <w:sz w:val="24"/>
                <w:szCs w:val="24"/>
                <w:highlight w:val="none"/>
                <w:lang w:eastAsia="zh-CN"/>
              </w:rPr>
              <w:t>招</w:t>
            </w:r>
            <w:r>
              <w:rPr>
                <w:rFonts w:hint="eastAsia" w:ascii="仿宋_GB2312" w:hAnsi="仿宋_GB2312" w:eastAsia="仿宋_GB2312" w:cs="仿宋_GB2312"/>
                <w:color w:val="auto"/>
                <w:sz w:val="24"/>
                <w:szCs w:val="24"/>
                <w:highlight w:val="none"/>
                <w:lang w:eastAsia="zh-CN"/>
              </w:rPr>
              <w:t>标人可取消</w:t>
            </w:r>
            <w:r>
              <w:rPr>
                <w:rFonts w:hint="eastAsia" w:ascii="仿宋_GB2312" w:hAnsi="仿宋_GB2312" w:eastAsia="仿宋_GB2312" w:cs="仿宋_GB2312"/>
                <w:color w:val="auto"/>
                <w:sz w:val="24"/>
                <w:szCs w:val="24"/>
                <w:highlight w:val="none"/>
                <w:lang w:val="zh-CN" w:eastAsia="zh-CN"/>
              </w:rPr>
              <w:t>成交人</w:t>
            </w:r>
            <w:r>
              <w:rPr>
                <w:rFonts w:hint="eastAsia" w:ascii="仿宋_GB2312" w:hAnsi="仿宋_GB2312" w:eastAsia="仿宋_GB2312" w:cs="仿宋_GB2312"/>
                <w:color w:val="auto"/>
                <w:sz w:val="24"/>
                <w:szCs w:val="24"/>
                <w:highlight w:val="none"/>
                <w:lang w:eastAsia="zh-CN"/>
              </w:rPr>
              <w:t>的</w:t>
            </w:r>
            <w:r>
              <w:rPr>
                <w:rFonts w:hint="eastAsia" w:ascii="仿宋_GB2312" w:hAnsi="仿宋_GB2312" w:eastAsia="仿宋_GB2312" w:cs="仿宋_GB2312"/>
                <w:color w:val="auto"/>
                <w:sz w:val="24"/>
                <w:szCs w:val="24"/>
                <w:highlight w:val="none"/>
                <w:lang w:val="zh-CN" w:eastAsia="zh-CN"/>
              </w:rPr>
              <w:t>成交</w:t>
            </w:r>
            <w:r>
              <w:rPr>
                <w:rFonts w:hint="eastAsia" w:ascii="仿宋_GB2312" w:hAnsi="仿宋_GB2312" w:eastAsia="仿宋_GB2312" w:cs="仿宋_GB2312"/>
                <w:color w:val="auto"/>
                <w:sz w:val="24"/>
                <w:szCs w:val="24"/>
                <w:highlight w:val="none"/>
                <w:lang w:eastAsia="zh-CN"/>
              </w:rPr>
              <w:t>资格，并没收其投标保证金。</w:t>
            </w:r>
          </w:p>
        </w:tc>
      </w:tr>
      <w:tr w14:paraId="32C4D736">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4C07D0BD">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32</w:t>
            </w:r>
          </w:p>
        </w:tc>
        <w:tc>
          <w:tcPr>
            <w:tcW w:w="1407" w:type="dxa"/>
            <w:tcBorders>
              <w:top w:val="single" w:color="auto" w:sz="4" w:space="0"/>
              <w:left w:val="single" w:color="auto" w:sz="4" w:space="0"/>
              <w:bottom w:val="single" w:color="auto" w:sz="4" w:space="0"/>
              <w:right w:val="single" w:color="auto" w:sz="4" w:space="0"/>
            </w:tcBorders>
            <w:vAlign w:val="center"/>
          </w:tcPr>
          <w:p w14:paraId="4A2BAB49">
            <w:pPr>
              <w:keepNext w:val="0"/>
              <w:keepLines w:val="0"/>
              <w:pageBreakBefore w:val="0"/>
              <w:wordWrap/>
              <w:overflowPunct/>
              <w:topLinePunct w:val="0"/>
              <w:bidi w:val="0"/>
              <w:spacing w:line="32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踏勘现场</w:t>
            </w:r>
          </w:p>
        </w:tc>
        <w:tc>
          <w:tcPr>
            <w:tcW w:w="7400" w:type="dxa"/>
            <w:tcBorders>
              <w:top w:val="single" w:color="auto" w:sz="4" w:space="0"/>
              <w:left w:val="single" w:color="auto" w:sz="4" w:space="0"/>
              <w:bottom w:val="single" w:color="auto" w:sz="4" w:space="0"/>
              <w:right w:val="single" w:color="auto" w:sz="4" w:space="0"/>
            </w:tcBorders>
            <w:vAlign w:val="center"/>
          </w:tcPr>
          <w:p w14:paraId="2DD93D22">
            <w:pPr>
              <w:keepNext w:val="0"/>
              <w:keepLines w:val="0"/>
              <w:pageBreakBefore w:val="0"/>
              <w:wordWrap/>
              <w:overflowPunct/>
              <w:topLinePunct w:val="0"/>
              <w:bidi w:val="0"/>
              <w:spacing w:line="320" w:lineRule="exact"/>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1.采购人不统一组织考察现场。供应商需在投标截止日前自行前往 考察，如需要，采购人可提供必要的协助。供应商需考察与供货点情况有关的资料，并对其判断及判断的偏差承担责任。考察期安全责任自负，现场考察费用由供应商自已承担。</w:t>
            </w:r>
          </w:p>
          <w:p w14:paraId="5E6B580E">
            <w:pPr>
              <w:keepNext w:val="0"/>
              <w:keepLines w:val="0"/>
              <w:pageBreakBefore w:val="0"/>
              <w:wordWrap/>
              <w:overflowPunct/>
              <w:topLinePunct w:val="0"/>
              <w:bidi w:val="0"/>
              <w:spacing w:line="320" w:lineRule="exact"/>
              <w:rPr>
                <w:rFonts w:hint="eastAsia" w:ascii="方正仿宋_GB2312" w:hAnsi="方正仿宋_GB2312" w:eastAsia="方正仿宋_GB2312" w:cs="方正仿宋_GB2312"/>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2.供应商需用现场考察获得的认识和资料编写服务方案。</w:t>
            </w:r>
          </w:p>
          <w:p w14:paraId="7C534300">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zh-CN" w:eastAsia="zh-CN"/>
              </w:rPr>
            </w:pPr>
            <w:r>
              <w:rPr>
                <w:rFonts w:hint="eastAsia" w:ascii="方正仿宋_GB2312" w:hAnsi="方正仿宋_GB2312" w:eastAsia="方正仿宋_GB2312" w:cs="方正仿宋_GB2312"/>
                <w:color w:val="auto"/>
                <w:sz w:val="24"/>
                <w:szCs w:val="24"/>
                <w:highlight w:val="none"/>
                <w:lang w:val="zh-CN" w:eastAsia="zh-CN"/>
              </w:rPr>
              <w:t>3.供应商现场考察获得的认识和资料，仅供供应商投标参考使用， 采购人对此不负任何责任。</w:t>
            </w:r>
          </w:p>
        </w:tc>
      </w:tr>
      <w:tr w14:paraId="635C134E">
        <w:tblPrEx>
          <w:tblCellMar>
            <w:top w:w="0" w:type="dxa"/>
            <w:left w:w="108" w:type="dxa"/>
            <w:bottom w:w="0" w:type="dxa"/>
            <w:right w:w="108" w:type="dxa"/>
          </w:tblCellMar>
        </w:tblPrEx>
        <w:trPr>
          <w:trHeight w:val="9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0C48086">
            <w:pPr>
              <w:keepNext w:val="0"/>
              <w:keepLines w:val="0"/>
              <w:pageBreakBefore w:val="0"/>
              <w:wordWrap/>
              <w:overflowPunct/>
              <w:topLinePunct w:val="0"/>
              <w:bidi w:val="0"/>
              <w:spacing w:line="320" w:lineRule="exact"/>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33</w:t>
            </w:r>
          </w:p>
        </w:tc>
        <w:tc>
          <w:tcPr>
            <w:tcW w:w="1407" w:type="dxa"/>
            <w:tcBorders>
              <w:top w:val="single" w:color="auto" w:sz="4" w:space="0"/>
              <w:left w:val="single" w:color="auto" w:sz="4" w:space="0"/>
              <w:bottom w:val="single" w:color="auto" w:sz="4" w:space="0"/>
              <w:right w:val="single" w:color="auto" w:sz="4" w:space="0"/>
            </w:tcBorders>
            <w:vAlign w:val="center"/>
          </w:tcPr>
          <w:p w14:paraId="6F1480EF">
            <w:pPr>
              <w:keepNext w:val="0"/>
              <w:keepLines w:val="0"/>
              <w:pageBreakBefore w:val="0"/>
              <w:wordWrap/>
              <w:overflowPunct/>
              <w:topLinePunct w:val="0"/>
              <w:bidi w:val="0"/>
              <w:spacing w:line="320" w:lineRule="exact"/>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其他重要补充</w:t>
            </w:r>
          </w:p>
        </w:tc>
        <w:tc>
          <w:tcPr>
            <w:tcW w:w="7400" w:type="dxa"/>
            <w:tcBorders>
              <w:top w:val="single" w:color="auto" w:sz="4" w:space="0"/>
              <w:left w:val="single" w:color="auto" w:sz="4" w:space="0"/>
              <w:bottom w:val="single" w:color="auto" w:sz="4" w:space="0"/>
              <w:right w:val="single" w:color="auto" w:sz="4" w:space="0"/>
            </w:tcBorders>
            <w:vAlign w:val="center"/>
          </w:tcPr>
          <w:p w14:paraId="58390C44">
            <w:pPr>
              <w:keepNext w:val="0"/>
              <w:keepLines w:val="0"/>
              <w:pageBreakBefore w:val="0"/>
              <w:wordWrap/>
              <w:overflowPunct/>
              <w:topLinePunct w:val="0"/>
              <w:bidi w:val="0"/>
              <w:spacing w:line="320" w:lineRule="exact"/>
              <w:rPr>
                <w:rFonts w:hint="eastAsia" w:ascii="方正仿宋_GB2312" w:hAnsi="方正仿宋_GB2312" w:eastAsia="方正仿宋_GB2312" w:cs="方正仿宋_GB2312"/>
                <w:color w:val="auto"/>
                <w:sz w:val="24"/>
                <w:szCs w:val="24"/>
                <w:highlight w:val="none"/>
                <w:u w:val="none"/>
                <w:lang w:val="en-US" w:eastAsia="en-US"/>
              </w:rPr>
            </w:pPr>
            <w:r>
              <w:rPr>
                <w:rFonts w:hint="eastAsia" w:ascii="方正仿宋_GB2312" w:hAnsi="方正仿宋_GB2312" w:eastAsia="方正仿宋_GB2312" w:cs="方正仿宋_GB2312"/>
                <w:color w:val="auto"/>
                <w:sz w:val="24"/>
                <w:szCs w:val="24"/>
                <w:highlight w:val="none"/>
                <w:u w:val="none"/>
                <w:lang w:val="en-US" w:eastAsia="en-US"/>
              </w:rPr>
              <w:t>1、响应文件中有</w:t>
            </w:r>
            <w:r>
              <w:rPr>
                <w:rFonts w:hint="eastAsia" w:ascii="方正仿宋_GB2312" w:hAnsi="方正仿宋_GB2312" w:eastAsia="方正仿宋_GB2312" w:cs="方正仿宋_GB2312"/>
                <w:color w:val="auto"/>
                <w:sz w:val="24"/>
                <w:szCs w:val="24"/>
                <w:highlight w:val="none"/>
                <w:u w:val="none"/>
                <w:lang w:val="en-US" w:eastAsia="zh-CN"/>
              </w:rPr>
              <w:t>弄</w:t>
            </w:r>
            <w:r>
              <w:rPr>
                <w:rFonts w:hint="eastAsia" w:ascii="方正仿宋_GB2312" w:hAnsi="方正仿宋_GB2312" w:eastAsia="方正仿宋_GB2312" w:cs="方正仿宋_GB2312"/>
                <w:color w:val="auto"/>
                <w:sz w:val="24"/>
                <w:szCs w:val="24"/>
                <w:highlight w:val="none"/>
                <w:u w:val="none"/>
                <w:lang w:val="en-US" w:eastAsia="en-US"/>
              </w:rPr>
              <w:t>虚作假的内容，其响应文件作废，须提供承诺。（如假证书、隐瞒不良行为记录、夸大荣誉、使用非本单位在职员工的相关证件及不符合招标文件规定的条款等）；在签订合同之前，采购人如发现供应商的响应文件有弄虚作假内容，采购人可拒绝与其签订合同。并将 其列入政府采购黑名单库。</w:t>
            </w:r>
          </w:p>
          <w:p w14:paraId="61A461A8">
            <w:pPr>
              <w:keepNext w:val="0"/>
              <w:keepLines w:val="0"/>
              <w:pageBreakBefore w:val="0"/>
              <w:wordWrap/>
              <w:overflowPunct/>
              <w:topLinePunct w:val="0"/>
              <w:bidi w:val="0"/>
              <w:spacing w:line="320" w:lineRule="exact"/>
              <w:rPr>
                <w:rFonts w:hint="eastAsia" w:ascii="方正仿宋_GB2312" w:hAnsi="方正仿宋_GB2312" w:eastAsia="方正仿宋_GB2312" w:cs="方正仿宋_GB2312"/>
                <w:color w:val="auto"/>
                <w:sz w:val="24"/>
                <w:szCs w:val="24"/>
                <w:highlight w:val="none"/>
                <w:lang w:val="en-US" w:eastAsia="en-US"/>
              </w:rPr>
            </w:pPr>
            <w:r>
              <w:rPr>
                <w:rFonts w:hint="eastAsia" w:ascii="方正仿宋_GB2312" w:hAnsi="方正仿宋_GB2312" w:eastAsia="方正仿宋_GB2312" w:cs="方正仿宋_GB2312"/>
                <w:color w:val="auto"/>
                <w:sz w:val="24"/>
                <w:szCs w:val="24"/>
                <w:highlight w:val="none"/>
                <w:u w:val="none"/>
                <w:lang w:val="en-US" w:eastAsia="en-US"/>
              </w:rPr>
              <w:t>2、供应商应保证在本项目使用的任何产品和服务（包括部分使用）时，不会产生因第三方提出侵犯其专利权、商标权或其它知识产权而引起的法律和经济纠纷，如因专利权、商标权或其它知识产权而引起</w:t>
            </w:r>
            <w:r>
              <w:rPr>
                <w:rFonts w:hint="eastAsia" w:ascii="方正仿宋_GB2312" w:hAnsi="方正仿宋_GB2312" w:eastAsia="方正仿宋_GB2312" w:cs="方正仿宋_GB2312"/>
                <w:color w:val="auto"/>
                <w:sz w:val="24"/>
                <w:szCs w:val="24"/>
                <w:highlight w:val="none"/>
                <w:lang w:val="en-US" w:eastAsia="en-US"/>
              </w:rPr>
              <w:t>法律和经济纠纷，由供应商承担所有相关责任的同时不得耽误本项目供货。</w:t>
            </w:r>
          </w:p>
          <w:p w14:paraId="1E331684">
            <w:pPr>
              <w:keepNext w:val="0"/>
              <w:keepLines w:val="0"/>
              <w:pageBreakBefore w:val="0"/>
              <w:wordWrap/>
              <w:overflowPunct/>
              <w:topLinePunct w:val="0"/>
              <w:bidi w:val="0"/>
              <w:spacing w:line="320" w:lineRule="exac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3、本项目中标单位在供货期间须购买食品安全责任保险。</w:t>
            </w:r>
          </w:p>
          <w:p w14:paraId="19376C09">
            <w:pPr>
              <w:keepNext w:val="0"/>
              <w:keepLines w:val="0"/>
              <w:pageBreakBefore w:val="0"/>
              <w:wordWrap/>
              <w:overflowPunct/>
              <w:topLinePunct w:val="0"/>
              <w:bidi w:val="0"/>
              <w:spacing w:line="320" w:lineRule="exac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w:t>
            </w:r>
            <w:r>
              <w:rPr>
                <w:rFonts w:hint="eastAsia" w:ascii="方正仿宋_GB2312" w:hAnsi="方正仿宋_GB2312" w:eastAsia="方正仿宋_GB2312" w:cs="方正仿宋_GB2312"/>
                <w:color w:val="auto"/>
                <w:sz w:val="24"/>
                <w:szCs w:val="24"/>
                <w:highlight w:val="none"/>
                <w:lang w:val="en-US" w:eastAsia="zh-CN"/>
              </w:rPr>
              <w:t>教育部门督促指导中小学校严格按照合同对服务企业进行履约监管，严禁违规转包、分包等行为中小学校建立食材验收制度,成立由学校领导、后勤部门负责人食品安全员、教师代表等组成的食材验收小组，建立双人或多人联检查验制度，在全程视频监控下对食材进行验收，供货须提供</w:t>
            </w:r>
            <w:r>
              <w:rPr>
                <w:rFonts w:hint="eastAsia" w:ascii="方正仿宋_GB2312" w:hAnsi="方正仿宋_GB2312" w:eastAsia="方正仿宋_GB2312" w:cs="方正仿宋_GB2312"/>
                <w:color w:val="auto"/>
                <w:sz w:val="24"/>
                <w:szCs w:val="24"/>
                <w:highlight w:val="none"/>
                <w:lang w:val="en-US" w:eastAsia="zh-CN"/>
              </w:rPr>
              <w:t>牛肉、羊肉类</w:t>
            </w:r>
            <w:r>
              <w:rPr>
                <w:rFonts w:hint="eastAsia" w:ascii="方正仿宋_GB2312" w:hAnsi="方正仿宋_GB2312" w:eastAsia="方正仿宋_GB2312" w:cs="方正仿宋_GB2312"/>
                <w:color w:val="auto"/>
                <w:sz w:val="24"/>
                <w:szCs w:val="24"/>
                <w:highlight w:val="none"/>
                <w:lang w:val="en-US" w:eastAsia="zh-CN"/>
              </w:rPr>
              <w:t>等食材检验检疫合格证及肉品品质合格证等相关证明材料，做好入库台账登记。对食材质量不合格的，要求供货商现场退换;无法临时组织货源的，要求供货商就近采购食材，确保学校不出现断供食材，同时按照合同约定对供货商作出相应处罚。对违反食品安全法律法规，发生食品安全事故的供应商，立即终止合同并及时报告市场、公安、财政等部门。教育会同市场监管部门定期或随机监管食材供货验收情况。</w:t>
            </w:r>
          </w:p>
          <w:p w14:paraId="447D0240">
            <w:pPr>
              <w:pStyle w:val="2"/>
              <w:jc w:val="left"/>
              <w:rPr>
                <w:rFonts w:hint="eastAsia" w:ascii="方正仿宋_GB2312" w:hAnsi="方正仿宋_GB2312" w:eastAsia="方正仿宋_GB2312" w:cs="方正仿宋_GB2312"/>
                <w:b w:val="0"/>
                <w:color w:val="auto"/>
                <w:sz w:val="24"/>
                <w:szCs w:val="24"/>
                <w:highlight w:val="none"/>
                <w:lang w:val="en-US" w:eastAsia="zh-CN" w:bidi="en-US"/>
              </w:rPr>
            </w:pPr>
            <w:r>
              <w:rPr>
                <w:rFonts w:hint="eastAsia" w:ascii="方正仿宋_GB2312" w:hAnsi="方正仿宋_GB2312" w:eastAsia="方正仿宋_GB2312" w:cs="方正仿宋_GB2312"/>
                <w:color w:val="auto"/>
                <w:sz w:val="24"/>
                <w:szCs w:val="24"/>
                <w:highlight w:val="none"/>
                <w:lang w:val="en-US" w:eastAsia="zh-CN"/>
              </w:rPr>
              <w:t>5、所供产品质量最低要求：</w:t>
            </w:r>
            <w:r>
              <w:rPr>
                <w:rFonts w:hint="eastAsia" w:ascii="方正仿宋_GB2312" w:hAnsi="方正仿宋_GB2312" w:eastAsia="方正仿宋_GB2312" w:cs="方正仿宋_GB2312"/>
                <w:b w:val="0"/>
                <w:color w:val="auto"/>
                <w:sz w:val="24"/>
                <w:szCs w:val="24"/>
                <w:highlight w:val="none"/>
                <w:lang w:val="en-US" w:eastAsia="zh-CN" w:bidi="en-US"/>
              </w:rPr>
              <w:t>供应商配送至学校的牛羊肉须为20天以内屠宰的牛羊肉（投标文件须写承诺函），具有动物检验检疫合格证明，且符合食品卫生安全法要求。肉类（牛肉、羊肉等）肉质新鲜，有光泽，肉面干净、新鲜气味正常，无任何异味、无毛发、表皮处理清洁，按照学校需求分割配送。采购原材料应索取产品合格证以及同批次检验（测）报告，配送的食品必须符合国家规定标准及强制性规定要求。羊肉单体羊（去尾），牛肉剔骨、去油、去筋、去膜，按照学校需求分割配送。</w:t>
            </w:r>
          </w:p>
          <w:p w14:paraId="0069C2EA">
            <w:pPr>
              <w:pStyle w:val="2"/>
              <w:jc w:val="left"/>
              <w:rPr>
                <w:rFonts w:hint="eastAsia" w:ascii="仿宋_GB2312" w:hAnsi="仿宋_GB2312" w:eastAsia="仿宋_GB2312" w:cs="仿宋_GB2312"/>
                <w:b/>
                <w:bCs/>
                <w:color w:val="auto"/>
                <w:sz w:val="24"/>
                <w:szCs w:val="24"/>
                <w:highlight w:val="none"/>
                <w:lang w:val="en-US" w:eastAsia="zh-CN" w:bidi="en-US"/>
              </w:rPr>
            </w:pPr>
            <w:r>
              <w:rPr>
                <w:rFonts w:hint="eastAsia" w:ascii="仿宋_GB2312" w:hAnsi="仿宋_GB2312" w:eastAsia="仿宋_GB2312" w:cs="仿宋_GB2312"/>
                <w:color w:val="auto"/>
                <w:sz w:val="24"/>
                <w:szCs w:val="24"/>
                <w:highlight w:val="none"/>
                <w:lang w:val="en-US" w:eastAsia="zh-CN"/>
              </w:rPr>
              <w:t>6、供应商须承诺所供产品提供大宗食材肉类供应价不得高于本地区同品牌同等规格食材市场价（承诺函格式自拟）</w:t>
            </w:r>
          </w:p>
          <w:p w14:paraId="55646DA5">
            <w:pPr>
              <w:pStyle w:val="2"/>
              <w:jc w:val="left"/>
              <w:rPr>
                <w:rFonts w:hint="eastAsia"/>
                <w:color w:val="auto"/>
                <w:highlight w:val="none"/>
                <w:lang w:eastAsia="zh-CN"/>
              </w:rPr>
            </w:pPr>
            <w:r>
              <w:rPr>
                <w:rFonts w:hint="eastAsia" w:ascii="仿宋_GB2312" w:hAnsi="仿宋_GB2312" w:eastAsia="仿宋_GB2312" w:cs="仿宋_GB2312"/>
                <w:b/>
                <w:bCs/>
                <w:color w:val="auto"/>
                <w:sz w:val="24"/>
                <w:szCs w:val="24"/>
                <w:highlight w:val="none"/>
                <w:lang w:val="en-US" w:eastAsia="zh-CN" w:bidi="en-US"/>
              </w:rPr>
              <w:t>7、</w:t>
            </w:r>
            <w:r>
              <w:rPr>
                <w:rFonts w:hint="eastAsia" w:ascii="方正仿宋_GBK" w:hAnsi="方正仿宋_GBK" w:eastAsia="方正仿宋_GBK" w:cs="方正仿宋_GBK"/>
                <w:b w:val="0"/>
                <w:color w:val="auto"/>
                <w:sz w:val="24"/>
                <w:szCs w:val="24"/>
                <w:highlight w:val="none"/>
                <w:lang w:val="en-US" w:eastAsia="zh-CN" w:bidi="en-US"/>
              </w:rPr>
              <w:t>该项目由青河县教育局统一组织实施招标，中标单位须与招标人（青河县教育局）签订总合同，服务单位（全县公办幼儿园及义务教育阶段等各校）签订具体采购合同。</w:t>
            </w:r>
          </w:p>
        </w:tc>
      </w:tr>
      <w:tr w14:paraId="1BA4612B">
        <w:tblPrEx>
          <w:tblCellMar>
            <w:top w:w="0" w:type="dxa"/>
            <w:left w:w="108" w:type="dxa"/>
            <w:bottom w:w="0" w:type="dxa"/>
            <w:right w:w="108" w:type="dxa"/>
          </w:tblCellMar>
        </w:tblPrEx>
        <w:trPr>
          <w:trHeight w:val="84" w:hRule="atLeast"/>
          <w:jc w:val="center"/>
        </w:trPr>
        <w:tc>
          <w:tcPr>
            <w:tcW w:w="1965" w:type="dxa"/>
            <w:gridSpan w:val="2"/>
            <w:tcBorders>
              <w:top w:val="single" w:color="auto" w:sz="4" w:space="0"/>
              <w:left w:val="single" w:color="auto" w:sz="4" w:space="0"/>
              <w:bottom w:val="single" w:color="auto" w:sz="4" w:space="0"/>
              <w:right w:val="single" w:color="auto" w:sz="4" w:space="0"/>
            </w:tcBorders>
            <w:vAlign w:val="center"/>
          </w:tcPr>
          <w:p w14:paraId="15E4C9E0">
            <w:pPr>
              <w:keepNext w:val="0"/>
              <w:keepLines w:val="0"/>
              <w:pageBreakBefore w:val="0"/>
              <w:wordWrap/>
              <w:overflowPunct/>
              <w:topLinePunct w:val="0"/>
              <w:bidi w:val="0"/>
              <w:spacing w:line="320" w:lineRule="exact"/>
              <w:ind w:firstLine="720" w:firstLineChars="300"/>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备注</w:t>
            </w:r>
          </w:p>
        </w:tc>
        <w:tc>
          <w:tcPr>
            <w:tcW w:w="7400" w:type="dxa"/>
            <w:tcBorders>
              <w:top w:val="single" w:color="auto" w:sz="4" w:space="0"/>
              <w:left w:val="single" w:color="auto" w:sz="4" w:space="0"/>
              <w:bottom w:val="single" w:color="auto" w:sz="4" w:space="0"/>
              <w:right w:val="single" w:color="auto" w:sz="4" w:space="0"/>
            </w:tcBorders>
            <w:vAlign w:val="center"/>
          </w:tcPr>
          <w:p w14:paraId="241BBD4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1、着重提醒各供应商注意，并认真查看招标文件中的每一个条款及要求，因误读招标文件而造成的后果，招标人概不负责。</w:t>
            </w:r>
          </w:p>
          <w:p w14:paraId="0FEB0619">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2、供应商使用相同IP地址的，一经发现，相关部门将进一步核实，查实后按串通投标处理。</w:t>
            </w:r>
          </w:p>
          <w:p w14:paraId="2D4ABD98">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3、为保证本项目质量，良好的售后服务，最低报价不作为中标的唯一依据。</w:t>
            </w:r>
          </w:p>
          <w:p w14:paraId="5EA96FF0">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1C0B1E69">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5、如为信息系统采购项目，供应商不得为该整体项目或其中分项目前期工作提供过设计、编制、管理等服务的法人及附属单位。</w:t>
            </w:r>
          </w:p>
          <w:p w14:paraId="56D5D87A">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6、单位负责人为同一人或者存在直接控股、管理关系的不同供应商，不得参加同一合同项下的政府采购活动。除单一来源采购项目外，为采购项目提供整理设计、规范编制或者项目管理、监理、检测等服务的供应商，不得再参加该采购项目的其他采购活动。</w:t>
            </w:r>
          </w:p>
          <w:p w14:paraId="7D53B735">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7</w:t>
            </w:r>
            <w:r>
              <w:rPr>
                <w:rFonts w:hint="eastAsia" w:ascii="方正仿宋_GBK" w:hAnsi="方正仿宋_GBK" w:eastAsia="方正仿宋_GBK" w:cs="方正仿宋_GBK"/>
                <w:color w:val="auto"/>
                <w:sz w:val="24"/>
                <w:szCs w:val="24"/>
                <w:highlight w:val="none"/>
                <w:lang w:eastAsia="zh-CN"/>
              </w:rPr>
              <w:t>、其它：</w:t>
            </w:r>
          </w:p>
          <w:p w14:paraId="3A9E536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（1）投标企业严格遵守国家的法律法规及招标纪律，无违法违纪及商业贿赂行为。</w:t>
            </w:r>
          </w:p>
          <w:p w14:paraId="64265373">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（2）不管投标结果如何，供应商均应自行承担投标所需一切费用。</w:t>
            </w:r>
          </w:p>
          <w:p w14:paraId="13351F9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（3）供应商应以书面形式保证中标后由本公司组织实施，不得以任何理由将项目转包给其他机构。</w:t>
            </w:r>
          </w:p>
          <w:p w14:paraId="3B18001F">
            <w:pPr>
              <w:keepNext w:val="0"/>
              <w:keepLines w:val="0"/>
              <w:pageBreakBefore w:val="0"/>
              <w:wordWrap/>
              <w:overflowPunct/>
              <w:topLinePunct w:val="0"/>
              <w:bidi w:val="0"/>
              <w:spacing w:line="32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b w:val="0"/>
                <w:bCs w:val="0"/>
                <w:color w:val="auto"/>
                <w:sz w:val="24"/>
                <w:szCs w:val="24"/>
                <w:highlight w:val="none"/>
                <w:lang w:eastAsia="zh-CN"/>
              </w:rPr>
              <w:t>（</w:t>
            </w:r>
            <w:r>
              <w:rPr>
                <w:rFonts w:hint="eastAsia" w:ascii="方正仿宋_GBK" w:hAnsi="方正仿宋_GBK" w:eastAsia="方正仿宋_GBK" w:cs="方正仿宋_GBK"/>
                <w:b w:val="0"/>
                <w:bCs w:val="0"/>
                <w:color w:val="auto"/>
                <w:sz w:val="24"/>
                <w:szCs w:val="24"/>
                <w:highlight w:val="none"/>
                <w:lang w:val="en-US" w:eastAsia="zh-CN"/>
              </w:rPr>
              <w:t>4</w:t>
            </w:r>
            <w:r>
              <w:rPr>
                <w:rFonts w:hint="eastAsia" w:ascii="方正仿宋_GBK" w:hAnsi="方正仿宋_GBK" w:eastAsia="方正仿宋_GBK" w:cs="方正仿宋_GBK"/>
                <w:b w:val="0"/>
                <w:bCs w:val="0"/>
                <w:color w:val="auto"/>
                <w:sz w:val="24"/>
                <w:szCs w:val="24"/>
                <w:highlight w:val="none"/>
                <w:lang w:eastAsia="zh-CN"/>
              </w:rPr>
              <w:t>）招标文件中如出现前后不一致情况，均以前附表内容为准。</w:t>
            </w:r>
          </w:p>
        </w:tc>
      </w:tr>
    </w:tbl>
    <w:p w14:paraId="61B98D4F">
      <w:pPr>
        <w:pageBreakBefore/>
        <w:spacing w:beforeLines="100" w:afterLines="100" w:line="340" w:lineRule="exact"/>
        <w:jc w:val="center"/>
        <w:outlineLvl w:val="1"/>
        <w:rPr>
          <w:rFonts w:ascii="仿宋" w:hAnsi="仿宋" w:eastAsia="仿宋" w:cs="仿宋"/>
          <w:b/>
          <w:color w:val="auto"/>
          <w:sz w:val="28"/>
          <w:szCs w:val="32"/>
          <w:highlight w:val="none"/>
          <w:lang w:eastAsia="zh-CN"/>
        </w:rPr>
      </w:pPr>
      <w:bookmarkStart w:id="0" w:name="_Toc469495736"/>
      <w:bookmarkStart w:id="1" w:name="_Toc362983805"/>
      <w:bookmarkStart w:id="2" w:name="_Toc267320058"/>
      <w:bookmarkStart w:id="3" w:name="_Toc363135205"/>
      <w:r>
        <w:rPr>
          <w:rFonts w:hint="eastAsia" w:ascii="仿宋" w:hAnsi="仿宋" w:eastAsia="仿宋" w:cs="仿宋"/>
          <w:b/>
          <w:color w:val="auto"/>
          <w:sz w:val="28"/>
          <w:szCs w:val="28"/>
          <w:highlight w:val="none"/>
          <w:lang w:eastAsia="zh-CN"/>
        </w:rPr>
        <w:t>二、供应商须知</w:t>
      </w:r>
    </w:p>
    <w:p w14:paraId="01FC7BC6">
      <w:pPr>
        <w:spacing w:line="340" w:lineRule="exact"/>
        <w:jc w:val="center"/>
        <w:outlineLvl w:val="2"/>
        <w:rPr>
          <w:rFonts w:ascii="仿宋" w:hAnsi="仿宋" w:eastAsia="仿宋" w:cs="仿宋"/>
          <w:color w:val="auto"/>
          <w:sz w:val="28"/>
          <w:szCs w:val="28"/>
          <w:highlight w:val="none"/>
          <w:lang w:eastAsia="zh-CN"/>
        </w:rPr>
      </w:pPr>
      <w:bookmarkStart w:id="4" w:name="_Toc469495724"/>
      <w:r>
        <w:rPr>
          <w:rFonts w:hint="eastAsia" w:ascii="仿宋" w:hAnsi="仿宋" w:eastAsia="仿宋" w:cs="仿宋"/>
          <w:b/>
          <w:color w:val="auto"/>
          <w:sz w:val="28"/>
          <w:szCs w:val="28"/>
          <w:highlight w:val="none"/>
          <w:lang w:eastAsia="zh-CN"/>
        </w:rPr>
        <w:t>（一）</w:t>
      </w:r>
      <w:r>
        <w:rPr>
          <w:rFonts w:hint="eastAsia" w:ascii="仿宋" w:hAnsi="仿宋" w:eastAsia="仿宋" w:cs="仿宋"/>
          <w:b/>
          <w:color w:val="auto"/>
          <w:sz w:val="28"/>
          <w:szCs w:val="32"/>
          <w:highlight w:val="none"/>
          <w:lang w:eastAsia="zh-CN"/>
        </w:rPr>
        <w:t>总  则</w:t>
      </w:r>
      <w:bookmarkEnd w:id="4"/>
    </w:p>
    <w:p w14:paraId="3AE826A6">
      <w:pPr>
        <w:snapToGrid w:val="0"/>
        <w:spacing w:line="3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1.项目概况</w:t>
      </w:r>
    </w:p>
    <w:p w14:paraId="7DAEC589">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1.1本次招标采购项目名称：见供应商须知前附表。</w:t>
      </w:r>
    </w:p>
    <w:p w14:paraId="2F321D1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仿宋" w:hAnsi="仿宋" w:eastAsia="仿宋" w:cs="仿宋"/>
          <w:color w:val="auto"/>
          <w:szCs w:val="21"/>
          <w:highlight w:val="none"/>
          <w:u w:val="single"/>
          <w:lang w:eastAsia="zh-CN"/>
        </w:rPr>
      </w:pPr>
      <w:r>
        <w:rPr>
          <w:rFonts w:hint="eastAsia" w:ascii="仿宋" w:hAnsi="仿宋" w:eastAsia="仿宋" w:cs="仿宋"/>
          <w:color w:val="auto"/>
          <w:szCs w:val="21"/>
          <w:highlight w:val="none"/>
          <w:lang w:eastAsia="zh-CN"/>
        </w:rPr>
        <w:t>项目编号：见供应商须知前附表。</w:t>
      </w:r>
    </w:p>
    <w:p w14:paraId="22E936B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招标人：见供应商须知前附表。</w:t>
      </w:r>
    </w:p>
    <w:p w14:paraId="3AA381C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仿宋" w:hAnsi="仿宋" w:eastAsia="仿宋" w:cs="仿宋"/>
          <w:color w:val="auto"/>
          <w:szCs w:val="21"/>
          <w:highlight w:val="none"/>
          <w:u w:val="single"/>
          <w:lang w:eastAsia="zh-CN"/>
        </w:rPr>
      </w:pPr>
      <w:r>
        <w:rPr>
          <w:rFonts w:hint="eastAsia" w:ascii="仿宋" w:hAnsi="仿宋" w:eastAsia="仿宋" w:cs="仿宋"/>
          <w:color w:val="auto"/>
          <w:szCs w:val="21"/>
          <w:highlight w:val="none"/>
          <w:lang w:eastAsia="zh-CN"/>
        </w:rPr>
        <w:t>供货期：见供应商须知前附表。</w:t>
      </w:r>
    </w:p>
    <w:p w14:paraId="71AB094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仿宋" w:hAnsi="仿宋" w:eastAsia="仿宋" w:cs="仿宋"/>
          <w:color w:val="auto"/>
          <w:szCs w:val="21"/>
          <w:highlight w:val="none"/>
          <w:u w:val="single"/>
          <w:lang w:eastAsia="zh-CN"/>
        </w:rPr>
      </w:pPr>
      <w:r>
        <w:rPr>
          <w:rFonts w:hint="eastAsia" w:ascii="仿宋" w:hAnsi="仿宋" w:eastAsia="仿宋" w:cs="仿宋"/>
          <w:color w:val="auto"/>
          <w:szCs w:val="21"/>
          <w:highlight w:val="none"/>
          <w:lang w:eastAsia="zh-CN"/>
        </w:rPr>
        <w:t>供货地点：见供应商须知前附表。</w:t>
      </w:r>
    </w:p>
    <w:p w14:paraId="3D9048E3">
      <w:pPr>
        <w:snapToGrid w:val="0"/>
        <w:spacing w:line="440" w:lineRule="exact"/>
        <w:ind w:firstLine="480" w:firstLineChars="200"/>
        <w:rPr>
          <w:rFonts w:ascii="仿宋" w:hAnsi="仿宋" w:eastAsia="仿宋" w:cs="仿宋"/>
          <w:color w:val="auto"/>
          <w:szCs w:val="21"/>
          <w:highlight w:val="none"/>
          <w:u w:val="single"/>
          <w:lang w:eastAsia="zh-CN"/>
        </w:rPr>
      </w:pPr>
      <w:r>
        <w:rPr>
          <w:rFonts w:hint="eastAsia" w:ascii="仿宋" w:hAnsi="仿宋" w:eastAsia="仿宋" w:cs="仿宋"/>
          <w:color w:val="auto"/>
          <w:szCs w:val="21"/>
          <w:highlight w:val="none"/>
          <w:lang w:eastAsia="zh-CN"/>
        </w:rPr>
        <w:t>1.2招标人及联系人：见供应商须知前附表。</w:t>
      </w:r>
    </w:p>
    <w:p w14:paraId="2407E97D">
      <w:pPr>
        <w:snapToGrid w:val="0"/>
        <w:spacing w:line="440" w:lineRule="exact"/>
        <w:ind w:firstLine="600" w:firstLineChars="250"/>
        <w:rPr>
          <w:rFonts w:ascii="仿宋" w:hAnsi="仿宋" w:eastAsia="仿宋" w:cs="仿宋"/>
          <w:color w:val="auto"/>
          <w:szCs w:val="21"/>
          <w:highlight w:val="none"/>
          <w:u w:val="single"/>
          <w:lang w:eastAsia="zh-CN"/>
        </w:rPr>
      </w:pPr>
      <w:r>
        <w:rPr>
          <w:rFonts w:hint="eastAsia" w:ascii="仿宋" w:hAnsi="仿宋" w:eastAsia="仿宋" w:cs="仿宋"/>
          <w:color w:val="auto"/>
          <w:szCs w:val="21"/>
          <w:highlight w:val="none"/>
          <w:lang w:eastAsia="zh-CN"/>
        </w:rPr>
        <w:t>代理机构及联系人：见供应商须知前附表。</w:t>
      </w:r>
    </w:p>
    <w:p w14:paraId="24553D47">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1.3资金来源：见供应商须知前附表。</w:t>
      </w:r>
    </w:p>
    <w:p w14:paraId="316DF812">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1.4本项目预算：见供应商须知前附表。</w:t>
      </w:r>
    </w:p>
    <w:p w14:paraId="34065457">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1.5本项目控制价：见供应商须知前附表。</w:t>
      </w:r>
    </w:p>
    <w:p w14:paraId="56ADC956">
      <w:pPr>
        <w:snapToGrid w:val="0"/>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2.招标范围：</w:t>
      </w:r>
    </w:p>
    <w:p w14:paraId="36879874">
      <w:pPr>
        <w:snapToGrid w:val="0"/>
        <w:spacing w:line="440" w:lineRule="exact"/>
        <w:ind w:firstLine="480" w:firstLineChars="200"/>
        <w:rPr>
          <w:rFonts w:ascii="仿宋" w:hAnsi="仿宋" w:eastAsia="仿宋" w:cs="仿宋"/>
          <w:color w:val="auto"/>
          <w:szCs w:val="21"/>
          <w:highlight w:val="none"/>
          <w:u w:val="single"/>
          <w:lang w:eastAsia="zh-CN"/>
        </w:rPr>
      </w:pPr>
      <w:r>
        <w:rPr>
          <w:rFonts w:hint="eastAsia" w:ascii="仿宋" w:hAnsi="仿宋" w:eastAsia="仿宋" w:cs="仿宋"/>
          <w:color w:val="auto"/>
          <w:szCs w:val="21"/>
          <w:highlight w:val="none"/>
          <w:lang w:eastAsia="zh-CN"/>
        </w:rPr>
        <w:t>2.1 采购内容：见供应商须知前附表。</w:t>
      </w:r>
    </w:p>
    <w:p w14:paraId="6FC85F62">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 技术要求：详见采购文件第四章采购内容及技术要求。</w:t>
      </w:r>
    </w:p>
    <w:p w14:paraId="2D448663">
      <w:pPr>
        <w:snapToGrid w:val="0"/>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3.标包划分：</w:t>
      </w:r>
    </w:p>
    <w:p w14:paraId="4379E089">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3.1本项目划分：</w:t>
      </w:r>
      <w:r>
        <w:rPr>
          <w:rFonts w:hint="eastAsia" w:ascii="仿宋" w:hAnsi="仿宋" w:eastAsia="仿宋" w:cs="仿宋"/>
          <w:color w:val="auto"/>
          <w:szCs w:val="21"/>
          <w:highlight w:val="none"/>
          <w:u w:val="single"/>
          <w:lang w:val="en-US" w:eastAsia="zh-CN"/>
        </w:rPr>
        <w:t>/</w:t>
      </w:r>
    </w:p>
    <w:p w14:paraId="5C3AAD57">
      <w:pPr>
        <w:snapToGrid w:val="0"/>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4.招标方式：</w:t>
      </w:r>
    </w:p>
    <w:p w14:paraId="65EF5CE4">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4.1本项目招标方式：公开招标。</w:t>
      </w:r>
    </w:p>
    <w:p w14:paraId="62C34AB7">
      <w:pPr>
        <w:snapToGrid w:val="0"/>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5.计价方式：</w:t>
      </w:r>
    </w:p>
    <w:p w14:paraId="78408576">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5.1本次招标项目合同采用</w:t>
      </w:r>
      <w:r>
        <w:rPr>
          <w:rFonts w:hint="eastAsia" w:ascii="仿宋" w:hAnsi="仿宋" w:eastAsia="仿宋" w:cs="仿宋"/>
          <w:color w:val="auto"/>
          <w:szCs w:val="21"/>
          <w:highlight w:val="none"/>
          <w:u w:val="single"/>
          <w:lang w:eastAsia="zh-CN"/>
        </w:rPr>
        <w:t xml:space="preserve">  </w:t>
      </w:r>
      <w:r>
        <w:rPr>
          <w:rFonts w:hint="eastAsia" w:ascii="仿宋" w:hAnsi="仿宋" w:eastAsia="仿宋" w:cs="仿宋"/>
          <w:color w:val="auto"/>
          <w:szCs w:val="21"/>
          <w:highlight w:val="none"/>
          <w:u w:val="single"/>
          <w:lang w:val="en-US" w:eastAsia="zh-CN"/>
        </w:rPr>
        <w:t>下浮率</w:t>
      </w:r>
      <w:r>
        <w:rPr>
          <w:rFonts w:hint="eastAsia" w:ascii="仿宋" w:hAnsi="仿宋" w:eastAsia="仿宋" w:cs="仿宋"/>
          <w:color w:val="auto"/>
          <w:szCs w:val="21"/>
          <w:highlight w:val="none"/>
          <w:u w:val="single"/>
          <w:lang w:eastAsia="zh-CN"/>
        </w:rPr>
        <w:t xml:space="preserve"> 。</w:t>
      </w:r>
    </w:p>
    <w:p w14:paraId="21669542">
      <w:pPr>
        <w:snapToGrid w:val="0"/>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6.评标办法：</w:t>
      </w:r>
    </w:p>
    <w:p w14:paraId="3D04F81D">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6.1本次招标评标采用</w:t>
      </w:r>
      <w:r>
        <w:rPr>
          <w:rFonts w:hint="eastAsia" w:ascii="仿宋" w:hAnsi="仿宋" w:eastAsia="仿宋" w:cs="仿宋"/>
          <w:color w:val="auto"/>
          <w:szCs w:val="21"/>
          <w:highlight w:val="none"/>
          <w:u w:val="single"/>
          <w:lang w:eastAsia="zh-CN"/>
        </w:rPr>
        <w:t xml:space="preserve">  综合评分法 </w:t>
      </w:r>
      <w:r>
        <w:rPr>
          <w:rFonts w:hint="eastAsia" w:ascii="仿宋" w:hAnsi="仿宋" w:eastAsia="仿宋" w:cs="仿宋"/>
          <w:color w:val="auto"/>
          <w:szCs w:val="21"/>
          <w:highlight w:val="none"/>
          <w:lang w:eastAsia="zh-CN"/>
        </w:rPr>
        <w:t>（详见第三章评标办法）</w:t>
      </w:r>
    </w:p>
    <w:p w14:paraId="4FD5D6BD">
      <w:pPr>
        <w:snapToGrid w:val="0"/>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7.供应商资格：</w:t>
      </w:r>
    </w:p>
    <w:p w14:paraId="1245107A">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7.1参与采购活动的供应商必须是满足《中华人民共和国政府采购法》规定条件的法人、其他组织或者自然人：</w:t>
      </w:r>
    </w:p>
    <w:p w14:paraId="6B31B29A">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7.2由于政府采购项目的差异性，供应商在参与具体政府采购项目活动时，应仔细阅读该项目的资质要求,具体见供应商须知前附表。</w:t>
      </w:r>
    </w:p>
    <w:p w14:paraId="7E79B694">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7.3根据电子化政府采购的特点，各供应商在开标前应确保成为新疆维吾尔自治区政府采购网正式注册入库供应商，</w:t>
      </w:r>
      <w:r>
        <w:rPr>
          <w:rFonts w:hint="eastAsia" w:ascii="仿宋" w:hAnsi="仿宋" w:eastAsia="仿宋" w:cs="仿宋"/>
          <w:color w:val="auto"/>
          <w:kern w:val="2"/>
          <w:highlight w:val="none"/>
          <w:lang w:eastAsia="zh-CN" w:bidi="ar-SA"/>
        </w:rPr>
        <w:t>(已在政采云平台其他省份入驻的供应商无须重复注册），</w:t>
      </w:r>
      <w:r>
        <w:rPr>
          <w:rFonts w:hint="eastAsia" w:ascii="仿宋" w:hAnsi="仿宋" w:eastAsia="仿宋" w:cs="仿宋"/>
          <w:color w:val="auto"/>
          <w:szCs w:val="21"/>
          <w:highlight w:val="none"/>
          <w:lang w:eastAsia="zh-CN"/>
        </w:rPr>
        <w:t>并完成CA数字证书申领。因未注册入库、未办理CA数字证书等原因造成无法投标或投标失败等后果由供应商自行承担。</w:t>
      </w:r>
    </w:p>
    <w:p w14:paraId="42BAEAE7">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7.4供应商必须确保自己在信息库中注册的信息真实、准确，并保证投标文件中的有关信息与库中的信息相一致。否则，供应商因此蒙受损失，招标人概不负责。</w:t>
      </w:r>
    </w:p>
    <w:p w14:paraId="50A76B81">
      <w:pPr>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8. 投标费用</w:t>
      </w:r>
    </w:p>
    <w:p w14:paraId="1344F9A9">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8.1供应商准备和参加投标活动发生的费用自理。</w:t>
      </w:r>
    </w:p>
    <w:p w14:paraId="7A25B3C3">
      <w:pPr>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9.</w:t>
      </w:r>
      <w:bookmarkStart w:id="5" w:name="_Toc152045539"/>
      <w:bookmarkStart w:id="6" w:name="_Toc296602429"/>
      <w:bookmarkStart w:id="7" w:name="_Toc247592876"/>
      <w:bookmarkStart w:id="8" w:name="_Toc247527563"/>
      <w:bookmarkStart w:id="9" w:name="_Toc152042315"/>
      <w:bookmarkStart w:id="10" w:name="_Toc247513962"/>
      <w:bookmarkStart w:id="11" w:name="_Toc144974507"/>
      <w:r>
        <w:rPr>
          <w:rFonts w:hint="eastAsia" w:ascii="仿宋" w:hAnsi="仿宋" w:eastAsia="仿宋" w:cs="仿宋"/>
          <w:b/>
          <w:color w:val="auto"/>
          <w:szCs w:val="21"/>
          <w:highlight w:val="none"/>
          <w:lang w:eastAsia="zh-CN"/>
        </w:rPr>
        <w:t xml:space="preserve"> 踏勘现场</w:t>
      </w:r>
      <w:bookmarkEnd w:id="5"/>
      <w:bookmarkEnd w:id="6"/>
      <w:bookmarkEnd w:id="7"/>
      <w:bookmarkEnd w:id="8"/>
      <w:bookmarkEnd w:id="9"/>
      <w:bookmarkEnd w:id="10"/>
      <w:bookmarkEnd w:id="11"/>
    </w:p>
    <w:p w14:paraId="40D9E8C6">
      <w:pPr>
        <w:spacing w:line="44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9.1 供应商须知前附表规定组织踏勘现场的，招标人按供应商须知前附表规定的时间、地点组织供应商踏勘项目现场。如需踏勘现场，</w:t>
      </w:r>
      <w:r>
        <w:rPr>
          <w:rFonts w:hint="eastAsia" w:ascii="仿宋" w:hAnsi="仿宋" w:eastAsia="仿宋" w:cs="仿宋"/>
          <w:color w:val="auto"/>
          <w:highlight w:val="none"/>
          <w:lang w:eastAsia="zh-CN"/>
        </w:rPr>
        <w:t>供应商自行踏勘现场的，可咨询本项目采购人或采购代理机构联系人。</w:t>
      </w:r>
      <w:r>
        <w:rPr>
          <w:rFonts w:hint="eastAsia" w:ascii="仿宋" w:hAnsi="仿宋" w:eastAsia="仿宋" w:cs="仿宋"/>
          <w:b/>
          <w:bCs/>
          <w:color w:val="auto"/>
          <w:highlight w:val="none"/>
          <w:lang w:eastAsia="zh-CN"/>
        </w:rPr>
        <w:t>供应商自行踏勘现场的，可咨询本项目采购人或采购代理机构联系人。</w:t>
      </w:r>
      <w:r>
        <w:rPr>
          <w:rFonts w:hint="eastAsia" w:ascii="仿宋" w:hAnsi="仿宋" w:eastAsia="仿宋" w:cs="仿宋"/>
          <w:b/>
          <w:bCs/>
          <w:color w:val="auto"/>
          <w:szCs w:val="21"/>
          <w:highlight w:val="none"/>
          <w:lang w:eastAsia="zh-CN"/>
        </w:rPr>
        <w:t xml:space="preserve"> </w:t>
      </w:r>
    </w:p>
    <w:p w14:paraId="31C6574B">
      <w:pPr>
        <w:spacing w:line="44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9.2 供应商踏勘现场发生的费用自理。</w:t>
      </w:r>
    </w:p>
    <w:p w14:paraId="170FB07D">
      <w:pPr>
        <w:spacing w:line="44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9.3 除招标人的原因外，供应商自行负责在踏勘现场中所发生的人员伤亡和财产损失。</w:t>
      </w:r>
    </w:p>
    <w:p w14:paraId="0B69311C">
      <w:pPr>
        <w:spacing w:line="44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9.4 招标人在踏勘现场中介绍的场地和相关的周边环境情况，供应商在编制投标文件时参考，招标人不对供应商据此作出的判断和决策负责。</w:t>
      </w:r>
      <w:bookmarkStart w:id="12" w:name="_Toc296602430"/>
      <w:bookmarkStart w:id="13" w:name="_Toc144974508"/>
      <w:bookmarkStart w:id="14" w:name="_Toc247527564"/>
      <w:bookmarkStart w:id="15" w:name="_Toc152045540"/>
      <w:bookmarkStart w:id="16" w:name="_Toc247592877"/>
      <w:bookmarkStart w:id="17" w:name="_Toc152042316"/>
      <w:bookmarkStart w:id="18" w:name="_Toc247513963"/>
    </w:p>
    <w:p w14:paraId="0E73167B">
      <w:pPr>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10. 投标预备会</w:t>
      </w:r>
      <w:bookmarkEnd w:id="12"/>
      <w:bookmarkEnd w:id="13"/>
      <w:bookmarkEnd w:id="14"/>
      <w:bookmarkEnd w:id="15"/>
      <w:bookmarkEnd w:id="16"/>
      <w:bookmarkEnd w:id="17"/>
      <w:bookmarkEnd w:id="18"/>
    </w:p>
    <w:p w14:paraId="04897BAC">
      <w:pPr>
        <w:spacing w:line="44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10.1供应商须知前附表规定召开投标预备会的，招标人按供应商须知前附表规定的时间和地点召开投标预备会，澄清供应商提出的问题。</w:t>
      </w:r>
    </w:p>
    <w:p w14:paraId="0CE93C2B">
      <w:pPr>
        <w:spacing w:line="44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10.2供应商应在供应商须知前附表规定的时间前，将提出的问题送达招标人，以便招标人澄清。</w:t>
      </w:r>
    </w:p>
    <w:p w14:paraId="422ACD7D">
      <w:pPr>
        <w:spacing w:line="44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10.3招标人在供应商须知前附表规定的时间，将对供应商所提的问题进行澄清。该澄清内容为采购文件的组成部分。</w:t>
      </w:r>
    </w:p>
    <w:p w14:paraId="2E91D17F">
      <w:pPr>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11. 联合投标（</w:t>
      </w:r>
      <w:r>
        <w:rPr>
          <w:rFonts w:hint="eastAsia" w:ascii="仿宋" w:hAnsi="仿宋" w:eastAsia="仿宋" w:cs="仿宋"/>
          <w:b/>
          <w:color w:val="auto"/>
          <w:szCs w:val="21"/>
          <w:highlight w:val="none"/>
          <w:lang w:val="en-US" w:eastAsia="zh-CN"/>
        </w:rPr>
        <w:t>本项目不接受联合体投标，不适用本条款</w:t>
      </w:r>
      <w:r>
        <w:rPr>
          <w:rFonts w:hint="eastAsia" w:ascii="仿宋" w:hAnsi="仿宋" w:eastAsia="仿宋" w:cs="仿宋"/>
          <w:b/>
          <w:color w:val="auto"/>
          <w:szCs w:val="21"/>
          <w:highlight w:val="none"/>
          <w:lang w:eastAsia="zh-CN"/>
        </w:rPr>
        <w:t>）</w:t>
      </w:r>
    </w:p>
    <w:p w14:paraId="37021260">
      <w:pPr>
        <w:spacing w:line="44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11.1 两个以上供应商可以组成一个投标联合体，以一个供应商的身份投标。以联合体形式参加投标的，联合体各方均应当符合《政府采购法》第二十二条规定的条件。招标人根据采购项目的特殊要求规定供应商特定条件的，联合体各方中至少应当有一方符合招标人规定的特定条件。</w:t>
      </w:r>
    </w:p>
    <w:p w14:paraId="71157D91">
      <w:pPr>
        <w:spacing w:line="400" w:lineRule="exact"/>
        <w:ind w:firstLine="468" w:firstLineChars="19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11.2联合体各方之间应当签订共同投标协议，明确约定联合体各方承担的工作和相应的责任，并将共同投标协议连同投标文件一并提交</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招标人。联合体各方签订共同投标协议后，不得再以自己名义单独在同一项目中投标，也不得组成新的联合体参加同一项目投标。</w:t>
      </w:r>
    </w:p>
    <w:p w14:paraId="78318B21">
      <w:pPr>
        <w:spacing w:line="400" w:lineRule="exact"/>
        <w:ind w:firstLine="470" w:firstLineChars="196"/>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11.3 联合体应当确定其中一个单位为投标的全权代表，负责参加投标的一切事务，并承担投标及履约中应承担的全部责任与义务。</w:t>
      </w:r>
    </w:p>
    <w:p w14:paraId="2B828407">
      <w:pPr>
        <w:pStyle w:val="9"/>
        <w:spacing w:after="0" w:line="400" w:lineRule="exact"/>
        <w:ind w:left="0" w:leftChars="0" w:firstLine="484" w:firstLineChars="202"/>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11.4 联合体各方应当共同与招标人签订采购合同，就采购合同约定的事项对招标人承担连带责任。</w:t>
      </w:r>
    </w:p>
    <w:p w14:paraId="269330C2">
      <w:pPr>
        <w:spacing w:line="440" w:lineRule="exact"/>
        <w:ind w:firstLine="472" w:firstLineChars="196"/>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12.招标代理费：</w:t>
      </w:r>
      <w:r>
        <w:rPr>
          <w:rFonts w:hint="eastAsia" w:ascii="仿宋" w:hAnsi="仿宋" w:eastAsia="仿宋" w:cs="仿宋"/>
          <w:color w:val="auto"/>
          <w:szCs w:val="21"/>
          <w:highlight w:val="none"/>
          <w:lang w:eastAsia="zh-CN"/>
        </w:rPr>
        <w:t>见供应商须知前附表。</w:t>
      </w:r>
    </w:p>
    <w:p w14:paraId="4D30DD60">
      <w:pPr>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13.供应商应注意的事项</w:t>
      </w:r>
    </w:p>
    <w:p w14:paraId="2BB28825">
      <w:pPr>
        <w:spacing w:line="440" w:lineRule="exact"/>
        <w:ind w:firstLine="480" w:firstLineChars="200"/>
        <w:rPr>
          <w:rFonts w:ascii="仿宋" w:hAnsi="仿宋" w:eastAsia="仿宋" w:cs="仿宋"/>
          <w:bCs/>
          <w:color w:val="auto"/>
          <w:szCs w:val="21"/>
          <w:highlight w:val="none"/>
          <w:lang w:eastAsia="zh-CN"/>
        </w:rPr>
      </w:pPr>
      <w:r>
        <w:rPr>
          <w:rFonts w:hint="eastAsia" w:ascii="仿宋" w:hAnsi="仿宋" w:eastAsia="仿宋" w:cs="仿宋"/>
          <w:color w:val="auto"/>
          <w:szCs w:val="21"/>
          <w:highlight w:val="none"/>
          <w:lang w:eastAsia="zh-CN"/>
        </w:rPr>
        <w:t>13.1供应商一旦按规定缴纳了投标保证金并参加投标，即被认为接受了本采购文件中的所有条件和规定。供应商必须严格按采购文件的要求编制投标文件，投标文件宜编制页码和目录，以便评委审核。否则，由此产生的一切后果由供应商承担。</w:t>
      </w:r>
    </w:p>
    <w:p w14:paraId="2CDA3E47">
      <w:pPr>
        <w:spacing w:line="440" w:lineRule="exact"/>
        <w:ind w:firstLine="480" w:firstLineChars="200"/>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13.2 供应商对采购内容中规定的技术参数、规格等要求必须完全响应或优于采购文件中的要求。</w:t>
      </w:r>
    </w:p>
    <w:p w14:paraId="60FD1B1E">
      <w:pPr>
        <w:spacing w:line="440" w:lineRule="exact"/>
        <w:ind w:firstLine="470" w:firstLineChars="196"/>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13.3所有供应商的投标保证金都应在采购文件规定的投标保证金缴纳截止日期前缴纳。</w:t>
      </w:r>
    </w:p>
    <w:p w14:paraId="6FA0465C">
      <w:pPr>
        <w:spacing w:line="440" w:lineRule="exact"/>
        <w:ind w:firstLine="470" w:firstLineChars="196"/>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13.4单位负责人为同一人或者存在直接控股、管理关系的不同供应商，不得参加同一合同项下的政府采购活动。</w:t>
      </w:r>
      <w:r>
        <w:rPr>
          <w:rFonts w:hint="eastAsia" w:ascii="仿宋" w:hAnsi="仿宋" w:eastAsia="仿宋" w:cs="仿宋"/>
          <w:color w:val="auto"/>
          <w:szCs w:val="21"/>
          <w:highlight w:val="none"/>
          <w:lang w:eastAsia="zh-CN"/>
        </w:rPr>
        <w:t>为采购项目提供整体设计、规范编制或者项目管理、监理、检测等服务的供应商，不得再参加该采购项目的其他采购活动。</w:t>
      </w:r>
    </w:p>
    <w:p w14:paraId="5348C7F2">
      <w:pPr>
        <w:snapToGrid w:val="0"/>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bCs/>
          <w:color w:val="auto"/>
          <w:szCs w:val="21"/>
          <w:highlight w:val="none"/>
          <w:lang w:eastAsia="zh-CN"/>
        </w:rPr>
        <w:t>13.5本项目只接受</w:t>
      </w:r>
      <w:r>
        <w:rPr>
          <w:rFonts w:hint="eastAsia" w:ascii="仿宋" w:hAnsi="仿宋" w:eastAsia="仿宋" w:cs="仿宋"/>
          <w:color w:val="auto"/>
          <w:szCs w:val="21"/>
          <w:highlight w:val="none"/>
          <w:lang w:eastAsia="zh-CN"/>
        </w:rPr>
        <w:t>成为新疆维吾尔自治区政府采购网正式注册入库并完成CA数字证书申领供应商参与投标。因未注册入库、未办理CA数字证书等原因造成无法投标或投标失败等后果由供应商自行承担。</w:t>
      </w:r>
    </w:p>
    <w:p w14:paraId="512F7BE9">
      <w:pPr>
        <w:wordWrap w:val="0"/>
        <w:spacing w:line="440" w:lineRule="exact"/>
        <w:ind w:firstLine="480" w:firstLineChars="200"/>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13.6  供应商被视为充分熟悉本招标项目所在地的与履行合同有关的各种情况，包括但不限于：</w:t>
      </w:r>
    </w:p>
    <w:p w14:paraId="783CAF7F">
      <w:pPr>
        <w:spacing w:line="400" w:lineRule="exact"/>
        <w:ind w:firstLine="360" w:firstLineChars="150"/>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（1）国家对本次投标货物和服务的生产、安装调试、验收、维修等有关法律、法规及行业管理标准；</w:t>
      </w:r>
    </w:p>
    <w:p w14:paraId="4C911390">
      <w:pPr>
        <w:spacing w:line="400" w:lineRule="exact"/>
        <w:ind w:firstLine="360" w:firstLineChars="150"/>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（2）本地区有关管理部门的相关规定；</w:t>
      </w:r>
    </w:p>
    <w:p w14:paraId="46E77BCA">
      <w:pPr>
        <w:spacing w:line="400" w:lineRule="exact"/>
        <w:ind w:firstLine="360" w:firstLineChars="150"/>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（3）招标人的相关场地情况、基础建设、电力供应情况及相关设计标准。</w:t>
      </w:r>
    </w:p>
    <w:p w14:paraId="0C283298">
      <w:pPr>
        <w:spacing w:line="400" w:lineRule="exact"/>
        <w:ind w:firstLine="360" w:firstLineChars="150"/>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本采购文件不再对上述情况进行描述。</w:t>
      </w:r>
      <w:bookmarkStart w:id="19" w:name="_Toc469495725"/>
    </w:p>
    <w:p w14:paraId="3F56C51E">
      <w:pPr>
        <w:spacing w:line="400" w:lineRule="exact"/>
        <w:ind w:firstLine="422" w:firstLineChars="150"/>
        <w:jc w:val="center"/>
        <w:rPr>
          <w:rFonts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（二）</w:t>
      </w:r>
      <w:bookmarkEnd w:id="19"/>
      <w:r>
        <w:rPr>
          <w:rFonts w:hint="eastAsia" w:ascii="仿宋" w:hAnsi="仿宋" w:eastAsia="仿宋" w:cs="仿宋"/>
          <w:b/>
          <w:color w:val="auto"/>
          <w:sz w:val="28"/>
          <w:szCs w:val="28"/>
          <w:highlight w:val="none"/>
          <w:lang w:eastAsia="zh-CN"/>
        </w:rPr>
        <w:t>招标文件</w:t>
      </w:r>
    </w:p>
    <w:p w14:paraId="19F6033A">
      <w:pPr>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15. 采购文件的编制依据</w:t>
      </w:r>
    </w:p>
    <w:p w14:paraId="61D64C61">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根据《中华人民共和国政府采购法》、《政府采购货物和服务招标投标管理办法》和《中华人民共和国合同法》</w:t>
      </w:r>
      <w:r>
        <w:rPr>
          <w:rFonts w:hint="eastAsia" w:ascii="仿宋" w:hAnsi="仿宋" w:eastAsia="仿宋" w:cs="仿宋"/>
          <w:color w:val="auto"/>
          <w:spacing w:val="-2"/>
          <w:szCs w:val="21"/>
          <w:highlight w:val="none"/>
          <w:lang w:eastAsia="zh-CN"/>
        </w:rPr>
        <w:t>等相关法律法规和规章及部、省、市级规范性文件的规定，编制本采购文件。</w:t>
      </w:r>
    </w:p>
    <w:p w14:paraId="4C3F7508">
      <w:pPr>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16. 采购文件的组成</w:t>
      </w:r>
    </w:p>
    <w:p w14:paraId="643834D6">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16.1 采购文件包括内容：</w:t>
      </w:r>
    </w:p>
    <w:p w14:paraId="11BD66FF">
      <w:pPr>
        <w:spacing w:line="440" w:lineRule="exact"/>
        <w:ind w:firstLine="1680" w:firstLineChars="7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第一章  招标公告</w:t>
      </w:r>
    </w:p>
    <w:p w14:paraId="33F999EB">
      <w:pPr>
        <w:spacing w:line="440" w:lineRule="exact"/>
        <w:ind w:firstLine="1680" w:firstLineChars="7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第二章  投标须知</w:t>
      </w:r>
    </w:p>
    <w:p w14:paraId="3E6536C7">
      <w:pPr>
        <w:spacing w:line="440" w:lineRule="exact"/>
        <w:ind w:firstLine="1680" w:firstLineChars="7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第三章  评标办法</w:t>
      </w:r>
    </w:p>
    <w:p w14:paraId="23C1B669">
      <w:pPr>
        <w:spacing w:line="440" w:lineRule="exact"/>
        <w:ind w:firstLine="1680" w:firstLineChars="70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 xml:space="preserve">第四章  </w:t>
      </w:r>
      <w:r>
        <w:rPr>
          <w:rFonts w:hint="eastAsia" w:ascii="仿宋" w:hAnsi="仿宋" w:eastAsia="仿宋" w:cs="仿宋"/>
          <w:color w:val="auto"/>
          <w:szCs w:val="21"/>
          <w:highlight w:val="none"/>
          <w:lang w:val="en-US" w:eastAsia="zh-CN"/>
        </w:rPr>
        <w:t>技术规格、数量及质量要求</w:t>
      </w:r>
    </w:p>
    <w:p w14:paraId="17B5DB4C">
      <w:pPr>
        <w:spacing w:line="440" w:lineRule="exact"/>
        <w:ind w:firstLine="1680" w:firstLineChars="7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第五章  合同条款及格式</w:t>
      </w:r>
    </w:p>
    <w:p w14:paraId="2BA2B50F">
      <w:pPr>
        <w:spacing w:line="440" w:lineRule="exact"/>
        <w:ind w:firstLine="1680" w:firstLineChars="7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第六章  投标文件格式</w:t>
      </w:r>
    </w:p>
    <w:p w14:paraId="1FA697CA">
      <w:pPr>
        <w:spacing w:line="440" w:lineRule="exact"/>
        <w:ind w:firstLine="1680" w:firstLineChars="7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第七章  招标单位、招标代理机构对本文件的确认</w:t>
      </w:r>
    </w:p>
    <w:p w14:paraId="4BE9C72D">
      <w:pPr>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16.2 除16.1内容外，招标答疑亦为采购文件的组成部分，对招标人和供应商起约束作用。</w:t>
      </w:r>
    </w:p>
    <w:p w14:paraId="61F3471A">
      <w:pPr>
        <w:pStyle w:val="10"/>
        <w:wordWrap w:val="0"/>
        <w:spacing w:line="40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16.3供应商应仔细阅读和检查采购文件的全部内容。如发现缺页或附件不全，应及时向招标人提出，以便补齐。如有疑问，供应商应以书面形式一次性向采购人和采购代理机构提出同一环节的质疑。</w:t>
      </w:r>
    </w:p>
    <w:p w14:paraId="3E475B43">
      <w:pPr>
        <w:wordWrap w:val="0"/>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16.4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采购文件的澄清将在政采云平台“更正公告”栏目予以公告，但不指明澄清问题的来源。如果澄清内容影响投标文件编制的，将相应延长投标截止时间。</w:t>
      </w:r>
    </w:p>
    <w:p w14:paraId="7F2B142D">
      <w:pPr>
        <w:spacing w:line="440" w:lineRule="exact"/>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17. 采购文件的修改、补充、解释</w:t>
      </w:r>
    </w:p>
    <w:p w14:paraId="1AE2A038">
      <w:pPr>
        <w:wordWrap w:val="0"/>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17.1采购文件发出后，招标人在规定的投标截止时间前可对采购文件进行必要的修改和补充，并以更正公告形式在政采云平台 “更正公告”栏目予以公告，请各位供应商注意查看有关澄清内容，如不及时查看造成后果由供应商自负。采购文件的修改、补充等内容作为采购文件的组成部分，具有约束作用。</w:t>
      </w:r>
    </w:p>
    <w:p w14:paraId="213B0A32">
      <w:pPr>
        <w:wordWrap w:val="0"/>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17.2 采购代理机构可视采购具体情况对已发出的采购文件进行必要的澄清、修改或者补充。澄清、修改或者补充的内容可能影响投标文件编制的，应当在投标截止时间至少15日前，在原公告发布媒体上发布澄清公告，澄清或者修改的内容为采购文件的组成部分；不足15日的，应当顺延提交投标文件的截止时间。 </w:t>
      </w:r>
    </w:p>
    <w:p w14:paraId="17EDC9A4">
      <w:pPr>
        <w:wordWrap w:val="0"/>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bCs/>
          <w:color w:val="auto"/>
          <w:szCs w:val="21"/>
          <w:highlight w:val="none"/>
          <w:lang w:eastAsia="zh-CN"/>
        </w:rPr>
        <w:t xml:space="preserve">17.3 </w:t>
      </w:r>
      <w:r>
        <w:rPr>
          <w:rFonts w:hint="eastAsia" w:ascii="仿宋" w:hAnsi="仿宋" w:eastAsia="仿宋" w:cs="仿宋"/>
          <w:color w:val="auto"/>
          <w:szCs w:val="21"/>
          <w:highlight w:val="none"/>
          <w:lang w:eastAsia="zh-CN"/>
        </w:rPr>
        <w:t>供应商在规定的时间内未对采购文件提出疑问、质疑或要求澄清的，将视其为无异议。</w:t>
      </w:r>
    </w:p>
    <w:p w14:paraId="7F6F253E">
      <w:pPr>
        <w:spacing w:line="400" w:lineRule="exact"/>
        <w:ind w:firstLine="240" w:firstLineChars="100"/>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17.4 采购文件的解释</w:t>
      </w:r>
    </w:p>
    <w:p w14:paraId="205CCE9E">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本采购文件由招标人（或其委托的招标代理机构）负责解释。</w:t>
      </w:r>
    </w:p>
    <w:p w14:paraId="052B637B">
      <w:pPr>
        <w:spacing w:line="400" w:lineRule="exact"/>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 xml:space="preserve"> 18. 采购文件的发出</w:t>
      </w:r>
    </w:p>
    <w:p w14:paraId="20522C02">
      <w:pPr>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18.1 采购文件、采购文件的澄清、修改、补充及招标答疑等均应报相关部门备案后，方可发出。</w:t>
      </w:r>
    </w:p>
    <w:p w14:paraId="2ECD7CFA">
      <w:pPr>
        <w:spacing w:line="440" w:lineRule="exact"/>
        <w:ind w:firstLine="241" w:firstLineChars="100"/>
        <w:rPr>
          <w:rFonts w:ascii="仿宋" w:hAnsi="仿宋" w:eastAsia="仿宋" w:cs="仿宋"/>
          <w:color w:val="auto"/>
          <w:szCs w:val="21"/>
          <w:highlight w:val="none"/>
          <w:lang w:eastAsia="zh-CN"/>
        </w:rPr>
      </w:pPr>
      <w:bookmarkStart w:id="20" w:name="_Toc469495726"/>
      <w:r>
        <w:rPr>
          <w:rFonts w:hint="eastAsia" w:ascii="仿宋" w:hAnsi="仿宋" w:eastAsia="仿宋" w:cs="仿宋"/>
          <w:b/>
          <w:color w:val="auto"/>
          <w:szCs w:val="21"/>
          <w:highlight w:val="none"/>
          <w:lang w:eastAsia="zh-CN"/>
        </w:rPr>
        <w:t xml:space="preserve">19. </w:t>
      </w:r>
      <w:r>
        <w:rPr>
          <w:rFonts w:hint="eastAsia" w:ascii="仿宋" w:hAnsi="仿宋" w:eastAsia="仿宋" w:cs="仿宋"/>
          <w:color w:val="auto"/>
          <w:szCs w:val="21"/>
          <w:highlight w:val="none"/>
          <w:lang w:eastAsia="zh-CN"/>
        </w:rPr>
        <w:t>凡需要设置样品情形时，必须明确是否需要随样品提交检测报告，并明确检测机构的要求、检测内容、中标样品封存等事项。（评标委员会无法判断样品是否合格且样品需要提供给第三方权威检测机构检测的,在供应商提供招标人认可的第三方权威检测机构检测报告后，评标委员会推荐的中标候选人方可生效，采购人或代理机构发布中标（成交）结果公告。</w:t>
      </w:r>
    </w:p>
    <w:p w14:paraId="7032C440">
      <w:pPr>
        <w:spacing w:line="440" w:lineRule="exact"/>
        <w:ind w:firstLine="42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采购文件中应明确样品送检方式、检测费用支付方法、供应商在规定时间内无法提供第三方权威检测机构检测报告的处理方式。（采购人根据项目需求按上述要求自行描述）</w:t>
      </w:r>
    </w:p>
    <w:p w14:paraId="6D1128FF">
      <w:pPr>
        <w:spacing w:beforeLines="100" w:afterLines="100" w:line="440" w:lineRule="exact"/>
        <w:jc w:val="center"/>
        <w:outlineLvl w:val="2"/>
        <w:rPr>
          <w:rFonts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（三）投标文件的编制</w:t>
      </w:r>
      <w:bookmarkEnd w:id="20"/>
    </w:p>
    <w:p w14:paraId="1BD3F231">
      <w:pPr>
        <w:spacing w:line="440" w:lineRule="exact"/>
        <w:ind w:firstLine="349" w:firstLineChars="145"/>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20. 投标的语言及度量衡单位</w:t>
      </w:r>
    </w:p>
    <w:p w14:paraId="42592E6B">
      <w:pPr>
        <w:spacing w:line="440" w:lineRule="exact"/>
        <w:ind w:firstLine="324" w:firstLineChars="135"/>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20.1供应商提交的投标文件、技术文件和资料，以及供应商与招标人就有关投标的所有来往函电均应使用中文。投标文件中若有英文或其他语言文字的资料，应提供相应的中文翻译资料。对不同文本投标文件的解释发生异议的，以中文文本为准。</w:t>
      </w:r>
    </w:p>
    <w:p w14:paraId="5839101C">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20.2除采购文件中另有规定外，投标书所使用的度量衡均须采用法定计量单位。</w:t>
      </w:r>
    </w:p>
    <w:p w14:paraId="41D3D69E">
      <w:pPr>
        <w:spacing w:line="400" w:lineRule="exact"/>
        <w:ind w:firstLine="236" w:firstLineChars="98"/>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21. 投标文件的组成</w:t>
      </w:r>
    </w:p>
    <w:p w14:paraId="6351F10C">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资格证明文件和商务及技术文件两部分。</w:t>
      </w:r>
    </w:p>
    <w:p w14:paraId="29385E6A">
      <w:pPr>
        <w:spacing w:line="440" w:lineRule="exact"/>
        <w:ind w:firstLine="354" w:firstLineChars="147"/>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21.1资格证明文件（包括但不限于）</w:t>
      </w:r>
    </w:p>
    <w:p w14:paraId="6DA7BB6A">
      <w:pPr>
        <w:spacing w:line="440" w:lineRule="exact"/>
        <w:ind w:firstLine="352" w:firstLineChars="147"/>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资格证明文件是证明供应商有资格参加投标和中标后有能力履行合同的文件，这些文件应能满足招标的要求，否则作无效投标处理。</w:t>
      </w:r>
    </w:p>
    <w:p w14:paraId="4D00D36D">
      <w:pPr>
        <w:spacing w:line="440" w:lineRule="exact"/>
        <w:ind w:firstLine="352" w:firstLineChars="147"/>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1、法人或者非法人组织的营业执照等证明文件复印件（须加盖本单位章）或自然人的身份证明复印件;</w:t>
      </w:r>
    </w:p>
    <w:p w14:paraId="6BECC57C">
      <w:pPr>
        <w:spacing w:line="440" w:lineRule="exact"/>
        <w:ind w:firstLine="352" w:firstLineChars="147"/>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2、法定代表人资格证明书</w:t>
      </w:r>
      <w:r>
        <w:rPr>
          <w:rFonts w:hint="eastAsia" w:ascii="仿宋" w:hAnsi="仿宋" w:eastAsia="仿宋" w:cs="仿宋"/>
          <w:color w:val="auto"/>
          <w:szCs w:val="21"/>
          <w:highlight w:val="none"/>
          <w:lang w:val="en-US" w:eastAsia="zh-CN"/>
        </w:rPr>
        <w:t>或</w:t>
      </w:r>
      <w:r>
        <w:rPr>
          <w:rFonts w:hint="eastAsia" w:ascii="仿宋" w:hAnsi="仿宋" w:eastAsia="仿宋" w:cs="仿宋"/>
          <w:color w:val="auto"/>
          <w:szCs w:val="21"/>
          <w:highlight w:val="none"/>
          <w:lang w:eastAsia="zh-CN"/>
        </w:rPr>
        <w:t>法定代表人授权书</w:t>
      </w:r>
    </w:p>
    <w:p w14:paraId="5E471F4E">
      <w:pPr>
        <w:pStyle w:val="2"/>
        <w:ind w:firstLine="480" w:firstLineChars="200"/>
        <w:jc w:val="both"/>
        <w:rPr>
          <w:rFonts w:hint="eastAsia" w:ascii="仿宋" w:hAnsi="仿宋" w:eastAsia="仿宋" w:cs="仿宋"/>
          <w:b w:val="0"/>
          <w:color w:val="auto"/>
          <w:sz w:val="24"/>
          <w:szCs w:val="21"/>
          <w:highlight w:val="none"/>
          <w:lang w:val="en-US" w:eastAsia="zh-CN" w:bidi="en-US"/>
        </w:rPr>
      </w:pPr>
      <w:r>
        <w:rPr>
          <w:rFonts w:hint="eastAsia" w:ascii="仿宋" w:hAnsi="仿宋" w:eastAsia="仿宋" w:cs="仿宋"/>
          <w:b w:val="0"/>
          <w:color w:val="auto"/>
          <w:sz w:val="24"/>
          <w:szCs w:val="21"/>
          <w:highlight w:val="none"/>
          <w:lang w:val="en-US" w:eastAsia="zh-CN" w:bidi="en-US"/>
        </w:rPr>
        <w:t>3、具有履行合同所必需的设备和专业技术能力的承诺函；</w:t>
      </w:r>
    </w:p>
    <w:p w14:paraId="0A60F407">
      <w:pPr>
        <w:pStyle w:val="2"/>
        <w:ind w:left="480" w:leftChars="200" w:firstLine="0" w:firstLineChars="0"/>
        <w:jc w:val="both"/>
        <w:rPr>
          <w:rFonts w:hint="eastAsia" w:ascii="仿宋" w:hAnsi="仿宋" w:eastAsia="仿宋" w:cs="仿宋"/>
          <w:b w:val="0"/>
          <w:color w:val="auto"/>
          <w:sz w:val="24"/>
          <w:szCs w:val="21"/>
          <w:highlight w:val="none"/>
          <w:lang w:val="en-US" w:eastAsia="zh-CN" w:bidi="en-US"/>
        </w:rPr>
      </w:pPr>
      <w:r>
        <w:rPr>
          <w:rFonts w:hint="eastAsia" w:ascii="仿宋" w:hAnsi="仿宋" w:eastAsia="仿宋" w:cs="仿宋"/>
          <w:b w:val="0"/>
          <w:color w:val="auto"/>
          <w:sz w:val="24"/>
          <w:szCs w:val="21"/>
          <w:highlight w:val="none"/>
          <w:lang w:val="en-US" w:eastAsia="zh-CN" w:bidi="en-US"/>
        </w:rPr>
        <w:t>4、投标人须具备投标截止之日起半年内任意两个月的纳税证明或完税证明，依法免税的单位应提供相关证明材料；</w:t>
      </w:r>
    </w:p>
    <w:p w14:paraId="1B697DD5">
      <w:pPr>
        <w:pStyle w:val="2"/>
        <w:ind w:firstLine="480" w:firstLineChars="200"/>
        <w:jc w:val="both"/>
        <w:rPr>
          <w:rFonts w:hint="eastAsia" w:ascii="仿宋" w:hAnsi="仿宋" w:eastAsia="仿宋" w:cs="仿宋"/>
          <w:b w:val="0"/>
          <w:color w:val="auto"/>
          <w:sz w:val="24"/>
          <w:szCs w:val="21"/>
          <w:highlight w:val="none"/>
          <w:lang w:val="en-US" w:eastAsia="zh-CN" w:bidi="en-US"/>
        </w:rPr>
      </w:pPr>
      <w:r>
        <w:rPr>
          <w:rFonts w:hint="eastAsia" w:ascii="仿宋" w:hAnsi="仿宋" w:eastAsia="仿宋" w:cs="仿宋"/>
          <w:b w:val="0"/>
          <w:color w:val="auto"/>
          <w:sz w:val="24"/>
          <w:szCs w:val="21"/>
          <w:highlight w:val="none"/>
          <w:lang w:val="en-US" w:eastAsia="zh-CN" w:bidi="en-US"/>
        </w:rPr>
        <w:t>5、投标人须具备投标截止之日起半年内任意两个月的缴纳社会保障资金的证明材料，依法不需要缴纳社会保障资金的单位应提供相关证明材料；</w:t>
      </w:r>
    </w:p>
    <w:p w14:paraId="77B2AEBB">
      <w:pPr>
        <w:pStyle w:val="2"/>
        <w:ind w:firstLine="480" w:firstLineChars="200"/>
        <w:jc w:val="both"/>
        <w:rPr>
          <w:rFonts w:hint="default" w:ascii="仿宋" w:hAnsi="仿宋" w:eastAsia="仿宋" w:cs="仿宋"/>
          <w:b w:val="0"/>
          <w:color w:val="auto"/>
          <w:sz w:val="24"/>
          <w:szCs w:val="21"/>
          <w:highlight w:val="none"/>
          <w:lang w:val="en-US" w:eastAsia="zh-CN" w:bidi="en-US"/>
        </w:rPr>
      </w:pPr>
      <w:r>
        <w:rPr>
          <w:rFonts w:hint="eastAsia" w:ascii="仿宋" w:hAnsi="仿宋" w:eastAsia="仿宋" w:cs="仿宋"/>
          <w:b w:val="0"/>
          <w:color w:val="auto"/>
          <w:sz w:val="24"/>
          <w:szCs w:val="21"/>
          <w:highlight w:val="none"/>
          <w:lang w:val="en-US" w:eastAsia="zh-CN" w:bidi="en-US"/>
        </w:rPr>
        <w:t>6、提供近一年2024年度经审计的财务报告（包括审计报告、资产负债表和利润表，成立时间至投标截止时间不足一年的可提供成立后任意时段的资产负债表）；成立时间至投标截止时间不足一年的可提供成立后任意时段的资产负债表）；或其开标前三个月内基本存款账户开户银行出具的资信证明及基本存款账户开户许可证（或基本存款账户信息相关证明文件）；或信用担保机构出具的投标担保函；</w:t>
      </w:r>
    </w:p>
    <w:p w14:paraId="26A53452">
      <w:pPr>
        <w:pStyle w:val="2"/>
        <w:ind w:firstLine="480" w:firstLineChars="200"/>
        <w:jc w:val="both"/>
        <w:rPr>
          <w:rFonts w:hint="eastAsia" w:ascii="仿宋" w:hAnsi="仿宋" w:eastAsia="仿宋" w:cs="仿宋"/>
          <w:b w:val="0"/>
          <w:color w:val="auto"/>
          <w:sz w:val="24"/>
          <w:szCs w:val="21"/>
          <w:highlight w:val="none"/>
          <w:lang w:val="en-US" w:eastAsia="zh-CN" w:bidi="en-US"/>
        </w:rPr>
      </w:pPr>
      <w:r>
        <w:rPr>
          <w:rFonts w:hint="eastAsia" w:ascii="仿宋" w:hAnsi="仿宋" w:eastAsia="仿宋" w:cs="仿宋"/>
          <w:b w:val="0"/>
          <w:color w:val="auto"/>
          <w:sz w:val="24"/>
          <w:szCs w:val="21"/>
          <w:highlight w:val="none"/>
          <w:lang w:val="en-US" w:eastAsia="zh-CN" w:bidi="en-US"/>
        </w:rPr>
        <w:t>7、经销商须提供《食品经营许可证》或向市场监管部门提交备案的资料；厂家须提供《食品生产许可证》或向市场监管部门提交备案的资料；</w:t>
      </w:r>
    </w:p>
    <w:p w14:paraId="3096267A">
      <w:pPr>
        <w:spacing w:line="440" w:lineRule="exact"/>
        <w:ind w:firstLine="352" w:firstLineChars="147"/>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参加政府采购活动前三年内，在经营活动中没有重大违法记录；未被“信用中国”（www.creditchina.gov.cn）、中国政府采购网（www.ccgp.gov.cn）列入失信被执行人、税收违法黑名单、政府采购严重违法失信行为记录名单。</w:t>
      </w:r>
      <w:r>
        <w:rPr>
          <w:rFonts w:hint="eastAsia" w:ascii="仿宋" w:hAnsi="仿宋" w:eastAsia="仿宋" w:cs="仿宋"/>
          <w:color w:val="auto"/>
          <w:szCs w:val="21"/>
          <w:highlight w:val="none"/>
          <w:lang w:eastAsia="zh-CN"/>
        </w:rPr>
        <w:t xml:space="preserve"> </w:t>
      </w:r>
    </w:p>
    <w:p w14:paraId="6D79072B">
      <w:pPr>
        <w:spacing w:line="440" w:lineRule="exact"/>
        <w:ind w:firstLine="354" w:firstLineChars="147"/>
        <w:rPr>
          <w:rFonts w:ascii="仿宋" w:hAnsi="仿宋" w:eastAsia="仿宋" w:cs="仿宋"/>
          <w:color w:val="auto"/>
          <w:szCs w:val="21"/>
          <w:highlight w:val="none"/>
          <w:lang w:eastAsia="zh-CN"/>
        </w:rPr>
      </w:pPr>
      <w:r>
        <w:rPr>
          <w:rFonts w:hint="eastAsia" w:ascii="仿宋" w:hAnsi="仿宋" w:eastAsia="仿宋" w:cs="仿宋"/>
          <w:b/>
          <w:color w:val="auto"/>
          <w:szCs w:val="21"/>
          <w:highlight w:val="none"/>
          <w:lang w:eastAsia="zh-CN"/>
        </w:rPr>
        <w:t>21.2 商务及技术文件（包括但不限于）</w:t>
      </w:r>
    </w:p>
    <w:p w14:paraId="3E220A55">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1、投标函</w:t>
      </w:r>
    </w:p>
    <w:p w14:paraId="0AF840D0">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2、开标一览表</w:t>
      </w:r>
    </w:p>
    <w:p w14:paraId="6F982D0D">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3、货物说明一览表</w:t>
      </w:r>
    </w:p>
    <w:p w14:paraId="092A1437">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4、投标分项报价表</w:t>
      </w:r>
    </w:p>
    <w:p w14:paraId="390F691A">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5、技术条款偏离表</w:t>
      </w:r>
    </w:p>
    <w:p w14:paraId="0C60D8E9">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6、商务条款偏离表</w:t>
      </w:r>
    </w:p>
    <w:p w14:paraId="5F75A8C9">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7、供应商基本情况表</w:t>
      </w:r>
    </w:p>
    <w:p w14:paraId="3E1352AE">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8</w:t>
      </w:r>
      <w:r>
        <w:rPr>
          <w:rFonts w:hint="eastAsia" w:ascii="仿宋" w:hAnsi="仿宋" w:eastAsia="仿宋" w:cs="仿宋"/>
          <w:bCs/>
          <w:color w:val="auto"/>
          <w:szCs w:val="21"/>
          <w:highlight w:val="none"/>
          <w:lang w:eastAsia="zh-CN"/>
        </w:rPr>
        <w:t>、中小企业声明函(货物)</w:t>
      </w:r>
    </w:p>
    <w:p w14:paraId="1CBDBFBB">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9</w:t>
      </w:r>
      <w:r>
        <w:rPr>
          <w:rFonts w:hint="eastAsia" w:ascii="仿宋" w:hAnsi="仿宋" w:eastAsia="仿宋" w:cs="仿宋"/>
          <w:bCs/>
          <w:color w:val="auto"/>
          <w:szCs w:val="21"/>
          <w:highlight w:val="none"/>
          <w:lang w:eastAsia="zh-CN"/>
        </w:rPr>
        <w:t>、残疾人福利性单位声明函</w:t>
      </w:r>
    </w:p>
    <w:p w14:paraId="0D3A784B">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10</w:t>
      </w:r>
      <w:r>
        <w:rPr>
          <w:rFonts w:hint="eastAsia" w:ascii="仿宋" w:hAnsi="仿宋" w:eastAsia="仿宋" w:cs="仿宋"/>
          <w:bCs/>
          <w:color w:val="auto"/>
          <w:szCs w:val="21"/>
          <w:highlight w:val="none"/>
          <w:lang w:eastAsia="zh-CN"/>
        </w:rPr>
        <w:t>、评分标准和细则中技术部分证明材料</w:t>
      </w:r>
    </w:p>
    <w:p w14:paraId="610709A5">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11</w:t>
      </w:r>
      <w:r>
        <w:rPr>
          <w:rFonts w:hint="eastAsia" w:ascii="仿宋" w:hAnsi="仿宋" w:eastAsia="仿宋" w:cs="仿宋"/>
          <w:bCs/>
          <w:color w:val="auto"/>
          <w:szCs w:val="21"/>
          <w:highlight w:val="none"/>
          <w:lang w:eastAsia="zh-CN"/>
        </w:rPr>
        <w:t>、评分标准和细则中</w:t>
      </w:r>
      <w:r>
        <w:rPr>
          <w:rFonts w:hint="eastAsia" w:ascii="仿宋" w:hAnsi="仿宋" w:eastAsia="仿宋" w:cs="仿宋"/>
          <w:bCs/>
          <w:color w:val="auto"/>
          <w:szCs w:val="21"/>
          <w:highlight w:val="none"/>
          <w:lang w:val="en-US" w:eastAsia="zh-CN"/>
        </w:rPr>
        <w:t>商务</w:t>
      </w:r>
      <w:r>
        <w:rPr>
          <w:rFonts w:hint="eastAsia" w:ascii="仿宋" w:hAnsi="仿宋" w:eastAsia="仿宋" w:cs="仿宋"/>
          <w:bCs/>
          <w:color w:val="auto"/>
          <w:szCs w:val="21"/>
          <w:highlight w:val="none"/>
          <w:lang w:eastAsia="zh-CN"/>
        </w:rPr>
        <w:t>部分证明材料（格式自拟）</w:t>
      </w:r>
    </w:p>
    <w:p w14:paraId="152558BB">
      <w:pPr>
        <w:spacing w:line="400" w:lineRule="exact"/>
        <w:ind w:firstLine="477" w:firstLineChars="199"/>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1</w:t>
      </w: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lang w:eastAsia="zh-CN"/>
        </w:rPr>
        <w:t>、供应商认为有必要提供的其他证明材料（格式自拟）</w:t>
      </w:r>
    </w:p>
    <w:p w14:paraId="722FF4F7">
      <w:pPr>
        <w:spacing w:line="400" w:lineRule="exact"/>
        <w:ind w:firstLine="479" w:firstLineChars="199"/>
        <w:rPr>
          <w:rFonts w:ascii="仿宋" w:hAnsi="仿宋" w:eastAsia="仿宋" w:cs="仿宋"/>
          <w:color w:val="auto"/>
          <w:szCs w:val="21"/>
          <w:highlight w:val="none"/>
          <w:lang w:eastAsia="zh-CN"/>
        </w:rPr>
      </w:pPr>
      <w:r>
        <w:rPr>
          <w:rFonts w:hint="eastAsia" w:ascii="仿宋" w:hAnsi="仿宋" w:eastAsia="仿宋" w:cs="仿宋"/>
          <w:b/>
          <w:color w:val="auto"/>
          <w:szCs w:val="21"/>
          <w:highlight w:val="none"/>
          <w:u w:val="single"/>
          <w:lang w:eastAsia="zh-CN"/>
        </w:rPr>
        <w:t>注：以上材料须逐页加盖单位公章。</w:t>
      </w:r>
    </w:p>
    <w:p w14:paraId="71DBA0F5">
      <w:pPr>
        <w:spacing w:line="400" w:lineRule="exact"/>
        <w:ind w:firstLine="477" w:firstLineChars="199"/>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21.3投标文件的要求</w:t>
      </w:r>
    </w:p>
    <w:p w14:paraId="115F59B5">
      <w:pPr>
        <w:spacing w:line="400" w:lineRule="exact"/>
        <w:ind w:firstLine="477" w:firstLineChars="199"/>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4064A1FA">
      <w:pPr>
        <w:spacing w:line="400" w:lineRule="exact"/>
        <w:ind w:firstLine="477" w:firstLineChars="199"/>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（2）投标文件格式应按本采购文件第六章格式要求编制，不得对采购文件格式进行增删更改，否则按无效标处理。</w:t>
      </w:r>
    </w:p>
    <w:p w14:paraId="0453FC95">
      <w:pPr>
        <w:spacing w:line="400" w:lineRule="exact"/>
        <w:ind w:firstLine="477" w:firstLineChars="199"/>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（3）对采购文件格式可更改的例外情况：采购文件第六部分附件格式要求中明确规定表格中行数不够用时可按相同格式增加行数，其他一切内容和格式不得更改。 </w:t>
      </w:r>
    </w:p>
    <w:p w14:paraId="4054A2B8">
      <w:pPr>
        <w:spacing w:line="400" w:lineRule="exact"/>
        <w:ind w:firstLine="477" w:firstLineChars="199"/>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（4）投标文件为电子投标文件，电子投标文件按“政采云供应商项目采购-电子招投标操作指南”及本采购文件要求制作、加密传输。</w:t>
      </w:r>
    </w:p>
    <w:p w14:paraId="5BDF773F">
      <w:pPr>
        <w:spacing w:line="400" w:lineRule="exact"/>
        <w:ind w:firstLine="477" w:firstLineChars="199"/>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（5）投标文件未在投标截止时间前完成传输的，视为投标文件撤回；投标文件未按时解密投标文件的，亦视为投标文件撤回。</w:t>
      </w:r>
    </w:p>
    <w:p w14:paraId="6FEE91D8">
      <w:pPr>
        <w:spacing w:line="440" w:lineRule="exact"/>
        <w:ind w:firstLine="482" w:firstLineChars="200"/>
        <w:rPr>
          <w:rFonts w:ascii="仿宋" w:hAnsi="仿宋" w:eastAsia="仿宋" w:cs="仿宋"/>
          <w:color w:val="auto"/>
          <w:szCs w:val="21"/>
          <w:highlight w:val="none"/>
          <w:lang w:eastAsia="zh-CN"/>
        </w:rPr>
      </w:pPr>
      <w:r>
        <w:rPr>
          <w:rFonts w:hint="eastAsia" w:ascii="仿宋" w:hAnsi="仿宋" w:eastAsia="仿宋" w:cs="仿宋"/>
          <w:b/>
          <w:color w:val="auto"/>
          <w:szCs w:val="21"/>
          <w:highlight w:val="none"/>
          <w:lang w:eastAsia="zh-CN"/>
        </w:rPr>
        <w:t>22</w:t>
      </w:r>
      <w:r>
        <w:rPr>
          <w:rFonts w:hint="eastAsia" w:ascii="仿宋" w:hAnsi="仿宋" w:eastAsia="仿宋" w:cs="仿宋"/>
          <w:color w:val="auto"/>
          <w:szCs w:val="21"/>
          <w:highlight w:val="none"/>
          <w:lang w:eastAsia="zh-CN"/>
        </w:rPr>
        <w:t>.</w:t>
      </w:r>
      <w:r>
        <w:rPr>
          <w:rFonts w:hint="eastAsia" w:ascii="仿宋" w:hAnsi="仿宋" w:eastAsia="仿宋" w:cs="仿宋"/>
          <w:b/>
          <w:color w:val="auto"/>
          <w:szCs w:val="21"/>
          <w:highlight w:val="none"/>
          <w:lang w:eastAsia="zh-CN"/>
        </w:rPr>
        <w:t>投标报价</w:t>
      </w:r>
    </w:p>
    <w:p w14:paraId="25916289">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22.1投标报价文件中的单价和总价全部采用</w:t>
      </w:r>
      <w:r>
        <w:rPr>
          <w:rFonts w:hint="eastAsia" w:ascii="仿宋" w:hAnsi="仿宋" w:eastAsia="仿宋" w:cs="仿宋"/>
          <w:b/>
          <w:bCs/>
          <w:color w:val="auto"/>
          <w:szCs w:val="21"/>
          <w:highlight w:val="none"/>
          <w:lang w:val="en-US" w:eastAsia="zh-CN"/>
        </w:rPr>
        <w:t>下浮率</w:t>
      </w:r>
      <w:r>
        <w:rPr>
          <w:rFonts w:hint="eastAsia" w:ascii="仿宋" w:hAnsi="仿宋" w:eastAsia="仿宋" w:cs="仿宋"/>
          <w:b/>
          <w:bCs/>
          <w:color w:val="auto"/>
          <w:szCs w:val="21"/>
          <w:highlight w:val="none"/>
          <w:lang w:eastAsia="zh-CN"/>
        </w:rPr>
        <w:t>。</w:t>
      </w:r>
    </w:p>
    <w:p w14:paraId="239097BB">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22.2投标报价表上应清楚地标明供应商拟提供货物的名称、型号、生产厂家、数量、单价和总价（</w:t>
      </w:r>
      <w:r>
        <w:rPr>
          <w:rFonts w:hint="eastAsia" w:ascii="仿宋" w:hAnsi="仿宋" w:eastAsia="仿宋" w:cs="仿宋"/>
          <w:color w:val="auto"/>
          <w:szCs w:val="21"/>
          <w:highlight w:val="none"/>
          <w:lang w:val="en-US" w:eastAsia="zh-CN"/>
        </w:rPr>
        <w:t>以产品分项报价表格式为准</w:t>
      </w:r>
      <w:r>
        <w:rPr>
          <w:rFonts w:hint="eastAsia" w:ascii="仿宋" w:hAnsi="仿宋" w:eastAsia="仿宋" w:cs="仿宋"/>
          <w:color w:val="auto"/>
          <w:szCs w:val="21"/>
          <w:highlight w:val="none"/>
          <w:lang w:eastAsia="zh-CN"/>
        </w:rPr>
        <w:t>）。</w:t>
      </w:r>
    </w:p>
    <w:p w14:paraId="63C4D3F4">
      <w:pPr>
        <w:spacing w:line="440" w:lineRule="exact"/>
        <w:ind w:firstLine="482" w:firstLineChars="20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eastAsia="zh-CN"/>
        </w:rPr>
        <w:t>22.3供应商只允许有一个方案、一个报价（</w:t>
      </w:r>
      <w:r>
        <w:rPr>
          <w:rFonts w:hint="eastAsia" w:ascii="仿宋" w:hAnsi="仿宋" w:eastAsia="仿宋" w:cs="仿宋"/>
          <w:b/>
          <w:bCs/>
          <w:color w:val="auto"/>
          <w:szCs w:val="21"/>
          <w:highlight w:val="none"/>
          <w:lang w:val="en-US" w:eastAsia="zh-CN"/>
        </w:rPr>
        <w:t>下浮率</w:t>
      </w:r>
      <w:r>
        <w:rPr>
          <w:rFonts w:hint="eastAsia" w:ascii="仿宋" w:hAnsi="仿宋" w:eastAsia="仿宋" w:cs="仿宋"/>
          <w:b/>
          <w:bCs/>
          <w:color w:val="auto"/>
          <w:szCs w:val="21"/>
          <w:highlight w:val="none"/>
          <w:lang w:eastAsia="zh-CN"/>
        </w:rPr>
        <w:t>）</w:t>
      </w:r>
    </w:p>
    <w:p w14:paraId="56B9E3BB">
      <w:pPr>
        <w:spacing w:line="440" w:lineRule="exact"/>
        <w:ind w:firstLine="48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22.4供应商应按“采购内容及技术参数要求”所列货物下浮</w:t>
      </w:r>
      <w:r>
        <w:rPr>
          <w:rFonts w:hint="eastAsia" w:ascii="仿宋" w:hAnsi="仿宋" w:eastAsia="仿宋" w:cs="仿宋"/>
          <w:color w:val="auto"/>
          <w:szCs w:val="21"/>
          <w:highlight w:val="none"/>
          <w:lang w:val="en-US" w:eastAsia="zh-CN"/>
        </w:rPr>
        <w:t>率</w:t>
      </w:r>
      <w:r>
        <w:rPr>
          <w:rFonts w:hint="eastAsia" w:ascii="仿宋" w:hAnsi="仿宋" w:eastAsia="仿宋" w:cs="仿宋"/>
          <w:color w:val="auto"/>
          <w:szCs w:val="21"/>
          <w:highlight w:val="none"/>
          <w:lang w:eastAsia="zh-CN"/>
        </w:rPr>
        <w:t>的方式进行报价。</w:t>
      </w:r>
    </w:p>
    <w:p w14:paraId="2DFE4468">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eastAsia="zh-CN"/>
        </w:rPr>
        <w:t>投标报价应由法定代表人或被授权人签署。</w:t>
      </w:r>
    </w:p>
    <w:p w14:paraId="248CF97C">
      <w:pPr>
        <w:spacing w:line="440" w:lineRule="exact"/>
        <w:ind w:firstLine="480" w:firstLineChars="200"/>
        <w:rPr>
          <w:rFonts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eastAsia="zh-CN"/>
        </w:rPr>
        <w:t>22.</w:t>
      </w:r>
      <w:r>
        <w:rPr>
          <w:rFonts w:hint="eastAsia" w:ascii="仿宋" w:hAnsi="仿宋" w:eastAsia="仿宋" w:cs="仿宋"/>
          <w:bCs/>
          <w:color w:val="auto"/>
          <w:szCs w:val="21"/>
          <w:highlight w:val="none"/>
          <w:lang w:val="en-US" w:eastAsia="zh-CN"/>
        </w:rPr>
        <w:t>6</w:t>
      </w:r>
      <w:r>
        <w:rPr>
          <w:rFonts w:hint="eastAsia" w:ascii="仿宋" w:hAnsi="仿宋" w:eastAsia="仿宋" w:cs="仿宋"/>
          <w:b/>
          <w:color w:val="auto"/>
          <w:szCs w:val="21"/>
          <w:highlight w:val="none"/>
          <w:lang w:eastAsia="zh-CN"/>
        </w:rPr>
        <w:t>供应商投标总报价（</w:t>
      </w:r>
      <w:r>
        <w:rPr>
          <w:rFonts w:hint="eastAsia" w:ascii="仿宋" w:hAnsi="仿宋" w:eastAsia="仿宋" w:cs="仿宋"/>
          <w:b/>
          <w:color w:val="auto"/>
          <w:szCs w:val="21"/>
          <w:highlight w:val="none"/>
          <w:lang w:val="en-US" w:eastAsia="zh-CN"/>
        </w:rPr>
        <w:t>下浮率</w:t>
      </w:r>
      <w:r>
        <w:rPr>
          <w:rFonts w:hint="eastAsia" w:ascii="仿宋" w:hAnsi="仿宋" w:eastAsia="仿宋" w:cs="仿宋"/>
          <w:b/>
          <w:color w:val="auto"/>
          <w:szCs w:val="21"/>
          <w:highlight w:val="none"/>
          <w:lang w:eastAsia="zh-CN"/>
        </w:rPr>
        <w:t>），</w:t>
      </w:r>
      <w:r>
        <w:rPr>
          <w:rFonts w:hint="eastAsia" w:ascii="仿宋" w:hAnsi="仿宋" w:eastAsia="仿宋" w:cs="仿宋"/>
          <w:b/>
          <w:color w:val="auto"/>
          <w:szCs w:val="21"/>
          <w:highlight w:val="none"/>
          <w:lang w:val="en-US" w:eastAsia="zh-CN"/>
        </w:rPr>
        <w:t>本项目没有最高或最低限价。</w:t>
      </w:r>
    </w:p>
    <w:p w14:paraId="2912B8F3">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lang w:eastAsia="zh-CN"/>
        </w:rPr>
        <w:t>如投标文件中未列明全面实现投标货物功能而必须配置的配套或辅助设施及相应技术措施的费用，这些费用将被视为已包含在总投标价中。</w:t>
      </w:r>
    </w:p>
    <w:p w14:paraId="0C3D7BC0">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22.10总投标价中不得包含采购文件要求以外的内容，否则，在评标时不予核减，但在授予合同时，招标人有权将这部分价格从其中标价格中扣除。</w:t>
      </w:r>
    </w:p>
    <w:p w14:paraId="5A17ACEF">
      <w:pPr>
        <w:spacing w:line="440" w:lineRule="exact"/>
        <w:ind w:firstLine="460" w:firstLineChars="192"/>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22.11总投标价中不得缺漏采购文件所要求的内容，否则，评标时将有效投标中该项内容的最高价计入其评标总价，但在授予合同时，缺漏项目的报价视作已含在其他项目的报价中，这些项目将作为免费赠送而包含在合同内。    </w:t>
      </w:r>
    </w:p>
    <w:p w14:paraId="0FE52C95">
      <w:pPr>
        <w:spacing w:line="440" w:lineRule="exact"/>
        <w:ind w:firstLine="460" w:firstLineChars="192"/>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22.12供应商不得对从第三方采购货物的随机备品、备件另行收费，否则在计算评标价时这部分费用将不予扣除，在授予合同时将从中标价格中扣除该部分费用。</w:t>
      </w:r>
    </w:p>
    <w:p w14:paraId="73008DB2">
      <w:pPr>
        <w:spacing w:line="440" w:lineRule="exact"/>
        <w:ind w:firstLine="460" w:firstLineChars="192"/>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22.13供应商应根据货物的技术状况列出随机备品备件的清单和数量，并将该备品备件价格计入总投标价，若所提供的产品无需备件，则应在投标文件中说明；无论供应商在报价中列明随机备品备件的数量及价格多少，在质保期内招标人均无需为维护维修保养所需的专用工具和备品备件另行支付费用。</w:t>
      </w:r>
    </w:p>
    <w:p w14:paraId="48C3B518">
      <w:pPr>
        <w:spacing w:line="44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23. 投标有效期</w:t>
      </w:r>
    </w:p>
    <w:p w14:paraId="5C8C3705">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lang w:eastAsia="zh-CN"/>
        </w:rPr>
        <w:t>3.1 除供应商须知前附表另有规定外，投标有效期为</w:t>
      </w:r>
      <w:r>
        <w:rPr>
          <w:rFonts w:hint="eastAsia" w:ascii="仿宋" w:hAnsi="仿宋" w:eastAsia="仿宋" w:cs="仿宋"/>
          <w:color w:val="auto"/>
          <w:szCs w:val="21"/>
          <w:highlight w:val="none"/>
          <w:lang w:val="en-US" w:eastAsia="zh-CN"/>
        </w:rPr>
        <w:t>9</w:t>
      </w:r>
      <w:r>
        <w:rPr>
          <w:rFonts w:hint="eastAsia" w:ascii="仿宋" w:hAnsi="仿宋" w:eastAsia="仿宋" w:cs="仿宋"/>
          <w:color w:val="auto"/>
          <w:szCs w:val="21"/>
          <w:highlight w:val="none"/>
          <w:lang w:eastAsia="zh-CN"/>
        </w:rPr>
        <w:t>0天。</w:t>
      </w:r>
    </w:p>
    <w:p w14:paraId="71658BD6">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23.2在投标有效期内，供应商撤销或修改其投标文件的，应承担采购文件和法律规定的责任。</w:t>
      </w:r>
    </w:p>
    <w:p w14:paraId="3093559F">
      <w:pPr>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23.3出现特殊情况需要延长投标有效期的，招标人以书面形式通知所有供应商延长投标有效期。供应商同意延长的，应相应延长其投标保证金的有效期，但不得要求或被允许修改或撤销其投标文件；供应商拒绝延长的，其投标失效，但供应商有权收回其投标保证金。</w:t>
      </w:r>
    </w:p>
    <w:p w14:paraId="4C9041FE">
      <w:pPr>
        <w:spacing w:line="440" w:lineRule="exact"/>
        <w:ind w:firstLine="463" w:firstLineChars="192"/>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24. 投标保证金</w:t>
      </w:r>
    </w:p>
    <w:p w14:paraId="0105D9F1">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24.1供应商须知前附表规定递交投标保证金的，供应商在递交投标文件的同时，应按供应商须知前附表规定的金额、担保形式和第六部分“投标文件格式”规定的投标保证金格式递交投标保证金，并作为其投标文件的组成部分。供应商不按要求提交投标保证金的，评标委员会将否决其投标。</w:t>
      </w:r>
    </w:p>
    <w:p w14:paraId="1A372EA2">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24.2自中标通知书发出之日起5个工作日内退还未中标供应商的投标保证金，自政府采购合同签订之日起5个工作日内退还中标人的投标保证金。</w:t>
      </w:r>
    </w:p>
    <w:p w14:paraId="3AE64150">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24.3有下列情形之一的，投标保证金将不予退还： </w:t>
      </w:r>
    </w:p>
    <w:p w14:paraId="1BB6189F">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（1）供应商在规定的投标有效期内撤回或修改其投标文件；</w:t>
      </w:r>
    </w:p>
    <w:p w14:paraId="011C9A0B">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（2）中标通知书发出后三十天内，中标人无正当理由拒签合同协议书或未按采购文件规定提交履约担保。</w:t>
      </w:r>
    </w:p>
    <w:p w14:paraId="52D02136">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（3）提供虚假材料谋取中标的；</w:t>
      </w:r>
    </w:p>
    <w:p w14:paraId="451D3481">
      <w:pPr>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（4）经查实属于陪标、串通投标的等。</w:t>
      </w:r>
    </w:p>
    <w:p w14:paraId="3AB43727">
      <w:pPr>
        <w:spacing w:line="400" w:lineRule="exact"/>
        <w:ind w:firstLine="480" w:firstLineChars="200"/>
        <w:rPr>
          <w:rFonts w:ascii="仿宋" w:hAnsi="仿宋" w:eastAsia="仿宋" w:cs="仿宋"/>
          <w:color w:val="auto"/>
          <w:szCs w:val="21"/>
          <w:highlight w:val="none"/>
          <w:lang w:eastAsia="zh-CN"/>
        </w:rPr>
      </w:pPr>
      <w:bookmarkStart w:id="21" w:name="_Toc469495727"/>
      <w:r>
        <w:rPr>
          <w:rFonts w:hint="eastAsia" w:ascii="仿宋" w:hAnsi="仿宋" w:eastAsia="仿宋" w:cs="仿宋"/>
          <w:color w:val="auto"/>
          <w:szCs w:val="21"/>
          <w:highlight w:val="none"/>
          <w:lang w:eastAsia="zh-CN"/>
        </w:rPr>
        <w:t>24.4投标保证金按供应商须知前附表第</w:t>
      </w:r>
      <w:r>
        <w:rPr>
          <w:rFonts w:hint="eastAsia" w:ascii="仿宋" w:hAnsi="仿宋" w:eastAsia="仿宋" w:cs="仿宋"/>
          <w:color w:val="auto"/>
          <w:szCs w:val="21"/>
          <w:highlight w:val="none"/>
          <w:lang w:val="en-US" w:eastAsia="zh-CN"/>
        </w:rPr>
        <w:t>13</w:t>
      </w:r>
      <w:r>
        <w:rPr>
          <w:rFonts w:hint="eastAsia" w:ascii="仿宋" w:hAnsi="仿宋" w:eastAsia="仿宋" w:cs="仿宋"/>
          <w:color w:val="auto"/>
          <w:szCs w:val="21"/>
          <w:highlight w:val="none"/>
          <w:lang w:eastAsia="zh-CN"/>
        </w:rPr>
        <w:t>条规定执行。</w:t>
      </w:r>
    </w:p>
    <w:p w14:paraId="24CB594E">
      <w:pPr>
        <w:pStyle w:val="3"/>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（四）</w:t>
      </w:r>
      <w:bookmarkEnd w:id="21"/>
      <w:r>
        <w:rPr>
          <w:rFonts w:hint="eastAsia" w:ascii="仿宋" w:hAnsi="仿宋" w:eastAsia="仿宋" w:cs="仿宋"/>
          <w:color w:val="auto"/>
          <w:sz w:val="28"/>
          <w:szCs w:val="28"/>
          <w:highlight w:val="none"/>
          <w:lang w:eastAsia="zh-CN"/>
        </w:rPr>
        <w:t>投标文件的制作、上传及递交要求</w:t>
      </w:r>
    </w:p>
    <w:p w14:paraId="6E6D354E">
      <w:pPr>
        <w:snapToGrid w:val="0"/>
        <w:spacing w:line="360" w:lineRule="auto"/>
        <w:ind w:firstLine="482" w:firstLineChars="200"/>
        <w:rPr>
          <w:rFonts w:ascii="仿宋" w:hAnsi="仿宋" w:eastAsia="仿宋" w:cs="仿宋"/>
          <w:b/>
          <w:color w:val="auto"/>
          <w:highlight w:val="none"/>
          <w:lang w:eastAsia="zh-CN"/>
        </w:rPr>
      </w:pPr>
      <w:r>
        <w:rPr>
          <w:rFonts w:hint="eastAsia" w:ascii="仿宋" w:hAnsi="仿宋" w:eastAsia="仿宋" w:cs="仿宋"/>
          <w:b/>
          <w:bCs/>
          <w:color w:val="auto"/>
          <w:highlight w:val="none"/>
          <w:lang w:eastAsia="zh-CN"/>
        </w:rPr>
        <w:t>25.投标文件的制作要求</w:t>
      </w:r>
    </w:p>
    <w:p w14:paraId="3746D726">
      <w:pPr>
        <w:pStyle w:val="5"/>
        <w:snapToGrid w:val="0"/>
        <w:spacing w:line="360" w:lineRule="auto"/>
        <w:rPr>
          <w:rFonts w:ascii="仿宋" w:hAnsi="仿宋" w:eastAsia="仿宋" w:cs="仿宋"/>
          <w:color w:val="auto"/>
          <w:szCs w:val="24"/>
          <w:highlight w:val="none"/>
          <w:lang w:eastAsia="zh-CN"/>
        </w:rPr>
      </w:pPr>
      <w:r>
        <w:rPr>
          <w:rFonts w:hint="eastAsia" w:ascii="仿宋" w:hAnsi="仿宋" w:eastAsia="仿宋" w:cs="仿宋"/>
          <w:bCs/>
          <w:color w:val="auto"/>
          <w:szCs w:val="24"/>
          <w:highlight w:val="none"/>
          <w:lang w:eastAsia="zh-CN"/>
        </w:rPr>
        <w:t>（1）供应商应按照投标文件组成内容及项目招标需求和新疆政府采购云平台要求制作投标文件，不按采购文件和新疆政府采购云平台要求制作投标文件的将视情况处理（拒收等），由此产生的责任由供应商自行承担。</w:t>
      </w:r>
    </w:p>
    <w:p w14:paraId="27B5CB52">
      <w:pPr>
        <w:pStyle w:val="5"/>
        <w:snapToGrid w:val="0"/>
        <w:spacing w:line="360" w:lineRule="auto"/>
        <w:ind w:firstLine="480" w:firstLineChars="200"/>
        <w:rPr>
          <w:rFonts w:ascii="仿宋" w:hAnsi="仿宋" w:eastAsia="仿宋" w:cs="仿宋"/>
          <w:color w:val="auto"/>
          <w:szCs w:val="24"/>
          <w:highlight w:val="none"/>
          <w:lang w:eastAsia="zh-CN"/>
        </w:rPr>
      </w:pPr>
      <w:r>
        <w:rPr>
          <w:rFonts w:hint="eastAsia" w:ascii="仿宋" w:hAnsi="仿宋" w:eastAsia="仿宋" w:cs="仿宋"/>
          <w:bCs/>
          <w:color w:val="auto"/>
          <w:szCs w:val="24"/>
          <w:highlight w:val="none"/>
          <w:lang w:eastAsia="zh-CN"/>
        </w:rPr>
        <w:t>电子投标文件部分：供应商应根据“政采云供应商项目采购-电子招投标操作指南”及本采购文件规定的格式和顺序编制电子投标文件并进行关联定位。本文件《第六章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部分投标文件格式》未提供格式的，请供应商自行拟定格式，并加盖单位公章，否则视为未提供。</w:t>
      </w:r>
    </w:p>
    <w:p w14:paraId="5769F717">
      <w:pPr>
        <w:pStyle w:val="5"/>
        <w:snapToGrid w:val="0"/>
        <w:spacing w:line="360" w:lineRule="auto"/>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（2）供应商应对所提供的全部资料的真实性、有效性承担法律责任，电子投标文件中所</w:t>
      </w:r>
      <w:r>
        <w:rPr>
          <w:rFonts w:hint="eastAsia" w:ascii="仿宋" w:hAnsi="仿宋" w:eastAsia="仿宋" w:cs="仿宋"/>
          <w:bCs/>
          <w:color w:val="auto"/>
          <w:szCs w:val="24"/>
          <w:highlight w:val="none"/>
          <w:lang w:val="en-US" w:eastAsia="zh-CN"/>
        </w:rPr>
        <w:t>需</w:t>
      </w:r>
      <w:r>
        <w:rPr>
          <w:rFonts w:hint="eastAsia" w:ascii="仿宋" w:hAnsi="仿宋" w:eastAsia="仿宋" w:cs="仿宋"/>
          <w:bCs/>
          <w:color w:val="auto"/>
          <w:szCs w:val="24"/>
          <w:highlight w:val="none"/>
          <w:lang w:eastAsia="zh-CN"/>
        </w:rPr>
        <w:t>加盖公章部分均采用CA签章。</w:t>
      </w:r>
    </w:p>
    <w:p w14:paraId="1F751CFE">
      <w:pPr>
        <w:pStyle w:val="5"/>
        <w:snapToGrid w:val="0"/>
        <w:spacing w:line="360" w:lineRule="auto"/>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（3）投标文件以及供应商与采购组织机构就有关投标事宜的所有来往函电，均应以中文汉语书写。除签章、盖章、专用名称等特殊情形外，以中文汉语以外的文字表述的投标文件视同未提供。</w:t>
      </w:r>
    </w:p>
    <w:p w14:paraId="597DE0FA">
      <w:pPr>
        <w:pStyle w:val="5"/>
        <w:snapToGrid w:val="0"/>
        <w:spacing w:line="360" w:lineRule="auto"/>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（4）投标计量单位，采购文件已有明确规定的，使用采购文件规定的计量单位；采购文件没有规定的，应采用中华人民共和国法定计量单位（货币单位：人民币元）。</w:t>
      </w:r>
    </w:p>
    <w:p w14:paraId="71EE7E93">
      <w:pPr>
        <w:pStyle w:val="5"/>
        <w:snapToGrid w:val="0"/>
        <w:spacing w:line="360" w:lineRule="auto"/>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（5）若供应商不按采购文件的要求提供资格审查材料，其风险由供应商自行承担。</w:t>
      </w:r>
    </w:p>
    <w:p w14:paraId="0D45D677">
      <w:pPr>
        <w:pStyle w:val="5"/>
        <w:snapToGrid w:val="0"/>
        <w:spacing w:line="360" w:lineRule="auto"/>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（6）与本次投标无关的内容请不要制作在内，确保投标文件有针对性、简洁明了。</w:t>
      </w:r>
    </w:p>
    <w:p w14:paraId="0479D11C">
      <w:pPr>
        <w:pStyle w:val="5"/>
        <w:snapToGrid w:val="0"/>
        <w:spacing w:line="360" w:lineRule="auto"/>
        <w:ind w:firstLine="663" w:firstLineChars="275"/>
        <w:rPr>
          <w:rFonts w:ascii="仿宋" w:hAnsi="仿宋" w:eastAsia="仿宋" w:cs="仿宋"/>
          <w:b/>
          <w:bCs/>
          <w:color w:val="auto"/>
          <w:szCs w:val="24"/>
          <w:highlight w:val="none"/>
          <w:lang w:eastAsia="zh-CN"/>
        </w:rPr>
      </w:pPr>
      <w:r>
        <w:rPr>
          <w:rFonts w:hint="eastAsia" w:ascii="仿宋" w:hAnsi="仿宋" w:eastAsia="仿宋" w:cs="仿宋"/>
          <w:b/>
          <w:bCs/>
          <w:color w:val="auto"/>
          <w:szCs w:val="24"/>
          <w:highlight w:val="none"/>
          <w:lang w:eastAsia="zh-CN" w:bidi="zh-CN"/>
        </w:rPr>
        <w:t>电子加密投标文件（“.jmbs”格式）</w:t>
      </w:r>
      <w:r>
        <w:rPr>
          <w:rFonts w:hint="eastAsia" w:ascii="仿宋" w:hAnsi="仿宋" w:eastAsia="仿宋" w:cs="仿宋"/>
          <w:b/>
          <w:bCs/>
          <w:color w:val="auto"/>
          <w:szCs w:val="24"/>
          <w:highlight w:val="none"/>
          <w:lang w:eastAsia="zh-CN"/>
        </w:rPr>
        <w:t>：</w:t>
      </w:r>
    </w:p>
    <w:p w14:paraId="12EB0C5C">
      <w:pPr>
        <w:pStyle w:val="5"/>
        <w:snapToGrid w:val="0"/>
        <w:spacing w:line="360" w:lineRule="auto"/>
        <w:ind w:firstLine="600" w:firstLineChars="250"/>
        <w:rPr>
          <w:rFonts w:ascii="仿宋" w:hAnsi="仿宋" w:eastAsia="仿宋" w:cs="仿宋"/>
          <w:bCs/>
          <w:color w:val="auto"/>
          <w:szCs w:val="24"/>
          <w:highlight w:val="none"/>
          <w:lang w:eastAsia="zh-CN" w:bidi="zh-CN"/>
        </w:rPr>
      </w:pPr>
      <w:r>
        <w:rPr>
          <w:rFonts w:hint="eastAsia" w:ascii="仿宋" w:hAnsi="仿宋" w:eastAsia="仿宋" w:cs="仿宋"/>
          <w:bCs/>
          <w:color w:val="auto"/>
          <w:szCs w:val="24"/>
          <w:highlight w:val="none"/>
          <w:lang w:eastAsia="zh-CN" w:bidi="zh-CN"/>
        </w:rPr>
        <w:t>a.</w:t>
      </w:r>
      <w:r>
        <w:rPr>
          <w:rFonts w:hint="eastAsia"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bidi="zh-CN"/>
        </w:rPr>
        <w:t>供应商应在投标截止时间前将电子加密投标文件成功上传递交至新疆政府采购云平台，否则投标无效；</w:t>
      </w:r>
    </w:p>
    <w:p w14:paraId="700C42BD">
      <w:pPr>
        <w:pStyle w:val="5"/>
        <w:snapToGrid w:val="0"/>
        <w:spacing w:line="360" w:lineRule="auto"/>
        <w:ind w:firstLine="600" w:firstLineChars="250"/>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bidi="zh-CN"/>
        </w:rPr>
        <w:t>b.供应商成功上传电子加密投标文件后，可自行打印投标文件接收回执。</w:t>
      </w:r>
    </w:p>
    <w:p w14:paraId="4DECB4B8">
      <w:pPr>
        <w:snapToGrid w:val="0"/>
        <w:spacing w:line="360" w:lineRule="auto"/>
        <w:ind w:firstLine="482" w:firstLineChars="200"/>
        <w:rPr>
          <w:rFonts w:ascii="仿宋" w:hAnsi="仿宋" w:eastAsia="仿宋" w:cs="仿宋"/>
          <w:b/>
          <w:color w:val="auto"/>
          <w:highlight w:val="none"/>
          <w:lang w:eastAsia="zh-CN"/>
        </w:rPr>
      </w:pPr>
      <w:r>
        <w:rPr>
          <w:rFonts w:hint="eastAsia" w:ascii="仿宋" w:hAnsi="仿宋" w:eastAsia="仿宋" w:cs="仿宋"/>
          <w:b/>
          <w:bCs/>
          <w:color w:val="auto"/>
          <w:highlight w:val="none"/>
          <w:lang w:eastAsia="zh-CN"/>
        </w:rPr>
        <w:t>27.</w:t>
      </w:r>
      <w:r>
        <w:rPr>
          <w:rFonts w:hint="eastAsia" w:ascii="仿宋" w:hAnsi="仿宋" w:eastAsia="仿宋" w:cs="仿宋"/>
          <w:b/>
          <w:color w:val="auto"/>
          <w:highlight w:val="none"/>
          <w:lang w:eastAsia="zh-CN"/>
        </w:rPr>
        <w:t>投标文件的递交要求</w:t>
      </w:r>
    </w:p>
    <w:p w14:paraId="0A0D970C">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（1）供应商须按照采购文件和政采云平台的要求编制并加密投标文件。在投标文件递交截止时间以前完成投标文件的传输递交，截止时间后递交的投标文件，将被拒收。</w:t>
      </w:r>
    </w:p>
    <w:p w14:paraId="3030D8FB">
      <w:pPr>
        <w:tabs>
          <w:tab w:val="left" w:pos="1418"/>
        </w:tabs>
        <w:autoSpaceDE w:val="0"/>
        <w:autoSpaceDN w:val="0"/>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）如有特殊情况，采购组织机构延长截止时间和开标时间，采购组织机构和供应商的权利和义务将受到新的截止时间和开标时间的约束。</w:t>
      </w:r>
    </w:p>
    <w:p w14:paraId="646F78BC">
      <w:pPr>
        <w:snapToGrid w:val="0"/>
        <w:spacing w:line="360" w:lineRule="auto"/>
        <w:ind w:firstLine="482" w:firstLineChars="20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28．投标文件的补充、修改与撤回</w:t>
      </w:r>
    </w:p>
    <w:p w14:paraId="3428AE64">
      <w:pPr>
        <w:tabs>
          <w:tab w:val="left" w:pos="960"/>
          <w:tab w:val="left" w:pos="1418"/>
        </w:tabs>
        <w:autoSpaceDE w:val="0"/>
        <w:autoSpaceDN w:val="0"/>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bookmarkStart w:id="22" w:name="_Toc469495728"/>
    </w:p>
    <w:p w14:paraId="45515276">
      <w:pPr>
        <w:tabs>
          <w:tab w:val="left" w:pos="960"/>
          <w:tab w:val="left" w:pos="1418"/>
        </w:tabs>
        <w:autoSpaceDE w:val="0"/>
        <w:autoSpaceDN w:val="0"/>
        <w:adjustRightInd w:val="0"/>
        <w:snapToGrid w:val="0"/>
        <w:spacing w:line="360" w:lineRule="auto"/>
        <w:ind w:firstLine="562" w:firstLineChars="200"/>
        <w:jc w:val="center"/>
        <w:rPr>
          <w:rFonts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（五）开标、评标和定标</w:t>
      </w:r>
      <w:bookmarkEnd w:id="22"/>
    </w:p>
    <w:p w14:paraId="581782FD">
      <w:pPr>
        <w:snapToGrid w:val="0"/>
        <w:spacing w:line="360" w:lineRule="auto"/>
        <w:ind w:firstLine="482" w:firstLineChars="20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29. 开标</w:t>
      </w:r>
    </w:p>
    <w:p w14:paraId="1A5AA006">
      <w:pPr>
        <w:snapToGrid w:val="0"/>
        <w:spacing w:line="360" w:lineRule="auto"/>
        <w:ind w:firstLine="482" w:firstLineChars="200"/>
        <w:rPr>
          <w:rFonts w:ascii="仿宋" w:hAnsi="仿宋" w:eastAsia="仿宋" w:cs="仿宋"/>
          <w:b/>
          <w:bCs/>
          <w:color w:val="auto"/>
          <w:highlight w:val="none"/>
          <w:lang w:eastAsia="zh-CN"/>
        </w:rPr>
      </w:pPr>
      <w:bookmarkStart w:id="23" w:name="_Toc73975822"/>
      <w:r>
        <w:rPr>
          <w:rFonts w:hint="eastAsia" w:ascii="仿宋" w:hAnsi="仿宋" w:eastAsia="仿宋" w:cs="仿宋"/>
          <w:b/>
          <w:bCs/>
          <w:color w:val="auto"/>
          <w:highlight w:val="none"/>
          <w:lang w:eastAsia="zh-CN"/>
        </w:rPr>
        <w:t>29.1开标邀请</w:t>
      </w:r>
      <w:bookmarkEnd w:id="23"/>
    </w:p>
    <w:p w14:paraId="07FF5733">
      <w:pPr>
        <w:pStyle w:val="10"/>
        <w:snapToGrid w:val="0"/>
        <w:spacing w:line="360" w:lineRule="auto"/>
        <w:ind w:firstLine="480" w:firstLineChars="200"/>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（1）开标准备：本项目开标的准备工作由采购组织机构负责落实，开标过程由采购组织机构负责记录；</w:t>
      </w:r>
    </w:p>
    <w:p w14:paraId="5FFC4429">
      <w:pPr>
        <w:pStyle w:val="10"/>
        <w:snapToGrid w:val="0"/>
        <w:spacing w:line="360" w:lineRule="auto"/>
        <w:ind w:firstLine="480" w:firstLineChars="200"/>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（2）开标主持:本项目开标由采购人或者采购代理机构主持；</w:t>
      </w:r>
    </w:p>
    <w:p w14:paraId="3C08B470">
      <w:pPr>
        <w:pStyle w:val="10"/>
        <w:snapToGrid w:val="0"/>
        <w:spacing w:line="360" w:lineRule="auto"/>
        <w:ind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lang w:eastAsia="zh-CN"/>
        </w:rPr>
        <w:t>（3）</w:t>
      </w:r>
      <w:r>
        <w:rPr>
          <w:rFonts w:hint="eastAsia" w:ascii="仿宋" w:hAnsi="仿宋" w:eastAsia="仿宋" w:cs="仿宋"/>
          <w:color w:val="auto"/>
          <w:szCs w:val="24"/>
          <w:highlight w:val="none"/>
        </w:rPr>
        <w:t>开标邀请：本项目采用电子交易，采购组织机构将按照采购文件规定的时间通过“</w:t>
      </w:r>
      <w:r>
        <w:rPr>
          <w:rFonts w:hint="eastAsia" w:ascii="仿宋" w:hAnsi="仿宋" w:eastAsia="仿宋" w:cs="仿宋"/>
          <w:color w:val="auto"/>
          <w:szCs w:val="24"/>
          <w:highlight w:val="none"/>
          <w:lang w:eastAsia="zh-CN"/>
        </w:rPr>
        <w:t>新疆</w:t>
      </w:r>
      <w:r>
        <w:rPr>
          <w:rFonts w:hint="eastAsia" w:ascii="仿宋" w:hAnsi="仿宋" w:eastAsia="仿宋" w:cs="仿宋"/>
          <w:color w:val="auto"/>
          <w:szCs w:val="24"/>
          <w:highlight w:val="none"/>
        </w:rPr>
        <w:t>政府采购云平台，网址：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Style w:val="27"/>
          <w:rFonts w:hint="eastAsia" w:ascii="仿宋" w:hAnsi="仿宋" w:eastAsia="仿宋" w:cs="仿宋"/>
          <w:color w:val="auto"/>
          <w:szCs w:val="24"/>
          <w:highlight w:val="none"/>
          <w:u w:val="none"/>
        </w:rPr>
        <w:t>www.zcygov.cn</w:t>
      </w:r>
      <w:r>
        <w:rPr>
          <w:rStyle w:val="27"/>
          <w:rFonts w:hint="eastAsia" w:ascii="仿宋" w:hAnsi="仿宋" w:eastAsia="仿宋" w:cs="仿宋"/>
          <w:color w:val="auto"/>
          <w:szCs w:val="24"/>
          <w:highlight w:val="none"/>
          <w:u w:val="none"/>
        </w:rPr>
        <w:fldChar w:fldCharType="end"/>
      </w:r>
      <w:r>
        <w:rPr>
          <w:rFonts w:hint="eastAsia" w:ascii="仿宋" w:hAnsi="仿宋" w:eastAsia="仿宋" w:cs="仿宋"/>
          <w:color w:val="auto"/>
          <w:szCs w:val="24"/>
          <w:highlight w:val="none"/>
        </w:rPr>
        <w:t>”组织开标、开启投标响应文件，所有供应商均应当准时在线参加。</w:t>
      </w:r>
    </w:p>
    <w:p w14:paraId="475EB35E">
      <w:pPr>
        <w:pStyle w:val="10"/>
        <w:snapToGrid w:val="0"/>
        <w:spacing w:line="360" w:lineRule="auto"/>
        <w:ind w:firstLine="480" w:firstLineChars="200"/>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35E2BF03">
      <w:pPr>
        <w:snapToGrid w:val="0"/>
        <w:spacing w:line="360" w:lineRule="auto"/>
        <w:ind w:firstLine="482" w:firstLineChars="200"/>
        <w:outlineLvl w:val="2"/>
        <w:rPr>
          <w:rFonts w:ascii="仿宋" w:hAnsi="仿宋" w:eastAsia="仿宋" w:cs="仿宋"/>
          <w:b/>
          <w:color w:val="auto"/>
          <w:highlight w:val="none"/>
          <w:lang w:eastAsia="zh-CN"/>
        </w:rPr>
      </w:pPr>
      <w:bookmarkStart w:id="24" w:name="_Toc73975823"/>
      <w:r>
        <w:rPr>
          <w:rFonts w:hint="eastAsia" w:ascii="仿宋" w:hAnsi="仿宋" w:eastAsia="仿宋" w:cs="仿宋"/>
          <w:b/>
          <w:color w:val="auto"/>
          <w:highlight w:val="none"/>
          <w:lang w:eastAsia="zh-CN"/>
        </w:rPr>
        <w:t>29.2</w:t>
      </w:r>
      <w:r>
        <w:rPr>
          <w:rFonts w:hint="eastAsia" w:ascii="仿宋" w:hAnsi="仿宋" w:eastAsia="仿宋" w:cs="仿宋"/>
          <w:b/>
          <w:bCs/>
          <w:color w:val="auto"/>
          <w:highlight w:val="none"/>
          <w:lang w:eastAsia="zh-CN"/>
        </w:rPr>
        <w:t>开标程序（先资格、商务技术后报价）</w:t>
      </w:r>
      <w:bookmarkEnd w:id="24"/>
    </w:p>
    <w:p w14:paraId="43C7582B">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（1）开标时间到后，主持人宣布开标会议开始。</w:t>
      </w:r>
    </w:p>
    <w:p w14:paraId="19FA26C3">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（2）投标文件解密（</w:t>
      </w:r>
      <w:r>
        <w:rPr>
          <w:rFonts w:hint="eastAsia" w:ascii="仿宋" w:hAnsi="仿宋" w:eastAsia="仿宋" w:cs="仿宋"/>
          <w:b/>
          <w:color w:val="auto"/>
          <w:highlight w:val="none"/>
          <w:lang w:eastAsia="zh-CN"/>
        </w:rPr>
        <w:t>解密规定见《供应商须知前附表》</w:t>
      </w:r>
      <w:r>
        <w:rPr>
          <w:rFonts w:hint="eastAsia" w:ascii="仿宋" w:hAnsi="仿宋" w:eastAsia="仿宋" w:cs="仿宋"/>
          <w:color w:val="auto"/>
          <w:highlight w:val="none"/>
          <w:lang w:eastAsia="zh-CN"/>
        </w:rPr>
        <w:t>）。</w:t>
      </w:r>
    </w:p>
    <w:p w14:paraId="716EC6E2">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（3）投标文件解密异常情况处理（</w:t>
      </w:r>
      <w:r>
        <w:rPr>
          <w:rFonts w:hint="eastAsia" w:ascii="仿宋" w:hAnsi="仿宋" w:eastAsia="仿宋" w:cs="仿宋"/>
          <w:b/>
          <w:color w:val="auto"/>
          <w:highlight w:val="none"/>
          <w:lang w:eastAsia="zh-CN"/>
        </w:rPr>
        <w:t>处理办法见《供应商须知前附表》</w:t>
      </w:r>
      <w:r>
        <w:rPr>
          <w:rFonts w:hint="eastAsia" w:ascii="仿宋" w:hAnsi="仿宋" w:eastAsia="仿宋" w:cs="仿宋"/>
          <w:color w:val="auto"/>
          <w:highlight w:val="none"/>
          <w:lang w:eastAsia="zh-CN"/>
        </w:rPr>
        <w:t>）。</w:t>
      </w:r>
    </w:p>
    <w:p w14:paraId="64AB4EA7">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（4）公布投标文件解密情况（投标文件成功解密的供应商名单等信息）。</w:t>
      </w:r>
    </w:p>
    <w:p w14:paraId="511A222D">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（5）开启标书信息（资格证明文件、商务技术文件）。标书信息开启后，首先由采购人或采购代理机构或评审小组依法对投标供应商的资格证明文件进行审查（具体见本章“29.3 投标供应商资格审查”）， 审查结束公布投标供应商的资格符合情况。资格审查未获通过的供应商，其商务技术文件及报价文件不再进入评审。</w:t>
      </w:r>
    </w:p>
    <w:p w14:paraId="308DDA15">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（6）商务技术评审结束后，主持人公布商务技术评审无效投标供应商名单和商务技术评审有效投标供应商名单及其商务技术得分情况。商务技术评审无效的供应商，其报价不再进入评审。</w:t>
      </w:r>
    </w:p>
    <w:p w14:paraId="042137D5">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（7）开启有效投标供应商的报价，公布开标一览表有关内容，</w:t>
      </w:r>
      <w:r>
        <w:rPr>
          <w:rFonts w:hint="eastAsia" w:ascii="仿宋" w:hAnsi="仿宋" w:eastAsia="仿宋" w:cs="仿宋"/>
          <w:color w:val="auto"/>
          <w:highlight w:val="none"/>
          <w:lang w:eastAsia="zh-CN" w:bidi="zh-CN"/>
        </w:rPr>
        <w:t>并【开启签章时段】，供应商对开标记录进行在线签章确认（不予确认的应说明理由，否则视为无异议）</w:t>
      </w:r>
      <w:r>
        <w:rPr>
          <w:rFonts w:hint="eastAsia" w:ascii="仿宋" w:hAnsi="仿宋" w:eastAsia="仿宋" w:cs="仿宋"/>
          <w:color w:val="auto"/>
          <w:highlight w:val="none"/>
          <w:lang w:eastAsia="zh-CN"/>
        </w:rPr>
        <w:t>。开标结束后，由评标委员会对报价的合理性、准确性等进行审查核实。</w:t>
      </w:r>
    </w:p>
    <w:p w14:paraId="1382053E">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（8）评审结束后，采购代理机构在系统上公布评审结果。</w:t>
      </w:r>
    </w:p>
    <w:p w14:paraId="00642E6A">
      <w:pPr>
        <w:snapToGrid w:val="0"/>
        <w:spacing w:line="360" w:lineRule="auto"/>
        <w:ind w:left="480"/>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特别情况说明：</w:t>
      </w:r>
    </w:p>
    <w:p w14:paraId="36A61685">
      <w:pPr>
        <w:snapToGrid w:val="0"/>
        <w:spacing w:line="360" w:lineRule="auto"/>
        <w:ind w:firstLine="426" w:firstLineChars="17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（1）本项目采用电子交易，如遇“新疆政府采购云平台”电子化开标或评审程序调整的，按调整后程序执行。</w:t>
      </w:r>
    </w:p>
    <w:p w14:paraId="6BB59661">
      <w:pPr>
        <w:snapToGrid w:val="0"/>
        <w:spacing w:line="360" w:lineRule="auto"/>
        <w:ind w:firstLine="426" w:firstLineChars="17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（2）开标过程中需要相关当事人进行签章或盖章确认的材料将通过“政府采购云平台”进行，若因“政府采购云平台”技术问题无法进行签章或盖章确认的，采购组织机构将通过电子邮件等形式予以确认，</w:t>
      </w:r>
      <w:r>
        <w:rPr>
          <w:rFonts w:hint="eastAsia" w:ascii="仿宋" w:hAnsi="仿宋" w:eastAsia="仿宋" w:cs="仿宋"/>
          <w:b/>
          <w:color w:val="auto"/>
          <w:highlight w:val="none"/>
          <w:u w:val="single"/>
          <w:lang w:eastAsia="zh-CN"/>
        </w:rPr>
        <w:t>请供应商保证办理投标事宜人员电话畅通、网络在线，签章或盖章</w:t>
      </w:r>
      <w:r>
        <w:rPr>
          <w:rFonts w:hint="eastAsia" w:ascii="仿宋" w:hAnsi="仿宋" w:eastAsia="仿宋" w:cs="仿宋"/>
          <w:b/>
          <w:color w:val="auto"/>
          <w:highlight w:val="none"/>
          <w:u w:val="single"/>
          <w:lang w:val="en-US" w:eastAsia="zh-CN"/>
        </w:rPr>
        <w:t>进行</w:t>
      </w:r>
      <w:r>
        <w:rPr>
          <w:rFonts w:hint="eastAsia" w:ascii="仿宋" w:hAnsi="仿宋" w:eastAsia="仿宋" w:cs="仿宋"/>
          <w:b/>
          <w:color w:val="auto"/>
          <w:highlight w:val="none"/>
          <w:u w:val="single"/>
          <w:lang w:eastAsia="zh-CN"/>
        </w:rPr>
        <w:t>确认。如未及时签章或盖章确认的，视为无异议</w:t>
      </w:r>
      <w:r>
        <w:rPr>
          <w:rFonts w:hint="eastAsia" w:ascii="仿宋" w:hAnsi="仿宋" w:eastAsia="仿宋" w:cs="仿宋"/>
          <w:b/>
          <w:color w:val="auto"/>
          <w:highlight w:val="none"/>
          <w:lang w:eastAsia="zh-CN"/>
        </w:rPr>
        <w:t>。</w:t>
      </w:r>
    </w:p>
    <w:p w14:paraId="4D2E5B19">
      <w:pPr>
        <w:snapToGrid w:val="0"/>
        <w:spacing w:line="360" w:lineRule="auto"/>
        <w:ind w:firstLine="482" w:firstLineChars="200"/>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29.3 投标供应商资格审查：</w:t>
      </w:r>
    </w:p>
    <w:p w14:paraId="6948B08F">
      <w:pPr>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bCs/>
          <w:color w:val="auto"/>
          <w:highlight w:val="none"/>
          <w:lang w:eastAsia="zh-CN"/>
        </w:rPr>
        <w:t>开标（标书信息开启）后，采购人或采购代理机构或</w:t>
      </w:r>
      <w:r>
        <w:rPr>
          <w:rFonts w:hint="eastAsia" w:ascii="仿宋" w:hAnsi="仿宋" w:eastAsia="仿宋" w:cs="仿宋"/>
          <w:color w:val="auto"/>
          <w:highlight w:val="none"/>
          <w:lang w:eastAsia="zh-CN"/>
        </w:rPr>
        <w:t>评审小组</w:t>
      </w:r>
      <w:r>
        <w:rPr>
          <w:rFonts w:hint="eastAsia" w:ascii="仿宋" w:hAnsi="仿宋" w:eastAsia="仿宋" w:cs="仿宋"/>
          <w:bCs/>
          <w:color w:val="auto"/>
          <w:highlight w:val="none"/>
          <w:lang w:eastAsia="zh-CN"/>
        </w:rPr>
        <w:t>首先依法对投标供应商的资格文件进行审查，审查各投标供应商的资格符合情况。</w:t>
      </w:r>
      <w:r>
        <w:rPr>
          <w:rFonts w:hint="eastAsia" w:ascii="仿宋" w:hAnsi="仿宋" w:eastAsia="仿宋" w:cs="仿宋"/>
          <w:color w:val="auto"/>
          <w:highlight w:val="none"/>
          <w:lang w:eastAsia="zh-CN"/>
        </w:rPr>
        <w:t>采购人或采购代理机构</w:t>
      </w:r>
      <w:r>
        <w:rPr>
          <w:rFonts w:hint="eastAsia" w:ascii="仿宋" w:hAnsi="仿宋" w:eastAsia="仿宋" w:cs="仿宋"/>
          <w:bCs/>
          <w:color w:val="auto"/>
          <w:highlight w:val="none"/>
          <w:lang w:eastAsia="zh-CN"/>
        </w:rPr>
        <w:t>或</w:t>
      </w:r>
      <w:r>
        <w:rPr>
          <w:rFonts w:hint="eastAsia" w:ascii="仿宋" w:hAnsi="仿宋" w:eastAsia="仿宋" w:cs="仿宋"/>
          <w:color w:val="auto"/>
          <w:highlight w:val="none"/>
          <w:lang w:eastAsia="zh-CN"/>
        </w:rPr>
        <w:t>评审小组对投标供应商所提交的资格证明材料仅负审核的责任。如发现投标供应商所提交的资格证明材料不合法或与事实不符，采购人可取消其中标资格并追究投标供应商的法律责任。</w:t>
      </w:r>
    </w:p>
    <w:p w14:paraId="1973CBAD">
      <w:pPr>
        <w:pStyle w:val="5"/>
        <w:snapToGrid w:val="0"/>
        <w:spacing w:line="360" w:lineRule="auto"/>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2）投标供应商提交的资格证明材料无法证明其符合采购文件规定的“投标供应商资格要求”的，采购人或采购代理机构将对其作“资格审查不合格”处理（无效投标），并不再将其投标提交评标委员会进行后续评审。</w:t>
      </w:r>
    </w:p>
    <w:p w14:paraId="4131407B">
      <w:pPr>
        <w:pStyle w:val="5"/>
        <w:snapToGrid w:val="0"/>
        <w:spacing w:line="360" w:lineRule="auto"/>
        <w:rPr>
          <w:rFonts w:ascii="仿宋" w:hAnsi="仿宋" w:eastAsia="仿宋" w:cs="仿宋"/>
          <w:bCs/>
          <w:color w:val="auto"/>
          <w:szCs w:val="24"/>
          <w:highlight w:val="none"/>
          <w:lang w:eastAsia="zh-CN"/>
        </w:rPr>
      </w:pPr>
      <w:r>
        <w:rPr>
          <w:rFonts w:hint="eastAsia" w:ascii="仿宋" w:hAnsi="仿宋" w:eastAsia="仿宋" w:cs="仿宋"/>
          <w:bCs/>
          <w:color w:val="auto"/>
          <w:szCs w:val="24"/>
          <w:highlight w:val="none"/>
          <w:lang w:eastAsia="zh-CN"/>
        </w:rPr>
        <w:t>（3）供应商信用记录查询与使用：见《供应商须知前附表》。</w:t>
      </w:r>
    </w:p>
    <w:p w14:paraId="5D67B1E3">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30.评审工作的组织</w:t>
      </w:r>
    </w:p>
    <w:p w14:paraId="578275EB">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采购人或采购代理机构负责组织本项目的评审工作，并依据《政府采购货物和服务招标投标管理办法（财政部第87号令）》第四十五条的相关规定履行职责。</w:t>
      </w:r>
    </w:p>
    <w:p w14:paraId="713E79B5">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31. 评标委员会的组建</w:t>
      </w:r>
    </w:p>
    <w:p w14:paraId="0C40F24A">
      <w:pPr>
        <w:widowControl/>
        <w:spacing w:line="440" w:lineRule="exact"/>
        <w:ind w:firstLine="240" w:firstLineChars="10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31.1评标委员会由采购人代表和评审专家组成，成员人数应当为5人以上单数，其中评审专家不得少于成员总数的三分之二。</w:t>
      </w:r>
    </w:p>
    <w:p w14:paraId="2A15328C">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31.2评审专家从新疆政府采购云平台专家库中通过随机</w:t>
      </w:r>
      <w:r>
        <w:rPr>
          <w:rFonts w:hint="eastAsia" w:ascii="仿宋" w:hAnsi="仿宋" w:eastAsia="仿宋" w:cs="仿宋"/>
          <w:color w:val="auto"/>
          <w:szCs w:val="21"/>
          <w:highlight w:val="none"/>
          <w:lang w:eastAsia="zh-CN"/>
        </w:rPr>
        <w:t>方式抽取</w:t>
      </w:r>
      <w:r>
        <w:rPr>
          <w:rFonts w:hint="eastAsia" w:ascii="仿宋" w:hAnsi="仿宋" w:eastAsia="仿宋" w:cs="仿宋"/>
          <w:color w:val="auto"/>
          <w:szCs w:val="21"/>
          <w:highlight w:val="none"/>
          <w:lang w:val="en-US" w:eastAsia="zh-CN"/>
        </w:rPr>
        <w:t>本项目相关专业5名社</w:t>
      </w:r>
      <w:r>
        <w:rPr>
          <w:rFonts w:hint="eastAsia" w:ascii="仿宋" w:hAnsi="仿宋" w:eastAsia="仿宋" w:cs="仿宋"/>
          <w:color w:val="auto"/>
          <w:szCs w:val="21"/>
          <w:highlight w:val="none"/>
          <w:lang w:val="en-US" w:eastAsia="zh-CN"/>
        </w:rPr>
        <w:t>会专家</w:t>
      </w:r>
      <w:r>
        <w:rPr>
          <w:rFonts w:hint="eastAsia" w:ascii="仿宋" w:hAnsi="仿宋" w:eastAsia="仿宋" w:cs="仿宋"/>
          <w:color w:val="auto"/>
          <w:szCs w:val="21"/>
          <w:highlight w:val="none"/>
          <w:lang w:eastAsia="zh-CN"/>
        </w:rPr>
        <w:t>，评标委员会成员名单在采购结果公告前保密。</w:t>
      </w:r>
    </w:p>
    <w:p w14:paraId="21CCB7B0">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32.评标委员会的职责</w:t>
      </w:r>
    </w:p>
    <w:p w14:paraId="24D2DF31">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32.1审查、评价投标文件是否符合采购文件的商务、技术等实质性要求。</w:t>
      </w:r>
    </w:p>
    <w:p w14:paraId="61B81AA1">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32.2要求供应商对投标文件有关事项作出澄清或者说明。</w:t>
      </w:r>
    </w:p>
    <w:p w14:paraId="24F2C034">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32.3对投标文件进行比较和评价。</w:t>
      </w:r>
    </w:p>
    <w:p w14:paraId="543E3B97">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32.4确定中标候选人名单，以及根据采购人委托直接确定中标人。</w:t>
      </w:r>
    </w:p>
    <w:p w14:paraId="3C0415A9">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32.5向采购人、采购代理机构或者有关部门报告评审中发现的违法行为。</w:t>
      </w:r>
    </w:p>
    <w:p w14:paraId="2FB60099">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33. 评标原则</w:t>
      </w:r>
    </w:p>
    <w:p w14:paraId="21DBD682">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33.1评标委员会将遵循公平、公正、科学的原则，对供应商提交的投标文件进行综合评审，评标委员会按照采购文件规定的评标细则进行评分。</w:t>
      </w:r>
    </w:p>
    <w:p w14:paraId="2E55745C">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33.2客观公正对待所有供应商，对所有投标评价均采用相同的程序和标准。 </w:t>
      </w:r>
    </w:p>
    <w:p w14:paraId="5AE6B8FC">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33.3评标委员会成员对需要共同认定的事项存在争议的，按照少数服从多数的原则作出结论。持不同意见的评标委员会成员应当在评审报告上签署不同意见及理由，否则视为同意评审报告。</w:t>
      </w:r>
    </w:p>
    <w:p w14:paraId="0F9388CA">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33.4 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502D37DA">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非单一产品采购项目，采购人应当根据采购项目技术构成、产品价格比重等合理确定核心产品，并在采购文件中载明。多家供应商提供的核心产品品牌相同的，按前款规定处理。      </w:t>
      </w:r>
    </w:p>
    <w:p w14:paraId="62ABDB83">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34. 评委纪律</w:t>
      </w:r>
    </w:p>
    <w:p w14:paraId="610DC28D">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3B293FB9">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35.评标程序</w:t>
      </w:r>
    </w:p>
    <w:p w14:paraId="4B0810AA">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35.1 在评审专家中推选评标委员会组长，采购人代表不得担任评标委员会组长。</w:t>
      </w:r>
    </w:p>
    <w:p w14:paraId="5AE93B2A">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35.2 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67188DFE">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35.3 评审人员对符合资格的供应商的投标文件的有效性、符合性、完整性和响应程度进行审查，确定是否对采购文件作出实质性响应。</w:t>
      </w:r>
    </w:p>
    <w:p w14:paraId="771FF621">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35.4 评审人</w:t>
      </w:r>
      <w:bookmarkStart w:id="25" w:name="OLE_LINK1"/>
      <w:r>
        <w:rPr>
          <w:rFonts w:hint="eastAsia" w:ascii="仿宋" w:hAnsi="仿宋" w:eastAsia="仿宋" w:cs="仿宋"/>
          <w:color w:val="auto"/>
          <w:szCs w:val="21"/>
          <w:highlight w:val="none"/>
          <w:lang w:eastAsia="zh-CN"/>
        </w:rPr>
        <w:t>员按采购文件规定的评审方法和评审标准，依法独立对供应商投标文件进行评估、比较，并</w:t>
      </w:r>
      <w:bookmarkEnd w:id="25"/>
      <w:r>
        <w:rPr>
          <w:rFonts w:hint="eastAsia" w:ascii="仿宋" w:hAnsi="仿宋" w:eastAsia="仿宋" w:cs="仿宋"/>
          <w:color w:val="auto"/>
          <w:szCs w:val="21"/>
          <w:highlight w:val="none"/>
          <w:lang w:eastAsia="zh-CN"/>
        </w:rPr>
        <w:t>给予评价或打分，不受任何单位和个人的干预。</w:t>
      </w:r>
    </w:p>
    <w:p w14:paraId="2AEB3EF5">
      <w:pPr>
        <w:widowControl/>
        <w:spacing w:line="44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综合评分法货物项目的价格分值占总分值的比重(即权值)为</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lang w:eastAsia="zh-CN"/>
        </w:rPr>
        <w:t>％，采购项目中含不同采购对象的，以占项目资金比例最高的采购对象确定其项目属性。其价格不列为评分因素，有特殊情况需要在上述规定范围外设定价格分权重的。</w:t>
      </w:r>
    </w:p>
    <w:p w14:paraId="566FBA69">
      <w:pPr>
        <w:widowControl/>
        <w:spacing w:line="440" w:lineRule="exact"/>
        <w:ind w:firstLine="48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综合评分法中的价格分统一采用低价优先法计算，即满足招标文件要求且最后报价最低的供应商的价格为招标基准价，其价格分为满分。其他供应商的价格分统一按照下列公式计算：</w:t>
      </w:r>
    </w:p>
    <w:p w14:paraId="53614BD1">
      <w:pPr>
        <w:widowControl/>
        <w:spacing w:line="440" w:lineRule="exact"/>
        <w:ind w:firstLine="48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投标报价得分=（基准价/投标报价）×价格权值×100</w:t>
      </w:r>
    </w:p>
    <w:p w14:paraId="2DC61D8A">
      <w:pPr>
        <w:widowControl/>
        <w:spacing w:line="440" w:lineRule="exact"/>
        <w:ind w:firstLine="48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项目评审过程中，不得去掉最后报价中的最高报价和最低报价。</w:t>
      </w:r>
    </w:p>
    <w:p w14:paraId="0BBA5C06">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35.5 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5C6094F0">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35.6 评</w:t>
      </w:r>
      <w:r>
        <w:rPr>
          <w:rFonts w:hint="eastAsia" w:ascii="仿宋" w:hAnsi="仿宋" w:eastAsia="仿宋" w:cs="仿宋"/>
          <w:color w:val="auto"/>
          <w:szCs w:val="21"/>
          <w:highlight w:val="none"/>
          <w:lang w:eastAsia="zh-CN"/>
        </w:rPr>
        <w:t>审人员需对采购方工作人员唱票或统计的评审结果进行确认，现场监督员应对评审结果签署监督意见。如发现分值汇总计算错误、分项评分超出评分标准范围、客观评分不一致以及存在评分畸高、畸低（其总评分偏离平均分</w:t>
      </w:r>
      <w:r>
        <w:rPr>
          <w:rFonts w:hint="eastAsia" w:ascii="仿宋" w:hAnsi="仿宋" w:eastAsia="仿宋" w:cs="仿宋"/>
          <w:color w:val="auto"/>
          <w:szCs w:val="21"/>
          <w:highlight w:val="none"/>
          <w:lang w:val="en-US" w:eastAsia="zh-CN"/>
        </w:rPr>
        <w:t>35</w:t>
      </w:r>
      <w:r>
        <w:rPr>
          <w:rFonts w:hint="eastAsia" w:ascii="仿宋" w:hAnsi="仿宋" w:eastAsia="仿宋" w:cs="仿宋"/>
          <w:color w:val="auto"/>
          <w:szCs w:val="21"/>
          <w:highlight w:val="none"/>
          <w:lang w:eastAsia="zh-CN"/>
        </w:rPr>
        <w:t>%以上的）情形的</w:t>
      </w:r>
      <w:r>
        <w:rPr>
          <w:rFonts w:hint="eastAsia" w:ascii="仿宋" w:hAnsi="仿宋" w:eastAsia="仿宋" w:cs="仿宋"/>
          <w:color w:val="auto"/>
          <w:szCs w:val="21"/>
          <w:highlight w:val="none"/>
          <w:lang w:eastAsia="zh-CN"/>
        </w:rPr>
        <w:t>，应由相关人员当场改正或作出书面说明；拒不改正又不作书面说明的，由现场监督员如实记载后存入项目档案资料。</w:t>
      </w:r>
    </w:p>
    <w:p w14:paraId="0DF9F14F">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35.7 评标委员会根据评审汇总情况和采购文件规定确定中标候选供应商排序名单。</w:t>
      </w:r>
    </w:p>
    <w:p w14:paraId="32522830">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35.8 起草评审报告，所有评审人员须在评审报告上签章确认，对自己的评审意见承担法律责任。 </w:t>
      </w:r>
    </w:p>
    <w:p w14:paraId="5A823D36">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35.9 采购组织机构对评标委员会评审专家进行评价。</w:t>
      </w:r>
    </w:p>
    <w:p w14:paraId="094D0973">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35.10 修改评审结果</w:t>
      </w:r>
    </w:p>
    <w:p w14:paraId="3E371928">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评标结果汇总完成后，除下列情形外，任何人不得修改评标结果：</w:t>
      </w:r>
    </w:p>
    <w:p w14:paraId="0DE4C53A">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（1）分值汇总计算错误的；</w:t>
      </w:r>
    </w:p>
    <w:p w14:paraId="44B05FC5">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（2）分项评分超出评分标准范围的；</w:t>
      </w:r>
    </w:p>
    <w:p w14:paraId="72DF993A">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（3）评标委员会成员对客观评审因素评分不一致的；</w:t>
      </w:r>
    </w:p>
    <w:p w14:paraId="2F5FBBAA">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（4）经评标委员会认定评分畸高、畸低的。</w:t>
      </w:r>
    </w:p>
    <w:p w14:paraId="5582A7BE">
      <w:pPr>
        <w:widowControl/>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70C3026">
      <w:pPr>
        <w:spacing w:line="440" w:lineRule="exact"/>
        <w:ind w:firstLine="241" w:firstLineChars="100"/>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36．澄清、说明或补正的形式</w:t>
      </w:r>
    </w:p>
    <w:p w14:paraId="188691FD">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36.1对于投标文件中含义不明确、同类问题表述不一致或者有明显文字和计算错误的内容，评标委员会将通过“政府采购云平台”在线询标的方式要求投标供应商在规定的时间内作出必要的澄清、说明或者补正，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仿宋" w:hAnsi="仿宋" w:eastAsia="仿宋" w:cs="仿宋"/>
          <w:b/>
          <w:bCs/>
          <w:color w:val="auto"/>
          <w:szCs w:val="21"/>
          <w:highlight w:val="none"/>
          <w:lang w:eastAsia="zh-CN"/>
        </w:rPr>
        <w:t>投标供应商澄清、说明或补正时间为</w:t>
      </w:r>
      <w:r>
        <w:rPr>
          <w:rFonts w:hint="eastAsia" w:ascii="仿宋" w:hAnsi="仿宋" w:eastAsia="仿宋" w:cs="仿宋"/>
          <w:b/>
          <w:bCs/>
          <w:color w:val="auto"/>
          <w:szCs w:val="21"/>
          <w:highlight w:val="none"/>
          <w:lang w:val="en-US" w:eastAsia="zh-CN"/>
        </w:rPr>
        <w:t>3</w:t>
      </w:r>
      <w:r>
        <w:rPr>
          <w:rFonts w:hint="eastAsia" w:ascii="仿宋" w:hAnsi="仿宋" w:eastAsia="仿宋" w:cs="仿宋"/>
          <w:b/>
          <w:bCs/>
          <w:color w:val="auto"/>
          <w:szCs w:val="21"/>
          <w:highlight w:val="none"/>
          <w:lang w:eastAsia="zh-CN"/>
        </w:rPr>
        <w:t>0分钟</w:t>
      </w:r>
      <w:r>
        <w:rPr>
          <w:rFonts w:hint="eastAsia" w:ascii="仿宋" w:hAnsi="仿宋" w:eastAsia="仿宋" w:cs="仿宋"/>
          <w:color w:val="auto"/>
          <w:szCs w:val="21"/>
          <w:highlight w:val="none"/>
          <w:lang w:eastAsia="zh-CN"/>
        </w:rPr>
        <w:t>。</w:t>
      </w:r>
    </w:p>
    <w:p w14:paraId="7644EEF8">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36.2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07A34EBB">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36.3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18B5AAA1">
      <w:pPr>
        <w:spacing w:line="440" w:lineRule="exact"/>
        <w:ind w:firstLine="241" w:firstLineChars="100"/>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37．错误修正的原则</w:t>
      </w:r>
    </w:p>
    <w:p w14:paraId="3F410666">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电子交易平台客户端里开标一览表录入的投标报价或下浮率与扫描上传的报价文件信息不一致的，以扫描上传的报价文件信息为准进行修正。</w:t>
      </w:r>
    </w:p>
    <w:p w14:paraId="06FBFE95">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投标文件报价（</w:t>
      </w:r>
      <w:r>
        <w:rPr>
          <w:rFonts w:hint="eastAsia" w:ascii="仿宋" w:hAnsi="仿宋" w:eastAsia="仿宋" w:cs="仿宋"/>
          <w:color w:val="auto"/>
          <w:szCs w:val="21"/>
          <w:highlight w:val="none"/>
          <w:lang w:val="en-US" w:eastAsia="zh-CN"/>
        </w:rPr>
        <w:t>下浮率</w:t>
      </w:r>
      <w:r>
        <w:rPr>
          <w:rFonts w:hint="eastAsia" w:ascii="仿宋" w:hAnsi="仿宋" w:eastAsia="仿宋" w:cs="仿宋"/>
          <w:color w:val="auto"/>
          <w:szCs w:val="21"/>
          <w:highlight w:val="none"/>
          <w:lang w:eastAsia="zh-CN"/>
        </w:rPr>
        <w:t>）出现前后不一致的，除采购文件另有规定外，按照下列规定修正：</w:t>
      </w:r>
    </w:p>
    <w:p w14:paraId="41AC938A">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37.1 投标函中表述的内容与</w:t>
      </w:r>
      <w:r>
        <w:rPr>
          <w:rFonts w:hint="eastAsia" w:ascii="仿宋" w:hAnsi="仿宋" w:eastAsia="仿宋" w:cs="仿宋"/>
          <w:color w:val="auto"/>
          <w:szCs w:val="21"/>
          <w:highlight w:val="none"/>
          <w:lang w:val="en-US" w:eastAsia="zh-CN"/>
        </w:rPr>
        <w:t>开标一览</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下浮率</w:t>
      </w:r>
      <w:r>
        <w:rPr>
          <w:rFonts w:hint="eastAsia" w:ascii="仿宋" w:hAnsi="仿宋" w:eastAsia="仿宋" w:cs="仿宋"/>
          <w:color w:val="auto"/>
          <w:szCs w:val="21"/>
          <w:highlight w:val="none"/>
          <w:lang w:eastAsia="zh-CN"/>
        </w:rPr>
        <w:t>）中不一致的，以</w:t>
      </w:r>
      <w:r>
        <w:rPr>
          <w:rFonts w:hint="eastAsia" w:ascii="仿宋" w:hAnsi="仿宋" w:eastAsia="仿宋" w:cs="仿宋"/>
          <w:color w:val="auto"/>
          <w:szCs w:val="21"/>
          <w:highlight w:val="none"/>
          <w:lang w:val="en-US" w:eastAsia="zh-CN"/>
        </w:rPr>
        <w:t>上传投标文件开标一览</w:t>
      </w:r>
      <w:r>
        <w:rPr>
          <w:rFonts w:hint="eastAsia" w:ascii="仿宋" w:hAnsi="仿宋" w:eastAsia="仿宋" w:cs="仿宋"/>
          <w:color w:val="auto"/>
          <w:szCs w:val="21"/>
          <w:highlight w:val="none"/>
          <w:lang w:eastAsia="zh-CN"/>
        </w:rPr>
        <w:t>表为准；</w:t>
      </w:r>
    </w:p>
    <w:p w14:paraId="108F73C1">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37.</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 xml:space="preserve"> 对不同文字文本投标文件的解释发生异议的，以中文文本为准；</w:t>
      </w:r>
    </w:p>
    <w:p w14:paraId="006F363F">
      <w:pPr>
        <w:spacing w:line="440" w:lineRule="exact"/>
        <w:ind w:firstLine="240" w:firstLineChars="100"/>
        <w:rPr>
          <w:rFonts w:ascii="仿宋" w:hAnsi="仿宋" w:eastAsia="仿宋" w:cs="仿宋"/>
          <w:b/>
          <w:bCs/>
          <w:color w:val="auto"/>
          <w:szCs w:val="21"/>
          <w:highlight w:val="none"/>
          <w:lang w:eastAsia="zh-CN"/>
        </w:rPr>
      </w:pPr>
      <w:r>
        <w:rPr>
          <w:rFonts w:hint="eastAsia" w:ascii="仿宋" w:hAnsi="仿宋" w:eastAsia="仿宋" w:cs="仿宋"/>
          <w:color w:val="auto"/>
          <w:szCs w:val="21"/>
          <w:highlight w:val="none"/>
          <w:lang w:eastAsia="zh-CN"/>
        </w:rPr>
        <w:t>按上述修正错误的原则及方法调整或修正投标文件的投标报价，供应商确认后，以调整或修正后的投标报价为准。如供应商拒绝调整或修正的，其投标文件按无效标处理。</w:t>
      </w:r>
      <w:r>
        <w:rPr>
          <w:rFonts w:hint="eastAsia" w:ascii="仿宋" w:hAnsi="仿宋" w:eastAsia="仿宋" w:cs="仿宋"/>
          <w:b/>
          <w:bCs/>
          <w:color w:val="auto"/>
          <w:szCs w:val="21"/>
          <w:highlight w:val="none"/>
          <w:lang w:eastAsia="zh-CN"/>
        </w:rPr>
        <w:t>修正应当采用电子询标的形式，并加盖公章（电子印章）。</w:t>
      </w:r>
    </w:p>
    <w:p w14:paraId="0569356D">
      <w:pPr>
        <w:spacing w:line="440" w:lineRule="exact"/>
        <w:ind w:firstLine="241" w:firstLineChars="100"/>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38．无效投标文件</w:t>
      </w:r>
    </w:p>
    <w:p w14:paraId="4901BF52">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有下列情形之一的，投标文件按无效标处理：</w:t>
      </w:r>
    </w:p>
    <w:p w14:paraId="15413D6F">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 报名的供应商与参加投标的供应商发生实质性变更的且未提供有效证明的；</w:t>
      </w:r>
    </w:p>
    <w:p w14:paraId="5400BC46">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38.2 供应商提交两份或两份以上内容不同的投标文件，未声明哪一份有效的；</w:t>
      </w:r>
    </w:p>
    <w:p w14:paraId="0364C1E7">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38.3 投标文件非供应商法定代表人签署的，未提供或提供无效的法定代表人授权书；</w:t>
      </w:r>
    </w:p>
    <w:p w14:paraId="476A7C0B">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38.4 未按招标文件规定装订；</w:t>
      </w:r>
    </w:p>
    <w:p w14:paraId="25C62F9D">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38.5 投标文件内容未按招标文件规定签章或盖章的；</w:t>
      </w:r>
    </w:p>
    <w:p w14:paraId="47B33552">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38.6 投标文件组成漏项或未按规定的格式编制或投标文件正、副本份数不足或内容不全或内容字迹模糊辨认不清的等而导致评标活动无法正常进行；</w:t>
      </w:r>
    </w:p>
    <w:p w14:paraId="375C92D9">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38.7 供应商未按招标文件变更通知更改投标文件的；</w:t>
      </w:r>
    </w:p>
    <w:p w14:paraId="2F35A91E">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38.8 《开标一览表》和《投标分项报价表》内容不完整且不接受修正意见或字迹不能辨认的或未提供；</w:t>
      </w:r>
    </w:p>
    <w:p w14:paraId="6B0066E5">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38.9 标项投标报价超过招标文件规定的预算金额或</w:t>
      </w:r>
      <w:r>
        <w:rPr>
          <w:rFonts w:hint="eastAsia" w:ascii="仿宋" w:hAnsi="仿宋" w:eastAsia="仿宋" w:cs="仿宋"/>
          <w:color w:val="auto"/>
          <w:szCs w:val="21"/>
          <w:highlight w:val="none"/>
          <w:lang w:val="en-US" w:eastAsia="zh-CN"/>
        </w:rPr>
        <w:t>投标</w:t>
      </w:r>
      <w:r>
        <w:rPr>
          <w:rFonts w:hint="eastAsia" w:ascii="仿宋" w:hAnsi="仿宋" w:eastAsia="仿宋" w:cs="仿宋"/>
          <w:color w:val="auto"/>
          <w:szCs w:val="21"/>
          <w:highlight w:val="none"/>
          <w:lang w:eastAsia="zh-CN"/>
        </w:rPr>
        <w:t>限价</w:t>
      </w:r>
    </w:p>
    <w:p w14:paraId="20042392">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38.10 因供应商原因编制错误造成经评标委员会修正后的报价达到或超过投标报价的0.5%；</w:t>
      </w:r>
    </w:p>
    <w:p w14:paraId="4FF95F91">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38.11 供应商的报价明显低于其他通过符合性审查供应商的报价，有可能影响产品质量或者不能诚信履约的，且在规定时间内不能合理说明原因并提供证明材料的；</w:t>
      </w:r>
    </w:p>
    <w:p w14:paraId="752169C7">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38.12 未实质性响应招标文件中条款要求的投标文件；</w:t>
      </w:r>
    </w:p>
    <w:p w14:paraId="4C51CFCD">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38.13 不符合招标范围、技术规格、技术标准的要求无法满足采购人使用要求；</w:t>
      </w:r>
    </w:p>
    <w:p w14:paraId="2A25AC9C">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38.14 投标文件附有采购人不能接受的条款；</w:t>
      </w:r>
    </w:p>
    <w:p w14:paraId="31068C1A">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38.15 投标文件中提供了赠品或者与本项目采购无关的其他商品、服务；</w:t>
      </w:r>
    </w:p>
    <w:p w14:paraId="43B37B3A">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38.16 投标文件中承诺的投标有效期少于招标文件中载明的投标有效期；</w:t>
      </w:r>
    </w:p>
    <w:p w14:paraId="7A519DAF">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38.17供应商串通投标，妨碍其他供应商的竞争行为，损害采购人或者其他供应商的合法权益；</w:t>
      </w:r>
    </w:p>
    <w:p w14:paraId="175ABB9F">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38.18违反国家及政府部门相关法律、法规、文件规定或经评标委员会认定的其他属于重大偏离；</w:t>
      </w:r>
    </w:p>
    <w:p w14:paraId="0E61A07C">
      <w:pPr>
        <w:spacing w:line="440" w:lineRule="exact"/>
        <w:ind w:firstLine="241" w:firstLineChars="100"/>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39．废标</w:t>
      </w:r>
    </w:p>
    <w:p w14:paraId="7674CAE5">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39.1 符合招标文件规定废标情形的；</w:t>
      </w:r>
    </w:p>
    <w:p w14:paraId="3E12C705">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39.2 出现影响采购公正的违法、违规行为的；</w:t>
      </w:r>
    </w:p>
    <w:p w14:paraId="5D858A65">
      <w:pPr>
        <w:spacing w:line="440" w:lineRule="exact"/>
        <w:ind w:firstLine="240" w:firstLineChars="1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39.3 供应商的报价均超过了采购预算（</w:t>
      </w:r>
      <w:r>
        <w:rPr>
          <w:rFonts w:hint="eastAsia" w:ascii="仿宋" w:hAnsi="仿宋" w:eastAsia="仿宋" w:cs="仿宋"/>
          <w:color w:val="auto"/>
          <w:szCs w:val="21"/>
          <w:highlight w:val="none"/>
          <w:lang w:val="en-US" w:eastAsia="zh-CN"/>
        </w:rPr>
        <w:t>本项目不设置最高最低限价</w:t>
      </w:r>
      <w:r>
        <w:rPr>
          <w:rFonts w:hint="eastAsia" w:ascii="仿宋" w:hAnsi="仿宋" w:eastAsia="仿宋" w:cs="仿宋"/>
          <w:color w:val="auto"/>
          <w:szCs w:val="21"/>
          <w:highlight w:val="none"/>
          <w:lang w:eastAsia="zh-CN"/>
        </w:rPr>
        <w:t>），采购人不能支付的;</w:t>
      </w:r>
    </w:p>
    <w:p w14:paraId="19D09A43">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39.4 因重大变故，采购任务取消的。</w:t>
      </w:r>
    </w:p>
    <w:p w14:paraId="37924444">
      <w:pPr>
        <w:spacing w:line="440" w:lineRule="exact"/>
        <w:ind w:firstLine="241" w:firstLineChars="100"/>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40．突发情况处理</w:t>
      </w:r>
    </w:p>
    <w:p w14:paraId="61A73078">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40.1 采购过程中出现以下情形，导致电子交易平台无法正常运行，或者无法保证电子交易的公平、公正和安全时，采购组织机构可中止电子交易活动：</w:t>
      </w:r>
    </w:p>
    <w:p w14:paraId="3A0A4704">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（1）电子交易平台发生故障而无法登录访问的； </w:t>
      </w:r>
    </w:p>
    <w:p w14:paraId="260A0D3B">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（2）电子交易平台应用或数据库出现错误，不能进行正常操作的；</w:t>
      </w:r>
    </w:p>
    <w:p w14:paraId="75D59E27">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（3）电子交易平台发现严重安全漏洞，有潜在泄密危险的；</w:t>
      </w:r>
    </w:p>
    <w:p w14:paraId="19D52CA7">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（4）病毒发作导致不能进行正常操作的； </w:t>
      </w:r>
    </w:p>
    <w:p w14:paraId="206F1ACE">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（5）其他无法保证电子交易的公平、公正和安全的情况。</w:t>
      </w:r>
    </w:p>
    <w:p w14:paraId="59B652CD">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3CDB758">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40.2 采购代理机构或评审小组因不可抗力（不可抗力包括但不限于自然灾害、断电、传播疫病等）原因造成电子交易活动无法正常运行的，将采取以下措施：</w:t>
      </w:r>
    </w:p>
    <w:p w14:paraId="102107B9">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（1）短时间内能消除不可抗力因素的，采购代理机构或评审小组在消除不可抗力因素后继续组织电子交易活动； </w:t>
      </w:r>
    </w:p>
    <w:p w14:paraId="1AB4C367">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（2）长时间内无法消除不可抗力因素的，采购代理机构或评审小组将中止电子交易活动。中止电子交易活动的，采购人应当重新组织政府采购活动。</w:t>
      </w:r>
    </w:p>
    <w:p w14:paraId="2CA66B07">
      <w:pPr>
        <w:snapToGrid w:val="0"/>
        <w:spacing w:line="360" w:lineRule="exact"/>
        <w:ind w:firstLine="421"/>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41. 定标</w:t>
      </w:r>
    </w:p>
    <w:p w14:paraId="09EEB411">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w:t>
      </w:r>
      <w:bookmarkStart w:id="26" w:name="_Toc469495729"/>
      <w:r>
        <w:rPr>
          <w:rFonts w:hint="eastAsia" w:ascii="仿宋" w:hAnsi="仿宋" w:eastAsia="仿宋" w:cs="仿宋"/>
          <w:color w:val="auto"/>
          <w:szCs w:val="21"/>
          <w:highlight w:val="none"/>
          <w:lang w:eastAsia="zh-CN"/>
        </w:rPr>
        <w:t>41.1采购结果确认（确定中标供应商）</w:t>
      </w:r>
    </w:p>
    <w:p w14:paraId="78FE263D">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采购结果确认（确定中标供应商）：本项目由采购人根据评标委员会提交的《评审报告》，通过“政府采购云平台”依法确认采购结果、确定中标供应商。具体流程如下：</w:t>
      </w:r>
    </w:p>
    <w:p w14:paraId="3B892F70">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（1）采购代理机构将在评审结束后2个工作日内将评审报告送采购人。</w:t>
      </w:r>
    </w:p>
    <w:p w14:paraId="73A48EB4">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（2）采购人将在收到评审报告之日起5个工作日内，在评审报告推荐的中标候选供应商名单中按顺序确定中标供应商，并将确认意见以书面形式回复采购代理机构。 </w:t>
      </w:r>
    </w:p>
    <w:p w14:paraId="42EBE984">
      <w:pPr>
        <w:spacing w:line="440" w:lineRule="exact"/>
        <w:ind w:firstLine="240" w:firstLineChars="100"/>
        <w:rPr>
          <w:rFonts w:ascii="仿宋" w:hAnsi="仿宋" w:eastAsia="仿宋" w:cs="仿宋"/>
          <w:b/>
          <w:bCs/>
          <w:color w:val="auto"/>
          <w:szCs w:val="21"/>
          <w:highlight w:val="none"/>
          <w:lang w:eastAsia="zh-CN"/>
        </w:rPr>
      </w:pPr>
      <w:r>
        <w:rPr>
          <w:rFonts w:hint="eastAsia" w:ascii="仿宋" w:hAnsi="仿宋" w:eastAsia="仿宋" w:cs="仿宋"/>
          <w:color w:val="auto"/>
          <w:szCs w:val="21"/>
          <w:highlight w:val="none"/>
          <w:lang w:eastAsia="zh-CN"/>
        </w:rPr>
        <w:t>41.2采购结果经采购人确认后2个工作日内，采购代理机构将在</w:t>
      </w:r>
      <w:r>
        <w:rPr>
          <w:rFonts w:hint="eastAsia" w:ascii="仿宋" w:hAnsi="仿宋" w:eastAsia="仿宋" w:cs="仿宋"/>
          <w:b/>
          <w:bCs/>
          <w:color w:val="auto"/>
          <w:szCs w:val="21"/>
          <w:highlight w:val="none"/>
          <w:lang w:eastAsia="zh-CN"/>
        </w:rPr>
        <w:t>新疆政府采购网（www.zjzfcg.gov.cn）上公告采购结果，中标公告期限为1个工作日。</w:t>
      </w:r>
    </w:p>
    <w:p w14:paraId="0A8D388F">
      <w:pPr>
        <w:spacing w:line="440" w:lineRule="exact"/>
        <w:ind w:firstLine="241" w:firstLineChars="100"/>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42. 中标通知书</w:t>
      </w:r>
    </w:p>
    <w:p w14:paraId="029BEF69">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42.1在中标通知书发出前，招标人将中标侯选人的情况在新疆政府采购网予以公</w:t>
      </w:r>
      <w:r>
        <w:rPr>
          <w:rFonts w:hint="eastAsia" w:ascii="仿宋" w:hAnsi="仿宋" w:eastAsia="仿宋" w:cs="仿宋"/>
          <w:color w:val="auto"/>
          <w:szCs w:val="21"/>
          <w:highlight w:val="none"/>
          <w:lang w:eastAsia="zh-CN"/>
        </w:rPr>
        <w:t>示</w:t>
      </w:r>
      <w:r>
        <w:rPr>
          <w:rFonts w:hint="eastAsia" w:ascii="仿宋" w:hAnsi="仿宋" w:eastAsia="仿宋" w:cs="仿宋"/>
          <w:color w:val="auto"/>
          <w:szCs w:val="21"/>
          <w:highlight w:val="none"/>
          <w:shd w:val="clear" w:color="auto" w:fill="auto"/>
          <w:lang w:eastAsia="zh-CN"/>
        </w:rPr>
        <w:t>，</w:t>
      </w:r>
      <w:r>
        <w:rPr>
          <w:rFonts w:hint="eastAsia" w:ascii="仿宋" w:hAnsi="仿宋" w:eastAsia="仿宋" w:cs="仿宋"/>
          <w:b/>
          <w:bCs/>
          <w:color w:val="auto"/>
          <w:szCs w:val="21"/>
          <w:highlight w:val="none"/>
          <w:shd w:val="clear" w:color="auto" w:fill="auto"/>
          <w:lang w:eastAsia="zh-CN"/>
        </w:rPr>
        <w:t>公示期为一个工作日，</w:t>
      </w:r>
      <w:r>
        <w:rPr>
          <w:rFonts w:hint="eastAsia" w:ascii="仿宋" w:hAnsi="仿宋" w:eastAsia="仿宋" w:cs="仿宋"/>
          <w:color w:val="auto"/>
          <w:szCs w:val="21"/>
          <w:highlight w:val="none"/>
          <w:lang w:eastAsia="zh-CN"/>
        </w:rPr>
        <w:t>采购组织机构向中标人发出中标通知书。</w:t>
      </w:r>
    </w:p>
    <w:p w14:paraId="1F9B02AA">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42.2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1A2BEF64">
      <w:pPr>
        <w:spacing w:beforeLines="50" w:line="440" w:lineRule="exact"/>
        <w:jc w:val="center"/>
        <w:outlineLvl w:val="2"/>
        <w:rPr>
          <w:rFonts w:ascii="仿宋" w:hAnsi="仿宋" w:eastAsia="仿宋" w:cs="仿宋"/>
          <w:b/>
          <w:bCs/>
          <w:color w:val="auto"/>
          <w:highlight w:val="none"/>
          <w:lang w:eastAsia="zh-CN"/>
        </w:rPr>
      </w:pPr>
      <w:r>
        <w:rPr>
          <w:rFonts w:hint="eastAsia" w:ascii="仿宋" w:hAnsi="仿宋" w:eastAsia="仿宋" w:cs="仿宋"/>
          <w:b/>
          <w:bCs/>
          <w:color w:val="auto"/>
          <w:sz w:val="28"/>
          <w:szCs w:val="28"/>
          <w:highlight w:val="none"/>
          <w:lang w:eastAsia="zh-CN"/>
        </w:rPr>
        <w:t>（六）合同的授予</w:t>
      </w:r>
      <w:bookmarkEnd w:id="26"/>
    </w:p>
    <w:p w14:paraId="522CA6D2">
      <w:pPr>
        <w:spacing w:line="440" w:lineRule="exact"/>
        <w:ind w:firstLine="241" w:firstLineChars="100"/>
        <w:rPr>
          <w:rFonts w:ascii="仿宋" w:hAnsi="仿宋" w:eastAsia="仿宋" w:cs="仿宋"/>
          <w:b/>
          <w:bCs/>
          <w:color w:val="auto"/>
          <w:szCs w:val="21"/>
          <w:highlight w:val="none"/>
          <w:lang w:eastAsia="zh-CN"/>
        </w:rPr>
      </w:pPr>
      <w:bookmarkStart w:id="27" w:name="_Toc73975842"/>
      <w:bookmarkStart w:id="28" w:name="_Toc469495730"/>
      <w:r>
        <w:rPr>
          <w:rFonts w:hint="eastAsia" w:ascii="仿宋" w:hAnsi="仿宋" w:eastAsia="仿宋" w:cs="仿宋"/>
          <w:b/>
          <w:bCs/>
          <w:color w:val="auto"/>
          <w:szCs w:val="21"/>
          <w:highlight w:val="none"/>
          <w:lang w:eastAsia="zh-CN"/>
        </w:rPr>
        <w:t>43．履约保证金</w:t>
      </w:r>
      <w:bookmarkEnd w:id="27"/>
    </w:p>
    <w:p w14:paraId="0547EF0B">
      <w:pPr>
        <w:spacing w:line="440" w:lineRule="exact"/>
        <w:ind w:firstLine="240" w:firstLineChars="1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43.1 </w:t>
      </w:r>
      <w:r>
        <w:rPr>
          <w:rFonts w:hint="eastAsia" w:ascii="仿宋_GB2312" w:hAnsi="仿宋_GB2312" w:eastAsia="仿宋_GB2312" w:cs="仿宋_GB2312"/>
          <w:b w:val="0"/>
          <w:bCs w:val="0"/>
          <w:color w:val="auto"/>
          <w:sz w:val="24"/>
          <w:szCs w:val="24"/>
          <w:highlight w:val="none"/>
          <w:lang w:val="zh-CN" w:eastAsia="zh-CN"/>
        </w:rPr>
        <w:t>中标人</w:t>
      </w:r>
      <w:r>
        <w:rPr>
          <w:rFonts w:hint="eastAsia" w:ascii="仿宋_GB2312" w:hAnsi="仿宋_GB2312" w:eastAsia="仿宋_GB2312" w:cs="仿宋_GB2312"/>
          <w:b w:val="0"/>
          <w:bCs w:val="0"/>
          <w:color w:val="auto"/>
          <w:sz w:val="24"/>
          <w:szCs w:val="24"/>
          <w:highlight w:val="none"/>
          <w:lang w:eastAsia="zh-CN"/>
        </w:rPr>
        <w:t>应在领取《中标通知书》后</w:t>
      </w:r>
      <w:r>
        <w:rPr>
          <w:rFonts w:hint="eastAsia" w:ascii="仿宋_GB2312" w:hAnsi="仿宋_GB2312" w:eastAsia="仿宋_GB2312" w:cs="仿宋_GB2312"/>
          <w:b w:val="0"/>
          <w:bCs w:val="0"/>
          <w:color w:val="auto"/>
          <w:sz w:val="24"/>
          <w:szCs w:val="24"/>
          <w:highlight w:val="none"/>
          <w:lang w:val="en-US" w:eastAsia="zh-CN"/>
        </w:rPr>
        <w:t>签订合同前</w:t>
      </w:r>
      <w:r>
        <w:rPr>
          <w:rFonts w:hint="eastAsia" w:ascii="仿宋_GB2312" w:hAnsi="仿宋_GB2312" w:eastAsia="仿宋_GB2312" w:cs="仿宋_GB2312"/>
          <w:b w:val="0"/>
          <w:bCs w:val="0"/>
          <w:color w:val="auto"/>
          <w:sz w:val="24"/>
          <w:szCs w:val="24"/>
          <w:highlight w:val="none"/>
          <w:lang w:eastAsia="zh-CN"/>
        </w:rPr>
        <w:t>，办理履约保证金，</w:t>
      </w:r>
      <w:r>
        <w:rPr>
          <w:rFonts w:hint="eastAsia" w:ascii="仿宋_GB2312" w:hAnsi="仿宋_GB2312" w:eastAsia="仿宋_GB2312" w:cs="仿宋_GB2312"/>
          <w:b w:val="0"/>
          <w:bCs w:val="0"/>
          <w:color w:val="auto"/>
          <w:sz w:val="24"/>
          <w:szCs w:val="24"/>
          <w:highlight w:val="none"/>
          <w:lang w:val="zh-CN" w:eastAsia="zh-CN"/>
        </w:rPr>
        <w:t>履约保证金</w:t>
      </w:r>
      <w:r>
        <w:rPr>
          <w:rFonts w:hint="eastAsia" w:ascii="仿宋_GB2312" w:hAnsi="仿宋_GB2312" w:eastAsia="仿宋_GB2312" w:cs="仿宋_GB2312"/>
          <w:b w:val="0"/>
          <w:bCs w:val="0"/>
          <w:color w:val="auto"/>
          <w:sz w:val="24"/>
          <w:szCs w:val="24"/>
          <w:highlight w:val="none"/>
          <w:lang w:val="en-US" w:eastAsia="zh-CN"/>
        </w:rPr>
        <w:t>不低于5万元，具体招标人和中标企业商讨确定后提交，未按约定提交履约保证金的</w:t>
      </w:r>
      <w:r>
        <w:rPr>
          <w:rFonts w:hint="eastAsia" w:ascii="仿宋_GB2312" w:hAnsi="仿宋_GB2312" w:eastAsia="仿宋_GB2312" w:cs="仿宋_GB2312"/>
          <w:b w:val="0"/>
          <w:bCs w:val="0"/>
          <w:color w:val="auto"/>
          <w:sz w:val="24"/>
          <w:szCs w:val="24"/>
          <w:highlight w:val="none"/>
          <w:lang w:eastAsia="zh-CN"/>
        </w:rPr>
        <w:t>招</w:t>
      </w:r>
      <w:r>
        <w:rPr>
          <w:rFonts w:hint="eastAsia" w:ascii="仿宋_GB2312" w:hAnsi="仿宋_GB2312" w:eastAsia="仿宋_GB2312" w:cs="仿宋_GB2312"/>
          <w:color w:val="auto"/>
          <w:sz w:val="24"/>
          <w:szCs w:val="24"/>
          <w:highlight w:val="none"/>
          <w:lang w:eastAsia="zh-CN"/>
        </w:rPr>
        <w:t>标人可取消</w:t>
      </w:r>
      <w:r>
        <w:rPr>
          <w:rFonts w:hint="eastAsia" w:ascii="仿宋_GB2312" w:hAnsi="仿宋_GB2312" w:eastAsia="仿宋_GB2312" w:cs="仿宋_GB2312"/>
          <w:color w:val="auto"/>
          <w:sz w:val="24"/>
          <w:szCs w:val="24"/>
          <w:highlight w:val="none"/>
          <w:lang w:val="zh-CN" w:eastAsia="zh-CN"/>
        </w:rPr>
        <w:t>成交人</w:t>
      </w:r>
      <w:r>
        <w:rPr>
          <w:rFonts w:hint="eastAsia" w:ascii="仿宋_GB2312" w:hAnsi="仿宋_GB2312" w:eastAsia="仿宋_GB2312" w:cs="仿宋_GB2312"/>
          <w:color w:val="auto"/>
          <w:sz w:val="24"/>
          <w:szCs w:val="24"/>
          <w:highlight w:val="none"/>
          <w:lang w:eastAsia="zh-CN"/>
        </w:rPr>
        <w:t>的</w:t>
      </w:r>
      <w:r>
        <w:rPr>
          <w:rFonts w:hint="eastAsia" w:ascii="仿宋_GB2312" w:hAnsi="仿宋_GB2312" w:eastAsia="仿宋_GB2312" w:cs="仿宋_GB2312"/>
          <w:color w:val="auto"/>
          <w:sz w:val="24"/>
          <w:szCs w:val="24"/>
          <w:highlight w:val="none"/>
          <w:lang w:val="zh-CN" w:eastAsia="zh-CN"/>
        </w:rPr>
        <w:t>成交</w:t>
      </w:r>
      <w:r>
        <w:rPr>
          <w:rFonts w:hint="eastAsia" w:ascii="仿宋_GB2312" w:hAnsi="仿宋_GB2312" w:eastAsia="仿宋_GB2312" w:cs="仿宋_GB2312"/>
          <w:color w:val="auto"/>
          <w:sz w:val="24"/>
          <w:szCs w:val="24"/>
          <w:highlight w:val="none"/>
          <w:lang w:eastAsia="zh-CN"/>
        </w:rPr>
        <w:t>资格，并没收其投标保证金。</w:t>
      </w:r>
    </w:p>
    <w:p w14:paraId="23F27BE7">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43.2 签订合同后，如中标供应商不按合同约定履约的，履约保证金不予退还，履约保证金不足以赔偿损失的，按实际损失赔偿。</w:t>
      </w:r>
    </w:p>
    <w:p w14:paraId="78D70C50">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43.3 如果中标供应商在建设期内没有涉及采购人的应付而未付金额或违约行为，采购人在项目验收合格后或提前终止合同后全额无息退还履约保证金。</w:t>
      </w:r>
    </w:p>
    <w:p w14:paraId="2C3DB83F">
      <w:pPr>
        <w:spacing w:line="440" w:lineRule="exact"/>
        <w:ind w:firstLine="241" w:firstLineChars="100"/>
        <w:rPr>
          <w:rFonts w:ascii="仿宋" w:hAnsi="仿宋" w:eastAsia="仿宋" w:cs="仿宋"/>
          <w:b/>
          <w:bCs/>
          <w:color w:val="auto"/>
          <w:szCs w:val="21"/>
          <w:highlight w:val="none"/>
          <w:lang w:eastAsia="zh-CN"/>
        </w:rPr>
      </w:pPr>
      <w:bookmarkStart w:id="29" w:name="_Toc73975843"/>
      <w:r>
        <w:rPr>
          <w:rFonts w:hint="eastAsia" w:ascii="仿宋" w:hAnsi="仿宋" w:eastAsia="仿宋" w:cs="仿宋"/>
          <w:b/>
          <w:bCs/>
          <w:color w:val="auto"/>
          <w:szCs w:val="21"/>
          <w:highlight w:val="none"/>
          <w:lang w:eastAsia="zh-CN"/>
        </w:rPr>
        <w:t>44．签订合同及公告</w:t>
      </w:r>
      <w:bookmarkEnd w:id="29"/>
    </w:p>
    <w:p w14:paraId="30C546D3">
      <w:pPr>
        <w:spacing w:line="440" w:lineRule="exact"/>
        <w:ind w:firstLine="240" w:firstLineChars="10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44.1采购人在中标通知书发出之日起30日内与中标供应商签订合同。</w:t>
      </w:r>
    </w:p>
    <w:p w14:paraId="276DAAE3">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44.2</w:t>
      </w:r>
      <w:r>
        <w:rPr>
          <w:rFonts w:hint="eastAsia" w:ascii="仿宋" w:hAnsi="仿宋" w:eastAsia="仿宋" w:cs="仿宋"/>
          <w:color w:val="auto"/>
          <w:szCs w:val="21"/>
          <w:highlight w:val="none"/>
          <w:lang w:eastAsia="zh-CN"/>
        </w:rPr>
        <w:t>招标人或者采购代理机构应当自发布中标公告的同时，发出中标通知书，中标通知书对招标人和中标人具有同等法律效力。中标通知书发出后，中标人无正当理由不得放弃中标。 排名第一的中标候选人放弃中标、因不可抗力不能履行合同、不按照招标文件要求提交履约保证金，或者被查实存在影响中标结果的违法行为等情形，不符合中标条件的等原因中标或者成交供应商拒绝与招标人签订合同的，招标依据《政府采购法实施条例》第四十九条，按照评审报告推荐的中标或者成交候选人名单排序，确定下一候选人为中标或者成交供应商，也可以重新开展政府采购或招标活动。</w:t>
      </w:r>
    </w:p>
    <w:p w14:paraId="0EBE2345">
      <w:pPr>
        <w:spacing w:line="440" w:lineRule="exact"/>
        <w:ind w:firstLine="240" w:firstLineChars="100"/>
        <w:rPr>
          <w:rFonts w:ascii="仿宋" w:hAnsi="仿宋" w:eastAsia="仿宋" w:cs="仿宋"/>
          <w:color w:val="auto"/>
          <w:szCs w:val="21"/>
          <w:highlight w:val="none"/>
          <w:lang w:eastAsia="zh-CN"/>
        </w:rPr>
      </w:pPr>
    </w:p>
    <w:p w14:paraId="035461B3">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44.3 采购文件、中标供应商的投标文件及评标过程中有关澄清文件等均作为签订合同的依据。所签订的合同不得对采购文件和中标供应商的投标文件的内容作实质性修改。</w:t>
      </w:r>
    </w:p>
    <w:p w14:paraId="7458F5BD">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44.4采购人应当自政府采购合同签订之日起2个工作日内，在省级以上财政部门指定的政府采购信息发布媒体及相关网站上公告。</w:t>
      </w:r>
    </w:p>
    <w:p w14:paraId="54BBF9A2">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44.5采购人应当自政府采购合同签订之日起7个工作日内，将政府采购合同副本报同级人民政府财政部门备案以及采购代理机构存档。</w:t>
      </w:r>
    </w:p>
    <w:p w14:paraId="7BB07087">
      <w:pPr>
        <w:adjustRightInd w:val="0"/>
        <w:snapToGrid w:val="0"/>
        <w:spacing w:line="440" w:lineRule="exact"/>
        <w:jc w:val="center"/>
        <w:outlineLvl w:val="2"/>
        <w:rPr>
          <w:rFonts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（七）纪律和监督</w:t>
      </w:r>
      <w:bookmarkEnd w:id="28"/>
    </w:p>
    <w:p w14:paraId="268963F2">
      <w:pPr>
        <w:spacing w:line="440" w:lineRule="exact"/>
        <w:ind w:firstLine="354" w:firstLineChars="147"/>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 xml:space="preserve">45. 对招标人的纪律要求 </w:t>
      </w:r>
    </w:p>
    <w:p w14:paraId="7047B80B">
      <w:pPr>
        <w:adjustRightInd w:val="0"/>
        <w:snapToGrid w:val="0"/>
        <w:spacing w:line="440" w:lineRule="exact"/>
        <w:ind w:firstLine="360" w:firstLineChars="150"/>
        <w:rPr>
          <w:rFonts w:ascii="仿宋" w:hAnsi="仿宋" w:eastAsia="仿宋" w:cs="仿宋"/>
          <w:color w:val="auto"/>
          <w:kern w:val="10"/>
          <w:szCs w:val="21"/>
          <w:highlight w:val="none"/>
          <w:lang w:eastAsia="zh-CN"/>
        </w:rPr>
      </w:pPr>
      <w:r>
        <w:rPr>
          <w:rFonts w:hint="eastAsia" w:ascii="仿宋" w:hAnsi="仿宋" w:eastAsia="仿宋" w:cs="仿宋"/>
          <w:color w:val="auto"/>
          <w:kern w:val="10"/>
          <w:szCs w:val="21"/>
          <w:highlight w:val="none"/>
          <w:lang w:eastAsia="zh-CN"/>
        </w:rPr>
        <w:t xml:space="preserve">45.1招标人不得泄漏招标投标活动中应当保密的情况和资料，不得与供应商串通损害国家利益，社会公共利益或者他人合法权益。 </w:t>
      </w:r>
    </w:p>
    <w:p w14:paraId="410B9169">
      <w:pPr>
        <w:spacing w:line="440" w:lineRule="exact"/>
        <w:ind w:firstLine="354" w:firstLineChars="147"/>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 xml:space="preserve">46. 对供应商的纪律要求 </w:t>
      </w:r>
    </w:p>
    <w:p w14:paraId="4DE85C6B">
      <w:pPr>
        <w:adjustRightInd w:val="0"/>
        <w:snapToGrid w:val="0"/>
        <w:spacing w:line="440" w:lineRule="exact"/>
        <w:ind w:firstLine="360" w:firstLineChars="150"/>
        <w:rPr>
          <w:rFonts w:ascii="仿宋" w:hAnsi="仿宋" w:eastAsia="仿宋" w:cs="仿宋"/>
          <w:color w:val="auto"/>
          <w:kern w:val="10"/>
          <w:szCs w:val="21"/>
          <w:highlight w:val="none"/>
          <w:lang w:eastAsia="zh-CN"/>
        </w:rPr>
      </w:pPr>
      <w:r>
        <w:rPr>
          <w:rFonts w:hint="eastAsia" w:ascii="仿宋" w:hAnsi="仿宋" w:eastAsia="仿宋" w:cs="仿宋"/>
          <w:color w:val="auto"/>
          <w:kern w:val="10"/>
          <w:szCs w:val="21"/>
          <w:highlight w:val="none"/>
          <w:lang w:eastAsia="zh-CN"/>
        </w:rPr>
        <w:t>46.1供应商不得相互串通投标或者与招标人串通投标，不得向招标人或者评标委员会成员行贿谋取中标，不得以他人名义投标或者以其他方式弄虚作假骗取中标；供应商不得以任何方式干扰、影响评标工作。</w:t>
      </w:r>
    </w:p>
    <w:p w14:paraId="02AEE8CF">
      <w:pPr>
        <w:spacing w:line="440" w:lineRule="exact"/>
        <w:ind w:firstLine="354" w:firstLineChars="147"/>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 xml:space="preserve">47. 对评标委员会成员的纪律要求 </w:t>
      </w:r>
    </w:p>
    <w:p w14:paraId="4A2B1310">
      <w:pPr>
        <w:adjustRightInd w:val="0"/>
        <w:snapToGrid w:val="0"/>
        <w:spacing w:line="440" w:lineRule="exact"/>
        <w:ind w:firstLine="360" w:firstLineChars="150"/>
        <w:rPr>
          <w:rFonts w:ascii="仿宋" w:hAnsi="仿宋" w:eastAsia="仿宋" w:cs="仿宋"/>
          <w:color w:val="auto"/>
          <w:kern w:val="10"/>
          <w:szCs w:val="21"/>
          <w:highlight w:val="none"/>
          <w:lang w:eastAsia="zh-CN"/>
        </w:rPr>
      </w:pPr>
      <w:r>
        <w:rPr>
          <w:rFonts w:hint="eastAsia" w:ascii="仿宋" w:hAnsi="仿宋" w:eastAsia="仿宋" w:cs="仿宋"/>
          <w:color w:val="auto"/>
          <w:kern w:val="10"/>
          <w:szCs w:val="21"/>
          <w:highlight w:val="none"/>
          <w:lang w:eastAsia="zh-CN"/>
        </w:rPr>
        <w:t>47.1评标委员会成员不得收受他人的财物或者其他好处，不得向他人透</w:t>
      </w:r>
      <w:r>
        <w:rPr>
          <w:rFonts w:hint="eastAsia" w:ascii="仿宋" w:hAnsi="仿宋" w:eastAsia="仿宋" w:cs="仿宋"/>
          <w:color w:val="auto"/>
          <w:kern w:val="10"/>
          <w:szCs w:val="21"/>
          <w:highlight w:val="none"/>
          <w:lang w:val="en-US" w:eastAsia="zh-CN"/>
        </w:rPr>
        <w:t>露</w:t>
      </w:r>
      <w:r>
        <w:rPr>
          <w:rFonts w:hint="eastAsia" w:ascii="仿宋" w:hAnsi="仿宋" w:eastAsia="仿宋" w:cs="仿宋"/>
          <w:color w:val="auto"/>
          <w:kern w:val="10"/>
          <w:szCs w:val="21"/>
          <w:highlight w:val="none"/>
          <w:lang w:eastAsia="zh-CN"/>
        </w:rPr>
        <w:t>对投标文件的评审和比较、中标候选人的推荐情况以及评标有关的其他情况。</w:t>
      </w:r>
    </w:p>
    <w:p w14:paraId="68A07200">
      <w:pPr>
        <w:adjustRightInd w:val="0"/>
        <w:snapToGrid w:val="0"/>
        <w:spacing w:line="440" w:lineRule="exact"/>
        <w:ind w:firstLine="360" w:firstLineChars="150"/>
        <w:rPr>
          <w:rFonts w:ascii="仿宋" w:hAnsi="仿宋" w:eastAsia="仿宋" w:cs="仿宋"/>
          <w:color w:val="auto"/>
          <w:kern w:val="10"/>
          <w:szCs w:val="21"/>
          <w:highlight w:val="none"/>
          <w:lang w:eastAsia="zh-CN"/>
        </w:rPr>
      </w:pPr>
      <w:r>
        <w:rPr>
          <w:rFonts w:hint="eastAsia" w:ascii="仿宋" w:hAnsi="仿宋" w:eastAsia="仿宋" w:cs="仿宋"/>
          <w:color w:val="auto"/>
          <w:kern w:val="10"/>
          <w:szCs w:val="21"/>
          <w:highlight w:val="none"/>
          <w:lang w:eastAsia="zh-CN"/>
        </w:rPr>
        <w:t xml:space="preserve">47.2在评标活动中，评标委员会成员不得擅离职守，影响评标程序正常进行，不得使用第三章“评标办法”没有规定的评审因素和标准进行评标。 </w:t>
      </w:r>
    </w:p>
    <w:p w14:paraId="4C828005">
      <w:pPr>
        <w:spacing w:line="440" w:lineRule="exact"/>
        <w:ind w:firstLine="354" w:firstLineChars="147"/>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 xml:space="preserve">48. 对与评标活动有关的工作人员的纪律要求 </w:t>
      </w:r>
    </w:p>
    <w:p w14:paraId="0220E098">
      <w:pPr>
        <w:adjustRightInd w:val="0"/>
        <w:snapToGrid w:val="0"/>
        <w:spacing w:line="440" w:lineRule="exact"/>
        <w:ind w:firstLine="360" w:firstLineChars="150"/>
        <w:rPr>
          <w:rFonts w:ascii="仿宋" w:hAnsi="仿宋" w:eastAsia="仿宋" w:cs="仿宋"/>
          <w:color w:val="auto"/>
          <w:kern w:val="10"/>
          <w:szCs w:val="21"/>
          <w:highlight w:val="none"/>
          <w:lang w:eastAsia="zh-CN"/>
        </w:rPr>
      </w:pPr>
      <w:r>
        <w:rPr>
          <w:rFonts w:hint="eastAsia" w:ascii="仿宋" w:hAnsi="仿宋" w:eastAsia="仿宋" w:cs="仿宋"/>
          <w:color w:val="auto"/>
          <w:kern w:val="10"/>
          <w:szCs w:val="21"/>
          <w:highlight w:val="none"/>
          <w:lang w:eastAsia="zh-CN"/>
        </w:rPr>
        <w:t>48.1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2FED727A">
      <w:pPr>
        <w:spacing w:beforeLines="50" w:afterLines="50" w:line="320" w:lineRule="exact"/>
        <w:jc w:val="center"/>
        <w:rPr>
          <w:rFonts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（八）质疑与投诉</w:t>
      </w:r>
    </w:p>
    <w:p w14:paraId="63959A44">
      <w:pPr>
        <w:spacing w:line="360" w:lineRule="exact"/>
        <w:ind w:firstLine="241" w:firstLineChars="100"/>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49．质疑和投诉</w:t>
      </w:r>
    </w:p>
    <w:p w14:paraId="7E1599C2">
      <w:pPr>
        <w:spacing w:line="36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23EA7553">
      <w:pPr>
        <w:spacing w:line="36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（一）对可以质疑的采购文件提出质疑的，为收到采购文件之日或者采购文件公告期限届满之日；</w:t>
      </w:r>
    </w:p>
    <w:p w14:paraId="4456B597">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（二）对采购过程提出质疑的，为各采购程序环节结束之日；</w:t>
      </w:r>
    </w:p>
    <w:p w14:paraId="4289C3E7">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（三）对中标或者成交结果提出质疑的，为中标或者成交结果公告期限届满之日。</w:t>
      </w:r>
    </w:p>
    <w:p w14:paraId="1AAB2D2D">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49.2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5BD72AA9">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供应商为自然人的，应当由本人签章；供应商为法人或者其他组织的，应当由法定代表人、主要负责人，或者其授权代表签章或者盖章，并加盖公章。</w:t>
      </w:r>
    </w:p>
    <w:p w14:paraId="59E39B03">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49.3供应商质疑、投诉应当有明确的请求和必要的证明材料。供应商投诉的事项不得超出已质疑事项的范围。采购人及采购代理机构按《政府采购质疑和投诉办法》进行处理供应商质疑事项。</w:t>
      </w:r>
    </w:p>
    <w:p w14:paraId="10B74871">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49.4质疑供应商对采购人、采购代理机构的质疑答复不满意，或者采购人、采购代理机构未在规定期限内作出答复的，供应商可以在答复期满后15个工作日内向同级财政部门提起投诉。</w:t>
      </w:r>
    </w:p>
    <w:p w14:paraId="4CE9252B">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49.5供应商有下列情形之一的，采购代理机构将报告</w:t>
      </w:r>
      <w:r>
        <w:rPr>
          <w:rFonts w:hint="eastAsia" w:ascii="仿宋" w:hAnsi="仿宋" w:eastAsia="仿宋" w:cs="仿宋"/>
          <w:color w:val="auto"/>
          <w:szCs w:val="21"/>
          <w:highlight w:val="none"/>
          <w:lang w:val="en-US" w:eastAsia="zh-CN"/>
        </w:rPr>
        <w:t>同级</w:t>
      </w:r>
      <w:r>
        <w:rPr>
          <w:rFonts w:hint="eastAsia" w:ascii="仿宋" w:hAnsi="仿宋" w:eastAsia="仿宋" w:cs="仿宋"/>
          <w:color w:val="auto"/>
          <w:szCs w:val="21"/>
          <w:highlight w:val="none"/>
          <w:lang w:eastAsia="zh-CN"/>
        </w:rPr>
        <w:t>财政局，将其列入不良行为记录名单：</w:t>
      </w:r>
    </w:p>
    <w:p w14:paraId="015D1230">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（一）一年内三次以上质疑均查无实据的；</w:t>
      </w:r>
    </w:p>
    <w:p w14:paraId="4731513E">
      <w:pPr>
        <w:spacing w:line="440" w:lineRule="exact"/>
        <w:ind w:firstLine="24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（二）捏造事实或者提供虚假质疑材料的。</w:t>
      </w:r>
    </w:p>
    <w:p w14:paraId="4DA7E2B7">
      <w:pPr>
        <w:spacing w:line="440" w:lineRule="exact"/>
        <w:ind w:firstLine="240" w:firstLineChars="1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（三）以非法手段取得证明材料。证据来源的合法性存在明显疑问，质疑人无法证明其取得方式合法的，视为以非法手段取得证明材料。</w:t>
      </w:r>
    </w:p>
    <w:p w14:paraId="47F1B7A4">
      <w:pPr>
        <w:spacing w:line="440" w:lineRule="exact"/>
        <w:ind w:firstLine="240" w:firstLineChars="100"/>
        <w:rPr>
          <w:rFonts w:hint="eastAsia" w:ascii="仿宋" w:hAnsi="仿宋" w:eastAsia="仿宋" w:cs="仿宋"/>
          <w:color w:val="auto"/>
          <w:szCs w:val="21"/>
          <w:highlight w:val="none"/>
          <w:lang w:eastAsia="zh-CN"/>
        </w:rPr>
      </w:pPr>
    </w:p>
    <w:p w14:paraId="26E7939A">
      <w:pPr>
        <w:spacing w:line="440" w:lineRule="exact"/>
        <w:ind w:firstLine="240" w:firstLineChars="100"/>
        <w:rPr>
          <w:rFonts w:hint="eastAsia" w:ascii="仿宋" w:hAnsi="仿宋" w:eastAsia="仿宋" w:cs="仿宋"/>
          <w:color w:val="auto"/>
          <w:szCs w:val="21"/>
          <w:highlight w:val="none"/>
          <w:lang w:eastAsia="zh-CN"/>
        </w:rPr>
      </w:pPr>
    </w:p>
    <w:p w14:paraId="58100E88">
      <w:pPr>
        <w:spacing w:line="440" w:lineRule="exact"/>
        <w:ind w:firstLine="240" w:firstLineChars="100"/>
        <w:rPr>
          <w:rFonts w:hint="eastAsia" w:ascii="仿宋" w:hAnsi="仿宋" w:eastAsia="仿宋" w:cs="仿宋"/>
          <w:color w:val="auto"/>
          <w:szCs w:val="21"/>
          <w:highlight w:val="none"/>
          <w:lang w:eastAsia="zh-CN"/>
        </w:rPr>
      </w:pPr>
    </w:p>
    <w:p w14:paraId="316F0488">
      <w:pPr>
        <w:spacing w:line="440" w:lineRule="exact"/>
        <w:ind w:firstLine="240" w:firstLineChars="100"/>
        <w:rPr>
          <w:rFonts w:hint="eastAsia" w:ascii="仿宋" w:hAnsi="仿宋" w:eastAsia="仿宋" w:cs="仿宋"/>
          <w:color w:val="auto"/>
          <w:szCs w:val="21"/>
          <w:highlight w:val="none"/>
          <w:lang w:eastAsia="zh-CN"/>
        </w:rPr>
      </w:pPr>
    </w:p>
    <w:p w14:paraId="2B688326">
      <w:pPr>
        <w:spacing w:line="440" w:lineRule="exact"/>
        <w:ind w:firstLine="240" w:firstLineChars="100"/>
        <w:rPr>
          <w:rFonts w:hint="eastAsia" w:ascii="仿宋" w:hAnsi="仿宋" w:eastAsia="仿宋" w:cs="仿宋"/>
          <w:color w:val="auto"/>
          <w:szCs w:val="21"/>
          <w:highlight w:val="none"/>
          <w:lang w:eastAsia="zh-CN"/>
        </w:rPr>
      </w:pPr>
    </w:p>
    <w:p w14:paraId="46870D8D">
      <w:pPr>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w:t>
      </w:r>
    </w:p>
    <w:p w14:paraId="6FFDFDDA">
      <w:pPr>
        <w:jc w:val="center"/>
        <w:rPr>
          <w:rFonts w:ascii="仿宋" w:hAnsi="仿宋" w:eastAsia="仿宋" w:cs="仿宋"/>
          <w:b/>
          <w:bCs/>
          <w:color w:val="auto"/>
          <w:sz w:val="28"/>
          <w:szCs w:val="28"/>
          <w:highlight w:val="none"/>
          <w:lang w:eastAsia="zh-CN"/>
        </w:rPr>
      </w:pPr>
      <w:r>
        <w:rPr>
          <w:rFonts w:hint="eastAsia" w:ascii="仿宋" w:hAnsi="仿宋" w:eastAsia="仿宋" w:cs="仿宋"/>
          <w:b/>
          <w:bCs/>
          <w:color w:val="auto"/>
          <w:sz w:val="32"/>
          <w:szCs w:val="32"/>
          <w:highlight w:val="none"/>
          <w:lang w:eastAsia="zh-CN"/>
        </w:rPr>
        <w:t>政府采购投诉书（范本）、质疑函范本</w:t>
      </w:r>
    </w:p>
    <w:p w14:paraId="0E0AEC16">
      <w:pPr>
        <w:spacing w:line="400" w:lineRule="exact"/>
        <w:jc w:val="center"/>
        <w:rPr>
          <w:rFonts w:ascii="仿宋" w:hAnsi="仿宋" w:eastAsia="仿宋" w:cs="仿宋"/>
          <w:color w:val="auto"/>
          <w:highlight w:val="none"/>
          <w:u w:val="single"/>
          <w:lang w:eastAsia="zh-CN"/>
        </w:rPr>
      </w:pPr>
      <w:r>
        <w:rPr>
          <w:rFonts w:hint="eastAsia" w:ascii="仿宋" w:hAnsi="仿宋" w:eastAsia="仿宋" w:cs="仿宋"/>
          <w:b/>
          <w:bCs/>
          <w:color w:val="auto"/>
          <w:sz w:val="28"/>
          <w:szCs w:val="28"/>
          <w:highlight w:val="none"/>
          <w:lang w:eastAsia="zh-CN"/>
        </w:rPr>
        <w:t>政府采购投诉书（范本）</w:t>
      </w:r>
    </w:p>
    <w:p w14:paraId="1BF70763">
      <w:pPr>
        <w:spacing w:line="400" w:lineRule="exact"/>
        <w:rPr>
          <w:rFonts w:ascii="仿宋" w:hAnsi="仿宋" w:eastAsia="仿宋" w:cs="仿宋"/>
          <w:color w:val="auto"/>
          <w:highlight w:val="none"/>
          <w:lang w:eastAsia="zh-CN"/>
        </w:rPr>
      </w:pPr>
    </w:p>
    <w:p w14:paraId="3FAB8F9D">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EEC63EC">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1EB7B79">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委托代理人姓名：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职务：</w:t>
      </w:r>
      <w:r>
        <w:rPr>
          <w:rFonts w:hint="eastAsia" w:ascii="仿宋" w:hAnsi="仿宋" w:eastAsia="仿宋" w:cs="仿宋"/>
          <w:color w:val="auto"/>
          <w:highlight w:val="none"/>
          <w:u w:val="single"/>
          <w:lang w:eastAsia="zh-CN"/>
        </w:rPr>
        <w:t xml:space="preserve">               </w:t>
      </w:r>
    </w:p>
    <w:p w14:paraId="3D1D5930">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住址：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E397E51">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被投诉人：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1D23737">
      <w:pPr>
        <w:spacing w:line="400" w:lineRule="exact"/>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电话：</w:t>
      </w:r>
      <w:r>
        <w:rPr>
          <w:rFonts w:hint="eastAsia" w:ascii="仿宋" w:hAnsi="仿宋" w:eastAsia="仿宋" w:cs="仿宋"/>
          <w:color w:val="auto"/>
          <w:highlight w:val="none"/>
          <w:u w:val="single"/>
          <w:lang w:eastAsia="zh-CN"/>
        </w:rPr>
        <w:t xml:space="preserve">               </w:t>
      </w:r>
    </w:p>
    <w:p w14:paraId="1EA33AB7">
      <w:pPr>
        <w:spacing w:line="400" w:lineRule="exact"/>
        <w:ind w:firstLine="480" w:firstLineChars="200"/>
        <w:rPr>
          <w:rFonts w:ascii="仿宋" w:hAnsi="仿宋" w:eastAsia="仿宋" w:cs="仿宋"/>
          <w:color w:val="auto"/>
          <w:highlight w:val="none"/>
          <w:lang w:eastAsia="zh-CN"/>
        </w:rPr>
      </w:pPr>
    </w:p>
    <w:p w14:paraId="3A70E266">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我公司参加了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年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日被投诉人组织的</w:t>
      </w:r>
      <w:r>
        <w:rPr>
          <w:rFonts w:hint="eastAsia" w:ascii="仿宋" w:hAnsi="仿宋" w:eastAsia="仿宋" w:cs="仿宋"/>
          <w:color w:val="auto"/>
          <w:highlight w:val="none"/>
          <w:u w:val="single"/>
          <w:lang w:eastAsia="zh-CN"/>
        </w:rPr>
        <w:t>（采购人）（项目名称）（项目编号）</w:t>
      </w:r>
      <w:r>
        <w:rPr>
          <w:rFonts w:hint="eastAsia" w:ascii="仿宋" w:hAnsi="仿宋" w:eastAsia="仿宋" w:cs="仿宋"/>
          <w:color w:val="auto"/>
          <w:highlight w:val="none"/>
          <w:lang w:eastAsia="zh-CN"/>
        </w:rPr>
        <w:t>的采购活动，我公司认为该项目的</w:t>
      </w:r>
      <w:r>
        <w:rPr>
          <w:rFonts w:hint="eastAsia" w:ascii="仿宋" w:hAnsi="仿宋" w:eastAsia="仿宋" w:cs="仿宋"/>
          <w:color w:val="auto"/>
          <w:highlight w:val="none"/>
          <w:u w:val="single"/>
          <w:lang w:eastAsia="zh-CN"/>
        </w:rPr>
        <w:t>（采购文件/采购过程/中标（中标）结果）</w:t>
      </w:r>
      <w:r>
        <w:rPr>
          <w:rFonts w:hint="eastAsia" w:ascii="仿宋" w:hAnsi="仿宋" w:eastAsia="仿宋" w:cs="仿宋"/>
          <w:color w:val="auto"/>
          <w:highlight w:val="none"/>
          <w:lang w:eastAsia="zh-CN"/>
        </w:rPr>
        <w:t>损害了我公司权益，对此，我公司于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日向</w:t>
      </w:r>
      <w:r>
        <w:rPr>
          <w:rFonts w:hint="eastAsia" w:ascii="仿宋" w:hAnsi="仿宋" w:eastAsia="仿宋" w:cs="仿宋"/>
          <w:color w:val="auto"/>
          <w:highlight w:val="none"/>
          <w:u w:val="single"/>
          <w:lang w:eastAsia="zh-CN"/>
        </w:rPr>
        <w:t>（采购人或者政府采购代理机构）</w:t>
      </w:r>
      <w:r>
        <w:rPr>
          <w:rFonts w:hint="eastAsia" w:ascii="仿宋" w:hAnsi="仿宋" w:eastAsia="仿宋" w:cs="仿宋"/>
          <w:color w:val="auto"/>
          <w:highlight w:val="none"/>
          <w:lang w:eastAsia="zh-CN"/>
        </w:rPr>
        <w:t>提出了质疑，</w:t>
      </w:r>
      <w:r>
        <w:rPr>
          <w:rFonts w:hint="eastAsia" w:ascii="仿宋" w:hAnsi="仿宋" w:eastAsia="仿宋" w:cs="仿宋"/>
          <w:color w:val="auto"/>
          <w:highlight w:val="none"/>
          <w:u w:val="single"/>
          <w:lang w:eastAsia="zh-CN"/>
        </w:rPr>
        <w:t>（其于    年  月  日作出书面答复，因对其作出的答复不满意）/（被质疑人未在法定期内予以答复，按照政府采购有关规定）</w:t>
      </w:r>
      <w:r>
        <w:rPr>
          <w:rFonts w:hint="eastAsia" w:ascii="仿宋" w:hAnsi="仿宋" w:eastAsia="仿宋" w:cs="仿宋"/>
          <w:color w:val="auto"/>
          <w:highlight w:val="none"/>
          <w:lang w:eastAsia="zh-CN"/>
        </w:rPr>
        <w:t>，现向贵机关提起投诉：</w:t>
      </w:r>
    </w:p>
    <w:p w14:paraId="73C758AF">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u w:val="single"/>
          <w:lang w:eastAsia="zh-CN"/>
        </w:rPr>
        <w:t>具体的投诉事项及事实依据；</w:t>
      </w:r>
    </w:p>
    <w:p w14:paraId="62CCA20B">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u w:val="single"/>
          <w:lang w:eastAsia="zh-CN"/>
        </w:rPr>
        <w:t>质疑和质疑答复情况简要描述；</w:t>
      </w:r>
    </w:p>
    <w:p w14:paraId="062A34ED">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u w:val="single"/>
          <w:lang w:eastAsia="zh-CN"/>
        </w:rPr>
        <w:t>投诉请求。</w:t>
      </w:r>
    </w:p>
    <w:p w14:paraId="30C31B5C">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附件：</w:t>
      </w:r>
    </w:p>
    <w:p w14:paraId="27C63A9E">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1.质疑书和质疑答复书；</w:t>
      </w:r>
    </w:p>
    <w:p w14:paraId="1ECE849D">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2.证据材料（需注明证据来源），证人的姓名、住址和联系方式等；</w:t>
      </w:r>
    </w:p>
    <w:p w14:paraId="2D3D40B7">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3.营业执照；</w:t>
      </w:r>
    </w:p>
    <w:p w14:paraId="007FA865">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4.法定代表人身份证明函</w:t>
      </w:r>
    </w:p>
    <w:p w14:paraId="7866AD41">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5.法定代表人授权委托书（包含法定代表人和委托代理人的身份证复印件）；</w:t>
      </w:r>
    </w:p>
    <w:p w14:paraId="3619CE4B">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6.政府采购监管部门认为应当提供的其它材料。</w:t>
      </w:r>
    </w:p>
    <w:p w14:paraId="025BC8C2">
      <w:pPr>
        <w:spacing w:line="400" w:lineRule="exact"/>
        <w:jc w:val="center"/>
        <w:rPr>
          <w:rFonts w:ascii="仿宋" w:hAnsi="仿宋" w:eastAsia="仿宋" w:cs="仿宋"/>
          <w:color w:val="auto"/>
          <w:highlight w:val="none"/>
          <w:lang w:eastAsia="zh-CN"/>
        </w:rPr>
      </w:pPr>
    </w:p>
    <w:p w14:paraId="0EBF0AC3">
      <w:pPr>
        <w:spacing w:line="40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投诉供应商：（盖章）</w:t>
      </w:r>
    </w:p>
    <w:p w14:paraId="572F698F">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法定代表人（或主要负责人）：（签章）</w:t>
      </w:r>
    </w:p>
    <w:p w14:paraId="7D38F24D">
      <w:pPr>
        <w:spacing w:line="400" w:lineRule="exact"/>
        <w:ind w:firstLine="3840" w:firstLineChars="16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58239AAC">
      <w:pPr>
        <w:spacing w:line="400" w:lineRule="exact"/>
        <w:rPr>
          <w:rFonts w:ascii="仿宋" w:hAnsi="仿宋" w:eastAsia="仿宋" w:cs="仿宋"/>
          <w:color w:val="auto"/>
          <w:highlight w:val="none"/>
          <w:lang w:eastAsia="zh-CN"/>
        </w:rPr>
      </w:pPr>
    </w:p>
    <w:p w14:paraId="6EC206B0">
      <w:pPr>
        <w:spacing w:line="400" w:lineRule="exact"/>
        <w:jc w:val="righ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本投诉书正本叁份，副本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份并附电子文档。</w:t>
      </w:r>
    </w:p>
    <w:p w14:paraId="588B902B">
      <w:pPr>
        <w:ind w:left="5783" w:hanging="5783" w:hangingChars="1800"/>
        <w:jc w:val="center"/>
        <w:outlineLvl w:val="0"/>
        <w:rPr>
          <w:rFonts w:hint="eastAsia" w:ascii="仿宋" w:hAnsi="仿宋" w:eastAsia="仿宋" w:cs="仿宋"/>
          <w:b/>
          <w:bCs/>
          <w:color w:val="auto"/>
          <w:sz w:val="32"/>
          <w:szCs w:val="32"/>
          <w:highlight w:val="none"/>
          <w:lang w:eastAsia="zh-CN"/>
        </w:rPr>
      </w:pPr>
      <w:bookmarkStart w:id="30" w:name="_Toc17515"/>
    </w:p>
    <w:p w14:paraId="06459671">
      <w:pPr>
        <w:ind w:left="5783" w:hanging="5783" w:hangingChars="1800"/>
        <w:jc w:val="center"/>
        <w:outlineLvl w:val="0"/>
        <w:rPr>
          <w:rFonts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lang w:eastAsia="zh-CN"/>
        </w:rPr>
        <w:t>投诉相关说明</w:t>
      </w:r>
      <w:bookmarkEnd w:id="30"/>
    </w:p>
    <w:p w14:paraId="35673BA3">
      <w:pPr>
        <w:widowControl/>
        <w:spacing w:line="400" w:lineRule="exact"/>
        <w:ind w:firstLine="420"/>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投诉人应当满足《政府采购法》、《政府采购法实施条例》和《政府采购供应商投诉处理办法》的相关规定。</w:t>
      </w:r>
    </w:p>
    <w:p w14:paraId="1F228552">
      <w:pPr>
        <w:numPr>
          <w:ilvl w:val="0"/>
          <w:numId w:val="5"/>
        </w:numPr>
        <w:spacing w:line="400" w:lineRule="exact"/>
        <w:ind w:left="4585" w:leftChars="304" w:hanging="3855" w:hangingChars="1600"/>
        <w:outlineLvl w:val="0"/>
        <w:rPr>
          <w:rFonts w:ascii="仿宋" w:hAnsi="仿宋" w:eastAsia="仿宋" w:cs="仿宋"/>
          <w:b/>
          <w:bCs/>
          <w:color w:val="auto"/>
          <w:sz w:val="24"/>
          <w:szCs w:val="24"/>
          <w:highlight w:val="none"/>
        </w:rPr>
      </w:pPr>
      <w:bookmarkStart w:id="31" w:name="_Toc11499"/>
      <w:r>
        <w:rPr>
          <w:rFonts w:hint="eastAsia" w:ascii="仿宋" w:hAnsi="仿宋" w:eastAsia="仿宋" w:cs="仿宋"/>
          <w:b/>
          <w:bCs/>
          <w:color w:val="auto"/>
          <w:sz w:val="24"/>
          <w:szCs w:val="24"/>
          <w:highlight w:val="none"/>
        </w:rPr>
        <w:t>质疑前置及时间要求</w:t>
      </w:r>
      <w:bookmarkEnd w:id="31"/>
    </w:p>
    <w:p w14:paraId="0FA19EB2">
      <w:pPr>
        <w:widowControl/>
        <w:spacing w:line="400" w:lineRule="exact"/>
        <w:ind w:firstLine="42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lang w:eastAsia="zh-CN"/>
        </w:rPr>
        <w:t>《中华人民共和国政府采购法》</w:t>
      </w:r>
      <w:r>
        <w:rPr>
          <w:rFonts w:hint="eastAsia" w:ascii="仿宋" w:hAnsi="仿宋" w:eastAsia="仿宋" w:cs="仿宋"/>
          <w:color w:val="auto"/>
          <w:highlight w:val="none"/>
          <w:shd w:val="clear" w:color="auto" w:fill="FFFFFF"/>
          <w:lang w:eastAsia="zh-CN"/>
        </w:rPr>
        <w:t>第五十一条：供应商对政府采购活动事项有疑问的，可以向采购人提出询问，采购人应当及时作出答复，但答复的内容不得涉及商业秘密。</w:t>
      </w:r>
    </w:p>
    <w:p w14:paraId="23C1B987">
      <w:pPr>
        <w:widowControl/>
        <w:spacing w:line="400" w:lineRule="exact"/>
        <w:ind w:firstLine="420"/>
        <w:rPr>
          <w:rFonts w:ascii="仿宋" w:hAnsi="仿宋" w:eastAsia="仿宋" w:cs="仿宋"/>
          <w:color w:val="auto"/>
          <w:highlight w:val="none"/>
          <w:lang w:eastAsia="zh-CN"/>
        </w:rPr>
      </w:pPr>
      <w:r>
        <w:rPr>
          <w:rFonts w:hint="eastAsia" w:ascii="仿宋" w:hAnsi="仿宋" w:eastAsia="仿宋" w:cs="仿宋"/>
          <w:color w:val="auto"/>
          <w:highlight w:val="none"/>
          <w:shd w:val="clear" w:color="auto" w:fill="FFFFFF"/>
          <w:lang w:eastAsia="zh-CN"/>
        </w:rPr>
        <w:t xml:space="preserve"> 第五十二条：供应商认为采购文件、采购过程和中标、中标结果使自己的权益受到损害的，可以在知道或者应知其权益受到损害之日起七个工作日内，以书面形式向采购人提出质疑。</w:t>
      </w:r>
    </w:p>
    <w:p w14:paraId="3DFD01D0">
      <w:pPr>
        <w:widowControl/>
        <w:spacing w:line="400" w:lineRule="exact"/>
        <w:ind w:firstLine="42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 第五十三条：采购人应当在收到供应商的书面质疑后七个工作日内作出答复，并以书面形式通知质疑供应商和其他有关供应商，但答复的内容不得涉及商业秘密。</w:t>
      </w:r>
    </w:p>
    <w:p w14:paraId="5E2FBD7C">
      <w:pPr>
        <w:widowControl/>
        <w:spacing w:line="400" w:lineRule="exact"/>
        <w:ind w:firstLine="42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42C6785A">
      <w:pPr>
        <w:widowControl/>
        <w:spacing w:line="400" w:lineRule="exact"/>
        <w:ind w:firstLine="420"/>
        <w:rPr>
          <w:rFonts w:ascii="仿宋" w:hAnsi="仿宋" w:eastAsia="仿宋" w:cs="仿宋"/>
          <w:color w:val="auto"/>
          <w:highlight w:val="none"/>
          <w:lang w:eastAsia="zh-CN"/>
        </w:rPr>
      </w:pPr>
      <w:r>
        <w:rPr>
          <w:rFonts w:hint="eastAsia" w:ascii="仿宋" w:hAnsi="仿宋" w:eastAsia="仿宋" w:cs="仿宋"/>
          <w:color w:val="auto"/>
          <w:highlight w:val="none"/>
          <w:shd w:val="clear" w:color="auto" w:fill="FFFFFF"/>
          <w:lang w:eastAsia="zh-CN"/>
        </w:rPr>
        <w:t xml:space="preserve">  《政府采购实施条例》第五十五条：供应商质疑、投诉应当有明确的请求和必要的证明材料。供应商投诉的事项不得超出质疑事项的范围。</w:t>
      </w:r>
    </w:p>
    <w:p w14:paraId="76B70CD9">
      <w:pPr>
        <w:spacing w:line="400" w:lineRule="exact"/>
        <w:ind w:left="3780" w:hanging="3780" w:hangingChars="1800"/>
        <w:outlineLvl w:val="0"/>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 </w:t>
      </w:r>
      <w:r>
        <w:rPr>
          <w:rFonts w:hint="eastAsia" w:ascii="仿宋" w:hAnsi="仿宋" w:eastAsia="仿宋" w:cs="仿宋"/>
          <w:b/>
          <w:bCs/>
          <w:color w:val="auto"/>
          <w:sz w:val="21"/>
          <w:szCs w:val="21"/>
          <w:highlight w:val="none"/>
          <w:lang w:eastAsia="zh-CN"/>
        </w:rPr>
        <w:t xml:space="preserve">   </w:t>
      </w:r>
      <w:bookmarkStart w:id="32" w:name="_Toc13508"/>
      <w:r>
        <w:rPr>
          <w:rFonts w:hint="eastAsia" w:ascii="仿宋" w:hAnsi="仿宋" w:eastAsia="仿宋" w:cs="仿宋"/>
          <w:b/>
          <w:bCs/>
          <w:color w:val="auto"/>
          <w:sz w:val="21"/>
          <w:szCs w:val="21"/>
          <w:highlight w:val="none"/>
          <w:lang w:eastAsia="zh-CN"/>
        </w:rPr>
        <w:t>二、书面方式</w:t>
      </w:r>
      <w:bookmarkEnd w:id="32"/>
    </w:p>
    <w:p w14:paraId="0BC90A5E">
      <w:pPr>
        <w:spacing w:line="400" w:lineRule="exact"/>
        <w:ind w:left="3780" w:hanging="3780" w:hangingChars="1800"/>
        <w:rPr>
          <w:rFonts w:ascii="仿宋" w:hAnsi="仿宋" w:eastAsia="仿宋" w:cs="仿宋"/>
          <w:color w:val="auto"/>
          <w:highlight w:val="none"/>
          <w:lang w:eastAsia="zh-CN"/>
        </w:rPr>
      </w:pPr>
      <w:r>
        <w:rPr>
          <w:rFonts w:hint="eastAsia" w:ascii="仿宋" w:hAnsi="仿宋" w:eastAsia="仿宋" w:cs="仿宋"/>
          <w:color w:val="auto"/>
          <w:sz w:val="21"/>
          <w:szCs w:val="21"/>
          <w:highlight w:val="none"/>
          <w:lang w:eastAsia="zh-CN"/>
        </w:rPr>
        <w:t xml:space="preserve">    《</w:t>
      </w:r>
      <w:r>
        <w:rPr>
          <w:rFonts w:hint="eastAsia" w:ascii="仿宋" w:hAnsi="仿宋" w:eastAsia="仿宋" w:cs="仿宋"/>
          <w:color w:val="auto"/>
          <w:highlight w:val="none"/>
          <w:lang w:eastAsia="zh-CN"/>
        </w:rPr>
        <w:t>政府采购供应商投诉处理办法》第八条：投诉人投诉</w:t>
      </w:r>
    </w:p>
    <w:p w14:paraId="02D99909">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时，应当提交投诉书，并按照被投诉人以及与投诉事项有关的供应商数量提供投诉书的副本。</w:t>
      </w:r>
    </w:p>
    <w:p w14:paraId="225EA1EE">
      <w:pPr>
        <w:spacing w:line="400" w:lineRule="exact"/>
        <w:ind w:left="4320" w:hanging="4320" w:hangingChars="18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投诉书应当包括下列主要内容：</w:t>
      </w:r>
    </w:p>
    <w:p w14:paraId="7243D31D">
      <w:pPr>
        <w:numPr>
          <w:ilvl w:val="0"/>
          <w:numId w:val="6"/>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投诉人和被投诉人的名称、地址、电话等；</w:t>
      </w:r>
    </w:p>
    <w:p w14:paraId="6DA75954">
      <w:pPr>
        <w:numPr>
          <w:ilvl w:val="0"/>
          <w:numId w:val="6"/>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具体的投诉事项及事实依据；</w:t>
      </w:r>
    </w:p>
    <w:p w14:paraId="5B24FF54">
      <w:pPr>
        <w:numPr>
          <w:ilvl w:val="0"/>
          <w:numId w:val="6"/>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质疑和质疑答复情况及相关证明材料；</w:t>
      </w:r>
    </w:p>
    <w:p w14:paraId="260170E5">
      <w:pPr>
        <w:numPr>
          <w:ilvl w:val="0"/>
          <w:numId w:val="6"/>
        </w:numPr>
        <w:spacing w:line="400" w:lineRule="exact"/>
        <w:rPr>
          <w:rFonts w:ascii="仿宋" w:hAnsi="仿宋" w:eastAsia="仿宋" w:cs="仿宋"/>
          <w:color w:val="auto"/>
          <w:highlight w:val="none"/>
        </w:rPr>
      </w:pPr>
      <w:r>
        <w:rPr>
          <w:rFonts w:hint="eastAsia" w:ascii="仿宋" w:hAnsi="仿宋" w:eastAsia="仿宋" w:cs="仿宋"/>
          <w:color w:val="auto"/>
          <w:highlight w:val="none"/>
        </w:rPr>
        <w:t>提起投诉的日期。</w:t>
      </w:r>
    </w:p>
    <w:p w14:paraId="62035F01">
      <w:pPr>
        <w:spacing w:line="400" w:lineRule="exact"/>
        <w:ind w:firstLine="645"/>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投诉书应当署名。投诉人为自然人，应当由本人签章；投诉人为法人或者其他组织的，应当由法定代表人或者主要负责人签章并加盖公章。</w:t>
      </w:r>
    </w:p>
    <w:p w14:paraId="1088B002">
      <w:pPr>
        <w:spacing w:line="400" w:lineRule="exact"/>
        <w:ind w:firstLine="645"/>
        <w:rPr>
          <w:rFonts w:ascii="仿宋" w:hAnsi="仿宋" w:eastAsia="仿宋" w:cs="仿宋"/>
          <w:color w:val="auto"/>
          <w:highlight w:val="none"/>
          <w:lang w:eastAsia="zh-CN"/>
        </w:rPr>
      </w:pPr>
      <w:r>
        <w:rPr>
          <w:rFonts w:hint="eastAsia" w:ascii="仿宋" w:hAnsi="仿宋" w:eastAsia="仿宋" w:cs="仿宋"/>
          <w:color w:val="auto"/>
          <w:highlight w:val="none"/>
          <w:lang w:eastAsia="zh-CN"/>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358E25A5">
      <w:pPr>
        <w:spacing w:line="400" w:lineRule="exact"/>
        <w:ind w:firstLine="645"/>
        <w:rPr>
          <w:rFonts w:ascii="仿宋" w:hAnsi="仿宋" w:eastAsia="仿宋" w:cs="仿宋"/>
          <w:color w:val="auto"/>
          <w:highlight w:val="none"/>
          <w:lang w:eastAsia="zh-CN"/>
        </w:rPr>
      </w:pPr>
      <w:r>
        <w:rPr>
          <w:rFonts w:hint="eastAsia" w:ascii="仿宋" w:hAnsi="仿宋" w:eastAsia="仿宋" w:cs="仿宋"/>
          <w:color w:val="auto"/>
          <w:highlight w:val="none"/>
          <w:lang w:eastAsia="zh-CN"/>
        </w:rPr>
        <w:t>《政府采购供应商投诉处理办法》第十条：投诉人提起投诉应当符合下列条件：</w:t>
      </w:r>
    </w:p>
    <w:p w14:paraId="53CB98F5">
      <w:pPr>
        <w:numPr>
          <w:ilvl w:val="0"/>
          <w:numId w:val="7"/>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投诉人是参与所投诉政府采购活动的供应商；</w:t>
      </w:r>
    </w:p>
    <w:p w14:paraId="429322D7">
      <w:pPr>
        <w:numPr>
          <w:ilvl w:val="0"/>
          <w:numId w:val="7"/>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提起投诉诉前已依法进行质疑；</w:t>
      </w:r>
    </w:p>
    <w:p w14:paraId="213E0439">
      <w:pPr>
        <w:numPr>
          <w:ilvl w:val="0"/>
          <w:numId w:val="7"/>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投诉书内容符合本办法的规定；</w:t>
      </w:r>
    </w:p>
    <w:p w14:paraId="37FE799F">
      <w:pPr>
        <w:numPr>
          <w:ilvl w:val="0"/>
          <w:numId w:val="7"/>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在投诉有效期内提起投诉；</w:t>
      </w:r>
    </w:p>
    <w:p w14:paraId="22D0A9BA">
      <w:pPr>
        <w:numPr>
          <w:ilvl w:val="0"/>
          <w:numId w:val="7"/>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属于本级财政部门管辖；</w:t>
      </w:r>
    </w:p>
    <w:p w14:paraId="7DF10839">
      <w:pPr>
        <w:numPr>
          <w:ilvl w:val="0"/>
          <w:numId w:val="7"/>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同一投诉事项未经财政部门投诉处理；</w:t>
      </w:r>
    </w:p>
    <w:p w14:paraId="145246B2">
      <w:pPr>
        <w:numPr>
          <w:ilvl w:val="0"/>
          <w:numId w:val="7"/>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国务院财政部门规定的其他条件。</w:t>
      </w:r>
    </w:p>
    <w:p w14:paraId="057CECC2">
      <w:pPr>
        <w:spacing w:line="400" w:lineRule="exact"/>
        <w:ind w:left="4320" w:hanging="4320" w:hangingChars="18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14:paraId="5C436B18">
      <w:pPr>
        <w:outlineLvl w:val="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 xml:space="preserve">   </w:t>
      </w:r>
      <w:bookmarkStart w:id="33" w:name="_Toc5978"/>
      <w:r>
        <w:rPr>
          <w:rFonts w:hint="eastAsia" w:ascii="仿宋" w:hAnsi="仿宋" w:eastAsia="仿宋" w:cs="仿宋"/>
          <w:b/>
          <w:bCs/>
          <w:color w:val="auto"/>
          <w:highlight w:val="none"/>
          <w:lang w:eastAsia="zh-CN"/>
        </w:rPr>
        <w:t>三、虚假、恶意投诉法律责任</w:t>
      </w:r>
      <w:bookmarkEnd w:id="33"/>
    </w:p>
    <w:p w14:paraId="31668FB9">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第七十三条：供应商捏造</w:t>
      </w:r>
      <w:r>
        <w:rPr>
          <w:rFonts w:hint="eastAsia" w:ascii="仿宋" w:hAnsi="仿宋" w:eastAsia="仿宋" w:cs="仿宋"/>
          <w:color w:val="auto"/>
          <w:highlight w:val="none"/>
          <w:lang w:val="en-US" w:eastAsia="zh-CN"/>
        </w:rPr>
        <w:t>事实</w:t>
      </w:r>
      <w:r>
        <w:rPr>
          <w:rFonts w:hint="eastAsia" w:ascii="仿宋" w:hAnsi="仿宋" w:eastAsia="仿宋" w:cs="仿宋"/>
          <w:color w:val="auto"/>
          <w:highlight w:val="none"/>
          <w:lang w:eastAsia="zh-CN"/>
        </w:rPr>
        <w:t>、提供虚假材料或者以非法手段取得证明材料进行投诉的，由财政部门列入不良行为记录名单，禁止其1至3年内参加政府采购活动。</w:t>
      </w:r>
    </w:p>
    <w:p w14:paraId="78C64A89">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《政府采购供应商投诉处理办法》第二十六条：投诉人有下列情形之一的，属于虚假、恶意投诉，财政部门应当驳回投诉，将其列入不良行为记录名单，并依法予以处罚：</w:t>
      </w:r>
    </w:p>
    <w:p w14:paraId="37C9BA39">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（一）1年内3次以上投诉均查无实据的；</w:t>
      </w:r>
    </w:p>
    <w:p w14:paraId="0B946D22">
      <w:pPr>
        <w:spacing w:line="40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（二）捏造事实或者提供虚假投诉材料的。</w:t>
      </w:r>
    </w:p>
    <w:p w14:paraId="62B95F28">
      <w:pPr>
        <w:spacing w:line="400" w:lineRule="exact"/>
        <w:rPr>
          <w:rFonts w:ascii="仿宋" w:hAnsi="仿宋" w:eastAsia="仿宋" w:cs="仿宋"/>
          <w:color w:val="auto"/>
          <w:sz w:val="21"/>
          <w:szCs w:val="21"/>
          <w:highlight w:val="none"/>
          <w:lang w:eastAsia="zh-CN"/>
        </w:rPr>
      </w:pPr>
    </w:p>
    <w:p w14:paraId="2AC36387">
      <w:pPr>
        <w:spacing w:line="400" w:lineRule="exact"/>
        <w:rPr>
          <w:rFonts w:ascii="仿宋" w:hAnsi="仿宋" w:eastAsia="仿宋" w:cs="仿宋"/>
          <w:color w:val="auto"/>
          <w:sz w:val="21"/>
          <w:szCs w:val="21"/>
          <w:highlight w:val="none"/>
          <w:lang w:eastAsia="zh-CN"/>
        </w:rPr>
      </w:pPr>
    </w:p>
    <w:p w14:paraId="4E9CCB0F">
      <w:pPr>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递交投诉书地址：</w:t>
      </w:r>
      <w:r>
        <w:rPr>
          <w:rFonts w:hint="eastAsia" w:ascii="仿宋" w:hAnsi="仿宋" w:eastAsia="仿宋" w:cs="仿宋"/>
          <w:color w:val="auto"/>
          <w:highlight w:val="none"/>
          <w:lang w:val="en-US" w:eastAsia="zh-CN"/>
        </w:rPr>
        <w:t>青河县</w:t>
      </w:r>
      <w:r>
        <w:rPr>
          <w:rFonts w:hint="eastAsia" w:ascii="仿宋" w:hAnsi="仿宋" w:eastAsia="仿宋" w:cs="仿宋"/>
          <w:color w:val="auto"/>
          <w:highlight w:val="none"/>
          <w:lang w:eastAsia="zh-CN"/>
        </w:rPr>
        <w:t>采购办监管办公室</w:t>
      </w:r>
    </w:p>
    <w:p w14:paraId="31C82E08">
      <w:pPr>
        <w:jc w:val="right"/>
        <w:rPr>
          <w:rFonts w:ascii="仿宋" w:hAnsi="仿宋" w:eastAsia="仿宋" w:cs="仿宋"/>
          <w:color w:val="auto"/>
          <w:sz w:val="32"/>
          <w:szCs w:val="32"/>
          <w:highlight w:val="none"/>
          <w:lang w:eastAsia="zh-CN"/>
        </w:rPr>
      </w:pPr>
    </w:p>
    <w:p w14:paraId="08DBB61A">
      <w:pPr>
        <w:spacing w:line="540" w:lineRule="exact"/>
        <w:jc w:val="both"/>
        <w:outlineLvl w:val="0"/>
        <w:rPr>
          <w:rFonts w:hint="eastAsia" w:ascii="仿宋" w:hAnsi="仿宋" w:eastAsia="仿宋" w:cs="仿宋"/>
          <w:b/>
          <w:bCs/>
          <w:color w:val="auto"/>
          <w:sz w:val="32"/>
          <w:szCs w:val="32"/>
          <w:highlight w:val="none"/>
          <w:lang w:eastAsia="zh-CN"/>
        </w:rPr>
      </w:pPr>
      <w:bookmarkStart w:id="34" w:name="_Toc1697"/>
    </w:p>
    <w:p w14:paraId="34EFE7CD">
      <w:pPr>
        <w:spacing w:line="540" w:lineRule="exact"/>
        <w:jc w:val="center"/>
        <w:outlineLvl w:val="0"/>
        <w:rPr>
          <w:rFonts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质疑函范本</w:t>
      </w:r>
      <w:bookmarkEnd w:id="34"/>
    </w:p>
    <w:p w14:paraId="7BC027A4">
      <w:pPr>
        <w:adjustRightInd w:val="0"/>
        <w:snapToGrid w:val="0"/>
        <w:spacing w:beforeLines="100" w:line="540" w:lineRule="exact"/>
        <w:ind w:firstLine="480" w:firstLineChars="200"/>
        <w:outlineLvl w:val="0"/>
        <w:rPr>
          <w:rFonts w:ascii="仿宋" w:hAnsi="仿宋" w:eastAsia="仿宋" w:cs="仿宋"/>
          <w:bCs/>
          <w:color w:val="auto"/>
          <w:highlight w:val="none"/>
          <w:lang w:eastAsia="zh-CN"/>
        </w:rPr>
      </w:pPr>
      <w:bookmarkStart w:id="35" w:name="_Toc9061"/>
      <w:r>
        <w:rPr>
          <w:rFonts w:hint="eastAsia" w:ascii="仿宋" w:hAnsi="仿宋" w:eastAsia="仿宋" w:cs="仿宋"/>
          <w:bCs/>
          <w:color w:val="auto"/>
          <w:highlight w:val="none"/>
          <w:lang w:eastAsia="zh-CN"/>
        </w:rPr>
        <w:t>一、质疑供应商基本信息</w:t>
      </w:r>
      <w:bookmarkEnd w:id="35"/>
    </w:p>
    <w:p w14:paraId="068B098D">
      <w:pPr>
        <w:adjustRightInd w:val="0"/>
        <w:snapToGrid w:val="0"/>
        <w:spacing w:line="540" w:lineRule="exact"/>
        <w:ind w:firstLine="48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质疑供应商：</w:t>
      </w:r>
      <w:r>
        <w:rPr>
          <w:rFonts w:hint="eastAsia" w:ascii="仿宋" w:hAnsi="仿宋" w:eastAsia="仿宋" w:cs="仿宋"/>
          <w:color w:val="auto"/>
          <w:highlight w:val="none"/>
          <w:u w:val="dotted"/>
          <w:lang w:eastAsia="zh-CN"/>
        </w:rPr>
        <w:t xml:space="preserve">                         </w:t>
      </w:r>
    </w:p>
    <w:p w14:paraId="61FF6915">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地址：</w:t>
      </w:r>
      <w:r>
        <w:rPr>
          <w:rFonts w:hint="eastAsia" w:ascii="仿宋" w:hAnsi="仿宋" w:eastAsia="仿宋" w:cs="仿宋"/>
          <w:color w:val="auto"/>
          <w:highlight w:val="none"/>
          <w:u w:val="dotted"/>
          <w:lang w:eastAsia="zh-CN"/>
        </w:rPr>
        <w:t xml:space="preserve">                          </w:t>
      </w:r>
      <w:r>
        <w:rPr>
          <w:rFonts w:hint="eastAsia" w:ascii="仿宋" w:hAnsi="仿宋" w:eastAsia="仿宋" w:cs="仿宋"/>
          <w:color w:val="auto"/>
          <w:highlight w:val="none"/>
          <w:lang w:eastAsia="zh-CN"/>
        </w:rPr>
        <w:t>邮编：</w:t>
      </w:r>
      <w:r>
        <w:rPr>
          <w:rFonts w:hint="eastAsia" w:ascii="仿宋" w:hAnsi="仿宋" w:eastAsia="仿宋" w:cs="仿宋"/>
          <w:color w:val="auto"/>
          <w:highlight w:val="none"/>
          <w:u w:val="dotted"/>
          <w:lang w:eastAsia="zh-CN"/>
        </w:rPr>
        <w:t xml:space="preserve">            </w:t>
      </w:r>
    </w:p>
    <w:p w14:paraId="7F226468">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联系人：</w:t>
      </w:r>
      <w:r>
        <w:rPr>
          <w:rFonts w:hint="eastAsia" w:ascii="仿宋" w:hAnsi="仿宋" w:eastAsia="仿宋" w:cs="仿宋"/>
          <w:color w:val="auto"/>
          <w:highlight w:val="none"/>
          <w:u w:val="dotted"/>
          <w:lang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dotted"/>
          <w:lang w:eastAsia="zh-CN"/>
        </w:rPr>
        <w:t xml:space="preserve">            </w:t>
      </w:r>
    </w:p>
    <w:p w14:paraId="7437F962">
      <w:pPr>
        <w:adjustRightInd w:val="0"/>
        <w:snapToGrid w:val="0"/>
        <w:spacing w:line="540" w:lineRule="exact"/>
        <w:ind w:firstLine="48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授权代表：</w:t>
      </w:r>
      <w:r>
        <w:rPr>
          <w:rFonts w:hint="eastAsia" w:ascii="仿宋" w:hAnsi="仿宋" w:eastAsia="仿宋" w:cs="仿宋"/>
          <w:color w:val="auto"/>
          <w:highlight w:val="none"/>
          <w:u w:val="dotted"/>
          <w:lang w:eastAsia="zh-CN"/>
        </w:rPr>
        <w:t xml:space="preserve">                                          </w:t>
      </w:r>
    </w:p>
    <w:p w14:paraId="3ABFBEFF">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dotted"/>
          <w:lang w:eastAsia="zh-CN"/>
        </w:rPr>
        <w:t xml:space="preserve">                                          </w:t>
      </w:r>
    </w:p>
    <w:p w14:paraId="43133EAE">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地址： </w:t>
      </w:r>
      <w:r>
        <w:rPr>
          <w:rFonts w:hint="eastAsia" w:ascii="仿宋" w:hAnsi="仿宋" w:eastAsia="仿宋" w:cs="仿宋"/>
          <w:color w:val="auto"/>
          <w:highlight w:val="none"/>
          <w:u w:val="dotted"/>
          <w:lang w:eastAsia="zh-CN"/>
        </w:rPr>
        <w:t xml:space="preserve">                        </w:t>
      </w:r>
      <w:r>
        <w:rPr>
          <w:rFonts w:hint="eastAsia" w:ascii="仿宋" w:hAnsi="仿宋" w:eastAsia="仿宋" w:cs="仿宋"/>
          <w:color w:val="auto"/>
          <w:highlight w:val="none"/>
          <w:lang w:eastAsia="zh-CN"/>
        </w:rPr>
        <w:t>邮编：</w:t>
      </w:r>
      <w:r>
        <w:rPr>
          <w:rFonts w:hint="eastAsia" w:ascii="仿宋" w:hAnsi="仿宋" w:eastAsia="仿宋" w:cs="仿宋"/>
          <w:color w:val="auto"/>
          <w:highlight w:val="none"/>
          <w:u w:val="dotted"/>
          <w:lang w:eastAsia="zh-CN"/>
        </w:rPr>
        <w:t xml:space="preserve">               </w:t>
      </w:r>
    </w:p>
    <w:p w14:paraId="5A0377DE">
      <w:pPr>
        <w:adjustRightInd w:val="0"/>
        <w:snapToGrid w:val="0"/>
        <w:spacing w:line="540" w:lineRule="exact"/>
        <w:ind w:firstLine="480" w:firstLineChars="200"/>
        <w:outlineLvl w:val="0"/>
        <w:rPr>
          <w:rFonts w:ascii="仿宋" w:hAnsi="仿宋" w:eastAsia="仿宋" w:cs="仿宋"/>
          <w:bCs/>
          <w:color w:val="auto"/>
          <w:highlight w:val="none"/>
          <w:lang w:eastAsia="zh-CN"/>
        </w:rPr>
      </w:pPr>
      <w:bookmarkStart w:id="36" w:name="_Toc15938"/>
      <w:r>
        <w:rPr>
          <w:rFonts w:hint="eastAsia" w:ascii="仿宋" w:hAnsi="仿宋" w:eastAsia="仿宋" w:cs="仿宋"/>
          <w:bCs/>
          <w:color w:val="auto"/>
          <w:highlight w:val="none"/>
          <w:lang w:eastAsia="zh-CN"/>
        </w:rPr>
        <w:t>二、质疑项目基本情况</w:t>
      </w:r>
      <w:bookmarkEnd w:id="36"/>
    </w:p>
    <w:p w14:paraId="3269660B">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质疑项目的名称：</w:t>
      </w:r>
      <w:r>
        <w:rPr>
          <w:rFonts w:hint="eastAsia" w:ascii="仿宋" w:hAnsi="仿宋" w:eastAsia="仿宋" w:cs="仿宋"/>
          <w:color w:val="auto"/>
          <w:highlight w:val="none"/>
          <w:u w:val="dotted"/>
          <w:lang w:eastAsia="zh-CN"/>
        </w:rPr>
        <w:t xml:space="preserve">                                     </w:t>
      </w:r>
    </w:p>
    <w:p w14:paraId="72813F5C">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质疑项目的编号：</w:t>
      </w:r>
      <w:r>
        <w:rPr>
          <w:rFonts w:hint="eastAsia" w:ascii="仿宋" w:hAnsi="仿宋" w:eastAsia="仿宋" w:cs="仿宋"/>
          <w:color w:val="auto"/>
          <w:highlight w:val="none"/>
          <w:u w:val="dotted"/>
          <w:lang w:eastAsia="zh-CN"/>
        </w:rPr>
        <w:t xml:space="preserve">               </w:t>
      </w:r>
      <w:r>
        <w:rPr>
          <w:rFonts w:hint="eastAsia" w:ascii="仿宋" w:hAnsi="仿宋" w:eastAsia="仿宋" w:cs="仿宋"/>
          <w:color w:val="auto"/>
          <w:highlight w:val="none"/>
          <w:lang w:eastAsia="zh-CN"/>
        </w:rPr>
        <w:t>包号：</w:t>
      </w:r>
      <w:r>
        <w:rPr>
          <w:rFonts w:hint="eastAsia" w:ascii="仿宋" w:hAnsi="仿宋" w:eastAsia="仿宋" w:cs="仿宋"/>
          <w:color w:val="auto"/>
          <w:highlight w:val="none"/>
          <w:u w:val="dotted"/>
          <w:lang w:eastAsia="zh-CN"/>
        </w:rPr>
        <w:t xml:space="preserve">                </w:t>
      </w:r>
    </w:p>
    <w:p w14:paraId="1EAFE8D2">
      <w:pPr>
        <w:adjustRightInd w:val="0"/>
        <w:snapToGrid w:val="0"/>
        <w:spacing w:line="540" w:lineRule="exact"/>
        <w:ind w:firstLine="48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采购人名称：</w:t>
      </w:r>
      <w:r>
        <w:rPr>
          <w:rFonts w:hint="eastAsia" w:ascii="仿宋" w:hAnsi="仿宋" w:eastAsia="仿宋" w:cs="仿宋"/>
          <w:color w:val="auto"/>
          <w:highlight w:val="none"/>
          <w:u w:val="dotted"/>
          <w:lang w:eastAsia="zh-CN"/>
        </w:rPr>
        <w:t xml:space="preserve">                                         </w:t>
      </w:r>
    </w:p>
    <w:p w14:paraId="2063986F">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采购文件获取日期：</w:t>
      </w:r>
      <w:r>
        <w:rPr>
          <w:rFonts w:hint="eastAsia" w:ascii="仿宋" w:hAnsi="仿宋" w:eastAsia="仿宋" w:cs="仿宋"/>
          <w:color w:val="auto"/>
          <w:highlight w:val="none"/>
          <w:u w:val="dotted"/>
          <w:lang w:eastAsia="zh-CN"/>
        </w:rPr>
        <w:t xml:space="preserve">                                   </w:t>
      </w:r>
    </w:p>
    <w:p w14:paraId="12A7B880">
      <w:pPr>
        <w:adjustRightInd w:val="0"/>
        <w:snapToGrid w:val="0"/>
        <w:spacing w:line="540" w:lineRule="exact"/>
        <w:ind w:firstLine="480" w:firstLineChars="200"/>
        <w:outlineLvl w:val="0"/>
        <w:rPr>
          <w:rFonts w:ascii="仿宋" w:hAnsi="仿宋" w:eastAsia="仿宋" w:cs="仿宋"/>
          <w:bCs/>
          <w:color w:val="auto"/>
          <w:highlight w:val="none"/>
          <w:lang w:eastAsia="zh-CN"/>
        </w:rPr>
      </w:pPr>
      <w:bookmarkStart w:id="37" w:name="_Toc18271"/>
      <w:r>
        <w:rPr>
          <w:rFonts w:hint="eastAsia" w:ascii="仿宋" w:hAnsi="仿宋" w:eastAsia="仿宋" w:cs="仿宋"/>
          <w:bCs/>
          <w:color w:val="auto"/>
          <w:highlight w:val="none"/>
          <w:lang w:eastAsia="zh-CN"/>
        </w:rPr>
        <w:t>三、质疑事项具体内容</w:t>
      </w:r>
      <w:bookmarkEnd w:id="37"/>
    </w:p>
    <w:p w14:paraId="15C8E023">
      <w:pPr>
        <w:adjustRightInd w:val="0"/>
        <w:snapToGrid w:val="0"/>
        <w:spacing w:line="540" w:lineRule="exact"/>
        <w:ind w:firstLine="48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质疑事项1：</w:t>
      </w:r>
      <w:r>
        <w:rPr>
          <w:rFonts w:hint="eastAsia" w:ascii="仿宋" w:hAnsi="仿宋" w:eastAsia="仿宋" w:cs="仿宋"/>
          <w:color w:val="auto"/>
          <w:highlight w:val="none"/>
          <w:u w:val="dotted"/>
          <w:lang w:eastAsia="zh-CN"/>
        </w:rPr>
        <w:t xml:space="preserve">                                         </w:t>
      </w:r>
    </w:p>
    <w:p w14:paraId="00A21414">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事实依据：</w:t>
      </w:r>
      <w:r>
        <w:rPr>
          <w:rFonts w:hint="eastAsia" w:ascii="仿宋" w:hAnsi="仿宋" w:eastAsia="仿宋" w:cs="仿宋"/>
          <w:color w:val="auto"/>
          <w:highlight w:val="none"/>
          <w:u w:val="dotted"/>
          <w:lang w:eastAsia="zh-CN"/>
        </w:rPr>
        <w:t xml:space="preserve">                                           </w:t>
      </w:r>
    </w:p>
    <w:p w14:paraId="78F6915B">
      <w:pPr>
        <w:adjustRightInd w:val="0"/>
        <w:snapToGrid w:val="0"/>
        <w:spacing w:line="540" w:lineRule="exact"/>
        <w:ind w:firstLine="48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法律依据：</w:t>
      </w:r>
      <w:r>
        <w:rPr>
          <w:rFonts w:hint="eastAsia" w:ascii="仿宋" w:hAnsi="仿宋" w:eastAsia="仿宋" w:cs="仿宋"/>
          <w:color w:val="auto"/>
          <w:highlight w:val="none"/>
          <w:u w:val="dotted"/>
          <w:lang w:eastAsia="zh-CN"/>
        </w:rPr>
        <w:t xml:space="preserve">                                           </w:t>
      </w:r>
    </w:p>
    <w:p w14:paraId="74251C40">
      <w:pPr>
        <w:adjustRightInd w:val="0"/>
        <w:snapToGrid w:val="0"/>
        <w:spacing w:line="540" w:lineRule="exact"/>
        <w:ind w:firstLine="48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质疑事项2</w:t>
      </w:r>
    </w:p>
    <w:p w14:paraId="54BD7ED0">
      <w:pPr>
        <w:adjustRightInd w:val="0"/>
        <w:snapToGrid w:val="0"/>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p>
    <w:p w14:paraId="02E682D3">
      <w:pPr>
        <w:adjustRightInd w:val="0"/>
        <w:snapToGrid w:val="0"/>
        <w:spacing w:line="540" w:lineRule="exact"/>
        <w:ind w:firstLine="480" w:firstLineChars="200"/>
        <w:outlineLvl w:val="0"/>
        <w:rPr>
          <w:rFonts w:ascii="仿宋" w:hAnsi="仿宋" w:eastAsia="仿宋" w:cs="仿宋"/>
          <w:bCs/>
          <w:color w:val="auto"/>
          <w:highlight w:val="none"/>
          <w:lang w:eastAsia="zh-CN"/>
        </w:rPr>
      </w:pPr>
      <w:bookmarkStart w:id="38" w:name="_Toc22365"/>
      <w:r>
        <w:rPr>
          <w:rFonts w:hint="eastAsia" w:ascii="仿宋" w:hAnsi="仿宋" w:eastAsia="仿宋" w:cs="仿宋"/>
          <w:bCs/>
          <w:color w:val="auto"/>
          <w:highlight w:val="none"/>
          <w:lang w:eastAsia="zh-CN"/>
        </w:rPr>
        <w:t>四、与质疑事项相关的质疑请求</w:t>
      </w:r>
      <w:bookmarkEnd w:id="38"/>
    </w:p>
    <w:p w14:paraId="43132BE8">
      <w:pPr>
        <w:adjustRightInd w:val="0"/>
        <w:snapToGrid w:val="0"/>
        <w:spacing w:line="540" w:lineRule="exact"/>
        <w:ind w:firstLine="48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请求：</w:t>
      </w:r>
      <w:r>
        <w:rPr>
          <w:rFonts w:hint="eastAsia" w:ascii="仿宋" w:hAnsi="仿宋" w:eastAsia="仿宋" w:cs="仿宋"/>
          <w:color w:val="auto"/>
          <w:highlight w:val="none"/>
          <w:u w:val="dotted"/>
          <w:lang w:eastAsia="zh-CN"/>
        </w:rPr>
        <w:t xml:space="preserve">                                               </w:t>
      </w:r>
    </w:p>
    <w:p w14:paraId="18A3A57E">
      <w:pPr>
        <w:spacing w:line="540" w:lineRule="exact"/>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签章(签章)：                   公章：                      </w:t>
      </w:r>
    </w:p>
    <w:p w14:paraId="1C3115CF">
      <w:pPr>
        <w:spacing w:line="540" w:lineRule="exact"/>
        <w:ind w:firstLine="480" w:firstLineChars="20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 xml:space="preserve">日期：    </w:t>
      </w:r>
    </w:p>
    <w:p w14:paraId="4822EB82">
      <w:pPr>
        <w:spacing w:line="540" w:lineRule="exact"/>
        <w:ind w:firstLine="422" w:firstLineChars="200"/>
        <w:rPr>
          <w:rFonts w:ascii="仿宋" w:hAnsi="仿宋" w:eastAsia="仿宋" w:cs="仿宋"/>
          <w:b/>
          <w:bCs/>
          <w:color w:val="auto"/>
          <w:sz w:val="21"/>
          <w:szCs w:val="21"/>
          <w:highlight w:val="none"/>
          <w:lang w:eastAsia="zh-CN"/>
        </w:rPr>
      </w:pPr>
    </w:p>
    <w:p w14:paraId="662FD1FE">
      <w:pPr>
        <w:pageBreakBefore/>
        <w:spacing w:line="440" w:lineRule="exact"/>
        <w:jc w:val="center"/>
        <w:outlineLvl w:val="0"/>
        <w:rPr>
          <w:rFonts w:ascii="仿宋" w:hAnsi="仿宋" w:eastAsia="仿宋" w:cs="仿宋"/>
          <w:b/>
          <w:bCs/>
          <w:color w:val="auto"/>
          <w:sz w:val="30"/>
          <w:szCs w:val="30"/>
          <w:highlight w:val="none"/>
          <w:lang w:eastAsia="zh-CN"/>
        </w:rPr>
      </w:pPr>
      <w:bookmarkStart w:id="39" w:name="_Toc469495731"/>
      <w:r>
        <w:rPr>
          <w:rFonts w:hint="eastAsia" w:ascii="仿宋" w:hAnsi="仿宋" w:eastAsia="仿宋" w:cs="仿宋"/>
          <w:b/>
          <w:bCs/>
          <w:color w:val="auto"/>
          <w:sz w:val="30"/>
          <w:szCs w:val="30"/>
          <w:highlight w:val="none"/>
          <w:lang w:eastAsia="zh-CN"/>
        </w:rPr>
        <w:t>第三部分  评标办法</w:t>
      </w:r>
      <w:bookmarkEnd w:id="39"/>
    </w:p>
    <w:p w14:paraId="3DD25B4F">
      <w:pPr>
        <w:jc w:val="center"/>
        <w:outlineLvl w:val="1"/>
        <w:rPr>
          <w:rFonts w:ascii="仿宋" w:hAnsi="仿宋" w:eastAsia="仿宋" w:cs="仿宋"/>
          <w:b/>
          <w:color w:val="auto"/>
          <w:sz w:val="28"/>
          <w:szCs w:val="28"/>
          <w:highlight w:val="none"/>
          <w:lang w:eastAsia="zh-CN"/>
        </w:rPr>
      </w:pPr>
      <w:bookmarkStart w:id="40" w:name="_Toc362983802"/>
      <w:bookmarkStart w:id="41" w:name="_Toc469495733"/>
      <w:r>
        <w:rPr>
          <w:rFonts w:hint="eastAsia" w:ascii="仿宋" w:hAnsi="仿宋" w:eastAsia="仿宋" w:cs="仿宋"/>
          <w:b/>
          <w:color w:val="auto"/>
          <w:sz w:val="28"/>
          <w:szCs w:val="28"/>
          <w:highlight w:val="none"/>
          <w:lang w:eastAsia="zh-CN"/>
        </w:rPr>
        <w:t>一  总  则</w:t>
      </w:r>
    </w:p>
    <w:p w14:paraId="2FB5D447">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1、一般规定</w:t>
      </w:r>
    </w:p>
    <w:p w14:paraId="255D1A90">
      <w:pPr>
        <w:keepNext w:val="0"/>
        <w:keepLines w:val="0"/>
        <w:pageBreakBefore w:val="0"/>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1.1本项目的招标按照《中华人民共和国政府采购法》、《政府采购货物和服务招标投标管理办法》及政府采购的有关规定进行。</w:t>
      </w:r>
    </w:p>
    <w:p w14:paraId="20B51953">
      <w:pPr>
        <w:keepNext w:val="0"/>
        <w:keepLines w:val="0"/>
        <w:pageBreakBefore w:val="0"/>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1.2评标必须遵循邀请、公平、公正、诚实信用的原则。</w:t>
      </w:r>
    </w:p>
    <w:p w14:paraId="776942CD">
      <w:pPr>
        <w:keepNext w:val="0"/>
        <w:keepLines w:val="0"/>
        <w:pageBreakBefore w:val="0"/>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1.3招标代理机构组织招标、开标、评标工作，全过程接受政府采购有关部门的监督、管理和指导。</w:t>
      </w:r>
    </w:p>
    <w:p w14:paraId="781E7B8D">
      <w:pPr>
        <w:keepNext w:val="0"/>
        <w:keepLines w:val="0"/>
        <w:pageBreakBefore w:val="0"/>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1.4评标按照招标文件规定的内容进行，采取符合招标文件要求的</w:t>
      </w:r>
      <w:r>
        <w:rPr>
          <w:rFonts w:hint="eastAsia" w:ascii="仿宋" w:hAnsi="仿宋" w:eastAsia="仿宋" w:cs="仿宋"/>
          <w:color w:val="auto"/>
          <w:szCs w:val="21"/>
          <w:highlight w:val="none"/>
          <w:lang w:val="en-US" w:eastAsia="zh-CN"/>
        </w:rPr>
        <w:t>综合评分法</w:t>
      </w:r>
      <w:r>
        <w:rPr>
          <w:rFonts w:hint="eastAsia" w:ascii="仿宋" w:hAnsi="仿宋" w:eastAsia="仿宋" w:cs="仿宋"/>
          <w:color w:val="auto"/>
          <w:szCs w:val="21"/>
          <w:highlight w:val="none"/>
          <w:lang w:eastAsia="zh-CN"/>
        </w:rPr>
        <w:t>；</w:t>
      </w:r>
    </w:p>
    <w:p w14:paraId="56B80514">
      <w:pPr>
        <w:keepNext w:val="0"/>
        <w:keepLines w:val="0"/>
        <w:pageBreakBefore w:val="0"/>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1.5本办法的评标对象是指供应商按照招标文件要求提供的有效投标文件，包括供应商应评标委员会要求对原投标文件作出的正式书面澄清文件。</w:t>
      </w:r>
    </w:p>
    <w:p w14:paraId="506FD00F">
      <w:pPr>
        <w:keepNext w:val="0"/>
        <w:keepLines w:val="0"/>
        <w:pageBreakBefore w:val="0"/>
        <w:tabs>
          <w:tab w:val="left" w:pos="567"/>
          <w:tab w:val="left" w:pos="1145"/>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2、评标组织机构的组成</w:t>
      </w:r>
    </w:p>
    <w:p w14:paraId="76C555F6">
      <w:pPr>
        <w:keepNext w:val="0"/>
        <w:keepLines w:val="0"/>
        <w:pageBreakBefore w:val="0"/>
        <w:widowControl/>
        <w:kinsoku/>
        <w:wordWrap/>
        <w:overflowPunct/>
        <w:topLinePunct w:val="0"/>
        <w:autoSpaceDE/>
        <w:autoSpaceDN/>
        <w:bidi w:val="0"/>
        <w:adjustRightInd/>
        <w:snapToGrid/>
        <w:spacing w:line="420" w:lineRule="exact"/>
        <w:ind w:firstLine="480"/>
        <w:textAlignment w:val="auto"/>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2.1</w:t>
      </w:r>
      <w:r>
        <w:rPr>
          <w:rFonts w:hint="eastAsia" w:ascii="仿宋" w:hAnsi="仿宋" w:eastAsia="仿宋" w:cs="仿宋"/>
          <w:color w:val="auto"/>
          <w:spacing w:val="-2"/>
          <w:highlight w:val="none"/>
          <w:lang w:eastAsia="zh-CN"/>
        </w:rPr>
        <w:t xml:space="preserve"> 评标委员会由采购人代表和评审专家组成，成员人数应当为5人以上单数，其中评审专家不得少于成员总数的三分之二。</w:t>
      </w:r>
      <w:r>
        <w:rPr>
          <w:rFonts w:hint="eastAsia" w:ascii="仿宋" w:hAnsi="仿宋" w:eastAsia="仿宋" w:cs="仿宋"/>
          <w:color w:val="auto"/>
          <w:szCs w:val="21"/>
          <w:highlight w:val="none"/>
          <w:lang w:eastAsia="zh-CN" w:bidi="ar-SA"/>
        </w:rPr>
        <w:t>其中，技术、经济等方面的专家不得少于成员总数的三分之二。采购数额在1000万元以上、技术复杂的项目，评标委员会中技术、经济方面的专家人数应当为七人以上单数。采购人应当从同级或上一级财政部门设立的政府采购评审专家库中，通过随机方式抽取评标专家。采购人对技术复杂、专业性极强的采购项目，通过随机方式难以确定合适评标专家的，经设区的市、自治州以上人民政府财政部门同意，可以采取选择性方式确定评标专家。</w:t>
      </w:r>
    </w:p>
    <w:p w14:paraId="071E44C2">
      <w:pPr>
        <w:keepNext w:val="0"/>
        <w:keepLines w:val="0"/>
        <w:pageBreakBefore w:val="0"/>
        <w:tabs>
          <w:tab w:val="left" w:pos="567"/>
          <w:tab w:val="left" w:pos="1145"/>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评标委员会应相对独立工作，负责评标、撰写技术、商务评标报告。采购代理机构负责评标过程中资料的保管、发放、回收，整理、汇总评标资料。</w:t>
      </w:r>
    </w:p>
    <w:p w14:paraId="4E2152F3">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3、评标委员会职责</w:t>
      </w:r>
    </w:p>
    <w:p w14:paraId="1607E092">
      <w:pPr>
        <w:pStyle w:val="4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2" w:firstLineChars="255"/>
        <w:textAlignment w:val="auto"/>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3.1审查投标文件是否符合招标文件要求，并作出评价；</w:t>
      </w:r>
    </w:p>
    <w:p w14:paraId="00FF073D">
      <w:pPr>
        <w:pStyle w:val="4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2" w:firstLineChars="255"/>
        <w:textAlignment w:val="auto"/>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3.2要求供应商对投标文件有关事项作出解释或者澄清；</w:t>
      </w:r>
    </w:p>
    <w:p w14:paraId="1A7AD1EB">
      <w:pPr>
        <w:pStyle w:val="4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2" w:firstLineChars="255"/>
        <w:textAlignment w:val="auto"/>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3.3推荐中标候选人名单；</w:t>
      </w:r>
    </w:p>
    <w:p w14:paraId="29D72A2C">
      <w:pPr>
        <w:pStyle w:val="42"/>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612" w:firstLineChars="255"/>
        <w:textAlignment w:val="auto"/>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3.4向招标人、招标代理机构或者有关部门报告非法干预评标工作的行为。</w:t>
      </w:r>
    </w:p>
    <w:p w14:paraId="1F6A0B73">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4、评标委员会义务</w:t>
      </w:r>
    </w:p>
    <w:p w14:paraId="605D981A">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4.1遵纪守法，客观、公正、廉洁地履行职责；</w:t>
      </w:r>
    </w:p>
    <w:p w14:paraId="19D7AA29">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4.2按照招标文件规定的评标方法和评标标准进行评标，对评审意见承担个人责任；</w:t>
      </w:r>
    </w:p>
    <w:p w14:paraId="5CBCCEF1">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4.3对评标过程和结果，以及供应商的商业秘密保密；</w:t>
      </w:r>
    </w:p>
    <w:p w14:paraId="0F6AB67B">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4.4参与评标报告的起草；</w:t>
      </w:r>
    </w:p>
    <w:p w14:paraId="2678152A">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4.5配合有关部门的投诉处理工作；</w:t>
      </w:r>
    </w:p>
    <w:p w14:paraId="6051A35E">
      <w:pPr>
        <w:keepNext w:val="0"/>
        <w:keepLines w:val="0"/>
        <w:pageBreakBefore w:val="0"/>
        <w:tabs>
          <w:tab w:val="left" w:pos="567"/>
          <w:tab w:val="left" w:pos="60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4.6配合招标人、招标代理机构答复投标供应商提出的质疑。</w:t>
      </w:r>
    </w:p>
    <w:p w14:paraId="443EDF66">
      <w:pPr>
        <w:keepNext w:val="0"/>
        <w:keepLines w:val="0"/>
        <w:pageBreakBefore w:val="0"/>
        <w:tabs>
          <w:tab w:val="left" w:pos="1547"/>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5、 评标程序</w:t>
      </w:r>
    </w:p>
    <w:p w14:paraId="27CFBF8F">
      <w:pPr>
        <w:pStyle w:val="18"/>
        <w:keepNext w:val="0"/>
        <w:keepLines w:val="0"/>
        <w:pageBreakBefore w:val="0"/>
        <w:tabs>
          <w:tab w:val="left" w:pos="720"/>
          <w:tab w:val="clear" w:pos="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bCs/>
          <w:color w:val="auto"/>
          <w:szCs w:val="21"/>
          <w:highlight w:val="none"/>
          <w:lang w:eastAsia="zh-CN" w:bidi="ar-SA"/>
        </w:rPr>
      </w:pPr>
      <w:r>
        <w:rPr>
          <w:rFonts w:hint="eastAsia" w:ascii="仿宋" w:hAnsi="仿宋" w:eastAsia="仿宋" w:cs="仿宋"/>
          <w:bCs/>
          <w:color w:val="auto"/>
          <w:szCs w:val="21"/>
          <w:highlight w:val="none"/>
          <w:lang w:eastAsia="zh-CN" w:bidi="ar-SA"/>
        </w:rPr>
        <w:t>5.1本次评标首先由评标委员会对供应商的投标文件进行初审，对未能通过初审的投标文件作无效标处理；</w:t>
      </w:r>
    </w:p>
    <w:p w14:paraId="299464C6">
      <w:pPr>
        <w:keepNext w:val="0"/>
        <w:keepLines w:val="0"/>
        <w:pageBreakBefore w:val="0"/>
        <w:tabs>
          <w:tab w:val="left" w:pos="720"/>
        </w:tabs>
        <w:kinsoku/>
        <w:wordWrap/>
        <w:overflowPunct/>
        <w:topLinePunct w:val="0"/>
        <w:autoSpaceDE/>
        <w:autoSpaceDN/>
        <w:bidi w:val="0"/>
        <w:adjustRightInd/>
        <w:snapToGrid/>
        <w:spacing w:line="420" w:lineRule="exact"/>
        <w:ind w:firstLine="612" w:firstLineChars="255"/>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5.2对通过初审的供应商的投标文件进行详细的比较和评价。如需要，进行必要的澄清工作；</w:t>
      </w:r>
    </w:p>
    <w:p w14:paraId="2FA69F4F">
      <w:pPr>
        <w:keepNext w:val="0"/>
        <w:keepLines w:val="0"/>
        <w:pageBreakBefore w:val="0"/>
        <w:widowControl/>
        <w:kinsoku/>
        <w:wordWrap/>
        <w:overflowPunct/>
        <w:topLinePunct w:val="0"/>
        <w:autoSpaceDE/>
        <w:autoSpaceDN/>
        <w:bidi w:val="0"/>
        <w:adjustRightInd/>
        <w:snapToGrid/>
        <w:spacing w:line="420" w:lineRule="exact"/>
        <w:ind w:firstLine="482"/>
        <w:textAlignment w:val="auto"/>
        <w:rPr>
          <w:rFonts w:ascii="仿宋" w:hAnsi="仿宋" w:eastAsia="仿宋" w:cs="仿宋"/>
          <w:b/>
          <w:bCs/>
          <w:color w:val="auto"/>
          <w:sz w:val="36"/>
          <w:szCs w:val="36"/>
          <w:highlight w:val="none"/>
          <w:lang w:eastAsia="zh-CN" w:bidi="ar-SA"/>
        </w:rPr>
      </w:pPr>
      <w:r>
        <w:rPr>
          <w:rFonts w:hint="eastAsia" w:ascii="仿宋" w:hAnsi="仿宋" w:eastAsia="仿宋" w:cs="仿宋"/>
          <w:color w:val="auto"/>
          <w:szCs w:val="21"/>
          <w:highlight w:val="none"/>
          <w:lang w:eastAsia="zh-CN" w:bidi="ar-SA"/>
        </w:rPr>
        <w:t>5.3依据评分标准以及各项权值，各位评委单独就每个供应商的投标文件进行价格、技术、信誉、业绩、服务、对招标文件的响应程度，以及相应的比重或者权值等各项因素进行综合评审后，按最终综合得分由高向低排序，由评标委员会推荐综合得分最高的供应商为第一中标候选人，综合得分第二名的供应商为第二中标候选人，综合得分第三名的供应商为第三中标候选人。</w:t>
      </w:r>
    </w:p>
    <w:p w14:paraId="457A0218">
      <w:pPr>
        <w:jc w:val="center"/>
        <w:outlineLvl w:val="1"/>
        <w:rPr>
          <w:rFonts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二  投标文件初审</w:t>
      </w:r>
      <w:bookmarkEnd w:id="40"/>
      <w:bookmarkEnd w:id="41"/>
    </w:p>
    <w:p w14:paraId="50F4539D">
      <w:pPr>
        <w:spacing w:line="400" w:lineRule="exact"/>
        <w:ind w:firstLine="354" w:firstLineChars="147"/>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6.资格性审查:</w:t>
      </w:r>
    </w:p>
    <w:p w14:paraId="1970521B">
      <w:pPr>
        <w:spacing w:line="400" w:lineRule="exact"/>
        <w:ind w:firstLine="352" w:firstLineChars="147"/>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.1评审细则</w:t>
      </w:r>
      <w:r>
        <w:rPr>
          <w:rFonts w:hint="eastAsia" w:ascii="仿宋" w:hAnsi="仿宋" w:eastAsia="仿宋" w:cs="仿宋"/>
          <w:color w:val="auto"/>
          <w:szCs w:val="21"/>
          <w:highlight w:val="none"/>
          <w:lang w:val="en-US" w:eastAsia="zh-CN"/>
        </w:rPr>
        <w:t xml:space="preserve">  </w:t>
      </w:r>
    </w:p>
    <w:tbl>
      <w:tblPr>
        <w:tblStyle w:val="23"/>
        <w:tblW w:w="10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495"/>
        <w:gridCol w:w="7662"/>
        <w:gridCol w:w="525"/>
        <w:gridCol w:w="568"/>
      </w:tblGrid>
      <w:tr w14:paraId="1292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36" w:type="dxa"/>
            <w:vMerge w:val="restart"/>
            <w:vAlign w:val="center"/>
          </w:tcPr>
          <w:p w14:paraId="432AE73B">
            <w:pPr>
              <w:jc w:val="center"/>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项目</w:t>
            </w:r>
          </w:p>
        </w:tc>
        <w:tc>
          <w:tcPr>
            <w:tcW w:w="8157" w:type="dxa"/>
            <w:gridSpan w:val="2"/>
            <w:vMerge w:val="restart"/>
            <w:vAlign w:val="center"/>
          </w:tcPr>
          <w:p w14:paraId="544B0EF0">
            <w:pPr>
              <w:jc w:val="center"/>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评审内容</w:t>
            </w:r>
          </w:p>
        </w:tc>
        <w:tc>
          <w:tcPr>
            <w:tcW w:w="1093" w:type="dxa"/>
            <w:gridSpan w:val="2"/>
            <w:vAlign w:val="center"/>
          </w:tcPr>
          <w:p w14:paraId="312AEE59">
            <w:pPr>
              <w:jc w:val="center"/>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评审意见</w:t>
            </w:r>
          </w:p>
        </w:tc>
      </w:tr>
      <w:tr w14:paraId="7AE1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36" w:type="dxa"/>
            <w:vMerge w:val="continue"/>
            <w:vAlign w:val="center"/>
          </w:tcPr>
          <w:p w14:paraId="79BF9B0B">
            <w:pPr>
              <w:rPr>
                <w:rFonts w:ascii="仿宋" w:hAnsi="仿宋" w:eastAsia="仿宋" w:cs="仿宋"/>
                <w:color w:val="auto"/>
                <w:sz w:val="18"/>
                <w:szCs w:val="21"/>
                <w:highlight w:val="none"/>
              </w:rPr>
            </w:pPr>
          </w:p>
        </w:tc>
        <w:tc>
          <w:tcPr>
            <w:tcW w:w="8157" w:type="dxa"/>
            <w:gridSpan w:val="2"/>
            <w:vMerge w:val="continue"/>
          </w:tcPr>
          <w:p w14:paraId="0D5D03F4">
            <w:pPr>
              <w:rPr>
                <w:rFonts w:ascii="仿宋" w:hAnsi="仿宋" w:eastAsia="仿宋" w:cs="仿宋"/>
                <w:color w:val="auto"/>
                <w:sz w:val="18"/>
                <w:szCs w:val="21"/>
                <w:highlight w:val="none"/>
              </w:rPr>
            </w:pPr>
          </w:p>
        </w:tc>
        <w:tc>
          <w:tcPr>
            <w:tcW w:w="525" w:type="dxa"/>
            <w:vAlign w:val="center"/>
          </w:tcPr>
          <w:p w14:paraId="0C1EC740">
            <w:pPr>
              <w:jc w:val="center"/>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是</w:t>
            </w:r>
          </w:p>
        </w:tc>
        <w:tc>
          <w:tcPr>
            <w:tcW w:w="568" w:type="dxa"/>
            <w:vAlign w:val="center"/>
          </w:tcPr>
          <w:p w14:paraId="49314D56">
            <w:pPr>
              <w:jc w:val="center"/>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rPr>
              <w:t>否</w:t>
            </w:r>
          </w:p>
        </w:tc>
      </w:tr>
      <w:tr w14:paraId="1B0D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36" w:type="dxa"/>
            <w:vMerge w:val="continue"/>
            <w:vAlign w:val="center"/>
          </w:tcPr>
          <w:p w14:paraId="4D32FB07">
            <w:pPr>
              <w:jc w:val="center"/>
              <w:rPr>
                <w:rFonts w:ascii="仿宋" w:hAnsi="仿宋" w:eastAsia="仿宋" w:cs="仿宋"/>
                <w:color w:val="auto"/>
                <w:szCs w:val="21"/>
                <w:highlight w:val="none"/>
                <w:lang w:eastAsia="zh-CN"/>
              </w:rPr>
            </w:pPr>
          </w:p>
        </w:tc>
        <w:tc>
          <w:tcPr>
            <w:tcW w:w="495" w:type="dxa"/>
            <w:vAlign w:val="center"/>
          </w:tcPr>
          <w:p w14:paraId="5B6BB459">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p>
        </w:tc>
        <w:tc>
          <w:tcPr>
            <w:tcW w:w="7662" w:type="dxa"/>
            <w:vAlign w:val="center"/>
          </w:tcPr>
          <w:p w14:paraId="43461952">
            <w:pPr>
              <w:widowControl/>
              <w:textAlignment w:val="center"/>
              <w:rPr>
                <w:rFonts w:ascii="仿宋" w:hAnsi="仿宋" w:eastAsia="仿宋" w:cs="仿宋"/>
                <w:color w:val="auto"/>
                <w:highlight w:val="none"/>
                <w:lang w:eastAsia="zh-CN"/>
              </w:rPr>
            </w:pPr>
            <w:r>
              <w:rPr>
                <w:rFonts w:ascii="仿宋" w:hAnsi="仿宋" w:eastAsia="仿宋" w:cs="仿宋"/>
                <w:color w:val="auto"/>
                <w:highlight w:val="none"/>
                <w:lang w:eastAsia="zh-CN"/>
              </w:rPr>
              <w:t>具有独立承担民事责任能力的法人、其他组织或自然人，法人或者其他组织须提供营业执照等证明文件，自然人须提供身份证明；</w:t>
            </w:r>
          </w:p>
        </w:tc>
        <w:tc>
          <w:tcPr>
            <w:tcW w:w="525" w:type="dxa"/>
          </w:tcPr>
          <w:p w14:paraId="11248B5C">
            <w:pPr>
              <w:rPr>
                <w:rFonts w:ascii="仿宋" w:hAnsi="仿宋" w:eastAsia="仿宋" w:cs="仿宋"/>
                <w:color w:val="auto"/>
                <w:szCs w:val="21"/>
                <w:highlight w:val="none"/>
                <w:lang w:eastAsia="zh-CN"/>
              </w:rPr>
            </w:pPr>
          </w:p>
        </w:tc>
        <w:tc>
          <w:tcPr>
            <w:tcW w:w="568" w:type="dxa"/>
          </w:tcPr>
          <w:p w14:paraId="7C082A9D">
            <w:pPr>
              <w:rPr>
                <w:rFonts w:ascii="仿宋" w:hAnsi="仿宋" w:eastAsia="仿宋" w:cs="仿宋"/>
                <w:color w:val="auto"/>
                <w:szCs w:val="21"/>
                <w:highlight w:val="none"/>
                <w:lang w:eastAsia="zh-CN"/>
              </w:rPr>
            </w:pPr>
          </w:p>
        </w:tc>
      </w:tr>
      <w:tr w14:paraId="77BA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36" w:type="dxa"/>
            <w:vMerge w:val="continue"/>
            <w:vAlign w:val="center"/>
          </w:tcPr>
          <w:p w14:paraId="27657B06">
            <w:pPr>
              <w:jc w:val="center"/>
              <w:rPr>
                <w:rFonts w:ascii="仿宋" w:hAnsi="仿宋" w:eastAsia="仿宋" w:cs="仿宋"/>
                <w:color w:val="auto"/>
                <w:szCs w:val="21"/>
                <w:highlight w:val="none"/>
                <w:lang w:eastAsia="zh-CN"/>
              </w:rPr>
            </w:pPr>
          </w:p>
        </w:tc>
        <w:tc>
          <w:tcPr>
            <w:tcW w:w="495" w:type="dxa"/>
            <w:vAlign w:val="center"/>
          </w:tcPr>
          <w:p w14:paraId="027AB37C">
            <w:pPr>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7662" w:type="dxa"/>
            <w:vAlign w:val="center"/>
          </w:tcPr>
          <w:p w14:paraId="55A543E7">
            <w:pPr>
              <w:widowControl/>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法定代表人投标需提供法定代表人资格证明书，委托代理人投标需提供法定代表人授权委托书</w:t>
            </w:r>
          </w:p>
        </w:tc>
        <w:tc>
          <w:tcPr>
            <w:tcW w:w="525" w:type="dxa"/>
          </w:tcPr>
          <w:p w14:paraId="13389CA6">
            <w:pPr>
              <w:rPr>
                <w:rFonts w:ascii="仿宋" w:hAnsi="仿宋" w:eastAsia="仿宋" w:cs="仿宋"/>
                <w:color w:val="auto"/>
                <w:szCs w:val="21"/>
                <w:highlight w:val="none"/>
                <w:lang w:eastAsia="zh-CN"/>
              </w:rPr>
            </w:pPr>
          </w:p>
        </w:tc>
        <w:tc>
          <w:tcPr>
            <w:tcW w:w="568" w:type="dxa"/>
          </w:tcPr>
          <w:p w14:paraId="68EF6415">
            <w:pPr>
              <w:rPr>
                <w:rFonts w:ascii="仿宋" w:hAnsi="仿宋" w:eastAsia="仿宋" w:cs="仿宋"/>
                <w:color w:val="auto"/>
                <w:szCs w:val="21"/>
                <w:highlight w:val="none"/>
                <w:lang w:eastAsia="zh-CN"/>
              </w:rPr>
            </w:pPr>
          </w:p>
        </w:tc>
      </w:tr>
      <w:tr w14:paraId="4D99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Merge w:val="continue"/>
            <w:vAlign w:val="center"/>
          </w:tcPr>
          <w:p w14:paraId="6B9CE7AA">
            <w:pPr>
              <w:rPr>
                <w:rFonts w:ascii="仿宋" w:hAnsi="仿宋" w:eastAsia="仿宋" w:cs="仿宋"/>
                <w:color w:val="auto"/>
                <w:highlight w:val="none"/>
                <w:lang w:eastAsia="zh-CN"/>
              </w:rPr>
            </w:pPr>
          </w:p>
        </w:tc>
        <w:tc>
          <w:tcPr>
            <w:tcW w:w="495" w:type="dxa"/>
            <w:vAlign w:val="center"/>
          </w:tcPr>
          <w:p w14:paraId="4CE5BE70">
            <w:pPr>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7662" w:type="dxa"/>
            <w:vAlign w:val="center"/>
          </w:tcPr>
          <w:p w14:paraId="5D3ABCD1">
            <w:pPr>
              <w:widowControl/>
              <w:textAlignment w:val="center"/>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具有履行合同所必需的设备和专业技术能力的承诺函；</w:t>
            </w:r>
          </w:p>
        </w:tc>
        <w:tc>
          <w:tcPr>
            <w:tcW w:w="525" w:type="dxa"/>
          </w:tcPr>
          <w:p w14:paraId="6A9C0687">
            <w:pPr>
              <w:rPr>
                <w:rFonts w:ascii="仿宋" w:hAnsi="仿宋" w:eastAsia="仿宋" w:cs="仿宋"/>
                <w:color w:val="auto"/>
                <w:szCs w:val="21"/>
                <w:highlight w:val="none"/>
                <w:lang w:eastAsia="zh-CN"/>
              </w:rPr>
            </w:pPr>
          </w:p>
        </w:tc>
        <w:tc>
          <w:tcPr>
            <w:tcW w:w="568" w:type="dxa"/>
          </w:tcPr>
          <w:p w14:paraId="08DFFC66">
            <w:pPr>
              <w:rPr>
                <w:rFonts w:ascii="仿宋" w:hAnsi="仿宋" w:eastAsia="仿宋" w:cs="仿宋"/>
                <w:color w:val="auto"/>
                <w:szCs w:val="21"/>
                <w:highlight w:val="none"/>
                <w:lang w:eastAsia="zh-CN"/>
              </w:rPr>
            </w:pPr>
          </w:p>
        </w:tc>
      </w:tr>
      <w:tr w14:paraId="0CAC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Merge w:val="continue"/>
            <w:vAlign w:val="center"/>
          </w:tcPr>
          <w:p w14:paraId="7602D2C9">
            <w:pPr>
              <w:rPr>
                <w:rFonts w:ascii="仿宋" w:hAnsi="仿宋" w:eastAsia="仿宋" w:cs="仿宋"/>
                <w:color w:val="auto"/>
                <w:highlight w:val="none"/>
                <w:lang w:eastAsia="zh-CN"/>
              </w:rPr>
            </w:pPr>
          </w:p>
        </w:tc>
        <w:tc>
          <w:tcPr>
            <w:tcW w:w="495" w:type="dxa"/>
            <w:vAlign w:val="center"/>
          </w:tcPr>
          <w:p w14:paraId="32AA7C1A">
            <w:pPr>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7662" w:type="dxa"/>
            <w:vAlign w:val="center"/>
          </w:tcPr>
          <w:p w14:paraId="00CF229D">
            <w:pPr>
              <w:pStyle w:val="33"/>
              <w:keepNext w:val="0"/>
              <w:keepLines w:val="0"/>
              <w:pageBreakBefore w:val="0"/>
              <w:kinsoku/>
              <w:wordWrap/>
              <w:overflowPunct/>
              <w:topLinePunct w:val="0"/>
              <w:autoSpaceDE/>
              <w:autoSpaceDN/>
              <w:bidi w:val="0"/>
              <w:spacing w:line="360" w:lineRule="exact"/>
              <w:ind w:left="0" w:leftChars="0" w:firstLine="0" w:firstLineChars="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投标人须具备投标截止之日起半年内任意两个月的纳税证明或完税证明，依法免税的单位应提供相关证明材料；</w:t>
            </w:r>
          </w:p>
        </w:tc>
        <w:tc>
          <w:tcPr>
            <w:tcW w:w="525" w:type="dxa"/>
          </w:tcPr>
          <w:p w14:paraId="11B533BE">
            <w:pPr>
              <w:rPr>
                <w:rFonts w:ascii="仿宋" w:hAnsi="仿宋" w:eastAsia="仿宋" w:cs="仿宋"/>
                <w:color w:val="auto"/>
                <w:szCs w:val="21"/>
                <w:highlight w:val="none"/>
                <w:lang w:eastAsia="zh-CN"/>
              </w:rPr>
            </w:pPr>
          </w:p>
        </w:tc>
        <w:tc>
          <w:tcPr>
            <w:tcW w:w="568" w:type="dxa"/>
          </w:tcPr>
          <w:p w14:paraId="5065D545">
            <w:pPr>
              <w:rPr>
                <w:rFonts w:ascii="仿宋" w:hAnsi="仿宋" w:eastAsia="仿宋" w:cs="仿宋"/>
                <w:color w:val="auto"/>
                <w:szCs w:val="21"/>
                <w:highlight w:val="none"/>
                <w:lang w:eastAsia="zh-CN"/>
              </w:rPr>
            </w:pPr>
          </w:p>
        </w:tc>
      </w:tr>
      <w:tr w14:paraId="2981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36" w:type="dxa"/>
            <w:vMerge w:val="continue"/>
            <w:vAlign w:val="center"/>
          </w:tcPr>
          <w:p w14:paraId="71CB8ECE">
            <w:pPr>
              <w:rPr>
                <w:rFonts w:ascii="仿宋" w:hAnsi="仿宋" w:eastAsia="仿宋" w:cs="仿宋"/>
                <w:color w:val="auto"/>
                <w:highlight w:val="none"/>
                <w:lang w:eastAsia="zh-CN"/>
              </w:rPr>
            </w:pPr>
          </w:p>
        </w:tc>
        <w:tc>
          <w:tcPr>
            <w:tcW w:w="495" w:type="dxa"/>
            <w:vAlign w:val="center"/>
          </w:tcPr>
          <w:p w14:paraId="10BD1BFF">
            <w:pPr>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7662" w:type="dxa"/>
            <w:vAlign w:val="center"/>
          </w:tcPr>
          <w:p w14:paraId="15752ED8">
            <w:pPr>
              <w:widowControl/>
              <w:textAlignment w:val="center"/>
              <w:rPr>
                <w:rFonts w:ascii="仿宋" w:hAnsi="仿宋" w:eastAsia="仿宋" w:cs="仿宋"/>
                <w:color w:val="auto"/>
                <w:highlight w:val="none"/>
                <w:lang w:eastAsia="zh-CN"/>
              </w:rPr>
            </w:pPr>
            <w:r>
              <w:rPr>
                <w:rFonts w:ascii="仿宋" w:hAnsi="仿宋" w:eastAsia="仿宋" w:cs="仿宋"/>
                <w:color w:val="auto"/>
                <w:highlight w:val="none"/>
                <w:lang w:eastAsia="zh-CN"/>
              </w:rPr>
              <w:t>投标人</w:t>
            </w:r>
            <w:r>
              <w:rPr>
                <w:rFonts w:hint="eastAsia" w:ascii="仿宋" w:hAnsi="仿宋" w:eastAsia="仿宋" w:cs="仿宋"/>
                <w:color w:val="auto"/>
                <w:highlight w:val="none"/>
                <w:lang w:eastAsia="zh-CN"/>
              </w:rPr>
              <w:t>须具备投标截止之日起半年内任意两个月</w:t>
            </w:r>
            <w:r>
              <w:rPr>
                <w:rFonts w:ascii="仿宋" w:hAnsi="仿宋" w:eastAsia="仿宋" w:cs="仿宋"/>
                <w:color w:val="auto"/>
                <w:highlight w:val="none"/>
                <w:lang w:eastAsia="zh-CN"/>
              </w:rPr>
              <w:t>的</w:t>
            </w:r>
            <w:r>
              <w:rPr>
                <w:rFonts w:hint="eastAsia" w:ascii="仿宋" w:hAnsi="仿宋" w:eastAsia="仿宋" w:cs="仿宋"/>
                <w:color w:val="auto"/>
                <w:highlight w:val="none"/>
                <w:lang w:eastAsia="zh-CN"/>
              </w:rPr>
              <w:t>缴纳</w:t>
            </w:r>
            <w:r>
              <w:rPr>
                <w:rFonts w:ascii="仿宋" w:hAnsi="仿宋" w:eastAsia="仿宋" w:cs="仿宋"/>
                <w:color w:val="auto"/>
                <w:highlight w:val="none"/>
                <w:lang w:eastAsia="zh-CN"/>
              </w:rPr>
              <w:t>社会保障资金的证明材料，依法不需要缴纳社会保障资金的单位应提供相关证明材料；</w:t>
            </w:r>
          </w:p>
        </w:tc>
        <w:tc>
          <w:tcPr>
            <w:tcW w:w="525" w:type="dxa"/>
          </w:tcPr>
          <w:p w14:paraId="09503FB1">
            <w:pPr>
              <w:rPr>
                <w:rFonts w:ascii="仿宋" w:hAnsi="仿宋" w:eastAsia="仿宋" w:cs="仿宋"/>
                <w:color w:val="auto"/>
                <w:szCs w:val="21"/>
                <w:highlight w:val="none"/>
                <w:lang w:eastAsia="zh-CN"/>
              </w:rPr>
            </w:pPr>
          </w:p>
        </w:tc>
        <w:tc>
          <w:tcPr>
            <w:tcW w:w="568" w:type="dxa"/>
          </w:tcPr>
          <w:p w14:paraId="49D86AB6">
            <w:pPr>
              <w:rPr>
                <w:rFonts w:ascii="仿宋" w:hAnsi="仿宋" w:eastAsia="仿宋" w:cs="仿宋"/>
                <w:color w:val="auto"/>
                <w:szCs w:val="21"/>
                <w:highlight w:val="none"/>
                <w:lang w:eastAsia="zh-CN"/>
              </w:rPr>
            </w:pPr>
          </w:p>
        </w:tc>
      </w:tr>
      <w:tr w14:paraId="167A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36" w:type="dxa"/>
            <w:vMerge w:val="continue"/>
            <w:vAlign w:val="center"/>
          </w:tcPr>
          <w:p w14:paraId="4D492499">
            <w:pPr>
              <w:rPr>
                <w:rFonts w:ascii="仿宋" w:hAnsi="仿宋" w:eastAsia="仿宋" w:cs="仿宋"/>
                <w:color w:val="auto"/>
                <w:highlight w:val="none"/>
                <w:lang w:eastAsia="zh-CN"/>
              </w:rPr>
            </w:pPr>
          </w:p>
        </w:tc>
        <w:tc>
          <w:tcPr>
            <w:tcW w:w="495" w:type="dxa"/>
            <w:vAlign w:val="center"/>
          </w:tcPr>
          <w:p w14:paraId="7DEECE3C">
            <w:pPr>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7662" w:type="dxa"/>
            <w:vAlign w:val="center"/>
          </w:tcPr>
          <w:p w14:paraId="35530D68">
            <w:pPr>
              <w:widowControl/>
              <w:textAlignment w:val="center"/>
              <w:rPr>
                <w:rFonts w:ascii="仿宋" w:hAnsi="仿宋" w:eastAsia="仿宋" w:cs="仿宋"/>
                <w:color w:val="auto"/>
                <w:highlight w:val="none"/>
                <w:lang w:eastAsia="zh-CN"/>
              </w:rPr>
            </w:pPr>
            <w:r>
              <w:rPr>
                <w:rFonts w:ascii="仿宋" w:hAnsi="仿宋" w:eastAsia="仿宋" w:cs="仿宋"/>
                <w:color w:val="auto"/>
                <w:highlight w:val="none"/>
                <w:lang w:eastAsia="zh-CN"/>
              </w:rPr>
              <w:t>提供</w:t>
            </w:r>
            <w:r>
              <w:rPr>
                <w:rFonts w:hint="eastAsia" w:ascii="仿宋" w:hAnsi="仿宋" w:eastAsia="仿宋" w:cs="仿宋"/>
                <w:color w:val="auto"/>
                <w:highlight w:val="none"/>
                <w:lang w:eastAsia="zh-CN"/>
              </w:rPr>
              <w:t>近一年202</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年度</w:t>
            </w:r>
            <w:r>
              <w:rPr>
                <w:rFonts w:ascii="仿宋" w:hAnsi="仿宋" w:eastAsia="仿宋" w:cs="仿宋"/>
                <w:color w:val="auto"/>
                <w:highlight w:val="none"/>
                <w:lang w:eastAsia="zh-CN"/>
              </w:rPr>
              <w:t>经审计的财务报告（包括审计报告、资产负债表和利润表，成立时间至</w:t>
            </w:r>
            <w:r>
              <w:rPr>
                <w:rFonts w:hint="eastAsia" w:ascii="仿宋" w:hAnsi="仿宋" w:eastAsia="仿宋" w:cs="仿宋"/>
                <w:color w:val="auto"/>
                <w:highlight w:val="none"/>
                <w:lang w:eastAsia="zh-CN"/>
              </w:rPr>
              <w:t>投标</w:t>
            </w:r>
            <w:r>
              <w:rPr>
                <w:rFonts w:ascii="仿宋" w:hAnsi="仿宋" w:eastAsia="仿宋" w:cs="仿宋"/>
                <w:color w:val="auto"/>
                <w:highlight w:val="none"/>
                <w:lang w:eastAsia="zh-CN"/>
              </w:rPr>
              <w:t>截止时间不足一年的可提供成立后任意时段的资产负债表）；</w:t>
            </w:r>
            <w:r>
              <w:rPr>
                <w:rFonts w:hint="eastAsia" w:ascii="仿宋" w:hAnsi="仿宋" w:eastAsia="仿宋" w:cs="仿宋"/>
                <w:color w:val="auto"/>
                <w:highlight w:val="none"/>
                <w:lang w:eastAsia="zh-CN"/>
              </w:rPr>
              <w:t>成立时间至投标截止时间不足一年的可提供成立后任意时段的资产负债表）；或其开标前三个月内基本存款账户开户银行出具的资信证明及基本存款账户开户许可证（或基本存款账户信息相关证明文件）；或信用担保机构出具的投标担保函；</w:t>
            </w:r>
          </w:p>
        </w:tc>
        <w:tc>
          <w:tcPr>
            <w:tcW w:w="525" w:type="dxa"/>
          </w:tcPr>
          <w:p w14:paraId="77299240">
            <w:pPr>
              <w:rPr>
                <w:rFonts w:ascii="仿宋" w:hAnsi="仿宋" w:eastAsia="仿宋" w:cs="仿宋"/>
                <w:color w:val="auto"/>
                <w:szCs w:val="21"/>
                <w:highlight w:val="none"/>
                <w:lang w:eastAsia="zh-CN"/>
              </w:rPr>
            </w:pPr>
          </w:p>
        </w:tc>
        <w:tc>
          <w:tcPr>
            <w:tcW w:w="568" w:type="dxa"/>
          </w:tcPr>
          <w:p w14:paraId="7A1CCCE3">
            <w:pPr>
              <w:rPr>
                <w:rFonts w:ascii="仿宋" w:hAnsi="仿宋" w:eastAsia="仿宋" w:cs="仿宋"/>
                <w:color w:val="auto"/>
                <w:szCs w:val="21"/>
                <w:highlight w:val="none"/>
                <w:lang w:eastAsia="zh-CN"/>
              </w:rPr>
            </w:pPr>
          </w:p>
        </w:tc>
      </w:tr>
      <w:tr w14:paraId="0ACC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36" w:type="dxa"/>
            <w:vMerge w:val="continue"/>
            <w:vAlign w:val="center"/>
          </w:tcPr>
          <w:p w14:paraId="72E9CCB8">
            <w:pPr>
              <w:rPr>
                <w:rFonts w:ascii="仿宋" w:hAnsi="仿宋" w:eastAsia="仿宋" w:cs="仿宋"/>
                <w:color w:val="auto"/>
                <w:highlight w:val="none"/>
                <w:lang w:eastAsia="zh-CN"/>
              </w:rPr>
            </w:pPr>
          </w:p>
        </w:tc>
        <w:tc>
          <w:tcPr>
            <w:tcW w:w="495" w:type="dxa"/>
            <w:vAlign w:val="center"/>
          </w:tcPr>
          <w:p w14:paraId="71B654EA">
            <w:pPr>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7662" w:type="dxa"/>
            <w:vAlign w:val="center"/>
          </w:tcPr>
          <w:p w14:paraId="46732DD5">
            <w:pPr>
              <w:widowControl/>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经销商须提供《食品经营许可证》或向市场监管部门提交备案的资料；厂家须提供《食品生产许可证》或向市场监管部门提交备案的资料；</w:t>
            </w:r>
          </w:p>
        </w:tc>
        <w:tc>
          <w:tcPr>
            <w:tcW w:w="525" w:type="dxa"/>
          </w:tcPr>
          <w:p w14:paraId="7FFDAA3C">
            <w:pPr>
              <w:rPr>
                <w:rFonts w:ascii="仿宋" w:hAnsi="仿宋" w:eastAsia="仿宋" w:cs="仿宋"/>
                <w:color w:val="auto"/>
                <w:szCs w:val="21"/>
                <w:highlight w:val="none"/>
                <w:lang w:eastAsia="zh-CN"/>
              </w:rPr>
            </w:pPr>
          </w:p>
        </w:tc>
        <w:tc>
          <w:tcPr>
            <w:tcW w:w="568" w:type="dxa"/>
          </w:tcPr>
          <w:p w14:paraId="072D8874">
            <w:pPr>
              <w:rPr>
                <w:rFonts w:ascii="仿宋" w:hAnsi="仿宋" w:eastAsia="仿宋" w:cs="仿宋"/>
                <w:color w:val="auto"/>
                <w:szCs w:val="21"/>
                <w:highlight w:val="none"/>
                <w:lang w:eastAsia="zh-CN"/>
              </w:rPr>
            </w:pPr>
          </w:p>
        </w:tc>
      </w:tr>
      <w:tr w14:paraId="5801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36" w:type="dxa"/>
            <w:vMerge w:val="continue"/>
            <w:vAlign w:val="center"/>
          </w:tcPr>
          <w:p w14:paraId="3E038295">
            <w:pPr>
              <w:rPr>
                <w:rFonts w:ascii="仿宋" w:hAnsi="仿宋" w:eastAsia="仿宋" w:cs="仿宋"/>
                <w:color w:val="auto"/>
                <w:highlight w:val="none"/>
                <w:lang w:eastAsia="zh-CN"/>
              </w:rPr>
            </w:pPr>
          </w:p>
        </w:tc>
        <w:tc>
          <w:tcPr>
            <w:tcW w:w="495" w:type="dxa"/>
            <w:vAlign w:val="center"/>
          </w:tcPr>
          <w:p w14:paraId="65FD4934">
            <w:pPr>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7662" w:type="dxa"/>
            <w:vAlign w:val="center"/>
          </w:tcPr>
          <w:p w14:paraId="57D0018C">
            <w:pPr>
              <w:widowControl/>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参加政府采购活动前三年内，在经营活动中没有重大违法记录；未被“信用中国”（www.creditchina.gov.cn）、中国政府采购网（www.ccgp.gov.cn）列入失信被执行人、税收违法黑名单、政府采购严重违法失信行为记录名单。</w:t>
            </w:r>
          </w:p>
        </w:tc>
        <w:tc>
          <w:tcPr>
            <w:tcW w:w="525" w:type="dxa"/>
          </w:tcPr>
          <w:p w14:paraId="6999BEBB">
            <w:pPr>
              <w:rPr>
                <w:rFonts w:ascii="仿宋" w:hAnsi="仿宋" w:eastAsia="仿宋" w:cs="仿宋"/>
                <w:color w:val="auto"/>
                <w:szCs w:val="21"/>
                <w:highlight w:val="none"/>
                <w:lang w:eastAsia="zh-CN"/>
              </w:rPr>
            </w:pPr>
          </w:p>
        </w:tc>
        <w:tc>
          <w:tcPr>
            <w:tcW w:w="568" w:type="dxa"/>
          </w:tcPr>
          <w:p w14:paraId="77E2BB1A">
            <w:pPr>
              <w:rPr>
                <w:rFonts w:ascii="仿宋" w:hAnsi="仿宋" w:eastAsia="仿宋" w:cs="仿宋"/>
                <w:color w:val="auto"/>
                <w:szCs w:val="21"/>
                <w:highlight w:val="none"/>
                <w:lang w:eastAsia="zh-CN"/>
              </w:rPr>
            </w:pPr>
          </w:p>
        </w:tc>
      </w:tr>
      <w:tr w14:paraId="57FB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36" w:type="dxa"/>
            <w:vMerge w:val="continue"/>
            <w:vAlign w:val="center"/>
          </w:tcPr>
          <w:p w14:paraId="06688016">
            <w:pPr>
              <w:jc w:val="center"/>
              <w:rPr>
                <w:rFonts w:ascii="仿宋" w:hAnsi="仿宋" w:eastAsia="仿宋" w:cs="仿宋"/>
                <w:color w:val="auto"/>
                <w:szCs w:val="21"/>
                <w:highlight w:val="none"/>
                <w:lang w:eastAsia="zh-CN"/>
              </w:rPr>
            </w:pPr>
          </w:p>
        </w:tc>
        <w:tc>
          <w:tcPr>
            <w:tcW w:w="495" w:type="dxa"/>
          </w:tcPr>
          <w:p w14:paraId="6189545F">
            <w:pPr>
              <w:spacing w:line="440" w:lineRule="exact"/>
              <w:rPr>
                <w:rFonts w:hint="default" w:ascii="仿宋" w:hAnsi="仿宋" w:eastAsia="仿宋" w:cs="仿宋"/>
                <w:color w:val="auto"/>
                <w:szCs w:val="21"/>
                <w:highlight w:val="none"/>
                <w:lang w:val="en-US" w:eastAsia="zh-CN"/>
              </w:rPr>
            </w:pPr>
          </w:p>
        </w:tc>
        <w:tc>
          <w:tcPr>
            <w:tcW w:w="7662" w:type="dxa"/>
          </w:tcPr>
          <w:p w14:paraId="45F47DC9">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结论：是否通过评审（须填写通过或不通过）</w:t>
            </w:r>
          </w:p>
          <w:p w14:paraId="4B8AEA1A">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注：如有一项不合格，作废标处理。</w:t>
            </w:r>
          </w:p>
        </w:tc>
        <w:tc>
          <w:tcPr>
            <w:tcW w:w="1093" w:type="dxa"/>
            <w:gridSpan w:val="2"/>
          </w:tcPr>
          <w:p w14:paraId="79D5D7B6">
            <w:pPr>
              <w:rPr>
                <w:rFonts w:ascii="仿宋" w:hAnsi="仿宋" w:eastAsia="仿宋" w:cs="仿宋"/>
                <w:color w:val="auto"/>
                <w:szCs w:val="21"/>
                <w:highlight w:val="none"/>
                <w:lang w:eastAsia="zh-CN"/>
              </w:rPr>
            </w:pPr>
          </w:p>
        </w:tc>
      </w:tr>
    </w:tbl>
    <w:p w14:paraId="14B36BB5">
      <w:pPr>
        <w:spacing w:line="400" w:lineRule="exact"/>
        <w:ind w:firstLine="581" w:firstLineChars="241"/>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6.2如评标专家在检验电子标书过程中，如果由于供应商自身原因导致评标专家无法查看并检验电子标书中以上相关资料的，否决其投标。即使投标单位将原件携带至现场的，同样按无效投标处理。</w:t>
      </w:r>
    </w:p>
    <w:p w14:paraId="5A36EEC9">
      <w:pPr>
        <w:spacing w:beforeLines="50" w:line="440" w:lineRule="exact"/>
        <w:ind w:firstLine="354" w:firstLineChars="147"/>
        <w:rPr>
          <w:rFonts w:ascii="仿宋" w:hAnsi="仿宋" w:eastAsia="仿宋" w:cs="仿宋"/>
          <w:b/>
          <w:color w:val="auto"/>
          <w:szCs w:val="21"/>
          <w:highlight w:val="none"/>
        </w:rPr>
      </w:pPr>
      <w:r>
        <w:rPr>
          <w:rFonts w:hint="eastAsia" w:ascii="仿宋" w:hAnsi="仿宋" w:eastAsia="仿宋" w:cs="仿宋"/>
          <w:b/>
          <w:color w:val="auto"/>
          <w:szCs w:val="21"/>
          <w:highlight w:val="none"/>
          <w:lang w:eastAsia="zh-CN"/>
        </w:rPr>
        <w:t>7</w:t>
      </w:r>
      <w:r>
        <w:rPr>
          <w:rFonts w:hint="eastAsia" w:ascii="仿宋" w:hAnsi="仿宋" w:eastAsia="仿宋" w:cs="仿宋"/>
          <w:b/>
          <w:color w:val="auto"/>
          <w:szCs w:val="21"/>
          <w:highlight w:val="none"/>
        </w:rPr>
        <w:t>.符合性审查</w:t>
      </w:r>
    </w:p>
    <w:p w14:paraId="01AB8576">
      <w:pPr>
        <w:spacing w:line="440" w:lineRule="exact"/>
        <w:ind w:firstLine="360" w:firstLineChars="150"/>
        <w:rPr>
          <w:rFonts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．1评审细则</w:t>
      </w:r>
    </w:p>
    <w:tbl>
      <w:tblPr>
        <w:tblStyle w:val="23"/>
        <w:tblpPr w:leftFromText="180" w:rightFromText="180" w:vertAnchor="text" w:horzAnchor="page" w:tblpX="1293" w:tblpY="544"/>
        <w:tblW w:w="943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597"/>
        <w:gridCol w:w="6378"/>
        <w:gridCol w:w="749"/>
        <w:gridCol w:w="617"/>
      </w:tblGrid>
      <w:tr w14:paraId="3C3C17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1094" w:type="dxa"/>
            <w:vMerge w:val="restart"/>
            <w:tcBorders>
              <w:top w:val="single" w:color="auto" w:sz="4" w:space="0"/>
              <w:left w:val="single" w:color="auto" w:sz="4" w:space="0"/>
            </w:tcBorders>
            <w:vAlign w:val="center"/>
          </w:tcPr>
          <w:p w14:paraId="4E838F8C">
            <w:pPr>
              <w:jc w:val="center"/>
              <w:rPr>
                <w:rFonts w:ascii="仿宋" w:hAnsi="仿宋" w:eastAsia="仿宋" w:cs="仿宋"/>
                <w:b/>
                <w:color w:val="auto"/>
                <w:highlight w:val="none"/>
              </w:rPr>
            </w:pPr>
            <w:r>
              <w:rPr>
                <w:rFonts w:hint="eastAsia" w:ascii="仿宋" w:hAnsi="仿宋" w:eastAsia="仿宋" w:cs="仿宋"/>
                <w:b/>
                <w:color w:val="auto"/>
                <w:highlight w:val="none"/>
              </w:rPr>
              <w:t>项目</w:t>
            </w:r>
          </w:p>
        </w:tc>
        <w:tc>
          <w:tcPr>
            <w:tcW w:w="6975" w:type="dxa"/>
            <w:gridSpan w:val="2"/>
            <w:vMerge w:val="restart"/>
            <w:tcBorders>
              <w:top w:val="single" w:color="auto" w:sz="4" w:space="0"/>
            </w:tcBorders>
            <w:vAlign w:val="center"/>
          </w:tcPr>
          <w:p w14:paraId="4D193957">
            <w:pPr>
              <w:jc w:val="center"/>
              <w:rPr>
                <w:rFonts w:ascii="仿宋" w:hAnsi="仿宋" w:eastAsia="仿宋" w:cs="仿宋"/>
                <w:b/>
                <w:color w:val="auto"/>
                <w:highlight w:val="none"/>
              </w:rPr>
            </w:pPr>
            <w:r>
              <w:rPr>
                <w:rFonts w:hint="eastAsia" w:ascii="仿宋" w:hAnsi="仿宋" w:eastAsia="仿宋" w:cs="仿宋"/>
                <w:b/>
                <w:color w:val="auto"/>
                <w:highlight w:val="none"/>
              </w:rPr>
              <w:t>评审内容</w:t>
            </w:r>
          </w:p>
        </w:tc>
        <w:tc>
          <w:tcPr>
            <w:tcW w:w="1366" w:type="dxa"/>
            <w:gridSpan w:val="2"/>
            <w:tcBorders>
              <w:top w:val="single" w:color="auto" w:sz="4" w:space="0"/>
              <w:right w:val="single" w:color="auto" w:sz="4" w:space="0"/>
            </w:tcBorders>
            <w:vAlign w:val="center"/>
          </w:tcPr>
          <w:p w14:paraId="46703797">
            <w:pPr>
              <w:jc w:val="center"/>
              <w:rPr>
                <w:rFonts w:ascii="仿宋" w:hAnsi="仿宋" w:eastAsia="仿宋" w:cs="仿宋"/>
                <w:b/>
                <w:color w:val="auto"/>
                <w:highlight w:val="none"/>
              </w:rPr>
            </w:pPr>
            <w:r>
              <w:rPr>
                <w:rFonts w:hint="eastAsia" w:ascii="仿宋" w:hAnsi="仿宋" w:eastAsia="仿宋" w:cs="仿宋"/>
                <w:b/>
                <w:color w:val="auto"/>
                <w:highlight w:val="none"/>
              </w:rPr>
              <w:t>评审意见</w:t>
            </w:r>
          </w:p>
        </w:tc>
      </w:tr>
      <w:tr w14:paraId="7156C2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94" w:type="dxa"/>
            <w:vMerge w:val="continue"/>
            <w:tcBorders>
              <w:left w:val="single" w:color="auto" w:sz="4" w:space="0"/>
              <w:bottom w:val="single" w:color="auto" w:sz="4" w:space="0"/>
            </w:tcBorders>
            <w:vAlign w:val="center"/>
          </w:tcPr>
          <w:p w14:paraId="5287EC6A">
            <w:pPr>
              <w:rPr>
                <w:rFonts w:ascii="仿宋" w:hAnsi="仿宋" w:eastAsia="仿宋" w:cs="仿宋"/>
                <w:color w:val="auto"/>
                <w:highlight w:val="none"/>
              </w:rPr>
            </w:pPr>
          </w:p>
        </w:tc>
        <w:tc>
          <w:tcPr>
            <w:tcW w:w="6975" w:type="dxa"/>
            <w:gridSpan w:val="2"/>
            <w:vMerge w:val="continue"/>
            <w:tcBorders>
              <w:bottom w:val="single" w:color="auto" w:sz="4" w:space="0"/>
            </w:tcBorders>
          </w:tcPr>
          <w:p w14:paraId="25BD70E7">
            <w:pPr>
              <w:rPr>
                <w:rFonts w:ascii="仿宋" w:hAnsi="仿宋" w:eastAsia="仿宋" w:cs="仿宋"/>
                <w:color w:val="auto"/>
                <w:highlight w:val="none"/>
              </w:rPr>
            </w:pPr>
          </w:p>
        </w:tc>
        <w:tc>
          <w:tcPr>
            <w:tcW w:w="749" w:type="dxa"/>
            <w:vAlign w:val="center"/>
          </w:tcPr>
          <w:p w14:paraId="028DF7AF">
            <w:pPr>
              <w:jc w:val="center"/>
              <w:rPr>
                <w:rFonts w:ascii="仿宋" w:hAnsi="仿宋" w:eastAsia="仿宋" w:cs="仿宋"/>
                <w:b/>
                <w:color w:val="auto"/>
                <w:highlight w:val="none"/>
              </w:rPr>
            </w:pPr>
            <w:r>
              <w:rPr>
                <w:rFonts w:hint="eastAsia" w:ascii="仿宋" w:hAnsi="仿宋" w:eastAsia="仿宋" w:cs="仿宋"/>
                <w:b/>
                <w:color w:val="auto"/>
                <w:highlight w:val="none"/>
              </w:rPr>
              <w:t>是</w:t>
            </w:r>
          </w:p>
        </w:tc>
        <w:tc>
          <w:tcPr>
            <w:tcW w:w="617" w:type="dxa"/>
            <w:tcBorders>
              <w:right w:val="single" w:color="auto" w:sz="4" w:space="0"/>
            </w:tcBorders>
            <w:vAlign w:val="center"/>
          </w:tcPr>
          <w:p w14:paraId="493C9116">
            <w:pPr>
              <w:jc w:val="center"/>
              <w:rPr>
                <w:rFonts w:ascii="仿宋" w:hAnsi="仿宋" w:eastAsia="仿宋" w:cs="仿宋"/>
                <w:b/>
                <w:color w:val="auto"/>
                <w:highlight w:val="none"/>
              </w:rPr>
            </w:pPr>
            <w:r>
              <w:rPr>
                <w:rFonts w:hint="eastAsia" w:ascii="仿宋" w:hAnsi="仿宋" w:eastAsia="仿宋" w:cs="仿宋"/>
                <w:b/>
                <w:color w:val="auto"/>
                <w:highlight w:val="none"/>
              </w:rPr>
              <w:t>否</w:t>
            </w:r>
          </w:p>
        </w:tc>
      </w:tr>
      <w:tr w14:paraId="66B23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 w:hRule="atLeast"/>
        </w:trPr>
        <w:tc>
          <w:tcPr>
            <w:tcW w:w="1094" w:type="dxa"/>
            <w:vMerge w:val="restart"/>
            <w:tcBorders>
              <w:top w:val="single" w:color="auto" w:sz="4" w:space="0"/>
              <w:left w:val="single" w:color="auto" w:sz="4" w:space="0"/>
              <w:right w:val="single" w:color="auto" w:sz="4" w:space="0"/>
            </w:tcBorders>
            <w:vAlign w:val="center"/>
          </w:tcPr>
          <w:p w14:paraId="52CEF36D">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审</w:t>
            </w:r>
          </w:p>
          <w:p w14:paraId="494234F4">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查</w:t>
            </w:r>
          </w:p>
          <w:p w14:paraId="664DE84A">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标</w:t>
            </w:r>
          </w:p>
          <w:p w14:paraId="07D09364">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准</w:t>
            </w:r>
          </w:p>
        </w:tc>
        <w:tc>
          <w:tcPr>
            <w:tcW w:w="597" w:type="dxa"/>
            <w:tcBorders>
              <w:top w:val="single" w:color="auto" w:sz="4" w:space="0"/>
              <w:left w:val="single" w:color="auto" w:sz="4" w:space="0"/>
              <w:right w:val="single" w:color="auto" w:sz="4" w:space="0"/>
            </w:tcBorders>
            <w:vAlign w:val="center"/>
          </w:tcPr>
          <w:p w14:paraId="12015668">
            <w:pPr>
              <w:jc w:val="center"/>
              <w:rPr>
                <w:rFonts w:ascii="仿宋" w:hAnsi="仿宋" w:eastAsia="仿宋" w:cs="仿宋"/>
                <w:color w:val="auto"/>
                <w:highlight w:val="none"/>
              </w:rPr>
            </w:pPr>
            <w:r>
              <w:rPr>
                <w:rFonts w:hint="eastAsia" w:ascii="仿宋" w:hAnsi="仿宋" w:eastAsia="仿宋" w:cs="仿宋"/>
                <w:color w:val="auto"/>
                <w:highlight w:val="none"/>
              </w:rPr>
              <w:t>1</w:t>
            </w:r>
          </w:p>
        </w:tc>
        <w:tc>
          <w:tcPr>
            <w:tcW w:w="6378" w:type="dxa"/>
            <w:tcBorders>
              <w:top w:val="single" w:color="auto" w:sz="4" w:space="0"/>
              <w:left w:val="single" w:color="auto" w:sz="4" w:space="0"/>
              <w:right w:val="single" w:color="auto" w:sz="4" w:space="0"/>
            </w:tcBorders>
            <w:vAlign w:val="center"/>
          </w:tcPr>
          <w:p w14:paraId="536CBA59">
            <w:pPr>
              <w:widowControl/>
              <w:textAlignment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是否按照招标文件规定要求签署、盖章；</w:t>
            </w:r>
          </w:p>
        </w:tc>
        <w:tc>
          <w:tcPr>
            <w:tcW w:w="749" w:type="dxa"/>
            <w:tcBorders>
              <w:left w:val="single" w:color="auto" w:sz="4" w:space="0"/>
              <w:right w:val="single" w:color="auto" w:sz="4" w:space="0"/>
            </w:tcBorders>
          </w:tcPr>
          <w:p w14:paraId="654C0728">
            <w:pPr>
              <w:jc w:val="center"/>
              <w:rPr>
                <w:rFonts w:ascii="仿宋" w:hAnsi="仿宋" w:eastAsia="仿宋" w:cs="仿宋"/>
                <w:b/>
                <w:color w:val="auto"/>
                <w:szCs w:val="21"/>
                <w:highlight w:val="none"/>
                <w:lang w:eastAsia="zh-CN"/>
              </w:rPr>
            </w:pPr>
          </w:p>
        </w:tc>
        <w:tc>
          <w:tcPr>
            <w:tcW w:w="617" w:type="dxa"/>
            <w:tcBorders>
              <w:left w:val="single" w:color="auto" w:sz="4" w:space="0"/>
              <w:right w:val="single" w:color="auto" w:sz="4" w:space="0"/>
            </w:tcBorders>
          </w:tcPr>
          <w:p w14:paraId="6883F62B">
            <w:pPr>
              <w:jc w:val="center"/>
              <w:rPr>
                <w:rFonts w:ascii="仿宋" w:hAnsi="仿宋" w:eastAsia="仿宋" w:cs="仿宋"/>
                <w:b/>
                <w:color w:val="auto"/>
                <w:szCs w:val="21"/>
                <w:highlight w:val="none"/>
                <w:lang w:eastAsia="zh-CN"/>
              </w:rPr>
            </w:pPr>
          </w:p>
        </w:tc>
      </w:tr>
      <w:tr w14:paraId="6963A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8" w:hRule="atLeast"/>
        </w:trPr>
        <w:tc>
          <w:tcPr>
            <w:tcW w:w="1094" w:type="dxa"/>
            <w:vMerge w:val="continue"/>
            <w:tcBorders>
              <w:left w:val="single" w:color="auto" w:sz="4" w:space="0"/>
              <w:right w:val="single" w:color="auto" w:sz="4" w:space="0"/>
            </w:tcBorders>
            <w:vAlign w:val="center"/>
          </w:tcPr>
          <w:p w14:paraId="0C0601F9">
            <w:pPr>
              <w:rPr>
                <w:rFonts w:ascii="仿宋" w:hAnsi="仿宋" w:eastAsia="仿宋" w:cs="仿宋"/>
                <w:color w:val="auto"/>
                <w:highlight w:val="none"/>
                <w:lang w:eastAsia="zh-CN"/>
              </w:rPr>
            </w:pPr>
          </w:p>
        </w:tc>
        <w:tc>
          <w:tcPr>
            <w:tcW w:w="597" w:type="dxa"/>
            <w:tcBorders>
              <w:top w:val="single" w:color="auto" w:sz="4" w:space="0"/>
              <w:left w:val="single" w:color="auto" w:sz="4" w:space="0"/>
              <w:bottom w:val="single" w:color="auto" w:sz="4" w:space="0"/>
              <w:right w:val="single" w:color="auto" w:sz="4" w:space="0"/>
            </w:tcBorders>
            <w:vAlign w:val="center"/>
          </w:tcPr>
          <w:p w14:paraId="1A0B7A7F">
            <w:pPr>
              <w:jc w:val="center"/>
              <w:rPr>
                <w:rFonts w:ascii="仿宋" w:hAnsi="仿宋" w:eastAsia="仿宋" w:cs="仿宋"/>
                <w:color w:val="auto"/>
                <w:highlight w:val="none"/>
              </w:rPr>
            </w:pPr>
            <w:r>
              <w:rPr>
                <w:rFonts w:hint="eastAsia" w:ascii="仿宋" w:hAnsi="仿宋" w:eastAsia="仿宋" w:cs="仿宋"/>
                <w:color w:val="auto"/>
                <w:highlight w:val="none"/>
              </w:rPr>
              <w:t>2</w:t>
            </w:r>
          </w:p>
        </w:tc>
        <w:tc>
          <w:tcPr>
            <w:tcW w:w="6378" w:type="dxa"/>
            <w:tcBorders>
              <w:top w:val="single" w:color="auto" w:sz="4" w:space="0"/>
              <w:left w:val="single" w:color="auto" w:sz="4" w:space="0"/>
              <w:bottom w:val="single" w:color="auto" w:sz="4" w:space="0"/>
              <w:right w:val="single" w:color="auto" w:sz="4" w:space="0"/>
            </w:tcBorders>
            <w:vAlign w:val="center"/>
          </w:tcPr>
          <w:p w14:paraId="14F14AF3">
            <w:pPr>
              <w:widowControl/>
              <w:textAlignment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是否满足招标文件中实质性条款要求；</w:t>
            </w:r>
          </w:p>
        </w:tc>
        <w:tc>
          <w:tcPr>
            <w:tcW w:w="749" w:type="dxa"/>
            <w:tcBorders>
              <w:left w:val="single" w:color="auto" w:sz="4" w:space="0"/>
            </w:tcBorders>
          </w:tcPr>
          <w:p w14:paraId="715229AF">
            <w:pPr>
              <w:rPr>
                <w:rFonts w:ascii="仿宋" w:hAnsi="仿宋" w:eastAsia="仿宋" w:cs="仿宋"/>
                <w:color w:val="auto"/>
                <w:szCs w:val="21"/>
                <w:highlight w:val="none"/>
                <w:lang w:eastAsia="zh-CN"/>
              </w:rPr>
            </w:pPr>
          </w:p>
        </w:tc>
        <w:tc>
          <w:tcPr>
            <w:tcW w:w="617" w:type="dxa"/>
            <w:tcBorders>
              <w:right w:val="single" w:color="auto" w:sz="4" w:space="0"/>
            </w:tcBorders>
          </w:tcPr>
          <w:p w14:paraId="5844EE99">
            <w:pPr>
              <w:rPr>
                <w:rFonts w:ascii="仿宋" w:hAnsi="仿宋" w:eastAsia="仿宋" w:cs="仿宋"/>
                <w:color w:val="auto"/>
                <w:szCs w:val="21"/>
                <w:highlight w:val="none"/>
                <w:lang w:eastAsia="zh-CN"/>
              </w:rPr>
            </w:pPr>
          </w:p>
        </w:tc>
      </w:tr>
      <w:tr w14:paraId="4C399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094" w:type="dxa"/>
            <w:vMerge w:val="continue"/>
            <w:tcBorders>
              <w:left w:val="single" w:color="auto" w:sz="4" w:space="0"/>
              <w:right w:val="single" w:color="auto" w:sz="4" w:space="0"/>
            </w:tcBorders>
            <w:vAlign w:val="center"/>
          </w:tcPr>
          <w:p w14:paraId="761D055D">
            <w:pPr>
              <w:rPr>
                <w:rFonts w:ascii="仿宋" w:hAnsi="仿宋" w:eastAsia="仿宋" w:cs="仿宋"/>
                <w:color w:val="auto"/>
                <w:highlight w:val="none"/>
                <w:lang w:eastAsia="zh-CN"/>
              </w:rPr>
            </w:pPr>
          </w:p>
        </w:tc>
        <w:tc>
          <w:tcPr>
            <w:tcW w:w="597" w:type="dxa"/>
            <w:tcBorders>
              <w:top w:val="single" w:color="auto" w:sz="4" w:space="0"/>
              <w:left w:val="single" w:color="auto" w:sz="4" w:space="0"/>
              <w:right w:val="single" w:color="auto" w:sz="4" w:space="0"/>
            </w:tcBorders>
            <w:vAlign w:val="center"/>
          </w:tcPr>
          <w:p w14:paraId="4F4DA565">
            <w:pPr>
              <w:jc w:val="center"/>
              <w:rPr>
                <w:rFonts w:ascii="仿宋" w:hAnsi="仿宋" w:eastAsia="仿宋" w:cs="仿宋"/>
                <w:color w:val="auto"/>
                <w:highlight w:val="none"/>
              </w:rPr>
            </w:pPr>
            <w:r>
              <w:rPr>
                <w:rFonts w:hint="eastAsia" w:ascii="仿宋" w:hAnsi="仿宋" w:eastAsia="仿宋" w:cs="仿宋"/>
                <w:color w:val="auto"/>
                <w:highlight w:val="none"/>
              </w:rPr>
              <w:t>3</w:t>
            </w:r>
          </w:p>
        </w:tc>
        <w:tc>
          <w:tcPr>
            <w:tcW w:w="6378" w:type="dxa"/>
            <w:tcBorders>
              <w:top w:val="single" w:color="auto" w:sz="4" w:space="0"/>
              <w:left w:val="single" w:color="auto" w:sz="4" w:space="0"/>
              <w:right w:val="single" w:color="auto" w:sz="4" w:space="0"/>
            </w:tcBorders>
            <w:vAlign w:val="center"/>
          </w:tcPr>
          <w:p w14:paraId="2CE59457">
            <w:pPr>
              <w:widowControl/>
              <w:textAlignment w:val="center"/>
              <w:rPr>
                <w:rFonts w:ascii="仿宋" w:hAnsi="仿宋" w:eastAsia="仿宋" w:cs="仿宋"/>
                <w:color w:val="auto"/>
                <w:highlight w:val="none"/>
              </w:rPr>
            </w:pPr>
            <w:r>
              <w:rPr>
                <w:rFonts w:hint="eastAsia" w:ascii="仿宋" w:hAnsi="仿宋" w:eastAsia="仿宋" w:cs="仿宋"/>
                <w:color w:val="auto"/>
                <w:highlight w:val="none"/>
              </w:rPr>
              <w:t>投标文件未含有采购人不能接受的附加条件；</w:t>
            </w:r>
          </w:p>
        </w:tc>
        <w:tc>
          <w:tcPr>
            <w:tcW w:w="749" w:type="dxa"/>
            <w:tcBorders>
              <w:left w:val="single" w:color="auto" w:sz="4" w:space="0"/>
            </w:tcBorders>
          </w:tcPr>
          <w:p w14:paraId="12DFA922">
            <w:pPr>
              <w:rPr>
                <w:rFonts w:ascii="仿宋" w:hAnsi="仿宋" w:eastAsia="仿宋" w:cs="仿宋"/>
                <w:color w:val="auto"/>
                <w:szCs w:val="21"/>
                <w:highlight w:val="none"/>
              </w:rPr>
            </w:pPr>
          </w:p>
        </w:tc>
        <w:tc>
          <w:tcPr>
            <w:tcW w:w="617" w:type="dxa"/>
            <w:tcBorders>
              <w:right w:val="single" w:color="auto" w:sz="4" w:space="0"/>
            </w:tcBorders>
          </w:tcPr>
          <w:p w14:paraId="03000220">
            <w:pPr>
              <w:rPr>
                <w:rFonts w:ascii="仿宋" w:hAnsi="仿宋" w:eastAsia="仿宋" w:cs="仿宋"/>
                <w:color w:val="auto"/>
                <w:szCs w:val="21"/>
                <w:highlight w:val="none"/>
              </w:rPr>
            </w:pPr>
          </w:p>
        </w:tc>
      </w:tr>
      <w:tr w14:paraId="48B2D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1094" w:type="dxa"/>
            <w:vMerge w:val="continue"/>
            <w:tcBorders>
              <w:left w:val="single" w:color="auto" w:sz="4" w:space="0"/>
              <w:right w:val="single" w:color="auto" w:sz="4" w:space="0"/>
            </w:tcBorders>
            <w:vAlign w:val="center"/>
          </w:tcPr>
          <w:p w14:paraId="7932633D">
            <w:pPr>
              <w:rPr>
                <w:rFonts w:ascii="仿宋" w:hAnsi="仿宋" w:eastAsia="仿宋" w:cs="仿宋"/>
                <w:color w:val="auto"/>
                <w:highlight w:val="none"/>
              </w:rPr>
            </w:pPr>
          </w:p>
        </w:tc>
        <w:tc>
          <w:tcPr>
            <w:tcW w:w="597" w:type="dxa"/>
            <w:tcBorders>
              <w:left w:val="single" w:color="auto" w:sz="4" w:space="0"/>
            </w:tcBorders>
            <w:vAlign w:val="center"/>
          </w:tcPr>
          <w:p w14:paraId="4D482551">
            <w:pPr>
              <w:jc w:val="center"/>
              <w:rPr>
                <w:rFonts w:ascii="仿宋" w:hAnsi="仿宋" w:eastAsia="仿宋" w:cs="仿宋"/>
                <w:color w:val="auto"/>
                <w:highlight w:val="none"/>
              </w:rPr>
            </w:pPr>
            <w:r>
              <w:rPr>
                <w:rFonts w:hint="eastAsia" w:ascii="仿宋" w:hAnsi="仿宋" w:eastAsia="仿宋" w:cs="仿宋"/>
                <w:color w:val="auto"/>
                <w:highlight w:val="none"/>
                <w:lang w:eastAsia="zh-CN"/>
              </w:rPr>
              <w:t>4</w:t>
            </w:r>
          </w:p>
        </w:tc>
        <w:tc>
          <w:tcPr>
            <w:tcW w:w="6378" w:type="dxa"/>
            <w:tcBorders>
              <w:right w:val="single" w:color="auto" w:sz="4" w:space="0"/>
            </w:tcBorders>
            <w:vAlign w:val="center"/>
          </w:tcPr>
          <w:p w14:paraId="46A9422B">
            <w:pPr>
              <w:widowControl/>
              <w:textAlignment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投标文件未存在符合法律、法规和招标文件规定的其他无效情形；</w:t>
            </w:r>
          </w:p>
        </w:tc>
        <w:tc>
          <w:tcPr>
            <w:tcW w:w="749" w:type="dxa"/>
            <w:tcBorders>
              <w:left w:val="single" w:color="auto" w:sz="4" w:space="0"/>
            </w:tcBorders>
          </w:tcPr>
          <w:p w14:paraId="3D729E03">
            <w:pPr>
              <w:rPr>
                <w:rFonts w:ascii="仿宋" w:hAnsi="仿宋" w:eastAsia="仿宋" w:cs="仿宋"/>
                <w:color w:val="auto"/>
                <w:szCs w:val="21"/>
                <w:highlight w:val="none"/>
                <w:lang w:eastAsia="zh-CN"/>
              </w:rPr>
            </w:pPr>
          </w:p>
        </w:tc>
        <w:tc>
          <w:tcPr>
            <w:tcW w:w="617" w:type="dxa"/>
            <w:tcBorders>
              <w:right w:val="single" w:color="auto" w:sz="4" w:space="0"/>
            </w:tcBorders>
          </w:tcPr>
          <w:p w14:paraId="6FC18068">
            <w:pPr>
              <w:rPr>
                <w:rFonts w:ascii="仿宋" w:hAnsi="仿宋" w:eastAsia="仿宋" w:cs="仿宋"/>
                <w:color w:val="auto"/>
                <w:szCs w:val="21"/>
                <w:highlight w:val="none"/>
                <w:lang w:eastAsia="zh-CN"/>
              </w:rPr>
            </w:pPr>
          </w:p>
        </w:tc>
      </w:tr>
      <w:tr w14:paraId="3EBBD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094" w:type="dxa"/>
            <w:vMerge w:val="continue"/>
            <w:tcBorders>
              <w:left w:val="single" w:color="auto" w:sz="4" w:space="0"/>
              <w:right w:val="single" w:color="auto" w:sz="4" w:space="0"/>
            </w:tcBorders>
            <w:vAlign w:val="center"/>
          </w:tcPr>
          <w:p w14:paraId="54996F97">
            <w:pPr>
              <w:rPr>
                <w:rFonts w:ascii="仿宋" w:hAnsi="仿宋" w:eastAsia="仿宋" w:cs="仿宋"/>
                <w:color w:val="auto"/>
                <w:highlight w:val="none"/>
                <w:lang w:eastAsia="zh-CN"/>
              </w:rPr>
            </w:pPr>
          </w:p>
        </w:tc>
        <w:tc>
          <w:tcPr>
            <w:tcW w:w="597" w:type="dxa"/>
            <w:tcBorders>
              <w:left w:val="single" w:color="auto" w:sz="4" w:space="0"/>
              <w:bottom w:val="single" w:color="auto" w:sz="4" w:space="0"/>
            </w:tcBorders>
            <w:vAlign w:val="center"/>
          </w:tcPr>
          <w:p w14:paraId="1F56FB9D">
            <w:pPr>
              <w:jc w:val="center"/>
              <w:rPr>
                <w:rFonts w:ascii="仿宋" w:hAnsi="仿宋" w:eastAsia="仿宋" w:cs="仿宋"/>
                <w:color w:val="auto"/>
                <w:highlight w:val="none"/>
              </w:rPr>
            </w:pPr>
            <w:r>
              <w:rPr>
                <w:rFonts w:hint="eastAsia" w:ascii="仿宋" w:hAnsi="仿宋" w:eastAsia="仿宋" w:cs="仿宋"/>
                <w:color w:val="auto"/>
                <w:highlight w:val="none"/>
              </w:rPr>
              <w:t>5</w:t>
            </w:r>
          </w:p>
        </w:tc>
        <w:tc>
          <w:tcPr>
            <w:tcW w:w="6378" w:type="dxa"/>
            <w:tcBorders>
              <w:bottom w:val="single" w:color="auto" w:sz="4" w:space="0"/>
              <w:right w:val="single" w:color="auto" w:sz="4" w:space="0"/>
            </w:tcBorders>
            <w:vAlign w:val="center"/>
          </w:tcPr>
          <w:p w14:paraId="4390ED9B">
            <w:pPr>
              <w:widowControl/>
              <w:textAlignment w:val="center"/>
              <w:rPr>
                <w:rFonts w:ascii="仿宋" w:hAnsi="仿宋" w:eastAsia="仿宋" w:cs="仿宋"/>
                <w:color w:val="auto"/>
                <w:highlight w:val="none"/>
                <w:lang w:eastAsia="zh-CN"/>
              </w:rPr>
            </w:pPr>
            <w:r>
              <w:rPr>
                <w:rFonts w:ascii="仿宋" w:hAnsi="仿宋" w:eastAsia="仿宋" w:cs="仿宋"/>
                <w:color w:val="auto"/>
                <w:highlight w:val="none"/>
                <w:lang w:eastAsia="zh-CN"/>
              </w:rPr>
              <w:t>投标人</w:t>
            </w:r>
            <w:r>
              <w:rPr>
                <w:rFonts w:hint="eastAsia" w:ascii="仿宋" w:hAnsi="仿宋" w:eastAsia="仿宋" w:cs="仿宋"/>
                <w:color w:val="auto"/>
                <w:highlight w:val="none"/>
                <w:lang w:eastAsia="zh-CN"/>
              </w:rPr>
              <w:t>是否</w:t>
            </w:r>
            <w:r>
              <w:rPr>
                <w:rFonts w:ascii="仿宋" w:hAnsi="仿宋" w:eastAsia="仿宋" w:cs="仿宋"/>
                <w:color w:val="auto"/>
                <w:highlight w:val="none"/>
                <w:lang w:eastAsia="zh-CN"/>
              </w:rPr>
              <w:t>按照招标文件规定提交投标保证金；</w:t>
            </w:r>
          </w:p>
        </w:tc>
        <w:tc>
          <w:tcPr>
            <w:tcW w:w="749" w:type="dxa"/>
            <w:tcBorders>
              <w:left w:val="single" w:color="auto" w:sz="4" w:space="0"/>
              <w:bottom w:val="single" w:color="auto" w:sz="4" w:space="0"/>
            </w:tcBorders>
          </w:tcPr>
          <w:p w14:paraId="37958E3A">
            <w:pPr>
              <w:rPr>
                <w:rFonts w:ascii="仿宋" w:hAnsi="仿宋" w:eastAsia="仿宋" w:cs="仿宋"/>
                <w:color w:val="auto"/>
                <w:szCs w:val="21"/>
                <w:highlight w:val="none"/>
                <w:lang w:eastAsia="zh-CN"/>
              </w:rPr>
            </w:pPr>
          </w:p>
        </w:tc>
        <w:tc>
          <w:tcPr>
            <w:tcW w:w="617" w:type="dxa"/>
            <w:tcBorders>
              <w:bottom w:val="single" w:color="auto" w:sz="4" w:space="0"/>
              <w:right w:val="single" w:color="auto" w:sz="4" w:space="0"/>
            </w:tcBorders>
          </w:tcPr>
          <w:p w14:paraId="6208EFE2">
            <w:pPr>
              <w:rPr>
                <w:rFonts w:ascii="仿宋" w:hAnsi="仿宋" w:eastAsia="仿宋" w:cs="仿宋"/>
                <w:color w:val="auto"/>
                <w:szCs w:val="21"/>
                <w:highlight w:val="none"/>
                <w:lang w:eastAsia="zh-CN"/>
              </w:rPr>
            </w:pPr>
          </w:p>
        </w:tc>
      </w:tr>
      <w:tr w14:paraId="074F7D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1094" w:type="dxa"/>
            <w:vMerge w:val="continue"/>
            <w:tcBorders>
              <w:left w:val="single" w:color="auto" w:sz="4" w:space="0"/>
              <w:right w:val="single" w:color="auto" w:sz="4" w:space="0"/>
            </w:tcBorders>
            <w:vAlign w:val="center"/>
          </w:tcPr>
          <w:p w14:paraId="485B27A9">
            <w:pPr>
              <w:rPr>
                <w:rFonts w:ascii="仿宋" w:hAnsi="仿宋" w:eastAsia="仿宋" w:cs="仿宋"/>
                <w:color w:val="auto"/>
                <w:highlight w:val="none"/>
                <w:lang w:eastAsia="zh-CN"/>
              </w:rPr>
            </w:pPr>
          </w:p>
        </w:tc>
        <w:tc>
          <w:tcPr>
            <w:tcW w:w="597" w:type="dxa"/>
            <w:tcBorders>
              <w:top w:val="single" w:color="auto" w:sz="4" w:space="0"/>
              <w:left w:val="single" w:color="auto" w:sz="4" w:space="0"/>
            </w:tcBorders>
            <w:vAlign w:val="center"/>
          </w:tcPr>
          <w:p w14:paraId="36D19BB7">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6</w:t>
            </w:r>
          </w:p>
        </w:tc>
        <w:tc>
          <w:tcPr>
            <w:tcW w:w="6378" w:type="dxa"/>
            <w:tcBorders>
              <w:top w:val="single" w:color="auto" w:sz="4" w:space="0"/>
              <w:right w:val="single" w:color="auto" w:sz="4" w:space="0"/>
            </w:tcBorders>
            <w:vAlign w:val="center"/>
          </w:tcPr>
          <w:p w14:paraId="3334114C">
            <w:pPr>
              <w:widowControl/>
              <w:textAlignment w:val="center"/>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供货服务</w:t>
            </w:r>
            <w:r>
              <w:rPr>
                <w:rFonts w:hint="eastAsia" w:ascii="仿宋" w:hAnsi="仿宋" w:eastAsia="仿宋" w:cs="仿宋"/>
                <w:color w:val="auto"/>
                <w:highlight w:val="none"/>
                <w:lang w:eastAsia="zh-CN"/>
              </w:rPr>
              <w:t>期限满足招标文件要求。</w:t>
            </w:r>
          </w:p>
        </w:tc>
        <w:tc>
          <w:tcPr>
            <w:tcW w:w="749" w:type="dxa"/>
            <w:tcBorders>
              <w:top w:val="single" w:color="auto" w:sz="4" w:space="0"/>
              <w:left w:val="single" w:color="auto" w:sz="4" w:space="0"/>
            </w:tcBorders>
          </w:tcPr>
          <w:p w14:paraId="7DE1078C">
            <w:pPr>
              <w:rPr>
                <w:rFonts w:ascii="仿宋" w:hAnsi="仿宋" w:eastAsia="仿宋" w:cs="仿宋"/>
                <w:color w:val="auto"/>
                <w:szCs w:val="21"/>
                <w:highlight w:val="none"/>
                <w:lang w:eastAsia="zh-CN"/>
              </w:rPr>
            </w:pPr>
          </w:p>
        </w:tc>
        <w:tc>
          <w:tcPr>
            <w:tcW w:w="617" w:type="dxa"/>
            <w:tcBorders>
              <w:top w:val="single" w:color="auto" w:sz="4" w:space="0"/>
              <w:right w:val="single" w:color="auto" w:sz="4" w:space="0"/>
            </w:tcBorders>
          </w:tcPr>
          <w:p w14:paraId="05BBBC80">
            <w:pPr>
              <w:rPr>
                <w:rFonts w:ascii="仿宋" w:hAnsi="仿宋" w:eastAsia="仿宋" w:cs="仿宋"/>
                <w:color w:val="auto"/>
                <w:szCs w:val="21"/>
                <w:highlight w:val="none"/>
                <w:lang w:eastAsia="zh-CN"/>
              </w:rPr>
            </w:pPr>
          </w:p>
        </w:tc>
      </w:tr>
      <w:tr w14:paraId="608027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1094" w:type="dxa"/>
            <w:vMerge w:val="continue"/>
            <w:tcBorders>
              <w:left w:val="single" w:color="auto" w:sz="4" w:space="0"/>
              <w:right w:val="single" w:color="auto" w:sz="4" w:space="0"/>
            </w:tcBorders>
            <w:vAlign w:val="center"/>
          </w:tcPr>
          <w:p w14:paraId="26DB385C">
            <w:pPr>
              <w:rPr>
                <w:rFonts w:ascii="仿宋" w:hAnsi="仿宋" w:eastAsia="仿宋" w:cs="仿宋"/>
                <w:color w:val="auto"/>
                <w:highlight w:val="none"/>
                <w:lang w:eastAsia="zh-CN"/>
              </w:rPr>
            </w:pPr>
          </w:p>
        </w:tc>
        <w:tc>
          <w:tcPr>
            <w:tcW w:w="597" w:type="dxa"/>
            <w:tcBorders>
              <w:left w:val="single" w:color="auto" w:sz="4" w:space="0"/>
            </w:tcBorders>
            <w:vAlign w:val="center"/>
          </w:tcPr>
          <w:p w14:paraId="066A410D">
            <w:p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7</w:t>
            </w:r>
          </w:p>
        </w:tc>
        <w:tc>
          <w:tcPr>
            <w:tcW w:w="6378" w:type="dxa"/>
            <w:tcBorders>
              <w:right w:val="single" w:color="auto" w:sz="4" w:space="0"/>
            </w:tcBorders>
            <w:vAlign w:val="center"/>
          </w:tcPr>
          <w:p w14:paraId="7F643697">
            <w:pPr>
              <w:widowControl/>
              <w:textAlignment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投标有效期满足招标文件要求。</w:t>
            </w:r>
          </w:p>
        </w:tc>
        <w:tc>
          <w:tcPr>
            <w:tcW w:w="749" w:type="dxa"/>
            <w:tcBorders>
              <w:left w:val="single" w:color="auto" w:sz="4" w:space="0"/>
            </w:tcBorders>
          </w:tcPr>
          <w:p w14:paraId="0FC2A11F">
            <w:pPr>
              <w:rPr>
                <w:rFonts w:ascii="仿宋" w:hAnsi="仿宋" w:eastAsia="仿宋" w:cs="仿宋"/>
                <w:color w:val="auto"/>
                <w:szCs w:val="21"/>
                <w:highlight w:val="none"/>
                <w:lang w:eastAsia="zh-CN"/>
              </w:rPr>
            </w:pPr>
          </w:p>
        </w:tc>
        <w:tc>
          <w:tcPr>
            <w:tcW w:w="617" w:type="dxa"/>
            <w:tcBorders>
              <w:right w:val="single" w:color="auto" w:sz="4" w:space="0"/>
            </w:tcBorders>
          </w:tcPr>
          <w:p w14:paraId="3EDCA475">
            <w:pPr>
              <w:rPr>
                <w:rFonts w:ascii="仿宋" w:hAnsi="仿宋" w:eastAsia="仿宋" w:cs="仿宋"/>
                <w:color w:val="auto"/>
                <w:szCs w:val="21"/>
                <w:highlight w:val="none"/>
                <w:lang w:eastAsia="zh-CN"/>
              </w:rPr>
            </w:pPr>
          </w:p>
        </w:tc>
      </w:tr>
      <w:tr w14:paraId="156A2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1094" w:type="dxa"/>
            <w:vMerge w:val="continue"/>
            <w:tcBorders>
              <w:left w:val="single" w:color="auto" w:sz="4" w:space="0"/>
              <w:right w:val="single" w:color="auto" w:sz="4" w:space="0"/>
            </w:tcBorders>
            <w:vAlign w:val="center"/>
          </w:tcPr>
          <w:p w14:paraId="30C2BB49">
            <w:pPr>
              <w:rPr>
                <w:rFonts w:ascii="仿宋" w:hAnsi="仿宋" w:eastAsia="仿宋" w:cs="仿宋"/>
                <w:color w:val="auto"/>
                <w:highlight w:val="none"/>
                <w:lang w:eastAsia="zh-CN"/>
              </w:rPr>
            </w:pPr>
          </w:p>
        </w:tc>
        <w:tc>
          <w:tcPr>
            <w:tcW w:w="597" w:type="dxa"/>
            <w:tcBorders>
              <w:left w:val="single" w:color="auto" w:sz="4" w:space="0"/>
            </w:tcBorders>
            <w:vAlign w:val="center"/>
          </w:tcPr>
          <w:p w14:paraId="7408BB8C">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w:t>
            </w:r>
          </w:p>
        </w:tc>
        <w:tc>
          <w:tcPr>
            <w:tcW w:w="6378" w:type="dxa"/>
            <w:tcBorders>
              <w:right w:val="single" w:color="auto" w:sz="4" w:space="0"/>
            </w:tcBorders>
            <w:vAlign w:val="center"/>
          </w:tcPr>
          <w:p w14:paraId="78CB97AB">
            <w:pPr>
              <w:widowControl/>
              <w:textAlignment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报价满足招标文件要求。</w:t>
            </w:r>
          </w:p>
        </w:tc>
        <w:tc>
          <w:tcPr>
            <w:tcW w:w="749" w:type="dxa"/>
            <w:tcBorders>
              <w:left w:val="single" w:color="auto" w:sz="4" w:space="0"/>
            </w:tcBorders>
          </w:tcPr>
          <w:p w14:paraId="15B122E8">
            <w:pPr>
              <w:rPr>
                <w:rFonts w:ascii="仿宋" w:hAnsi="仿宋" w:eastAsia="仿宋" w:cs="仿宋"/>
                <w:color w:val="auto"/>
                <w:szCs w:val="21"/>
                <w:highlight w:val="none"/>
                <w:lang w:eastAsia="zh-CN"/>
              </w:rPr>
            </w:pPr>
          </w:p>
        </w:tc>
        <w:tc>
          <w:tcPr>
            <w:tcW w:w="617" w:type="dxa"/>
            <w:tcBorders>
              <w:right w:val="single" w:color="auto" w:sz="4" w:space="0"/>
            </w:tcBorders>
          </w:tcPr>
          <w:p w14:paraId="206D348F">
            <w:pPr>
              <w:rPr>
                <w:rFonts w:ascii="仿宋" w:hAnsi="仿宋" w:eastAsia="仿宋" w:cs="仿宋"/>
                <w:color w:val="auto"/>
                <w:szCs w:val="21"/>
                <w:highlight w:val="none"/>
                <w:lang w:eastAsia="zh-CN"/>
              </w:rPr>
            </w:pPr>
          </w:p>
        </w:tc>
      </w:tr>
      <w:tr w14:paraId="4E3BC8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atLeast"/>
        </w:trPr>
        <w:tc>
          <w:tcPr>
            <w:tcW w:w="1094" w:type="dxa"/>
            <w:tcBorders>
              <w:left w:val="single" w:color="auto" w:sz="4" w:space="0"/>
              <w:bottom w:val="single" w:color="auto" w:sz="4" w:space="0"/>
              <w:right w:val="single" w:color="auto" w:sz="4" w:space="0"/>
            </w:tcBorders>
            <w:vAlign w:val="center"/>
          </w:tcPr>
          <w:p w14:paraId="2E213CA0">
            <w:pPr>
              <w:jc w:val="center"/>
              <w:rPr>
                <w:rFonts w:ascii="仿宋" w:hAnsi="仿宋" w:eastAsia="仿宋" w:cs="仿宋"/>
                <w:color w:val="auto"/>
                <w:szCs w:val="21"/>
                <w:highlight w:val="none"/>
                <w:lang w:eastAsia="zh-CN"/>
              </w:rPr>
            </w:pPr>
          </w:p>
        </w:tc>
        <w:tc>
          <w:tcPr>
            <w:tcW w:w="6975" w:type="dxa"/>
            <w:gridSpan w:val="2"/>
            <w:tcBorders>
              <w:left w:val="single" w:color="auto" w:sz="4" w:space="0"/>
              <w:bottom w:val="single" w:color="auto" w:sz="4" w:space="0"/>
              <w:right w:val="single" w:color="auto" w:sz="4" w:space="0"/>
            </w:tcBorders>
          </w:tcPr>
          <w:p w14:paraId="4D52E62B">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结论：是否通过评审（须填写通过或不通过）</w:t>
            </w:r>
          </w:p>
          <w:p w14:paraId="38639E98">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注：如有一项不合格，作废标处理。</w:t>
            </w:r>
          </w:p>
        </w:tc>
        <w:tc>
          <w:tcPr>
            <w:tcW w:w="1366" w:type="dxa"/>
            <w:gridSpan w:val="2"/>
            <w:tcBorders>
              <w:left w:val="single" w:color="auto" w:sz="4" w:space="0"/>
              <w:bottom w:val="single" w:color="auto" w:sz="4" w:space="0"/>
              <w:right w:val="single" w:color="auto" w:sz="4" w:space="0"/>
            </w:tcBorders>
          </w:tcPr>
          <w:p w14:paraId="170990DD">
            <w:pPr>
              <w:rPr>
                <w:rFonts w:ascii="仿宋" w:hAnsi="仿宋" w:eastAsia="仿宋" w:cs="仿宋"/>
                <w:color w:val="auto"/>
                <w:szCs w:val="21"/>
                <w:highlight w:val="none"/>
                <w:lang w:eastAsia="zh-CN"/>
              </w:rPr>
            </w:pPr>
          </w:p>
        </w:tc>
      </w:tr>
    </w:tbl>
    <w:p w14:paraId="2979DE59">
      <w:pPr>
        <w:spacing w:line="400" w:lineRule="exact"/>
        <w:ind w:firstLine="352" w:firstLineChars="147"/>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采购包一</w:t>
      </w:r>
    </w:p>
    <w:p w14:paraId="7AF28697">
      <w:pPr>
        <w:rPr>
          <w:rFonts w:ascii="仿宋" w:hAnsi="仿宋" w:eastAsia="仿宋" w:cs="仿宋"/>
          <w:color w:val="auto"/>
          <w:highlight w:val="none"/>
          <w:lang w:eastAsia="zh-CN"/>
        </w:rPr>
      </w:pPr>
    </w:p>
    <w:p w14:paraId="5FEEF914">
      <w:pPr>
        <w:keepNext w:val="0"/>
        <w:keepLines w:val="0"/>
        <w:pageBreakBefore w:val="0"/>
        <w:widowControl w:val="0"/>
        <w:kinsoku/>
        <w:wordWrap/>
        <w:overflowPunct/>
        <w:topLinePunct w:val="0"/>
        <w:bidi w:val="0"/>
        <w:snapToGrid/>
        <w:spacing w:line="360" w:lineRule="exact"/>
        <w:ind w:firstLine="578" w:firstLineChars="241"/>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7.2评委会判定投标文件的响应性只根据投标文件本身的内容，而不寻求外部的证据，但投标有不真实不正确的内容时除外。</w:t>
      </w:r>
    </w:p>
    <w:p w14:paraId="0C4F412B">
      <w:pPr>
        <w:keepNext w:val="0"/>
        <w:keepLines w:val="0"/>
        <w:pageBreakBefore w:val="0"/>
        <w:widowControl w:val="0"/>
        <w:kinsoku/>
        <w:wordWrap/>
        <w:overflowPunct/>
        <w:topLinePunct w:val="0"/>
        <w:bidi w:val="0"/>
        <w:snapToGrid/>
        <w:spacing w:line="360" w:lineRule="exact"/>
        <w:ind w:firstLine="578" w:firstLineChars="241"/>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7.3如果投标文件实质上没有响应采购文件的要求，评委会将予以拒绝，供应商不得通过修正或撤销不符合要求的偏离或保留，而使其投标成为实质上响应的投标。</w:t>
      </w:r>
    </w:p>
    <w:p w14:paraId="4C3A16A2">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7.4供应商可在现场20分钟内对评标委员会的评审结论提出异议，评标委员会根据采购文件及有关规定对供应商的异议进行复议</w:t>
      </w:r>
    </w:p>
    <w:p w14:paraId="127D90DA">
      <w:pPr>
        <w:keepNext w:val="0"/>
        <w:keepLines w:val="0"/>
        <w:pageBreakBefore w:val="0"/>
        <w:widowControl w:val="0"/>
        <w:kinsoku/>
        <w:wordWrap/>
        <w:overflowPunct/>
        <w:topLinePunct w:val="0"/>
        <w:bidi w:val="0"/>
        <w:snapToGrid/>
        <w:spacing w:line="360" w:lineRule="exact"/>
        <w:ind w:firstLine="600" w:firstLineChars="25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7.5只有通过初审的供应商才能进入下一步评标程序。</w:t>
      </w:r>
    </w:p>
    <w:p w14:paraId="6E1CF108">
      <w:pPr>
        <w:keepNext w:val="0"/>
        <w:keepLines w:val="0"/>
        <w:pageBreakBefore w:val="0"/>
        <w:widowControl w:val="0"/>
        <w:kinsoku/>
        <w:wordWrap/>
        <w:overflowPunct/>
        <w:topLinePunct w:val="0"/>
        <w:bidi w:val="0"/>
        <w:snapToGrid/>
        <w:spacing w:line="360" w:lineRule="exact"/>
        <w:ind w:firstLine="482" w:firstLineChars="200"/>
        <w:textAlignment w:val="auto"/>
        <w:rPr>
          <w:rFonts w:ascii="仿宋" w:hAnsi="仿宋" w:eastAsia="仿宋" w:cs="仿宋"/>
          <w:color w:val="auto"/>
          <w:szCs w:val="21"/>
          <w:highlight w:val="none"/>
          <w:lang w:eastAsia="zh-CN"/>
        </w:rPr>
      </w:pPr>
      <w:r>
        <w:rPr>
          <w:rFonts w:hint="eastAsia" w:ascii="仿宋" w:hAnsi="仿宋" w:eastAsia="仿宋" w:cs="仿宋"/>
          <w:b/>
          <w:color w:val="auto"/>
          <w:szCs w:val="21"/>
          <w:highlight w:val="none"/>
          <w:lang w:eastAsia="zh-CN"/>
        </w:rPr>
        <w:t>温馨提示：投标文件资格审查资料请精心准备,如评标专家在检验电子标书过程中，如果由于供应商自身原因导致评标专家无法查看并检验电子标书中以上相关资料的，按无效投标处理。即使投标单位将原件携带至现场的，同样按无效投标处理。</w:t>
      </w:r>
    </w:p>
    <w:p w14:paraId="4682A42B">
      <w:pPr>
        <w:keepNext w:val="0"/>
        <w:keepLines w:val="0"/>
        <w:pageBreakBefore w:val="0"/>
        <w:widowControl w:val="0"/>
        <w:kinsoku/>
        <w:wordWrap/>
        <w:overflowPunct/>
        <w:topLinePunct w:val="0"/>
        <w:bidi w:val="0"/>
        <w:snapToGrid/>
        <w:spacing w:beforeLines="50" w:line="360" w:lineRule="exact"/>
        <w:jc w:val="center"/>
        <w:textAlignment w:val="auto"/>
        <w:outlineLvl w:val="1"/>
        <w:rPr>
          <w:rFonts w:ascii="仿宋" w:hAnsi="仿宋" w:eastAsia="仿宋" w:cs="仿宋"/>
          <w:b/>
          <w:color w:val="auto"/>
          <w:highlight w:val="none"/>
          <w:lang w:eastAsia="zh-CN"/>
        </w:rPr>
      </w:pPr>
      <w:bookmarkStart w:id="42" w:name="_Toc469495734"/>
      <w:bookmarkStart w:id="43" w:name="_Toc362983803"/>
      <w:r>
        <w:rPr>
          <w:rFonts w:hint="eastAsia" w:ascii="仿宋" w:hAnsi="仿宋" w:eastAsia="仿宋" w:cs="仿宋"/>
          <w:b/>
          <w:color w:val="auto"/>
          <w:highlight w:val="none"/>
          <w:lang w:eastAsia="zh-CN"/>
        </w:rPr>
        <w:t xml:space="preserve">三 </w:t>
      </w:r>
      <w:r>
        <w:rPr>
          <w:rFonts w:hint="eastAsia" w:ascii="仿宋" w:hAnsi="仿宋" w:eastAsia="仿宋" w:cs="仿宋"/>
          <w:b/>
          <w:color w:val="auto"/>
          <w:sz w:val="28"/>
          <w:szCs w:val="28"/>
          <w:highlight w:val="none"/>
          <w:lang w:eastAsia="zh-CN"/>
        </w:rPr>
        <w:t xml:space="preserve"> </w:t>
      </w:r>
      <w:r>
        <w:rPr>
          <w:rFonts w:hint="eastAsia" w:ascii="仿宋" w:hAnsi="仿宋" w:eastAsia="仿宋" w:cs="仿宋"/>
          <w:b/>
          <w:color w:val="auto"/>
          <w:highlight w:val="none"/>
          <w:lang w:eastAsia="zh-CN"/>
        </w:rPr>
        <w:t>投标文件的澄清和补正</w:t>
      </w:r>
      <w:bookmarkEnd w:id="42"/>
      <w:bookmarkEnd w:id="43"/>
    </w:p>
    <w:p w14:paraId="39CA70A0">
      <w:pPr>
        <w:keepNext w:val="0"/>
        <w:keepLines w:val="0"/>
        <w:pageBreakBefore w:val="0"/>
        <w:widowControl w:val="0"/>
        <w:kinsoku/>
        <w:wordWrap/>
        <w:overflowPunct/>
        <w:topLinePunct w:val="0"/>
        <w:bidi w:val="0"/>
        <w:snapToGrid/>
        <w:spacing w:line="360" w:lineRule="exact"/>
        <w:ind w:firstLine="240" w:firstLineChars="1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8．澄清、说明或补正的形式</w:t>
      </w:r>
    </w:p>
    <w:p w14:paraId="108F6DC7">
      <w:pPr>
        <w:keepNext w:val="0"/>
        <w:keepLines w:val="0"/>
        <w:pageBreakBefore w:val="0"/>
        <w:widowControl w:val="0"/>
        <w:kinsoku/>
        <w:wordWrap/>
        <w:overflowPunct/>
        <w:topLinePunct w:val="0"/>
        <w:bidi w:val="0"/>
        <w:snapToGrid/>
        <w:spacing w:line="360" w:lineRule="exact"/>
        <w:ind w:firstLine="240" w:firstLineChars="1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8.1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4FD67ED8">
      <w:pPr>
        <w:keepNext w:val="0"/>
        <w:keepLines w:val="0"/>
        <w:pageBreakBefore w:val="0"/>
        <w:widowControl w:val="0"/>
        <w:kinsoku/>
        <w:wordWrap/>
        <w:overflowPunct/>
        <w:topLinePunct w:val="0"/>
        <w:bidi w:val="0"/>
        <w:snapToGrid/>
        <w:spacing w:line="360" w:lineRule="exact"/>
        <w:ind w:firstLine="240" w:firstLineChars="1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8.2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3822523D">
      <w:pPr>
        <w:keepNext w:val="0"/>
        <w:keepLines w:val="0"/>
        <w:pageBreakBefore w:val="0"/>
        <w:widowControl w:val="0"/>
        <w:kinsoku/>
        <w:wordWrap/>
        <w:overflowPunct/>
        <w:topLinePunct w:val="0"/>
        <w:bidi w:val="0"/>
        <w:snapToGrid/>
        <w:spacing w:line="360" w:lineRule="exact"/>
        <w:ind w:firstLine="240" w:firstLineChars="1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8.3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05FA615C">
      <w:pPr>
        <w:keepNext w:val="0"/>
        <w:keepLines w:val="0"/>
        <w:pageBreakBefore w:val="0"/>
        <w:widowControl w:val="0"/>
        <w:kinsoku/>
        <w:wordWrap/>
        <w:overflowPunct/>
        <w:topLinePunct w:val="0"/>
        <w:bidi w:val="0"/>
        <w:snapToGrid/>
        <w:spacing w:line="360" w:lineRule="exact"/>
        <w:ind w:firstLine="240" w:firstLineChars="1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9．错误修正的原则</w:t>
      </w:r>
    </w:p>
    <w:p w14:paraId="6C21C1FB">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电子交易平台客户端里开标一览表录入的投标报价或下浮率与扫描上传的报价文件信息不一致的，以扫描上传的报价文件信息为准进行修正。</w:t>
      </w:r>
    </w:p>
    <w:p w14:paraId="7A4C74ED">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投标文件报价出现前后不一致的，除采购文件另有规定外，按照下列规定修正：</w:t>
      </w:r>
    </w:p>
    <w:p w14:paraId="6ACCED00">
      <w:pPr>
        <w:keepNext w:val="0"/>
        <w:keepLines w:val="0"/>
        <w:pageBreakBefore w:val="0"/>
        <w:widowControl w:val="0"/>
        <w:kinsoku/>
        <w:wordWrap/>
        <w:overflowPunct/>
        <w:topLinePunct w:val="0"/>
        <w:bidi w:val="0"/>
        <w:snapToGrid/>
        <w:spacing w:line="360" w:lineRule="exact"/>
        <w:ind w:firstLine="480" w:firstLineChars="200"/>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9.1 </w:t>
      </w:r>
      <w:r>
        <w:rPr>
          <w:rFonts w:hint="eastAsia" w:ascii="仿宋" w:hAnsi="仿宋" w:eastAsia="仿宋" w:cs="仿宋"/>
          <w:color w:val="auto"/>
          <w:szCs w:val="21"/>
          <w:highlight w:val="none"/>
          <w:lang w:eastAsia="zh-CN"/>
        </w:rPr>
        <w:t xml:space="preserve"> 投标函中表述的内容与</w:t>
      </w:r>
      <w:r>
        <w:rPr>
          <w:rFonts w:hint="eastAsia" w:ascii="仿宋" w:hAnsi="仿宋" w:eastAsia="仿宋" w:cs="仿宋"/>
          <w:color w:val="auto"/>
          <w:szCs w:val="21"/>
          <w:highlight w:val="none"/>
          <w:lang w:val="en-US" w:eastAsia="zh-CN"/>
        </w:rPr>
        <w:t>开标一览</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下浮率</w:t>
      </w:r>
      <w:r>
        <w:rPr>
          <w:rFonts w:hint="eastAsia" w:ascii="仿宋" w:hAnsi="仿宋" w:eastAsia="仿宋" w:cs="仿宋"/>
          <w:color w:val="auto"/>
          <w:szCs w:val="21"/>
          <w:highlight w:val="none"/>
          <w:lang w:eastAsia="zh-CN"/>
        </w:rPr>
        <w:t>）中不一致的，以</w:t>
      </w:r>
      <w:r>
        <w:rPr>
          <w:rFonts w:hint="eastAsia" w:ascii="仿宋" w:hAnsi="仿宋" w:eastAsia="仿宋" w:cs="仿宋"/>
          <w:color w:val="auto"/>
          <w:szCs w:val="21"/>
          <w:highlight w:val="none"/>
          <w:lang w:val="en-US" w:eastAsia="zh-CN"/>
        </w:rPr>
        <w:t>上传投标文件开标一览</w:t>
      </w:r>
      <w:r>
        <w:rPr>
          <w:rFonts w:hint="eastAsia" w:ascii="仿宋" w:hAnsi="仿宋" w:eastAsia="仿宋" w:cs="仿宋"/>
          <w:color w:val="auto"/>
          <w:szCs w:val="21"/>
          <w:highlight w:val="none"/>
          <w:lang w:eastAsia="zh-CN"/>
        </w:rPr>
        <w:t>表为准；</w:t>
      </w:r>
    </w:p>
    <w:p w14:paraId="2572C4DA">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11946D18">
      <w:pPr>
        <w:keepNext w:val="0"/>
        <w:keepLines w:val="0"/>
        <w:pageBreakBefore w:val="0"/>
        <w:widowControl w:val="0"/>
        <w:kinsoku/>
        <w:wordWrap/>
        <w:overflowPunct/>
        <w:topLinePunct w:val="0"/>
        <w:bidi w:val="0"/>
        <w:snapToGrid/>
        <w:spacing w:line="360" w:lineRule="exact"/>
        <w:jc w:val="center"/>
        <w:textAlignment w:val="auto"/>
        <w:outlineLvl w:val="1"/>
        <w:rPr>
          <w:rFonts w:ascii="仿宋" w:hAnsi="仿宋" w:eastAsia="仿宋" w:cs="仿宋"/>
          <w:b/>
          <w:color w:val="auto"/>
          <w:highlight w:val="none"/>
          <w:lang w:eastAsia="zh-CN"/>
        </w:rPr>
      </w:pPr>
      <w:bookmarkStart w:id="44" w:name="_Toc469495735"/>
      <w:r>
        <w:rPr>
          <w:rFonts w:hint="eastAsia" w:ascii="仿宋" w:hAnsi="仿宋" w:eastAsia="仿宋" w:cs="仿宋"/>
          <w:b/>
          <w:color w:val="auto"/>
          <w:highlight w:val="none"/>
          <w:lang w:eastAsia="zh-CN"/>
        </w:rPr>
        <w:t>四 比较与评价</w:t>
      </w:r>
      <w:bookmarkEnd w:id="44"/>
    </w:p>
    <w:p w14:paraId="5F75211B">
      <w:pPr>
        <w:keepNext w:val="0"/>
        <w:keepLines w:val="0"/>
        <w:pageBreakBefore w:val="0"/>
        <w:widowControl w:val="0"/>
        <w:tabs>
          <w:tab w:val="left" w:pos="720"/>
        </w:tabs>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10.1评标委员会按招标文件中规定的评标方法和标准，对资格性检查和符合性检查合格的投标文件进行商务和技术评估、综合比较与评价。</w:t>
      </w:r>
    </w:p>
    <w:p w14:paraId="48C01892">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10.2评标委员会根据商务和技术评估的结果，采用综合评分法，分别对投标文件的商务、技术、价格等内容进行打分。其中，商务评估、技术评估、价格评估的评分权值（详见附件1）。</w:t>
      </w:r>
    </w:p>
    <w:p w14:paraId="36802E7A">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bCs/>
          <w:color w:val="auto"/>
          <w:szCs w:val="21"/>
          <w:highlight w:val="none"/>
          <w:lang w:eastAsia="zh-CN" w:bidi="ar-SA"/>
        </w:rPr>
      </w:pPr>
      <w:r>
        <w:rPr>
          <w:rFonts w:hint="eastAsia" w:ascii="仿宋" w:hAnsi="仿宋" w:eastAsia="仿宋" w:cs="仿宋"/>
          <w:color w:val="auto"/>
          <w:szCs w:val="21"/>
          <w:highlight w:val="none"/>
          <w:lang w:eastAsia="zh-CN" w:bidi="ar-SA"/>
        </w:rPr>
        <w:t>10.</w:t>
      </w:r>
      <w:r>
        <w:rPr>
          <w:rFonts w:hint="eastAsia" w:ascii="仿宋" w:hAnsi="仿宋" w:eastAsia="仿宋" w:cs="仿宋"/>
          <w:bCs/>
          <w:color w:val="auto"/>
          <w:szCs w:val="21"/>
          <w:highlight w:val="none"/>
          <w:lang w:eastAsia="zh-CN" w:bidi="ar-SA"/>
        </w:rPr>
        <w:t>2.1评委打分办法</w:t>
      </w:r>
    </w:p>
    <w:p w14:paraId="02852E61">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bCs/>
          <w:color w:val="auto"/>
          <w:szCs w:val="21"/>
          <w:highlight w:val="none"/>
          <w:lang w:eastAsia="zh-CN" w:bidi="ar-SA"/>
        </w:rPr>
        <w:t>（1）</w:t>
      </w:r>
      <w:r>
        <w:rPr>
          <w:rFonts w:hint="eastAsia" w:ascii="仿宋" w:hAnsi="仿宋" w:eastAsia="仿宋" w:cs="仿宋"/>
          <w:color w:val="auto"/>
          <w:szCs w:val="21"/>
          <w:highlight w:val="none"/>
          <w:lang w:eastAsia="zh-CN" w:bidi="ar-SA"/>
        </w:rPr>
        <w:t>参加评分的评委应尽力体现客观、实事求是，避免学派偏见和个人偏好。</w:t>
      </w:r>
    </w:p>
    <w:p w14:paraId="5D461980">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（2）衡量、对比的依据，应以招标文件、投标文件、提供的正式试验数据、质询澄清中的文字为准，口头回答和收集的资料只作为参考。</w:t>
      </w:r>
    </w:p>
    <w:p w14:paraId="4B6E30D6">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（3）评分主要是为比较各供应商的价格、商务和技术综合排序。</w:t>
      </w:r>
    </w:p>
    <w:p w14:paraId="334F8A86">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（4）评委打分采取记名形式。</w:t>
      </w:r>
    </w:p>
    <w:p w14:paraId="4879A4B3">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（5）各评委根据提供的技术打分表独立自主打分，任何人不得要求评委统一打分或统一确定等次顺序。</w:t>
      </w:r>
    </w:p>
    <w:p w14:paraId="13227AFE">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（6）对打分表中的每项条款，各评委应根据投标文件、澄清材料、招标文件要求，按满足的程度给供应商打分。</w:t>
      </w:r>
    </w:p>
    <w:p w14:paraId="50716344">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（7）评分程序</w:t>
      </w:r>
    </w:p>
    <w:p w14:paraId="5318B16E">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1)就供应商的投标文件对照整理出商务、技术评标因素对比表、偏差表，并在经过校核的基础上逐项打分。</w:t>
      </w:r>
    </w:p>
    <w:p w14:paraId="6CF41B49">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2)各评委独立完成打分后，将评分表交给代理机构，由代理机构组织进行分数统计。</w:t>
      </w:r>
    </w:p>
    <w:p w14:paraId="5F8310F6">
      <w:pPr>
        <w:keepNext w:val="0"/>
        <w:keepLines w:val="0"/>
        <w:pageBreakBefore w:val="0"/>
        <w:widowControl w:val="0"/>
        <w:kinsoku/>
        <w:wordWrap/>
        <w:overflowPunct/>
        <w:topLinePunct w:val="0"/>
        <w:bidi w:val="0"/>
        <w:snapToGrid/>
        <w:spacing w:line="36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3)最终汇总表中各供应商得分应为评委打分的算术平均值。</w:t>
      </w:r>
    </w:p>
    <w:p w14:paraId="79E171ED">
      <w:pPr>
        <w:pStyle w:val="5"/>
        <w:keepNext w:val="0"/>
        <w:keepLines w:val="0"/>
        <w:pageBreakBefore w:val="0"/>
        <w:widowControl w:val="0"/>
        <w:kinsoku/>
        <w:wordWrap/>
        <w:overflowPunct/>
        <w:topLinePunct w:val="0"/>
        <w:bidi w:val="0"/>
        <w:snapToGrid/>
        <w:spacing w:line="360" w:lineRule="exact"/>
        <w:jc w:val="left"/>
        <w:textAlignment w:val="auto"/>
        <w:rPr>
          <w:rFonts w:hint="eastAsia"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（8）评分标准和细则（综合评分法评分标准）</w:t>
      </w:r>
    </w:p>
    <w:p w14:paraId="64243704">
      <w:pPr>
        <w:pStyle w:val="5"/>
        <w:jc w:val="center"/>
        <w:rPr>
          <w:rFonts w:hint="eastAsia" w:ascii="仿宋" w:hAnsi="仿宋" w:eastAsia="仿宋" w:cs="仿宋"/>
          <w:b/>
          <w:bCs/>
          <w:color w:val="auto"/>
          <w:sz w:val="28"/>
          <w:szCs w:val="21"/>
          <w:highlight w:val="none"/>
          <w:lang w:val="en-US" w:eastAsia="zh-CN"/>
        </w:rPr>
      </w:pPr>
      <w:r>
        <w:rPr>
          <w:rFonts w:hint="eastAsia" w:ascii="仿宋" w:hAnsi="仿宋" w:eastAsia="仿宋" w:cs="仿宋"/>
          <w:b/>
          <w:bCs/>
          <w:color w:val="auto"/>
          <w:sz w:val="28"/>
          <w:szCs w:val="21"/>
          <w:highlight w:val="none"/>
          <w:lang w:val="en-US" w:eastAsia="zh-CN"/>
        </w:rPr>
        <w:t>评分标准</w:t>
      </w:r>
    </w:p>
    <w:tbl>
      <w:tblPr>
        <w:tblStyle w:val="23"/>
        <w:tblW w:w="10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764"/>
        <w:gridCol w:w="7013"/>
      </w:tblGrid>
      <w:tr w14:paraId="3936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8" w:type="dxa"/>
            <w:noWrap w:val="0"/>
            <w:vAlign w:val="center"/>
          </w:tcPr>
          <w:p w14:paraId="62C23B9F">
            <w:pPr>
              <w:spacing w:line="440" w:lineRule="exact"/>
              <w:jc w:val="center"/>
              <w:rPr>
                <w:rFonts w:hint="eastAsia" w:ascii="仿宋" w:hAnsi="仿宋" w:eastAsia="仿宋" w:cs="仿宋"/>
                <w:color w:val="auto"/>
                <w:sz w:val="21"/>
                <w:szCs w:val="21"/>
                <w:highlight w:val="none"/>
                <w:lang w:eastAsia="zh-CN" w:bidi="ar-SA"/>
              </w:rPr>
            </w:pPr>
            <w:r>
              <w:rPr>
                <w:rFonts w:hint="eastAsia" w:ascii="仿宋" w:hAnsi="仿宋" w:eastAsia="仿宋" w:cs="仿宋"/>
                <w:color w:val="auto"/>
                <w:sz w:val="21"/>
                <w:szCs w:val="21"/>
                <w:highlight w:val="none"/>
                <w:lang w:eastAsia="zh-CN" w:bidi="ar-SA"/>
              </w:rPr>
              <w:t>评分因素</w:t>
            </w:r>
          </w:p>
        </w:tc>
        <w:tc>
          <w:tcPr>
            <w:tcW w:w="1764" w:type="dxa"/>
            <w:noWrap w:val="0"/>
            <w:vAlign w:val="center"/>
          </w:tcPr>
          <w:p w14:paraId="6731ED1A">
            <w:pPr>
              <w:spacing w:line="440" w:lineRule="exact"/>
              <w:jc w:val="center"/>
              <w:rPr>
                <w:rFonts w:hint="eastAsia" w:ascii="仿宋" w:hAnsi="仿宋" w:eastAsia="仿宋" w:cs="仿宋"/>
                <w:color w:val="auto"/>
                <w:sz w:val="21"/>
                <w:szCs w:val="21"/>
                <w:highlight w:val="none"/>
                <w:lang w:eastAsia="zh-CN" w:bidi="ar-SA"/>
              </w:rPr>
            </w:pPr>
            <w:r>
              <w:rPr>
                <w:rFonts w:hint="eastAsia" w:ascii="仿宋" w:hAnsi="仿宋" w:eastAsia="仿宋" w:cs="仿宋"/>
                <w:color w:val="auto"/>
                <w:sz w:val="21"/>
                <w:szCs w:val="21"/>
                <w:highlight w:val="none"/>
                <w:lang w:eastAsia="zh-CN" w:bidi="ar-SA"/>
              </w:rPr>
              <w:t>分值</w:t>
            </w:r>
          </w:p>
        </w:tc>
        <w:tc>
          <w:tcPr>
            <w:tcW w:w="7013" w:type="dxa"/>
            <w:noWrap w:val="0"/>
            <w:vAlign w:val="center"/>
          </w:tcPr>
          <w:p w14:paraId="550423F5">
            <w:pPr>
              <w:spacing w:line="440" w:lineRule="exact"/>
              <w:jc w:val="center"/>
              <w:rPr>
                <w:rFonts w:hint="eastAsia" w:ascii="仿宋" w:hAnsi="仿宋" w:eastAsia="仿宋" w:cs="仿宋"/>
                <w:color w:val="auto"/>
                <w:sz w:val="21"/>
                <w:szCs w:val="21"/>
                <w:highlight w:val="none"/>
                <w:lang w:eastAsia="zh-CN" w:bidi="ar-SA"/>
              </w:rPr>
            </w:pPr>
            <w:r>
              <w:rPr>
                <w:rFonts w:hint="eastAsia" w:ascii="仿宋" w:hAnsi="仿宋" w:eastAsia="仿宋" w:cs="仿宋"/>
                <w:color w:val="auto"/>
                <w:sz w:val="21"/>
                <w:szCs w:val="21"/>
                <w:highlight w:val="none"/>
                <w:lang w:eastAsia="zh-CN" w:bidi="ar-SA"/>
              </w:rPr>
              <w:t>说明</w:t>
            </w:r>
          </w:p>
        </w:tc>
      </w:tr>
      <w:tr w14:paraId="4AC5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448" w:type="dxa"/>
            <w:noWrap w:val="0"/>
            <w:vAlign w:val="center"/>
          </w:tcPr>
          <w:p w14:paraId="0767D976">
            <w:pPr>
              <w:spacing w:line="440" w:lineRule="exact"/>
              <w:jc w:val="center"/>
              <w:rPr>
                <w:rFonts w:hint="default"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报价</w:t>
            </w:r>
          </w:p>
        </w:tc>
        <w:tc>
          <w:tcPr>
            <w:tcW w:w="1764" w:type="dxa"/>
            <w:noWrap w:val="0"/>
            <w:vAlign w:val="center"/>
          </w:tcPr>
          <w:p w14:paraId="4332B0E3">
            <w:pPr>
              <w:spacing w:line="440" w:lineRule="exact"/>
              <w:jc w:val="center"/>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30分</w:t>
            </w:r>
          </w:p>
        </w:tc>
        <w:tc>
          <w:tcPr>
            <w:tcW w:w="7013" w:type="dxa"/>
            <w:noWrap w:val="0"/>
            <w:vAlign w:val="top"/>
          </w:tcPr>
          <w:p w14:paraId="754CC94E">
            <w:pPr>
              <w:spacing w:line="440" w:lineRule="exact"/>
              <w:jc w:val="left"/>
              <w:rPr>
                <w:rFonts w:hint="default" w:ascii="仿宋" w:hAnsi="仿宋" w:eastAsia="仿宋" w:cs="仿宋"/>
                <w:color w:val="auto"/>
                <w:sz w:val="21"/>
                <w:szCs w:val="21"/>
                <w:highlight w:val="none"/>
                <w:lang w:val="en-US" w:eastAsia="zh-CN" w:bidi="ar-SA"/>
              </w:rPr>
            </w:pPr>
            <w:r>
              <w:rPr>
                <w:rFonts w:hint="eastAsia" w:ascii="仿宋" w:hAnsi="仿宋" w:eastAsia="仿宋" w:cs="仿宋"/>
                <w:b/>
                <w:bCs/>
                <w:color w:val="auto"/>
                <w:sz w:val="21"/>
                <w:szCs w:val="21"/>
                <w:highlight w:val="none"/>
                <w:lang w:val="en-US" w:eastAsia="zh-CN" w:bidi="ar-SA"/>
              </w:rPr>
              <w:t>以经评审小组一致认定满足招标文件要求，且投标综合下浮率最高投标报价为评标基准价；标报价得分=(投标下浮率/评标基准价)×30×100%。注:投标报价为:(1-下浮率)，共1项，共计30分。因落实政府采购政策进行价格调整的，以调整后的价格计算评标基准价和投标报价。</w:t>
            </w:r>
          </w:p>
        </w:tc>
      </w:tr>
      <w:tr w14:paraId="4CE9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5" w:hRule="atLeast"/>
          <w:jc w:val="center"/>
        </w:trPr>
        <w:tc>
          <w:tcPr>
            <w:tcW w:w="1448" w:type="dxa"/>
            <w:vMerge w:val="restart"/>
            <w:noWrap w:val="0"/>
            <w:vAlign w:val="center"/>
          </w:tcPr>
          <w:p w14:paraId="1748B948">
            <w:pPr>
              <w:spacing w:line="440" w:lineRule="exact"/>
              <w:ind w:firstLine="539" w:firstLineChars="257"/>
              <w:rPr>
                <w:rFonts w:hint="eastAsia" w:ascii="仿宋" w:hAnsi="仿宋" w:eastAsia="仿宋" w:cs="仿宋"/>
                <w:color w:val="auto"/>
                <w:sz w:val="21"/>
                <w:szCs w:val="21"/>
                <w:highlight w:val="none"/>
                <w:lang w:eastAsia="zh-CN" w:bidi="ar-SA"/>
              </w:rPr>
            </w:pPr>
          </w:p>
        </w:tc>
        <w:tc>
          <w:tcPr>
            <w:tcW w:w="1764" w:type="dxa"/>
            <w:shd w:val="clear" w:color="auto" w:fill="FFFFFF" w:themeFill="background1"/>
            <w:noWrap w:val="0"/>
            <w:vAlign w:val="center"/>
          </w:tcPr>
          <w:p w14:paraId="11BB8BEC">
            <w:pPr>
              <w:keepNext w:val="0"/>
              <w:keepLines w:val="0"/>
              <w:pageBreakBefore w:val="0"/>
              <w:widowControl w:val="0"/>
              <w:shd w:val="clear" w:color="auto" w:fill="auto"/>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shd w:val="clear" w:fill="FFFFFF" w:themeFill="background1"/>
                <w:lang w:val="en-US" w:eastAsia="zh-CN" w:bidi="ar-SA"/>
              </w:rPr>
              <w:t>企业综合实力</w:t>
            </w:r>
            <w:r>
              <w:rPr>
                <w:rFonts w:hint="eastAsia" w:ascii="仿宋" w:hAnsi="仿宋" w:eastAsia="仿宋" w:cs="仿宋"/>
                <w:color w:val="auto"/>
                <w:sz w:val="21"/>
                <w:szCs w:val="21"/>
                <w:highlight w:val="none"/>
                <w:lang w:val="zh-CN" w:eastAsia="zh-CN" w:bidi="ar-SA"/>
              </w:rPr>
              <w:t>（</w:t>
            </w:r>
            <w:r>
              <w:rPr>
                <w:rFonts w:hint="eastAsia" w:ascii="仿宋" w:hAnsi="仿宋" w:eastAsia="仿宋" w:cs="仿宋"/>
                <w:color w:val="auto"/>
                <w:sz w:val="21"/>
                <w:szCs w:val="21"/>
                <w:highlight w:val="none"/>
                <w:lang w:val="en-US" w:eastAsia="zh-CN" w:bidi="ar-SA"/>
              </w:rPr>
              <w:t>6分</w:t>
            </w:r>
            <w:r>
              <w:rPr>
                <w:rFonts w:hint="eastAsia" w:ascii="仿宋" w:hAnsi="仿宋" w:eastAsia="仿宋" w:cs="仿宋"/>
                <w:color w:val="auto"/>
                <w:sz w:val="21"/>
                <w:szCs w:val="21"/>
                <w:highlight w:val="none"/>
                <w:lang w:val="zh-CN" w:eastAsia="zh-CN" w:bidi="ar-SA"/>
              </w:rPr>
              <w:t>）</w:t>
            </w:r>
          </w:p>
        </w:tc>
        <w:tc>
          <w:tcPr>
            <w:tcW w:w="7013" w:type="dxa"/>
            <w:shd w:val="clear" w:color="auto" w:fill="FFFFFF" w:themeFill="background1"/>
            <w:noWrap w:val="0"/>
            <w:vAlign w:val="center"/>
          </w:tcPr>
          <w:p w14:paraId="047B74B4">
            <w:pPr>
              <w:spacing w:line="440" w:lineRule="exact"/>
              <w:rPr>
                <w:rFonts w:hint="eastAsia" w:ascii="仿宋" w:hAnsi="仿宋" w:eastAsia="仿宋" w:cs="仿宋"/>
                <w:color w:val="auto"/>
                <w:sz w:val="21"/>
                <w:szCs w:val="21"/>
                <w:highlight w:val="none"/>
                <w:lang w:val="en-US" w:eastAsia="zh-CN"/>
              </w:rPr>
            </w:pPr>
            <w:bookmarkStart w:id="45" w:name="OLE_LINK9"/>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rPr>
              <w:t>配送货车不低于</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lang w:val="zh-CN"/>
              </w:rPr>
              <w:t>辆（提供相关证明材料</w:t>
            </w:r>
            <w:r>
              <w:rPr>
                <w:rFonts w:hint="eastAsia" w:ascii="仿宋" w:hAnsi="仿宋" w:eastAsia="仿宋" w:cs="仿宋"/>
                <w:color w:val="auto"/>
                <w:sz w:val="21"/>
                <w:szCs w:val="21"/>
                <w:highlight w:val="none"/>
                <w:lang w:val="en-US" w:eastAsia="zh-CN"/>
              </w:rPr>
              <w:t>如</w:t>
            </w:r>
            <w:r>
              <w:rPr>
                <w:rFonts w:hint="eastAsia" w:ascii="仿宋" w:hAnsi="仿宋" w:eastAsia="仿宋" w:cs="仿宋"/>
                <w:color w:val="auto"/>
                <w:sz w:val="21"/>
                <w:szCs w:val="21"/>
                <w:highlight w:val="none"/>
                <w:lang w:val="zh-CN"/>
              </w:rPr>
              <w:t>冷藏箱式货车提供彩图、车辆所属文件、行驶证等证明</w:t>
            </w:r>
            <w:r>
              <w:rPr>
                <w:rFonts w:hint="eastAsia" w:ascii="仿宋" w:hAnsi="仿宋" w:eastAsia="仿宋" w:cs="仿宋"/>
                <w:color w:val="auto"/>
                <w:sz w:val="21"/>
                <w:szCs w:val="21"/>
                <w:highlight w:val="none"/>
                <w:lang w:val="zh-CN"/>
              </w:rPr>
              <w:t>材料））</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rPr>
              <w:t>分</w:t>
            </w:r>
            <w:r>
              <w:rPr>
                <w:rFonts w:hint="eastAsia" w:ascii="仿宋" w:hAnsi="仿宋" w:eastAsia="仿宋" w:cs="仿宋"/>
                <w:color w:val="auto"/>
                <w:sz w:val="21"/>
                <w:szCs w:val="21"/>
                <w:highlight w:val="none"/>
                <w:lang w:val="zh-CN" w:eastAsia="zh-CN"/>
              </w:rPr>
              <w:t>，</w:t>
            </w:r>
            <w:r>
              <w:rPr>
                <w:rFonts w:hint="eastAsia" w:ascii="仿宋" w:hAnsi="仿宋" w:eastAsia="仿宋" w:cs="仿宋"/>
                <w:color w:val="auto"/>
                <w:sz w:val="21"/>
                <w:szCs w:val="21"/>
                <w:highlight w:val="none"/>
                <w:lang w:val="en-US" w:eastAsia="zh-CN"/>
              </w:rPr>
              <w:t>少提供一辆扣0.25分，无</w:t>
            </w:r>
            <w:r>
              <w:rPr>
                <w:rFonts w:hint="eastAsia" w:ascii="仿宋" w:hAnsi="仿宋" w:eastAsia="仿宋" w:cs="仿宋"/>
                <w:color w:val="auto"/>
                <w:sz w:val="21"/>
                <w:szCs w:val="21"/>
                <w:highlight w:val="none"/>
                <w:lang w:val="zh-CN"/>
              </w:rPr>
              <w:t>配送货车</w:t>
            </w:r>
            <w:r>
              <w:rPr>
                <w:rFonts w:hint="eastAsia" w:ascii="仿宋" w:hAnsi="仿宋" w:eastAsia="仿宋" w:cs="仿宋"/>
                <w:color w:val="auto"/>
                <w:sz w:val="21"/>
                <w:szCs w:val="21"/>
                <w:highlight w:val="none"/>
                <w:lang w:val="en-US" w:eastAsia="zh-CN"/>
              </w:rPr>
              <w:t>得0分。</w:t>
            </w:r>
          </w:p>
          <w:p w14:paraId="76A1ED30">
            <w:pPr>
              <w:spacing w:line="44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val="zh-CN"/>
              </w:rPr>
              <w:t>具有专业配送人员，不少于</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val="zh-CN"/>
              </w:rPr>
              <w:t>人（提供健康证）</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val="zh-CN"/>
              </w:rPr>
              <w:t>分。</w:t>
            </w:r>
            <w:r>
              <w:rPr>
                <w:rFonts w:hint="eastAsia" w:ascii="仿宋" w:hAnsi="仿宋" w:eastAsia="仿宋" w:cs="仿宋"/>
                <w:color w:val="auto"/>
                <w:sz w:val="21"/>
                <w:szCs w:val="21"/>
                <w:highlight w:val="none"/>
                <w:lang w:val="en-US" w:eastAsia="zh-CN"/>
              </w:rPr>
              <w:t>少一人扣1分，无</w:t>
            </w:r>
            <w:r>
              <w:rPr>
                <w:rFonts w:hint="eastAsia" w:ascii="仿宋" w:hAnsi="仿宋" w:eastAsia="仿宋" w:cs="仿宋"/>
                <w:color w:val="auto"/>
                <w:sz w:val="21"/>
                <w:szCs w:val="21"/>
                <w:highlight w:val="none"/>
                <w:lang w:val="zh-CN"/>
              </w:rPr>
              <w:t>专业配送人员</w:t>
            </w:r>
            <w:r>
              <w:rPr>
                <w:rFonts w:hint="eastAsia" w:ascii="仿宋" w:hAnsi="仿宋" w:eastAsia="仿宋" w:cs="仿宋"/>
                <w:color w:val="auto"/>
                <w:sz w:val="21"/>
                <w:szCs w:val="21"/>
                <w:highlight w:val="none"/>
                <w:lang w:val="en-US" w:eastAsia="zh-CN"/>
              </w:rPr>
              <w:t>得0分。</w:t>
            </w:r>
            <w:bookmarkEnd w:id="45"/>
          </w:p>
          <w:p w14:paraId="4A08F903">
            <w:pPr>
              <w:spacing w:line="440" w:lineRule="exac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3.配备专职的快速检测人员，并实行AB岗工作制度，提供检测相关专业毕业证书和技能证书，每配备1名符合要求的快速检测人员得2分，满分2分。</w:t>
            </w:r>
          </w:p>
          <w:p w14:paraId="026EE29C">
            <w:pPr>
              <w:pStyle w:val="2"/>
              <w:jc w:val="both"/>
              <w:rPr>
                <w:rFonts w:hint="default"/>
                <w:color w:val="auto"/>
                <w:highlight w:val="none"/>
                <w:lang w:val="en-US" w:eastAsia="zh-CN"/>
              </w:rPr>
            </w:pPr>
            <w:r>
              <w:rPr>
                <w:rFonts w:hint="eastAsia" w:ascii="仿宋" w:hAnsi="仿宋" w:eastAsia="仿宋" w:cs="仿宋"/>
                <w:b w:val="0"/>
                <w:color w:val="auto"/>
                <w:sz w:val="21"/>
                <w:szCs w:val="21"/>
                <w:highlight w:val="none"/>
                <w:lang w:val="en-US" w:eastAsia="zh-CN" w:bidi="en-US"/>
              </w:rPr>
              <w:t>4.仓储条件：提供场所租赁合同或产权证明材料扫描件等相关证明材料，得1分，不提供不得分。</w:t>
            </w:r>
          </w:p>
        </w:tc>
      </w:tr>
      <w:tr w14:paraId="6CE2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1448" w:type="dxa"/>
            <w:vMerge w:val="continue"/>
            <w:noWrap w:val="0"/>
            <w:vAlign w:val="center"/>
          </w:tcPr>
          <w:p w14:paraId="16F032F1">
            <w:pPr>
              <w:spacing w:line="440" w:lineRule="exact"/>
              <w:ind w:firstLine="539" w:firstLineChars="257"/>
              <w:rPr>
                <w:rFonts w:hint="eastAsia" w:ascii="仿宋" w:hAnsi="仿宋" w:eastAsia="仿宋" w:cs="仿宋"/>
                <w:color w:val="auto"/>
                <w:sz w:val="21"/>
                <w:szCs w:val="21"/>
                <w:highlight w:val="none"/>
                <w:lang w:eastAsia="zh-CN" w:bidi="ar-SA"/>
              </w:rPr>
            </w:pPr>
          </w:p>
        </w:tc>
        <w:tc>
          <w:tcPr>
            <w:tcW w:w="1764" w:type="dxa"/>
            <w:shd w:val="clear" w:color="auto" w:fill="FFFFFF" w:themeFill="background1"/>
            <w:noWrap w:val="0"/>
            <w:vAlign w:val="center"/>
          </w:tcPr>
          <w:p w14:paraId="541D42A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项目配送服务方案（15分）</w:t>
            </w:r>
          </w:p>
        </w:tc>
        <w:tc>
          <w:tcPr>
            <w:tcW w:w="7013" w:type="dxa"/>
            <w:shd w:val="clear" w:color="auto" w:fill="FFFFFF" w:themeFill="background1"/>
            <w:noWrap w:val="0"/>
            <w:vAlign w:val="center"/>
          </w:tcPr>
          <w:p w14:paraId="6FB4859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项目配送服务方案：第1-3项全部提供得9分，每缺一小项扣1分（每有一小项表述混乱或不完善扣0.5分）；第4项最高得6分。</w:t>
            </w:r>
          </w:p>
          <w:p w14:paraId="3C518E3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1.投标人对货物运输的具体方案（3分）。①针对运输服务方案、正确处理、完美解决问题的方式；②具有完善的运输组织模式；③针对项目运输方案实施提出措施建议，确保项目顺利实施。</w:t>
            </w:r>
          </w:p>
          <w:p w14:paraId="78E314B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2.投标人对货物配送的具体方案（3分）。①出入库管理②货物交接③配送时间安排。</w:t>
            </w:r>
          </w:p>
          <w:p w14:paraId="58E501B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3.投标人对货物装卸的具体方案（3分）。①货物装卸流程②货物装卸工具③装卸管理。</w:t>
            </w:r>
          </w:p>
          <w:p w14:paraId="62C13C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4.采购人提出的调整计划、临时采购计划以及对不合格的补发调换等要求打分（6分）：①有具体可行措施及承诺予以响应的，得6分；②有承诺但措施不够具体可行的得3分；③未提供的不得分。</w:t>
            </w:r>
          </w:p>
        </w:tc>
      </w:tr>
      <w:tr w14:paraId="4FC6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48" w:type="dxa"/>
            <w:vMerge w:val="continue"/>
            <w:noWrap w:val="0"/>
            <w:vAlign w:val="center"/>
          </w:tcPr>
          <w:p w14:paraId="7CDC1F9D">
            <w:pPr>
              <w:spacing w:line="440" w:lineRule="exact"/>
              <w:ind w:firstLine="539" w:firstLineChars="257"/>
              <w:rPr>
                <w:rFonts w:hint="eastAsia" w:ascii="仿宋" w:hAnsi="仿宋" w:eastAsia="仿宋" w:cs="仿宋"/>
                <w:color w:val="auto"/>
                <w:sz w:val="21"/>
                <w:szCs w:val="21"/>
                <w:highlight w:val="none"/>
                <w:lang w:eastAsia="zh-CN" w:bidi="ar-SA"/>
              </w:rPr>
            </w:pPr>
          </w:p>
        </w:tc>
        <w:tc>
          <w:tcPr>
            <w:tcW w:w="1764" w:type="dxa"/>
            <w:shd w:val="clear" w:color="auto" w:fill="FFFFFF" w:themeFill="background1"/>
            <w:noWrap w:val="0"/>
            <w:vAlign w:val="center"/>
          </w:tcPr>
          <w:p w14:paraId="0B3032AA">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质量安全管理</w:t>
            </w:r>
          </w:p>
          <w:p w14:paraId="790B8829">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（12分）</w:t>
            </w:r>
          </w:p>
        </w:tc>
        <w:tc>
          <w:tcPr>
            <w:tcW w:w="7013" w:type="dxa"/>
            <w:shd w:val="clear" w:color="auto" w:fill="FFFFFF" w:themeFill="background1"/>
            <w:noWrap w:val="0"/>
            <w:vAlign w:val="center"/>
          </w:tcPr>
          <w:p w14:paraId="646BAA9C">
            <w:pPr>
              <w:spacing w:line="44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针对仓储管理、安全生产制度、进货渠道进行评审，全部提供得12分，每缺一小项扣1分（每有一小项表述混乱或不完善扣0.5分）</w:t>
            </w:r>
          </w:p>
          <w:p w14:paraId="09C985A2">
            <w:pPr>
              <w:spacing w:line="44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1.仓储安全管理（4分）。①具有仓储卫生管理制度②配置仓储安全设施（包括但不限于温度测量、湿度测量、挡鼠板、备用电机等，须提供照片相关证明材料）。</w:t>
            </w:r>
          </w:p>
          <w:p w14:paraId="034B5C50">
            <w:pPr>
              <w:spacing w:line="44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2.安全生产制度（4分）。①具有完善的安全制度②具有完善的安全标准。</w:t>
            </w:r>
          </w:p>
          <w:p w14:paraId="2639C44E">
            <w:pPr>
              <w:spacing w:line="44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3.进货渠道（4分）。①具有正规的进货渠道②品种具有多样性、货源充足、产品质量具有优质性。</w:t>
            </w:r>
          </w:p>
        </w:tc>
      </w:tr>
      <w:tr w14:paraId="1A14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48" w:type="dxa"/>
            <w:vMerge w:val="continue"/>
            <w:noWrap w:val="0"/>
            <w:vAlign w:val="center"/>
          </w:tcPr>
          <w:p w14:paraId="7F5CF4D7">
            <w:pPr>
              <w:spacing w:line="440" w:lineRule="exact"/>
              <w:ind w:firstLine="539" w:firstLineChars="257"/>
              <w:rPr>
                <w:rFonts w:hint="eastAsia" w:ascii="仿宋" w:hAnsi="仿宋" w:eastAsia="仿宋" w:cs="仿宋"/>
                <w:color w:val="auto"/>
                <w:sz w:val="21"/>
                <w:szCs w:val="21"/>
                <w:highlight w:val="none"/>
                <w:lang w:eastAsia="zh-CN" w:bidi="ar-SA"/>
              </w:rPr>
            </w:pPr>
          </w:p>
        </w:tc>
        <w:tc>
          <w:tcPr>
            <w:tcW w:w="1764" w:type="dxa"/>
            <w:shd w:val="clear" w:color="auto" w:fill="FFFFFF" w:themeFill="background1"/>
            <w:noWrap w:val="0"/>
            <w:vAlign w:val="center"/>
          </w:tcPr>
          <w:p w14:paraId="1A75148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保障措施</w:t>
            </w:r>
          </w:p>
          <w:p w14:paraId="677A25B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pacing w:val="6"/>
                <w:sz w:val="21"/>
                <w:szCs w:val="21"/>
                <w:highlight w:val="none"/>
              </w:rPr>
              <w:t>（</w:t>
            </w:r>
            <w:r>
              <w:rPr>
                <w:rFonts w:hint="eastAsia" w:ascii="仿宋" w:hAnsi="仿宋" w:eastAsia="仿宋" w:cs="仿宋"/>
                <w:color w:val="auto"/>
                <w:spacing w:val="6"/>
                <w:sz w:val="21"/>
                <w:szCs w:val="21"/>
                <w:highlight w:val="none"/>
                <w:lang w:val="en-US" w:eastAsia="zh-CN"/>
              </w:rPr>
              <w:t>9</w:t>
            </w:r>
            <w:r>
              <w:rPr>
                <w:rFonts w:hint="eastAsia" w:ascii="仿宋" w:hAnsi="仿宋" w:eastAsia="仿宋" w:cs="仿宋"/>
                <w:color w:val="auto"/>
                <w:spacing w:val="6"/>
                <w:sz w:val="21"/>
                <w:szCs w:val="21"/>
                <w:highlight w:val="none"/>
              </w:rPr>
              <w:t>分）</w:t>
            </w:r>
          </w:p>
        </w:tc>
        <w:tc>
          <w:tcPr>
            <w:tcW w:w="7013" w:type="dxa"/>
            <w:shd w:val="clear" w:color="auto" w:fill="FFFFFF" w:themeFill="background1"/>
            <w:noWrap w:val="0"/>
            <w:vAlign w:val="center"/>
          </w:tcPr>
          <w:p w14:paraId="1AC6ED19">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仓储安全管理。 </w:t>
            </w:r>
          </w:p>
          <w:p w14:paraId="1F3DB05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①具有仓储卫生管理制度；  </w:t>
            </w:r>
          </w:p>
          <w:p w14:paraId="3E1A03F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②配置仓储安全设施（包括但不限于温度测量、湿度测量、挡鼠板、 备用电机须提供照片相关证明材料）。 </w:t>
            </w:r>
          </w:p>
          <w:p w14:paraId="3DDE2AB0">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安全质量制度。 </w:t>
            </w:r>
          </w:p>
          <w:p w14:paraId="1120ED4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①具有完善的安全制度； </w:t>
            </w:r>
          </w:p>
          <w:p w14:paraId="2117829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②具有完善的安全标准。</w:t>
            </w:r>
          </w:p>
          <w:p w14:paraId="4FD9CE3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进货渠道。</w:t>
            </w:r>
          </w:p>
          <w:p w14:paraId="533EF3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①具有正规的进货渠道；</w:t>
            </w:r>
          </w:p>
          <w:p w14:paraId="32633CE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仿宋" w:hAnsi="仿宋" w:eastAsia="仿宋" w:cs="仿宋"/>
                <w:color w:val="auto"/>
                <w:sz w:val="21"/>
                <w:szCs w:val="21"/>
                <w:highlight w:val="none"/>
                <w:lang w:val="en-US" w:eastAsia="zh-CN" w:bidi="en-US"/>
              </w:rPr>
            </w:pPr>
            <w:r>
              <w:rPr>
                <w:rFonts w:hint="eastAsia" w:ascii="仿宋" w:hAnsi="仿宋" w:eastAsia="仿宋" w:cs="仿宋"/>
                <w:color w:val="auto"/>
                <w:sz w:val="21"/>
                <w:szCs w:val="21"/>
                <w:highlight w:val="none"/>
              </w:rPr>
              <w:t>②品种具有多样性、货源充足、产品质量具有优质性。 注：以上内容都包含且满足采购需求的得</w:t>
            </w: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 xml:space="preserve">分；每缺少一项内容的 扣 </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分；每有一处缺陷的扣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分；扣完为止，未提供不得分。（缺 陷是指：存在不适用该项目实际情况的情形、凭空编造、内容前后不一致、前后逻辑错误、涉及的规范及标准错误、地点区域错误、内容失不符合采购需求的任意一项）</w:t>
            </w:r>
          </w:p>
        </w:tc>
      </w:tr>
      <w:tr w14:paraId="7419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48" w:type="dxa"/>
            <w:vMerge w:val="continue"/>
            <w:noWrap w:val="0"/>
            <w:vAlign w:val="center"/>
          </w:tcPr>
          <w:p w14:paraId="4C410160">
            <w:pPr>
              <w:spacing w:line="440" w:lineRule="exact"/>
              <w:ind w:firstLine="539" w:firstLineChars="257"/>
              <w:rPr>
                <w:rFonts w:hint="eastAsia" w:ascii="仿宋" w:hAnsi="仿宋" w:eastAsia="仿宋" w:cs="仿宋"/>
                <w:color w:val="auto"/>
                <w:sz w:val="21"/>
                <w:szCs w:val="21"/>
                <w:highlight w:val="none"/>
                <w:lang w:eastAsia="zh-CN" w:bidi="ar-SA"/>
              </w:rPr>
            </w:pPr>
          </w:p>
        </w:tc>
        <w:tc>
          <w:tcPr>
            <w:tcW w:w="1764" w:type="dxa"/>
            <w:shd w:val="clear" w:color="auto" w:fill="FFFFFF" w:themeFill="background1"/>
            <w:noWrap w:val="0"/>
            <w:vAlign w:val="center"/>
          </w:tcPr>
          <w:p w14:paraId="12DF9EEF">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类似业绩（3分）</w:t>
            </w:r>
          </w:p>
        </w:tc>
        <w:tc>
          <w:tcPr>
            <w:tcW w:w="7013" w:type="dxa"/>
            <w:shd w:val="clear" w:color="auto" w:fill="FFFFFF" w:themeFill="background1"/>
            <w:noWrap w:val="0"/>
            <w:vAlign w:val="center"/>
          </w:tcPr>
          <w:p w14:paraId="46C0C2DA">
            <w:pPr>
              <w:spacing w:line="44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近三年（2022年1月1日年至今）具有类似的1个业绩得1分，最多得3分。</w:t>
            </w:r>
          </w:p>
          <w:p w14:paraId="7AFEEB73">
            <w:pPr>
              <w:spacing w:line="44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评分认定标准：投标人须提供相关业绩合同及中标通知书（成交通知书）证明材料的复印件。</w:t>
            </w:r>
          </w:p>
        </w:tc>
      </w:tr>
      <w:tr w14:paraId="11F5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48" w:type="dxa"/>
            <w:vMerge w:val="continue"/>
            <w:noWrap w:val="0"/>
            <w:vAlign w:val="center"/>
          </w:tcPr>
          <w:p w14:paraId="3F90FE09">
            <w:pPr>
              <w:spacing w:line="440" w:lineRule="exact"/>
              <w:ind w:firstLine="539" w:firstLineChars="257"/>
              <w:rPr>
                <w:rFonts w:hint="eastAsia" w:ascii="仿宋" w:hAnsi="仿宋" w:eastAsia="仿宋" w:cs="仿宋"/>
                <w:color w:val="auto"/>
                <w:sz w:val="21"/>
                <w:szCs w:val="21"/>
                <w:highlight w:val="none"/>
                <w:lang w:eastAsia="zh-CN" w:bidi="ar-SA"/>
              </w:rPr>
            </w:pPr>
          </w:p>
        </w:tc>
        <w:tc>
          <w:tcPr>
            <w:tcW w:w="1764" w:type="dxa"/>
            <w:tcBorders>
              <w:bottom w:val="single" w:color="auto" w:sz="4" w:space="0"/>
            </w:tcBorders>
            <w:shd w:val="clear" w:color="auto" w:fill="FFFFFF" w:themeFill="background1"/>
            <w:noWrap w:val="0"/>
            <w:vAlign w:val="center"/>
          </w:tcPr>
          <w:p w14:paraId="069E360C">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食品安全及应急预案保障</w:t>
            </w:r>
          </w:p>
          <w:p w14:paraId="28A8693E">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（15分）</w:t>
            </w:r>
          </w:p>
        </w:tc>
        <w:tc>
          <w:tcPr>
            <w:tcW w:w="7013" w:type="dxa"/>
            <w:tcBorders>
              <w:bottom w:val="single" w:color="auto" w:sz="4" w:space="0"/>
            </w:tcBorders>
            <w:shd w:val="clear" w:color="auto" w:fill="FFFFFF" w:themeFill="background1"/>
            <w:noWrap w:val="0"/>
            <w:vAlign w:val="center"/>
          </w:tcPr>
          <w:p w14:paraId="3F5C6D1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投标人需制定食品安全保障方案，主要包括进货①食材供应、运输、服务等方面突发事件应急处置程序、具体措施、注意事项、相关记录等要点；②渠道选择；③质量保证措施；④食品安全检测；⑤出现产品质量问题后的应急处理方案等。满分15分；内容每缺失一项扣3分，扣完为止；内容模糊不清、逻辑性差、不符合实际的，每有一条扣1分，扣完为止，不提供的不得分。</w:t>
            </w:r>
          </w:p>
        </w:tc>
      </w:tr>
      <w:tr w14:paraId="4C2F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48" w:type="dxa"/>
            <w:vMerge w:val="continue"/>
            <w:noWrap w:val="0"/>
            <w:vAlign w:val="center"/>
          </w:tcPr>
          <w:p w14:paraId="5931A5DE">
            <w:pPr>
              <w:spacing w:line="440" w:lineRule="exact"/>
              <w:ind w:firstLine="539" w:firstLineChars="257"/>
              <w:rPr>
                <w:rFonts w:hint="eastAsia" w:ascii="仿宋" w:hAnsi="仿宋" w:eastAsia="仿宋" w:cs="仿宋"/>
                <w:color w:val="auto"/>
                <w:sz w:val="21"/>
                <w:szCs w:val="21"/>
                <w:highlight w:val="none"/>
                <w:lang w:eastAsia="zh-CN" w:bidi="ar-SA"/>
              </w:rPr>
            </w:pPr>
          </w:p>
        </w:tc>
        <w:tc>
          <w:tcPr>
            <w:tcW w:w="1764" w:type="dxa"/>
            <w:tcBorders>
              <w:top w:val="single" w:color="auto" w:sz="4" w:space="0"/>
              <w:bottom w:val="single" w:color="auto" w:sz="4" w:space="0"/>
            </w:tcBorders>
            <w:noWrap w:val="0"/>
            <w:vAlign w:val="center"/>
          </w:tcPr>
          <w:p w14:paraId="70EFCF94">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售后服务方案</w:t>
            </w:r>
          </w:p>
          <w:p w14:paraId="33F7F87B">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（5分）</w:t>
            </w:r>
          </w:p>
        </w:tc>
        <w:tc>
          <w:tcPr>
            <w:tcW w:w="7013" w:type="dxa"/>
            <w:tcBorders>
              <w:top w:val="single" w:color="auto" w:sz="4" w:space="0"/>
              <w:bottom w:val="single" w:color="auto" w:sz="4" w:space="0"/>
            </w:tcBorders>
            <w:noWrap w:val="0"/>
            <w:vAlign w:val="center"/>
          </w:tcPr>
          <w:p w14:paraId="4934545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1.售后服务方案（3分）。①针对服务中出现产品各项问题的解决办法 ;②项目售后服务组织措施。③保证及时供货和调换货时间响应的相关证明材料，全部提供得3分，每缺一小项扣1分（每有一小项表述混乱或不完善扣0.5分）</w:t>
            </w:r>
          </w:p>
          <w:p w14:paraId="4E714B7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2.专职服务团队（2分）。针对本项目配备2名专职服务人员，</w:t>
            </w:r>
            <w:r>
              <w:rPr>
                <w:rFonts w:hint="eastAsia" w:ascii="仿宋" w:hAnsi="仿宋" w:eastAsia="仿宋" w:cs="仿宋"/>
                <w:b w:val="0"/>
                <w:bCs w:val="0"/>
                <w:color w:val="auto"/>
                <w:kern w:val="2"/>
                <w:sz w:val="21"/>
                <w:szCs w:val="21"/>
                <w:highlight w:val="none"/>
                <w:lang w:val="en-US" w:eastAsia="zh-CN" w:bidi="ar-SA"/>
              </w:rPr>
              <w:t>须提供人员的身份证、健康证、劳动合同及近6个月的任意一个月社保证</w:t>
            </w:r>
            <w:r>
              <w:rPr>
                <w:rFonts w:hint="eastAsia" w:ascii="仿宋" w:hAnsi="仿宋" w:eastAsia="仿宋" w:cs="仿宋"/>
                <w:b w:val="0"/>
                <w:bCs w:val="0"/>
                <w:color w:val="auto"/>
                <w:kern w:val="2"/>
                <w:sz w:val="21"/>
                <w:szCs w:val="21"/>
                <w:highlight w:val="none"/>
                <w:lang w:val="en-US" w:eastAsia="zh-CN" w:bidi="ar-SA"/>
              </w:rPr>
              <w:t>明，全部满足得2分,未提供或者证明资料不全不得分。</w:t>
            </w:r>
          </w:p>
        </w:tc>
      </w:tr>
      <w:tr w14:paraId="1AD5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48" w:type="dxa"/>
            <w:noWrap w:val="0"/>
            <w:vAlign w:val="center"/>
          </w:tcPr>
          <w:p w14:paraId="30E21828">
            <w:pPr>
              <w:spacing w:line="440" w:lineRule="exact"/>
              <w:ind w:firstLine="539" w:firstLineChars="257"/>
              <w:rPr>
                <w:rFonts w:hint="eastAsia" w:ascii="仿宋" w:hAnsi="仿宋" w:eastAsia="仿宋" w:cs="仿宋"/>
                <w:color w:val="auto"/>
                <w:sz w:val="21"/>
                <w:szCs w:val="21"/>
                <w:highlight w:val="none"/>
                <w:lang w:eastAsia="zh-CN" w:bidi="ar-SA"/>
              </w:rPr>
            </w:pPr>
          </w:p>
        </w:tc>
        <w:tc>
          <w:tcPr>
            <w:tcW w:w="1764" w:type="dxa"/>
            <w:tcBorders>
              <w:top w:val="single" w:color="auto" w:sz="4" w:space="0"/>
            </w:tcBorders>
            <w:noWrap w:val="0"/>
            <w:vAlign w:val="center"/>
          </w:tcPr>
          <w:p w14:paraId="4387A44C">
            <w:pPr>
              <w:spacing w:line="44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档案追溯（5分）</w:t>
            </w:r>
          </w:p>
          <w:p w14:paraId="7941FAF7">
            <w:pPr>
              <w:spacing w:line="440" w:lineRule="exact"/>
              <w:jc w:val="center"/>
              <w:rPr>
                <w:rFonts w:hint="eastAsia" w:ascii="仿宋" w:hAnsi="仿宋" w:eastAsia="仿宋" w:cs="仿宋"/>
                <w:color w:val="auto"/>
                <w:kern w:val="2"/>
                <w:sz w:val="21"/>
                <w:szCs w:val="21"/>
                <w:highlight w:val="none"/>
                <w:lang w:val="en-US" w:eastAsia="zh-CN" w:bidi="ar-SA"/>
              </w:rPr>
            </w:pPr>
          </w:p>
        </w:tc>
        <w:tc>
          <w:tcPr>
            <w:tcW w:w="7013" w:type="dxa"/>
            <w:tcBorders>
              <w:top w:val="single" w:color="auto" w:sz="4" w:space="0"/>
            </w:tcBorders>
            <w:noWrap w:val="0"/>
            <w:vAlign w:val="center"/>
          </w:tcPr>
          <w:p w14:paraId="6796DF4C">
            <w:pPr>
              <w:keepNext w:val="0"/>
              <w:keepLines w:val="0"/>
              <w:widowControl/>
              <w:suppressLineNumbers w:val="0"/>
              <w:jc w:val="left"/>
              <w:rPr>
                <w:color w:val="auto"/>
                <w:highlight w:val="none"/>
              </w:rPr>
            </w:pPr>
            <w:r>
              <w:rPr>
                <w:rFonts w:ascii="仿宋" w:hAnsi="仿宋" w:eastAsia="仿宋" w:cs="仿宋"/>
                <w:color w:val="auto"/>
                <w:kern w:val="0"/>
                <w:sz w:val="24"/>
                <w:szCs w:val="24"/>
                <w:highlight w:val="none"/>
                <w:lang w:val="en-US" w:eastAsia="zh-CN" w:bidi="ar"/>
              </w:rPr>
              <w:t>投标</w:t>
            </w:r>
            <w:r>
              <w:rPr>
                <w:rFonts w:ascii="仿宋" w:hAnsi="仿宋" w:eastAsia="仿宋" w:cs="仿宋"/>
                <w:color w:val="auto"/>
                <w:kern w:val="0"/>
                <w:sz w:val="24"/>
                <w:szCs w:val="24"/>
                <w:highlight w:val="none"/>
                <w:lang w:val="en-US" w:eastAsia="zh-CN" w:bidi="ar"/>
              </w:rPr>
              <w:t xml:space="preserve">人承诺建立配送采购人食材的追踪溯源体系及专门台 </w:t>
            </w:r>
          </w:p>
          <w:p w14:paraId="22D850EB">
            <w:pPr>
              <w:keepNext w:val="0"/>
              <w:keepLines w:val="0"/>
              <w:widowControl/>
              <w:suppressLineNumbers w:val="0"/>
              <w:jc w:val="left"/>
              <w:rPr>
                <w:color w:val="auto"/>
                <w:highlight w:val="none"/>
              </w:rPr>
            </w:pPr>
            <w:r>
              <w:rPr>
                <w:rFonts w:hint="eastAsia" w:ascii="仿宋" w:hAnsi="仿宋" w:eastAsia="仿宋" w:cs="仿宋"/>
                <w:color w:val="auto"/>
                <w:kern w:val="0"/>
                <w:sz w:val="24"/>
                <w:szCs w:val="24"/>
                <w:highlight w:val="none"/>
                <w:lang w:val="en-US" w:eastAsia="zh-CN" w:bidi="ar"/>
              </w:rPr>
              <w:t>账档案，提供承诺函加盖公章得5分，未</w:t>
            </w:r>
            <w:r>
              <w:rPr>
                <w:rFonts w:hint="eastAsia" w:ascii="仿宋" w:hAnsi="仿宋" w:eastAsia="仿宋" w:cs="仿宋"/>
                <w:color w:val="auto"/>
                <w:kern w:val="0"/>
                <w:sz w:val="24"/>
                <w:szCs w:val="24"/>
                <w:highlight w:val="none"/>
                <w:lang w:val="en-US" w:eastAsia="zh-CN" w:bidi="ar"/>
              </w:rPr>
              <w:t>提供不得分。</w:t>
            </w:r>
          </w:p>
          <w:p w14:paraId="055978D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 w:hAnsi="仿宋" w:eastAsia="仿宋" w:cs="仿宋"/>
                <w:b w:val="0"/>
                <w:bCs w:val="0"/>
                <w:color w:val="auto"/>
                <w:kern w:val="2"/>
                <w:sz w:val="21"/>
                <w:szCs w:val="21"/>
                <w:highlight w:val="none"/>
                <w:lang w:val="en-US" w:eastAsia="zh-CN" w:bidi="ar-SA"/>
              </w:rPr>
            </w:pPr>
          </w:p>
        </w:tc>
      </w:tr>
    </w:tbl>
    <w:p w14:paraId="673DB92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如评标专家在检验电子标书过程中，如果由于供应商自身原因导致评标专家无法查看并检验电子标书中以上相关资料的，否决其投标。即使投标单位将原件携带至现场的，同样按无效投标处理。</w:t>
      </w:r>
    </w:p>
    <w:p w14:paraId="2EEFCA2A">
      <w:pPr>
        <w:pStyle w:val="45"/>
        <w:keepNext w:val="0"/>
        <w:keepLines w:val="0"/>
        <w:pageBreakBefore w:val="0"/>
        <w:widowControl w:val="0"/>
        <w:tabs>
          <w:tab w:val="left" w:pos="1701"/>
        </w:tabs>
        <w:kinsoku/>
        <w:wordWrap/>
        <w:overflowPunct/>
        <w:topLinePunct w:val="0"/>
        <w:autoSpaceDE/>
        <w:autoSpaceDN/>
        <w:bidi w:val="0"/>
        <w:adjustRightInd/>
        <w:snapToGrid/>
        <w:spacing w:line="400" w:lineRule="exact"/>
        <w:ind w:left="0"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10.2.2价格评分方法</w:t>
      </w:r>
    </w:p>
    <w:p w14:paraId="042B1AD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auto"/>
          <w:szCs w:val="21"/>
          <w:highlight w:val="none"/>
          <w:lang w:eastAsia="zh-CN" w:bidi="ar-SA"/>
        </w:rPr>
      </w:pPr>
      <w:r>
        <w:rPr>
          <w:rFonts w:hint="eastAsia" w:ascii="仿宋" w:hAnsi="仿宋" w:eastAsia="仿宋" w:cs="仿宋"/>
          <w:color w:val="auto"/>
          <w:szCs w:val="21"/>
          <w:highlight w:val="none"/>
          <w:lang w:eastAsia="zh-CN" w:bidi="ar-SA"/>
        </w:rPr>
        <w:t>满足招标文件技术要求且投标价格</w:t>
      </w:r>
      <w:r>
        <w:rPr>
          <w:rFonts w:hint="eastAsia" w:ascii="仿宋" w:hAnsi="仿宋" w:eastAsia="仿宋" w:cs="仿宋"/>
          <w:color w:val="auto"/>
          <w:szCs w:val="21"/>
          <w:highlight w:val="none"/>
          <w:lang w:val="en-US" w:eastAsia="zh-CN" w:bidi="ar-SA"/>
        </w:rPr>
        <w:t>优惠最多</w:t>
      </w:r>
      <w:r>
        <w:rPr>
          <w:rFonts w:hint="eastAsia" w:ascii="仿宋" w:hAnsi="仿宋" w:eastAsia="仿宋" w:cs="仿宋"/>
          <w:color w:val="auto"/>
          <w:szCs w:val="21"/>
          <w:highlight w:val="none"/>
          <w:lang w:eastAsia="zh-CN" w:bidi="ar-SA"/>
        </w:rPr>
        <w:t>的投标报价（</w:t>
      </w:r>
      <w:r>
        <w:rPr>
          <w:rFonts w:hint="eastAsia" w:ascii="仿宋" w:hAnsi="仿宋" w:eastAsia="仿宋" w:cs="仿宋"/>
          <w:color w:val="auto"/>
          <w:szCs w:val="21"/>
          <w:highlight w:val="none"/>
          <w:lang w:val="en-US" w:eastAsia="zh-CN" w:bidi="ar-SA"/>
        </w:rPr>
        <w:t>下浮率）</w:t>
      </w:r>
      <w:r>
        <w:rPr>
          <w:rFonts w:hint="eastAsia" w:ascii="仿宋" w:hAnsi="仿宋" w:eastAsia="仿宋" w:cs="仿宋"/>
          <w:color w:val="auto"/>
          <w:szCs w:val="21"/>
          <w:highlight w:val="none"/>
          <w:lang w:eastAsia="zh-CN" w:bidi="ar-SA"/>
        </w:rPr>
        <w:t>为评标基准价，其价格分为满分。其他供应商的价格分别按照下列公式计算： 投标报价得分=（评标基准价/投标报价）×价格权重。</w:t>
      </w:r>
    </w:p>
    <w:p w14:paraId="02E48235">
      <w:pPr>
        <w:spacing w:beforeLines="50" w:line="400" w:lineRule="exact"/>
        <w:jc w:val="center"/>
        <w:outlineLvl w:val="1"/>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五  推荐中标候选人</w:t>
      </w:r>
      <w:bookmarkEnd w:id="0"/>
      <w:bookmarkEnd w:id="1"/>
    </w:p>
    <w:p w14:paraId="2A8EAEF5">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11.1评标委员会推荐3名中标候选人，并标明排序。</w:t>
      </w:r>
    </w:p>
    <w:p w14:paraId="2B2A9ECF">
      <w:pPr>
        <w:spacing w:line="400" w:lineRule="exact"/>
        <w:ind w:firstLine="470" w:firstLineChars="196"/>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11.2如出现报价相同情况，则由招标人现场抽签确定中标候选人排名顺序。</w:t>
      </w:r>
    </w:p>
    <w:bookmarkEnd w:id="2"/>
    <w:p w14:paraId="544EEDA0">
      <w:pPr>
        <w:snapToGrid w:val="0"/>
        <w:spacing w:line="400" w:lineRule="exact"/>
        <w:ind w:firstLine="482" w:firstLineChars="200"/>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12.无效投标条款</w:t>
      </w:r>
    </w:p>
    <w:p w14:paraId="09EBD430">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12.1投标文件有下列情形之一的,其投标文件拒收:</w:t>
      </w:r>
    </w:p>
    <w:p w14:paraId="0167FA22">
      <w:pPr>
        <w:snapToGrid w:val="0"/>
        <w:spacing w:line="400" w:lineRule="exact"/>
        <w:rPr>
          <w:rFonts w:ascii="仿宋" w:hAnsi="仿宋" w:eastAsia="仿宋" w:cs="仿宋"/>
          <w:b/>
          <w:bCs/>
          <w:color w:val="auto"/>
          <w:szCs w:val="21"/>
          <w:highlight w:val="none"/>
          <w:lang w:eastAsia="zh-CN"/>
        </w:rPr>
      </w:pPr>
      <w:r>
        <w:rPr>
          <w:rFonts w:hint="eastAsia" w:ascii="仿宋" w:hAnsi="仿宋" w:eastAsia="仿宋" w:cs="仿宋"/>
          <w:color w:val="auto"/>
          <w:szCs w:val="21"/>
          <w:highlight w:val="none"/>
          <w:lang w:eastAsia="zh-CN"/>
        </w:rPr>
        <w:t xml:space="preserve">   </w:t>
      </w:r>
      <w:r>
        <w:rPr>
          <w:rFonts w:hint="eastAsia" w:ascii="仿宋" w:hAnsi="仿宋" w:eastAsia="仿宋" w:cs="仿宋"/>
          <w:b/>
          <w:bCs/>
          <w:color w:val="auto"/>
          <w:szCs w:val="21"/>
          <w:highlight w:val="none"/>
          <w:lang w:eastAsia="zh-CN"/>
        </w:rPr>
        <w:t xml:space="preserve"> (1) 未在开标截止时间前通过网上招标投标系统递交有效电子投标文件的，开标系统不予接收。</w:t>
      </w:r>
    </w:p>
    <w:p w14:paraId="4D4A88C6">
      <w:pPr>
        <w:snapToGrid w:val="0"/>
        <w:spacing w:line="400" w:lineRule="exact"/>
        <w:ind w:firstLine="482" w:firstLineChars="200"/>
        <w:rPr>
          <w:rFonts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（2）</w:t>
      </w:r>
      <w:r>
        <w:rPr>
          <w:rFonts w:hint="eastAsia" w:ascii="仿宋" w:hAnsi="仿宋" w:eastAsia="仿宋" w:cs="仿宋"/>
          <w:b/>
          <w:color w:val="auto"/>
          <w:szCs w:val="21"/>
          <w:highlight w:val="none"/>
          <w:lang w:eastAsia="zh-CN"/>
        </w:rPr>
        <w:t>所有供应商应在规定时间里完成投标文件的解密工作</w:t>
      </w:r>
      <w:r>
        <w:rPr>
          <w:rFonts w:hint="eastAsia" w:ascii="仿宋" w:hAnsi="仿宋" w:eastAsia="仿宋" w:cs="仿宋"/>
          <w:b/>
          <w:bCs/>
          <w:color w:val="auto"/>
          <w:szCs w:val="21"/>
          <w:highlight w:val="none"/>
          <w:lang w:eastAsia="zh-CN"/>
        </w:rPr>
        <w:t>【供应商使用其有效加密锁（CA锁）进行解密（因供应商原因未能提供有效CA锁对其投标文件进行解密的，其投标文件按无效标处理）</w:t>
      </w:r>
      <w:r>
        <w:rPr>
          <w:rFonts w:hint="eastAsia" w:ascii="仿宋" w:hAnsi="仿宋" w:eastAsia="仿宋" w:cs="仿宋"/>
          <w:b/>
          <w:color w:val="auto"/>
          <w:szCs w:val="21"/>
          <w:highlight w:val="none"/>
          <w:lang w:eastAsia="zh-CN"/>
        </w:rPr>
        <w:t>。</w:t>
      </w:r>
    </w:p>
    <w:p w14:paraId="3FA61307">
      <w:pPr>
        <w:snapToGrid w:val="0"/>
        <w:spacing w:line="40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12.2供应商有下列情形之一的,资格审查后其投标作无效投标处理：</w:t>
      </w:r>
    </w:p>
    <w:p w14:paraId="695DBD99">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(1)法定代表人参加开标会议未携带有效的法定代表人身份证明原件和本人身份证的；委托代理人参加开标会议未携带有效的法定代表人授权书和本人身份证；</w:t>
      </w:r>
    </w:p>
    <w:p w14:paraId="6CA6E2F4">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(2)供应商为本项目提供招标代理服务的；</w:t>
      </w:r>
    </w:p>
    <w:p w14:paraId="4CF2A0B5">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(3)供应商与在本项目代理机构存在相互任职或工作的；</w:t>
      </w:r>
    </w:p>
    <w:p w14:paraId="40BA94F7">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(4)投标保证金未按规定要求缴纳的；</w:t>
      </w:r>
    </w:p>
    <w:p w14:paraId="242D3828">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(5)评标专家无法查看并检验电子标书中相关资料的；</w:t>
      </w:r>
    </w:p>
    <w:p w14:paraId="69C007C9">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(6)供应商超出营业范围投标的；</w:t>
      </w:r>
    </w:p>
    <w:p w14:paraId="32FD2050">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(7)联合体投标未提交联合体协议的；</w:t>
      </w:r>
    </w:p>
    <w:p w14:paraId="3D08AA5F">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(8)被暂停营业的；</w:t>
      </w:r>
    </w:p>
    <w:p w14:paraId="0A38B843">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(9)被暂停或取消投标资格的；</w:t>
      </w:r>
    </w:p>
    <w:p w14:paraId="470A1CF0">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(10)财产被接管或冻结的；</w:t>
      </w:r>
    </w:p>
    <w:p w14:paraId="05D0FB55">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(11)供应商单位负责人为同一人或者存在控股、管理关系的不同单位的；</w:t>
      </w:r>
    </w:p>
    <w:p w14:paraId="46BAE371">
      <w:pPr>
        <w:snapToGrid w:val="0"/>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（12）供应商基本资格条件和特定资格条件中有一项及以上不符合要求的；</w:t>
      </w:r>
    </w:p>
    <w:p w14:paraId="27DE4362">
      <w:pPr>
        <w:snapToGrid w:val="0"/>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（13）供应商使用相同的MAC地址进行报名的；</w:t>
      </w:r>
    </w:p>
    <w:p w14:paraId="6B9F8A62">
      <w:pPr>
        <w:snapToGrid w:val="0"/>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（14）其它情形，经评标委员会提出按无效投标处理，并经公共资源交易监督部门核准的；</w:t>
      </w:r>
    </w:p>
    <w:p w14:paraId="6923E581">
      <w:pPr>
        <w:snapToGrid w:val="0"/>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（15）供应商使用相同IP地址报名的，一经发现，监管部门将进一步核实，查实后按串通投标处理；</w:t>
      </w:r>
    </w:p>
    <w:p w14:paraId="773503DE">
      <w:pPr>
        <w:snapToGrid w:val="0"/>
        <w:spacing w:line="400" w:lineRule="exact"/>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（16）采购文件规定的其它无效投标情形。</w:t>
      </w:r>
    </w:p>
    <w:p w14:paraId="18EBE5EA">
      <w:pPr>
        <w:snapToGrid w:val="0"/>
        <w:spacing w:line="40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12.3 供应商有下列情形之一的,符合性审查后其投标按无效投标处理：</w:t>
      </w:r>
    </w:p>
    <w:p w14:paraId="40C38F1C">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 投标文件签章、盖章不全，经评标委员会一致认定对开评标内容有实质性影响并经监督部门核准的；</w:t>
      </w:r>
    </w:p>
    <w:p w14:paraId="2386243B">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(2)未按规定的格式填写，实质性内容不全或关键字迹模糊、无法辨认; 经监督部门核准的；</w:t>
      </w:r>
    </w:p>
    <w:p w14:paraId="7FDF02C7">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(4)同一供应商提交两个以上不同的投标文件或者投标报价，但采购文件规定提交备选方案的除外；</w:t>
      </w:r>
    </w:p>
    <w:p w14:paraId="75D2F889">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(3)投标文件没有对采购文件的实质性要求和条件作出响应;</w:t>
      </w:r>
    </w:p>
    <w:p w14:paraId="55212672">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(4)投标报价超出规定的投标限价或公布的采购预算的；</w:t>
      </w:r>
    </w:p>
    <w:p w14:paraId="7F244310">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(5)不按评标委员会要求澄清、说明或补正的，或者评标委员会根据采购文件的规定对采购文件的计算错误进行修正后，供应商不接受修正的投标报价的。</w:t>
      </w:r>
    </w:p>
    <w:p w14:paraId="3964396E">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（6）其它情形，经评标委员会委提出按无效投标处理，并经公共资源交易监督部门核准的；</w:t>
      </w:r>
    </w:p>
    <w:p w14:paraId="66E747F7">
      <w:pPr>
        <w:widowControl/>
        <w:spacing w:line="5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shd w:val="clear" w:color="auto" w:fill="FFFFFF"/>
          <w:lang w:eastAsia="zh-CN"/>
        </w:rPr>
        <w:t>未按照招标文件的规定提交投标保证金的；</w:t>
      </w:r>
    </w:p>
    <w:p w14:paraId="2A5B4AD1">
      <w:pPr>
        <w:widowControl/>
        <w:spacing w:line="5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shd w:val="clear" w:color="auto" w:fill="FFFFFF"/>
          <w:lang w:eastAsia="zh-CN"/>
        </w:rPr>
        <w:t>投标文件含有采购人不能接受的附加条件的;</w:t>
      </w:r>
    </w:p>
    <w:p w14:paraId="2323A97A">
      <w:pPr>
        <w:tabs>
          <w:tab w:val="left" w:pos="1123"/>
        </w:tabs>
        <w:snapToGrid w:val="0"/>
        <w:spacing w:line="5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（9）采购文件规定的其它无效投标情形。</w:t>
      </w:r>
    </w:p>
    <w:p w14:paraId="5C72C303">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12.4 供应商有下列情形之一的, 详细评审后其投标按无效投标处理：</w:t>
      </w:r>
    </w:p>
    <w:p w14:paraId="33A8A26B">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(1)投标产品不符合必须强制执行的国家标准的；</w:t>
      </w:r>
    </w:p>
    <w:p w14:paraId="574A8F43">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(2)供应商有串通投标、弄虚作假、行贿等违法行为；</w:t>
      </w:r>
    </w:p>
    <w:p w14:paraId="642F2FBE">
      <w:pPr>
        <w:snapToGrid w:val="0"/>
        <w:spacing w:line="400" w:lineRule="exact"/>
        <w:ind w:firstLine="48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(3)投标文件含有违反国家法律、法规的内容，或附有招标人不能接受的条件的；</w:t>
      </w:r>
    </w:p>
    <w:p w14:paraId="2FEC784C">
      <w:pPr>
        <w:spacing w:line="360" w:lineRule="auto"/>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（4）在同一项目（或同一标段）中有多个供应商有效投标报价接近最高限价，且评标委员会认为报价出现异常的，可以宣布其投标无效；</w:t>
      </w:r>
    </w:p>
    <w:p w14:paraId="065F0DF7">
      <w:pPr>
        <w:spacing w:line="360" w:lineRule="auto"/>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（5）报价明显低于其他供应商，且不能证明报价合理性的投标无效；</w:t>
      </w:r>
    </w:p>
    <w:p w14:paraId="76F2F94E">
      <w:pPr>
        <w:spacing w:line="360" w:lineRule="auto"/>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（6）拒不确认评标委员会评审修正的投标无效；</w:t>
      </w:r>
    </w:p>
    <w:p w14:paraId="703A4019">
      <w:pPr>
        <w:spacing w:line="360" w:lineRule="auto"/>
        <w:ind w:firstLine="360" w:firstLineChars="15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（7）其它情形，经评标委员会委提出按无效投标处理，并经公共资源交易监督部门核准的；</w:t>
      </w:r>
    </w:p>
    <w:p w14:paraId="749F8F8E">
      <w:pPr>
        <w:spacing w:line="360" w:lineRule="auto"/>
        <w:ind w:firstLine="360" w:firstLineChars="15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（8）采购文件规定的其它无效投标情形。</w:t>
      </w:r>
      <w:bookmarkStart w:id="46" w:name="OLE_LINK4"/>
      <w:bookmarkStart w:id="47" w:name="_Toc469495737"/>
    </w:p>
    <w:p w14:paraId="73C464CE">
      <w:pPr>
        <w:rPr>
          <w:rFonts w:hint="eastAsia"/>
          <w:color w:val="auto"/>
          <w:highlight w:val="none"/>
          <w:lang w:eastAsia="zh-CN"/>
        </w:rPr>
      </w:pPr>
      <w:r>
        <w:rPr>
          <w:rFonts w:hint="eastAsia"/>
          <w:color w:val="auto"/>
          <w:highlight w:val="none"/>
          <w:lang w:eastAsia="zh-CN"/>
        </w:rPr>
        <w:br w:type="page"/>
      </w:r>
    </w:p>
    <w:p w14:paraId="348E4585">
      <w:pPr>
        <w:numPr>
          <w:ilvl w:val="0"/>
          <w:numId w:val="2"/>
        </w:numPr>
        <w:ind w:left="0" w:leftChars="0" w:firstLine="0" w:firstLineChars="0"/>
        <w:jc w:val="center"/>
        <w:rPr>
          <w:rFonts w:hint="eastAsia" w:ascii="仿宋" w:hAnsi="仿宋" w:eastAsia="仿宋" w:cs="仿宋"/>
          <w:b/>
          <w:bCs w:val="0"/>
          <w:color w:val="auto"/>
          <w:sz w:val="36"/>
          <w:szCs w:val="36"/>
          <w:highlight w:val="none"/>
          <w:lang w:eastAsia="zh-CN"/>
        </w:rPr>
      </w:pPr>
      <w:r>
        <w:rPr>
          <w:rFonts w:hint="eastAsia" w:ascii="仿宋" w:hAnsi="仿宋" w:eastAsia="仿宋" w:cs="仿宋"/>
          <w:b/>
          <w:bCs w:val="0"/>
          <w:color w:val="auto"/>
          <w:sz w:val="36"/>
          <w:szCs w:val="36"/>
          <w:highlight w:val="none"/>
          <w:lang w:eastAsia="zh-CN"/>
        </w:rPr>
        <w:t>技术规格、数量及质量要求</w:t>
      </w:r>
      <w:bookmarkEnd w:id="3"/>
      <w:bookmarkEnd w:id="46"/>
      <w:bookmarkEnd w:id="47"/>
      <w:bookmarkStart w:id="48" w:name="_Toc340225294"/>
      <w:bookmarkStart w:id="49" w:name="_Toc267320052"/>
    </w:p>
    <w:p w14:paraId="693E86A9">
      <w:pPr>
        <w:pStyle w:val="8"/>
        <w:numPr>
          <w:ilvl w:val="0"/>
          <w:numId w:val="0"/>
        </w:numPr>
        <w:ind w:leftChars="0"/>
        <w:rPr>
          <w:rFonts w:hint="eastAsia" w:ascii="仿宋" w:hAnsi="仿宋" w:eastAsia="仿宋" w:cs="仿宋"/>
          <w:b/>
          <w:bCs w:val="0"/>
          <w:color w:val="auto"/>
          <w:sz w:val="36"/>
          <w:szCs w:val="36"/>
          <w:highlight w:val="none"/>
          <w:lang w:eastAsia="zh-CN"/>
        </w:rPr>
      </w:pPr>
    </w:p>
    <w:p w14:paraId="198CB22D">
      <w:pPr>
        <w:rPr>
          <w:rFonts w:hint="eastAsia"/>
          <w:color w:val="auto"/>
          <w:highlight w:val="none"/>
          <w:lang w:eastAsia="zh-CN"/>
        </w:rPr>
      </w:pPr>
    </w:p>
    <w:p w14:paraId="26435F1F">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采购包二需求：</w:t>
      </w:r>
    </w:p>
    <w:p w14:paraId="194B96F3">
      <w:pPr>
        <w:pStyle w:val="8"/>
        <w:numPr>
          <w:ilvl w:val="0"/>
          <w:numId w:val="0"/>
        </w:numPr>
        <w:ind w:leftChars="0"/>
        <w:rPr>
          <w:rFonts w:hint="eastAsia"/>
          <w:color w:val="auto"/>
          <w:highlight w:val="none"/>
          <w:lang w:eastAsia="zh-CN"/>
        </w:rPr>
      </w:pPr>
    </w:p>
    <w:p w14:paraId="50ADB0EB">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1"/>
          <w:highlight w:val="none"/>
          <w:lang w:val="en-US" w:eastAsia="zh-CN" w:bidi="en-US"/>
        </w:rPr>
      </w:pPr>
      <w:r>
        <w:rPr>
          <w:rFonts w:hint="eastAsia" w:ascii="宋体" w:hAnsi="宋体" w:eastAsia="Times New Roman" w:cs="Times New Roman"/>
          <w:b/>
          <w:color w:val="auto"/>
          <w:sz w:val="24"/>
          <w:highlight w:val="none"/>
          <w:lang w:val="en-US" w:eastAsia="zh-CN"/>
        </w:rPr>
        <w:t>质量标准：供应商配送至学校的</w:t>
      </w:r>
      <w:r>
        <w:rPr>
          <w:rFonts w:hint="eastAsia" w:ascii="宋体" w:hAnsi="宋体" w:eastAsia="Times New Roman" w:cs="Times New Roman"/>
          <w:b/>
          <w:color w:val="auto"/>
          <w:sz w:val="24"/>
          <w:highlight w:val="none"/>
          <w:lang w:val="en-US" w:eastAsia="zh-CN"/>
        </w:rPr>
        <w:t>牛羊肉须为20天以内屠宰的牛羊肉（投标文件须写承诺函），</w:t>
      </w:r>
      <w:r>
        <w:rPr>
          <w:rFonts w:hint="eastAsia" w:ascii="仿宋" w:hAnsi="仿宋" w:eastAsia="仿宋" w:cs="仿宋"/>
          <w:color w:val="auto"/>
          <w:sz w:val="24"/>
          <w:szCs w:val="21"/>
          <w:highlight w:val="none"/>
          <w:lang w:val="en-US" w:eastAsia="zh-CN" w:bidi="en-US"/>
        </w:rPr>
        <w:t>具有动物检验检疫合格证明，且符合食品卫生安全法要求。肉类（牛肉、羊肉等）</w:t>
      </w:r>
      <w:r>
        <w:rPr>
          <w:rFonts w:hint="eastAsia" w:ascii="仿宋" w:hAnsi="仿宋" w:eastAsia="仿宋" w:cs="仿宋"/>
          <w:color w:val="auto"/>
          <w:sz w:val="24"/>
          <w:szCs w:val="21"/>
          <w:highlight w:val="none"/>
          <w:lang w:val="en-US" w:eastAsia="zh-CN" w:bidi="en-US"/>
        </w:rPr>
        <w:t>肉质新鲜，有光泽，肉</w:t>
      </w:r>
      <w:r>
        <w:rPr>
          <w:rFonts w:hint="eastAsia" w:ascii="仿宋" w:hAnsi="仿宋" w:eastAsia="仿宋" w:cs="仿宋"/>
          <w:color w:val="auto"/>
          <w:sz w:val="24"/>
          <w:szCs w:val="21"/>
          <w:highlight w:val="none"/>
          <w:lang w:val="en-US" w:eastAsia="zh-CN" w:bidi="en-US"/>
        </w:rPr>
        <w:t>面干净、新鲜气味正常，无任何异味、无毛发、表皮处理清洁，按照学校需求分割配送。采购原材料应索取产品合格证以及同批次检验（测）报告，配送的食品必须符合国家规定标准及强制性规定要求。羊肉单体羊（去尾），牛肉剔骨、去油、去筋、去膜。</w:t>
      </w:r>
    </w:p>
    <w:p w14:paraId="3E2F84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Times New Roman" w:cs="Times New Roman"/>
          <w:b/>
          <w:color w:val="auto"/>
          <w:sz w:val="24"/>
          <w:highlight w:val="none"/>
          <w:lang w:val="en-US" w:eastAsia="zh-CN"/>
        </w:rPr>
      </w:pPr>
      <w:r>
        <w:rPr>
          <w:rFonts w:hint="eastAsia" w:ascii="宋体" w:hAnsi="宋体" w:eastAsia="Times New Roman" w:cs="Times New Roman"/>
          <w:b/>
          <w:color w:val="auto"/>
          <w:sz w:val="24"/>
          <w:highlight w:val="none"/>
          <w:lang w:val="en-US" w:eastAsia="zh-CN"/>
        </w:rPr>
        <w:t>采购要求：</w:t>
      </w:r>
    </w:p>
    <w:p w14:paraId="724F4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1、供应商应为有以人为本理念、公益服务认识、社会责任明 确的企业，愿意为学生提供优质食品供应服务。</w:t>
      </w:r>
    </w:p>
    <w:p w14:paraId="1BA915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2、具有独立承担民事责任的能力，有较强的经济实力，近 3 年内无食品安全违法经营和投诉现象，信誉度较高，具有相应固 定的食品生产或经营场所，按要求及时进行物资配送的能力。</w:t>
      </w:r>
    </w:p>
    <w:p w14:paraId="79F82A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3、具备齐全的《企业法人营业执照》、《食品生产许可证》或《食品经营许可证》， 并且年审有效。</w:t>
      </w:r>
    </w:p>
    <w:p w14:paraId="3E8EE9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4、能按时提供所配送食品生产商的《食品生产许可证》、《企业法人营业执照》、质检机构年度抽检报告、分批次生产厂家自检报告等。</w:t>
      </w:r>
    </w:p>
    <w:p w14:paraId="7C5485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5、具有相适应的食品配送车辆，车辆箱体保持清洁、定期消毒，并做到专车专用。严禁用食品配送车辆装运有毒有害，影响食品安全的物品。</w:t>
      </w:r>
    </w:p>
    <w:p w14:paraId="3F72C1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6、具有相应的贮存能力、其贮存（仓库）符合相关的食品安全和食品卫生要求。</w:t>
      </w:r>
    </w:p>
    <w:p w14:paraId="213BAC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7、配送的食品必须符合国家规定标准及强制性规定要求，供应商不得提供含有亚硝酸盐（包括亚硝酸钠、亚硝酸钾）等食品添加剂食品。</w:t>
      </w:r>
    </w:p>
    <w:p w14:paraId="6186C1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8、严格执行和各学校签订的学校配送合同书；不得私自更换配送食品的种类， 不得超范 围配送食品 ；由于某种原因需退出学校配送时，应当在做出退出决定的1月前向县教育局、 政府采购中心提出申请。</w:t>
      </w:r>
    </w:p>
    <w:p w14:paraId="3BBA48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1"/>
          <w:highlight w:val="none"/>
          <w:lang w:val="en-US" w:eastAsia="zh-CN" w:bidi="en-US"/>
        </w:rPr>
      </w:pPr>
      <w:r>
        <w:rPr>
          <w:rFonts w:hint="eastAsia" w:ascii="仿宋" w:hAnsi="仿宋" w:eastAsia="仿宋" w:cs="仿宋"/>
          <w:color w:val="auto"/>
          <w:sz w:val="24"/>
          <w:szCs w:val="21"/>
          <w:highlight w:val="none"/>
          <w:lang w:val="en-US" w:eastAsia="zh-CN" w:bidi="en-US"/>
        </w:rPr>
        <w:t>9、该项目要求供应商所供食品接触人员必须要持有健康证。</w:t>
      </w:r>
    </w:p>
    <w:p w14:paraId="37FAF70A">
      <w:pPr>
        <w:spacing w:before="215" w:line="226" w:lineRule="auto"/>
        <w:ind w:left="1339"/>
        <w:rPr>
          <w:rFonts w:ascii="黑体" w:hAnsi="黑体" w:eastAsia="黑体" w:cs="黑体"/>
          <w:color w:val="auto"/>
          <w:spacing w:val="8"/>
          <w:sz w:val="35"/>
          <w:szCs w:val="35"/>
          <w:highlight w:val="none"/>
        </w:rPr>
      </w:pPr>
    </w:p>
    <w:p w14:paraId="2EEC87B3">
      <w:pPr>
        <w:rPr>
          <w:color w:val="auto"/>
          <w:highlight w:val="none"/>
        </w:rPr>
      </w:pPr>
    </w:p>
    <w:p w14:paraId="464C6CF1">
      <w:pPr>
        <w:pStyle w:val="8"/>
        <w:numPr>
          <w:ilvl w:val="0"/>
          <w:numId w:val="0"/>
        </w:numPr>
        <w:ind w:leftChars="0"/>
        <w:rPr>
          <w:color w:val="auto"/>
          <w:highlight w:val="none"/>
        </w:rPr>
      </w:pPr>
    </w:p>
    <w:p w14:paraId="7255B123">
      <w:pPr>
        <w:rPr>
          <w:color w:val="auto"/>
          <w:highlight w:val="none"/>
        </w:rPr>
      </w:pPr>
    </w:p>
    <w:p w14:paraId="60E8C06D">
      <w:pPr>
        <w:pStyle w:val="8"/>
        <w:numPr>
          <w:ilvl w:val="0"/>
          <w:numId w:val="0"/>
        </w:numPr>
        <w:ind w:leftChars="0"/>
        <w:rPr>
          <w:color w:val="auto"/>
          <w:highlight w:val="none"/>
        </w:rPr>
      </w:pPr>
    </w:p>
    <w:p w14:paraId="7670F832">
      <w:pPr>
        <w:rPr>
          <w:color w:val="auto"/>
          <w:highlight w:val="none"/>
        </w:rPr>
      </w:pPr>
    </w:p>
    <w:p w14:paraId="502486D7">
      <w:pPr>
        <w:pStyle w:val="8"/>
        <w:numPr>
          <w:ilvl w:val="0"/>
          <w:numId w:val="0"/>
        </w:numPr>
        <w:ind w:leftChars="0"/>
        <w:rPr>
          <w:color w:val="auto"/>
          <w:highlight w:val="none"/>
        </w:rPr>
      </w:pPr>
    </w:p>
    <w:p w14:paraId="455D06C7">
      <w:pPr>
        <w:rPr>
          <w:color w:val="auto"/>
          <w:highlight w:val="none"/>
        </w:rPr>
      </w:pPr>
    </w:p>
    <w:p w14:paraId="623974B4">
      <w:pPr>
        <w:pStyle w:val="8"/>
        <w:numPr>
          <w:ilvl w:val="0"/>
          <w:numId w:val="0"/>
        </w:numPr>
        <w:ind w:leftChars="0"/>
        <w:rPr>
          <w:color w:val="auto"/>
          <w:highlight w:val="none"/>
        </w:rPr>
      </w:pPr>
    </w:p>
    <w:p w14:paraId="443B24D3">
      <w:pPr>
        <w:rPr>
          <w:color w:val="auto"/>
          <w:highlight w:val="none"/>
        </w:rPr>
      </w:pPr>
    </w:p>
    <w:p w14:paraId="5A75C6B1">
      <w:pPr>
        <w:spacing w:before="215" w:line="226" w:lineRule="auto"/>
        <w:ind w:left="1339"/>
        <w:rPr>
          <w:rFonts w:ascii="黑体" w:hAnsi="黑体" w:eastAsia="黑体" w:cs="黑体"/>
          <w:color w:val="auto"/>
          <w:sz w:val="35"/>
          <w:szCs w:val="35"/>
          <w:highlight w:val="none"/>
        </w:rPr>
      </w:pPr>
      <w:r>
        <w:rPr>
          <w:rFonts w:ascii="黑体" w:hAnsi="黑体" w:eastAsia="黑体" w:cs="黑体"/>
          <w:color w:val="auto"/>
          <w:spacing w:val="8"/>
          <w:sz w:val="35"/>
          <w:szCs w:val="35"/>
          <w:highlight w:val="none"/>
        </w:rPr>
        <w:t>学校大宗食材原（辅）料技术及质量要求表</w:t>
      </w:r>
    </w:p>
    <w:p w14:paraId="52819EE8">
      <w:pPr>
        <w:spacing w:line="64" w:lineRule="exact"/>
        <w:rPr>
          <w:color w:val="auto"/>
          <w:highlight w:val="none"/>
        </w:rPr>
      </w:pPr>
    </w:p>
    <w:tbl>
      <w:tblPr>
        <w:tblStyle w:val="49"/>
        <w:tblW w:w="94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3"/>
        <w:gridCol w:w="2064"/>
        <w:gridCol w:w="6475"/>
      </w:tblGrid>
      <w:tr w14:paraId="1DFE9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923" w:type="dxa"/>
            <w:noWrap w:val="0"/>
            <w:vAlign w:val="top"/>
          </w:tcPr>
          <w:p w14:paraId="6D6926FF">
            <w:pPr>
              <w:spacing w:before="248" w:line="224" w:lineRule="auto"/>
              <w:ind w:left="189"/>
              <w:rPr>
                <w:rFonts w:ascii="黑体" w:hAnsi="黑体" w:eastAsia="黑体" w:cs="黑体"/>
                <w:color w:val="auto"/>
                <w:sz w:val="28"/>
                <w:szCs w:val="28"/>
                <w:highlight w:val="none"/>
              </w:rPr>
            </w:pPr>
            <w:r>
              <w:rPr>
                <w:rFonts w:ascii="黑体" w:hAnsi="黑体" w:eastAsia="黑体" w:cs="黑体"/>
                <w:color w:val="auto"/>
                <w:spacing w:val="-5"/>
                <w:sz w:val="28"/>
                <w:szCs w:val="28"/>
                <w:highlight w:val="none"/>
              </w:rPr>
              <w:t>序号</w:t>
            </w:r>
          </w:p>
        </w:tc>
        <w:tc>
          <w:tcPr>
            <w:tcW w:w="2064" w:type="dxa"/>
            <w:noWrap w:val="0"/>
            <w:vAlign w:val="top"/>
          </w:tcPr>
          <w:p w14:paraId="30D45FF9">
            <w:pPr>
              <w:spacing w:before="248" w:line="222" w:lineRule="auto"/>
              <w:ind w:left="477"/>
              <w:rPr>
                <w:rFonts w:ascii="黑体" w:hAnsi="黑体" w:eastAsia="黑体" w:cs="黑体"/>
                <w:color w:val="auto"/>
                <w:sz w:val="28"/>
                <w:szCs w:val="28"/>
                <w:highlight w:val="none"/>
              </w:rPr>
            </w:pPr>
            <w:r>
              <w:rPr>
                <w:rFonts w:ascii="黑体" w:hAnsi="黑体" w:eastAsia="黑体" w:cs="黑体"/>
                <w:color w:val="auto"/>
                <w:spacing w:val="-3"/>
                <w:sz w:val="28"/>
                <w:szCs w:val="28"/>
                <w:highlight w:val="none"/>
              </w:rPr>
              <w:t>材料名称</w:t>
            </w:r>
          </w:p>
        </w:tc>
        <w:tc>
          <w:tcPr>
            <w:tcW w:w="6475" w:type="dxa"/>
            <w:noWrap w:val="0"/>
            <w:vAlign w:val="top"/>
          </w:tcPr>
          <w:p w14:paraId="0A0B2FA2">
            <w:pPr>
              <w:spacing w:before="248" w:line="223" w:lineRule="auto"/>
              <w:ind w:left="2264"/>
              <w:rPr>
                <w:rFonts w:ascii="黑体" w:hAnsi="黑体" w:eastAsia="黑体" w:cs="黑体"/>
                <w:color w:val="auto"/>
                <w:sz w:val="28"/>
                <w:szCs w:val="28"/>
                <w:highlight w:val="none"/>
              </w:rPr>
            </w:pPr>
            <w:r>
              <w:rPr>
                <w:rFonts w:ascii="黑体" w:hAnsi="黑体" w:eastAsia="黑体" w:cs="黑体"/>
                <w:color w:val="auto"/>
                <w:spacing w:val="-2"/>
                <w:sz w:val="28"/>
                <w:szCs w:val="28"/>
                <w:highlight w:val="none"/>
              </w:rPr>
              <w:t>技术及质量要求</w:t>
            </w:r>
          </w:p>
        </w:tc>
      </w:tr>
      <w:tr w14:paraId="5A541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7" w:hRule="atLeast"/>
        </w:trPr>
        <w:tc>
          <w:tcPr>
            <w:tcW w:w="923" w:type="dxa"/>
            <w:noWrap w:val="0"/>
            <w:vAlign w:val="top"/>
          </w:tcPr>
          <w:p w14:paraId="3E5A6054">
            <w:pPr>
              <w:pStyle w:val="65"/>
              <w:spacing w:line="252" w:lineRule="auto"/>
              <w:rPr>
                <w:color w:val="auto"/>
                <w:highlight w:val="none"/>
              </w:rPr>
            </w:pPr>
          </w:p>
          <w:p w14:paraId="73D2A4A0">
            <w:pPr>
              <w:pStyle w:val="65"/>
              <w:spacing w:line="252" w:lineRule="auto"/>
              <w:rPr>
                <w:color w:val="auto"/>
                <w:highlight w:val="none"/>
              </w:rPr>
            </w:pPr>
          </w:p>
          <w:p w14:paraId="722B8785">
            <w:pPr>
              <w:pStyle w:val="65"/>
              <w:spacing w:line="253" w:lineRule="auto"/>
              <w:rPr>
                <w:color w:val="auto"/>
                <w:highlight w:val="none"/>
              </w:rPr>
            </w:pPr>
          </w:p>
          <w:p w14:paraId="6C3E544E">
            <w:pPr>
              <w:pStyle w:val="65"/>
              <w:spacing w:line="253" w:lineRule="auto"/>
              <w:rPr>
                <w:color w:val="auto"/>
                <w:highlight w:val="none"/>
              </w:rPr>
            </w:pPr>
          </w:p>
          <w:p w14:paraId="6BD310AA">
            <w:pPr>
              <w:spacing w:before="80" w:line="186" w:lineRule="auto"/>
              <w:ind w:left="401"/>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val="en-US" w:eastAsia="zh-CN"/>
              </w:rPr>
              <w:t>1</w:t>
            </w:r>
          </w:p>
        </w:tc>
        <w:tc>
          <w:tcPr>
            <w:tcW w:w="2064" w:type="dxa"/>
            <w:noWrap w:val="0"/>
            <w:vAlign w:val="top"/>
          </w:tcPr>
          <w:p w14:paraId="117B734C">
            <w:pPr>
              <w:pStyle w:val="65"/>
              <w:spacing w:line="317" w:lineRule="auto"/>
              <w:rPr>
                <w:color w:val="auto"/>
                <w:highlight w:val="none"/>
              </w:rPr>
            </w:pPr>
          </w:p>
          <w:p w14:paraId="532D0145">
            <w:pPr>
              <w:pStyle w:val="65"/>
              <w:spacing w:line="317" w:lineRule="auto"/>
              <w:rPr>
                <w:color w:val="auto"/>
                <w:highlight w:val="none"/>
              </w:rPr>
            </w:pPr>
          </w:p>
          <w:p w14:paraId="46FBC40B">
            <w:pPr>
              <w:pStyle w:val="65"/>
              <w:spacing w:line="317" w:lineRule="auto"/>
              <w:rPr>
                <w:color w:val="auto"/>
                <w:highlight w:val="none"/>
              </w:rPr>
            </w:pPr>
          </w:p>
          <w:p w14:paraId="22BFAD76">
            <w:pPr>
              <w:spacing w:before="91" w:line="219" w:lineRule="auto"/>
              <w:ind w:left="651"/>
              <w:rPr>
                <w:rFonts w:ascii="仿宋" w:hAnsi="仿宋" w:eastAsia="仿宋" w:cs="仿宋"/>
                <w:color w:val="auto"/>
                <w:sz w:val="28"/>
                <w:szCs w:val="28"/>
                <w:highlight w:val="none"/>
              </w:rPr>
            </w:pPr>
            <w:r>
              <w:rPr>
                <w:rFonts w:hint="eastAsia" w:ascii="仿宋" w:hAnsi="仿宋" w:eastAsia="仿宋" w:cs="仿宋"/>
                <w:color w:val="auto"/>
                <w:spacing w:val="-22"/>
                <w:sz w:val="28"/>
                <w:szCs w:val="28"/>
                <w:highlight w:val="none"/>
                <w:lang w:val="en-US" w:eastAsia="zh-CN"/>
              </w:rPr>
              <w:t xml:space="preserve">牛 羊 </w:t>
            </w:r>
            <w:r>
              <w:rPr>
                <w:rFonts w:ascii="仿宋" w:hAnsi="仿宋" w:eastAsia="仿宋" w:cs="仿宋"/>
                <w:color w:val="auto"/>
                <w:spacing w:val="-22"/>
                <w:sz w:val="28"/>
                <w:szCs w:val="28"/>
                <w:highlight w:val="none"/>
              </w:rPr>
              <w:t>肉</w:t>
            </w:r>
            <w:r>
              <w:rPr>
                <w:rFonts w:ascii="仿宋" w:hAnsi="仿宋" w:eastAsia="仿宋" w:cs="仿宋"/>
                <w:color w:val="auto"/>
                <w:spacing w:val="13"/>
                <w:sz w:val="28"/>
                <w:szCs w:val="28"/>
                <w:highlight w:val="none"/>
              </w:rPr>
              <w:t xml:space="preserve">  </w:t>
            </w:r>
            <w:r>
              <w:rPr>
                <w:rFonts w:ascii="仿宋" w:hAnsi="仿宋" w:eastAsia="仿宋" w:cs="仿宋"/>
                <w:color w:val="auto"/>
                <w:spacing w:val="-22"/>
                <w:sz w:val="28"/>
                <w:szCs w:val="28"/>
                <w:highlight w:val="none"/>
              </w:rPr>
              <w:t>类</w:t>
            </w:r>
          </w:p>
        </w:tc>
        <w:tc>
          <w:tcPr>
            <w:tcW w:w="6475" w:type="dxa"/>
            <w:noWrap w:val="0"/>
            <w:vAlign w:val="top"/>
          </w:tcPr>
          <w:p w14:paraId="451533A9">
            <w:pPr>
              <w:spacing w:before="166" w:line="281" w:lineRule="auto"/>
              <w:ind w:left="126" w:right="18" w:hanging="1"/>
              <w:jc w:val="both"/>
              <w:rPr>
                <w:rFonts w:ascii="仿宋" w:hAnsi="仿宋" w:eastAsia="仿宋" w:cs="仿宋"/>
                <w:color w:val="auto"/>
                <w:sz w:val="28"/>
                <w:szCs w:val="28"/>
                <w:highlight w:val="none"/>
              </w:rPr>
            </w:pPr>
            <w:r>
              <w:rPr>
                <w:rFonts w:hint="eastAsia" w:ascii="仿宋" w:hAnsi="仿宋" w:eastAsia="仿宋" w:cs="仿宋"/>
                <w:color w:val="auto"/>
                <w:sz w:val="24"/>
                <w:szCs w:val="21"/>
                <w:highlight w:val="none"/>
                <w:lang w:val="en-US" w:eastAsia="zh-CN" w:bidi="en-US"/>
              </w:rPr>
              <w:t>具有动物检验检疫合格证明，且符合食品卫生安全法要求。肉类（牛肉、羊肉等</w:t>
            </w:r>
            <w:r>
              <w:rPr>
                <w:rFonts w:hint="eastAsia" w:ascii="仿宋" w:hAnsi="仿宋" w:eastAsia="仿宋" w:cs="仿宋"/>
                <w:color w:val="auto"/>
                <w:sz w:val="24"/>
                <w:szCs w:val="21"/>
                <w:highlight w:val="none"/>
                <w:lang w:val="en-US" w:eastAsia="zh-CN" w:bidi="en-US"/>
              </w:rPr>
              <w:t>），肉质新鲜有光泽，</w:t>
            </w:r>
            <w:r>
              <w:rPr>
                <w:rFonts w:hint="eastAsia" w:ascii="仿宋" w:hAnsi="仿宋" w:eastAsia="仿宋" w:cs="仿宋"/>
                <w:color w:val="auto"/>
                <w:sz w:val="24"/>
                <w:szCs w:val="21"/>
                <w:highlight w:val="none"/>
                <w:lang w:val="en-US" w:eastAsia="zh-CN" w:bidi="en-US"/>
              </w:rPr>
              <w:t>肉面干净、新鲜气味正常，无任何异味、无毛发、表皮处理清洁，按照学校需求分割配送。</w:t>
            </w:r>
            <w:r>
              <w:rPr>
                <w:rFonts w:hint="default" w:ascii="仿宋" w:hAnsi="仿宋" w:eastAsia="仿宋" w:cs="仿宋"/>
                <w:color w:val="auto"/>
                <w:sz w:val="24"/>
                <w:szCs w:val="21"/>
                <w:highlight w:val="none"/>
                <w:lang w:val="en-US" w:eastAsia="zh-CN" w:bidi="en-US"/>
              </w:rPr>
              <w:t>采购原材料应索取产品合格证以及同批次检验（测）报告。</w:t>
            </w:r>
          </w:p>
        </w:tc>
      </w:tr>
    </w:tbl>
    <w:p w14:paraId="65B07589">
      <w:pPr>
        <w:pStyle w:val="8"/>
        <w:numPr>
          <w:ilvl w:val="0"/>
          <w:numId w:val="0"/>
        </w:numPr>
        <w:spacing w:before="241" w:line="366" w:lineRule="auto"/>
        <w:ind w:leftChars="200" w:right="312" w:rightChars="0"/>
        <w:rPr>
          <w:color w:val="auto"/>
          <w:sz w:val="24"/>
          <w:szCs w:val="24"/>
          <w:highlight w:val="none"/>
        </w:rPr>
      </w:pPr>
      <w:r>
        <w:rPr>
          <w:color w:val="auto"/>
          <w:spacing w:val="9"/>
          <w:sz w:val="24"/>
          <w:szCs w:val="24"/>
          <w:highlight w:val="none"/>
        </w:rPr>
        <w:t>备注：</w:t>
      </w:r>
      <w:r>
        <w:rPr>
          <w:rFonts w:ascii="Times New Roman" w:hAnsi="Times New Roman" w:eastAsia="Times New Roman" w:cs="Times New Roman"/>
          <w:color w:val="auto"/>
          <w:spacing w:val="9"/>
          <w:sz w:val="24"/>
          <w:szCs w:val="24"/>
          <w:highlight w:val="none"/>
        </w:rPr>
        <w:t>1</w:t>
      </w:r>
      <w:r>
        <w:rPr>
          <w:rFonts w:ascii="Times New Roman" w:hAnsi="Times New Roman" w:eastAsia="Times New Roman" w:cs="Times New Roman"/>
          <w:color w:val="auto"/>
          <w:spacing w:val="-31"/>
          <w:sz w:val="24"/>
          <w:szCs w:val="24"/>
          <w:highlight w:val="none"/>
        </w:rPr>
        <w:t xml:space="preserve"> </w:t>
      </w:r>
      <w:r>
        <w:rPr>
          <w:color w:val="auto"/>
          <w:spacing w:val="9"/>
          <w:sz w:val="24"/>
          <w:szCs w:val="24"/>
          <w:highlight w:val="none"/>
        </w:rPr>
        <w:t>、上述标准实行过程中如国家发布新的标准，则按</w:t>
      </w:r>
      <w:r>
        <w:rPr>
          <w:color w:val="auto"/>
          <w:sz w:val="24"/>
          <w:szCs w:val="24"/>
          <w:highlight w:val="none"/>
        </w:rPr>
        <w:t xml:space="preserve"> </w:t>
      </w:r>
      <w:r>
        <w:rPr>
          <w:color w:val="auto"/>
          <w:spacing w:val="3"/>
          <w:sz w:val="24"/>
          <w:szCs w:val="24"/>
          <w:highlight w:val="none"/>
        </w:rPr>
        <w:t>照新标准执行。</w:t>
      </w:r>
    </w:p>
    <w:p w14:paraId="4F99D062">
      <w:pPr>
        <w:pStyle w:val="8"/>
        <w:numPr>
          <w:ilvl w:val="0"/>
          <w:numId w:val="0"/>
        </w:numPr>
        <w:spacing w:before="48" w:line="366" w:lineRule="auto"/>
        <w:ind w:leftChars="200" w:right="312" w:rightChars="0"/>
        <w:rPr>
          <w:color w:val="auto"/>
          <w:highlight w:val="none"/>
        </w:rPr>
      </w:pPr>
      <w:r>
        <w:rPr>
          <w:rFonts w:ascii="Times New Roman" w:hAnsi="Times New Roman" w:eastAsia="Times New Roman" w:cs="Times New Roman"/>
          <w:color w:val="auto"/>
          <w:spacing w:val="9"/>
          <w:sz w:val="24"/>
          <w:szCs w:val="24"/>
          <w:highlight w:val="none"/>
        </w:rPr>
        <w:t>2</w:t>
      </w:r>
      <w:r>
        <w:rPr>
          <w:rFonts w:ascii="Times New Roman" w:hAnsi="Times New Roman" w:eastAsia="Times New Roman" w:cs="Times New Roman"/>
          <w:color w:val="auto"/>
          <w:spacing w:val="-25"/>
          <w:sz w:val="24"/>
          <w:szCs w:val="24"/>
          <w:highlight w:val="none"/>
        </w:rPr>
        <w:t xml:space="preserve"> </w:t>
      </w:r>
      <w:r>
        <w:rPr>
          <w:color w:val="auto"/>
          <w:spacing w:val="9"/>
          <w:sz w:val="24"/>
          <w:szCs w:val="24"/>
          <w:highlight w:val="none"/>
        </w:rPr>
        <w:t>、上述标准为最低标准和要求，合同双方方可在高</w:t>
      </w:r>
      <w:r>
        <w:rPr>
          <w:color w:val="auto"/>
          <w:spacing w:val="8"/>
          <w:sz w:val="24"/>
          <w:szCs w:val="24"/>
          <w:highlight w:val="none"/>
        </w:rPr>
        <w:t>于上述标准之上进行合同约定并明确标注。</w:t>
      </w:r>
    </w:p>
    <w:p w14:paraId="0F1D9307">
      <w:pPr>
        <w:rPr>
          <w:rFonts w:ascii="Arial" w:hAnsi="Arial" w:eastAsia="Arial" w:cs="Arial"/>
          <w:color w:val="auto"/>
          <w:sz w:val="21"/>
          <w:szCs w:val="21"/>
          <w:highlight w:val="none"/>
        </w:rPr>
        <w:sectPr>
          <w:footerReference r:id="rId6" w:type="default"/>
          <w:pgSz w:w="11906" w:h="16839"/>
          <w:pgMar w:top="400" w:right="1163" w:bottom="1666" w:left="1275" w:header="0" w:footer="1388" w:gutter="0"/>
          <w:cols w:space="720" w:num="1"/>
        </w:sectPr>
      </w:pPr>
    </w:p>
    <w:p w14:paraId="09D8B7F8">
      <w:pPr>
        <w:spacing w:before="1"/>
        <w:rPr>
          <w:color w:val="auto"/>
          <w:highlight w:val="none"/>
        </w:rPr>
      </w:pPr>
    </w:p>
    <w:p w14:paraId="0A8CAF8A">
      <w:pPr>
        <w:pStyle w:val="8"/>
        <w:numPr>
          <w:ilvl w:val="0"/>
          <w:numId w:val="0"/>
        </w:numPr>
        <w:ind w:leftChars="0"/>
        <w:rPr>
          <w:color w:val="auto"/>
          <w:highlight w:val="none"/>
        </w:rPr>
      </w:pPr>
    </w:p>
    <w:bookmarkEnd w:id="48"/>
    <w:bookmarkEnd w:id="49"/>
    <w:p w14:paraId="0A919399">
      <w:pPr>
        <w:pStyle w:val="47"/>
        <w:spacing w:line="360" w:lineRule="auto"/>
        <w:ind w:firstLine="0" w:firstLineChars="0"/>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三</w:t>
      </w:r>
      <w:r>
        <w:rPr>
          <w:rFonts w:hint="eastAsia" w:ascii="宋体" w:hAnsi="宋体" w:eastAsia="宋体" w:cs="宋体"/>
          <w:b/>
          <w:color w:val="auto"/>
          <w:sz w:val="24"/>
          <w:szCs w:val="24"/>
          <w:highlight w:val="none"/>
        </w:rPr>
        <w:t>、产品配送要求</w:t>
      </w:r>
    </w:p>
    <w:p w14:paraId="403997C9">
      <w:pPr>
        <w:pStyle w:val="47"/>
        <w:spacing w:line="360" w:lineRule="auto"/>
        <w:ind w:firstLine="480"/>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rPr>
        <w:t>一）配送时间要求</w:t>
      </w:r>
    </w:p>
    <w:p w14:paraId="32D1EA57">
      <w:pPr>
        <w:pStyle w:val="47"/>
        <w:spacing w:line="360" w:lineRule="auto"/>
        <w:ind w:firstLine="480"/>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val="en-US" w:eastAsia="zh-CN"/>
        </w:rPr>
        <w:t>1、</w:t>
      </w:r>
      <w:r>
        <w:rPr>
          <w:rFonts w:hint="default" w:ascii="宋体" w:hAnsi="宋体" w:eastAsia="宋体" w:cs="Times New Roman"/>
          <w:color w:val="auto"/>
          <w:sz w:val="24"/>
          <w:highlight w:val="none"/>
        </w:rPr>
        <w:t>供货周期：县城内一天一配送、乡镇</w:t>
      </w: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lang w:val="en-US" w:eastAsia="zh-CN"/>
        </w:rPr>
        <w:t>村</w:t>
      </w:r>
      <w:r>
        <w:rPr>
          <w:rFonts w:hint="eastAsia" w:ascii="宋体" w:hAnsi="宋体" w:eastAsia="宋体" w:cs="Times New Roman"/>
          <w:color w:val="auto"/>
          <w:sz w:val="24"/>
          <w:highlight w:val="none"/>
          <w:lang w:eastAsia="zh-CN"/>
        </w:rPr>
        <w:t>）</w:t>
      </w:r>
      <w:r>
        <w:rPr>
          <w:rFonts w:hint="default" w:ascii="宋体" w:hAnsi="宋体" w:eastAsia="宋体" w:cs="Times New Roman"/>
          <w:color w:val="auto"/>
          <w:sz w:val="24"/>
          <w:highlight w:val="none"/>
        </w:rPr>
        <w:t>一周</w:t>
      </w:r>
      <w:r>
        <w:rPr>
          <w:rFonts w:hint="eastAsia" w:ascii="宋体" w:hAnsi="宋体" w:eastAsia="宋体" w:cs="Times New Roman"/>
          <w:color w:val="auto"/>
          <w:sz w:val="24"/>
          <w:highlight w:val="none"/>
          <w:lang w:val="en-US" w:eastAsia="zh-CN"/>
        </w:rPr>
        <w:t>一</w:t>
      </w:r>
      <w:r>
        <w:rPr>
          <w:rFonts w:hint="default" w:ascii="宋体" w:hAnsi="宋体" w:eastAsia="宋体" w:cs="Times New Roman"/>
          <w:color w:val="auto"/>
          <w:sz w:val="24"/>
          <w:highlight w:val="none"/>
        </w:rPr>
        <w:t>配送。（若采购方有其他需求根据采购方需求进行配送）</w:t>
      </w:r>
      <w:r>
        <w:rPr>
          <w:rFonts w:hint="eastAsia" w:ascii="宋体" w:hAnsi="宋体" w:eastAsia="宋体" w:cs="Times New Roman"/>
          <w:color w:val="auto"/>
          <w:sz w:val="24"/>
          <w:highlight w:val="none"/>
          <w:lang w:eastAsia="zh-CN"/>
        </w:rPr>
        <w:t>。</w:t>
      </w:r>
    </w:p>
    <w:p w14:paraId="4D65E563">
      <w:pPr>
        <w:pStyle w:val="47"/>
        <w:spacing w:line="360" w:lineRule="auto"/>
        <w:ind w:firstLine="480"/>
        <w:rPr>
          <w:rFonts w:hint="default"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2</w:t>
      </w:r>
      <w:r>
        <w:rPr>
          <w:rFonts w:hint="default" w:ascii="宋体" w:hAnsi="宋体" w:eastAsia="宋体" w:cs="Times New Roman"/>
          <w:color w:val="auto"/>
          <w:sz w:val="24"/>
          <w:highlight w:val="none"/>
        </w:rPr>
        <w:t>、如遇临时采购任务，配送单位对</w:t>
      </w:r>
      <w:bookmarkStart w:id="67" w:name="_GoBack"/>
      <w:bookmarkEnd w:id="67"/>
      <w:r>
        <w:rPr>
          <w:rFonts w:hint="default" w:ascii="宋体" w:hAnsi="宋体" w:eastAsia="宋体" w:cs="Times New Roman"/>
          <w:color w:val="auto"/>
          <w:sz w:val="24"/>
          <w:highlight w:val="none"/>
        </w:rPr>
        <w:t>采购人提出的配送需求须无条件响应，并保证在接到配送</w:t>
      </w:r>
      <w:r>
        <w:rPr>
          <w:rFonts w:hint="eastAsia" w:ascii="宋体" w:hAnsi="宋体" w:eastAsia="宋体" w:cs="Times New Roman"/>
          <w:color w:val="auto"/>
          <w:sz w:val="24"/>
          <w:highlight w:val="none"/>
          <w:lang w:val="en-US" w:eastAsia="zh-CN"/>
        </w:rPr>
        <w:t>需求</w:t>
      </w:r>
      <w:r>
        <w:rPr>
          <w:rFonts w:hint="default" w:ascii="宋体" w:hAnsi="宋体" w:eastAsia="宋体" w:cs="Times New Roman"/>
          <w:color w:val="auto"/>
          <w:sz w:val="24"/>
          <w:highlight w:val="none"/>
        </w:rPr>
        <w:t>将所需食材配送到位。</w:t>
      </w:r>
    </w:p>
    <w:p w14:paraId="0FDD9D49">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（二）配送数量要求</w:t>
      </w:r>
    </w:p>
    <w:p w14:paraId="20DA3B33">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投标人和采购人在食品数量验收方面必须严格执行，不能弄虚作假，必须保证配送品种斤两的准确性，供应商每次随货提供《送货清单》一式三份（其中招标人两份，一份食堂留档，一份财务做账），双方现场过秤并验收签名，作结算凭证。</w:t>
      </w:r>
    </w:p>
    <w:p w14:paraId="1498D9F9">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（三）配送人员及设施要求</w:t>
      </w:r>
    </w:p>
    <w:p w14:paraId="13F145E4">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1.配送单位须安排专人长期负责采购单位的临时采购任务，该人员经确定后不得随意更换，配送人员应具备有效的健康合格证明,配送人员更换须事先征得招标人审查同意并提供健康体检证复印件备案。</w:t>
      </w:r>
    </w:p>
    <w:p w14:paraId="2AE1226C">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2.食材配送车辆应专车专用,禁止有毒有害有异味的物品混装,送货时不得有污染事故发生。配送车辆应符合相关卫生要求,并定期对车辆进行清洁消毒。</w:t>
      </w:r>
    </w:p>
    <w:p w14:paraId="3C16CE73">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（四）配送质量要求</w:t>
      </w:r>
    </w:p>
    <w:p w14:paraId="31D5B5AB">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 xml:space="preserve">中标人所提供的食材必须符合相关的卫生、食品安全、环保等国家标准。每批次送货时须提供产品合格相关证明材料。  </w:t>
      </w:r>
    </w:p>
    <w:p w14:paraId="6D6D255D">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采购方有权抽查物品来源、送检供货商配送的各种物品，如果存在卫生质量问题或食用供货商配送的物品出现不良反应及中毒情况，供货商必须承担一切经济费用，并承担相应的法律责任。</w:t>
      </w:r>
    </w:p>
    <w:p w14:paraId="48151F0E">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 xml:space="preserve">1、采购货源必须持有与销售内容相对应的有效营业执照，食品生产许可证或食品销售许可证； </w:t>
      </w:r>
    </w:p>
    <w:p w14:paraId="17DA72F2">
      <w:pPr>
        <w:pStyle w:val="47"/>
        <w:spacing w:line="360" w:lineRule="auto"/>
        <w:ind w:firstLine="48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 xml:space="preserve">2、供应商负责供货产品的食品安全，须做到来源可溯； </w:t>
      </w:r>
    </w:p>
    <w:p w14:paraId="513424B3">
      <w:pPr>
        <w:pStyle w:val="47"/>
        <w:spacing w:line="360" w:lineRule="auto"/>
        <w:rPr>
          <w:rFonts w:hint="eastAsia" w:ascii="宋体" w:hAnsi="宋体"/>
          <w:color w:val="auto"/>
          <w:kern w:val="2"/>
          <w:sz w:val="24"/>
          <w:szCs w:val="22"/>
          <w:highlight w:val="none"/>
          <w:lang w:val="en-US" w:eastAsia="zh-CN" w:bidi="ar-SA"/>
        </w:rPr>
      </w:pPr>
      <w:r>
        <w:rPr>
          <w:rFonts w:hint="eastAsia" w:ascii="宋体" w:hAnsi="宋体"/>
          <w:color w:val="auto"/>
          <w:kern w:val="2"/>
          <w:sz w:val="24"/>
          <w:szCs w:val="22"/>
          <w:highlight w:val="none"/>
          <w:lang w:val="en-US" w:eastAsia="zh-CN" w:bidi="ar-SA"/>
        </w:rPr>
        <w:t>(五）其他要求</w:t>
      </w:r>
    </w:p>
    <w:p w14:paraId="19B8F752">
      <w:pPr>
        <w:pStyle w:val="47"/>
        <w:spacing w:line="360" w:lineRule="auto"/>
        <w:rPr>
          <w:rFonts w:ascii="宋体" w:hAnsi="宋体" w:eastAsia="宋体" w:cs="宋体"/>
          <w:b/>
          <w:bCs/>
          <w:color w:val="auto"/>
          <w:spacing w:val="5"/>
          <w:sz w:val="34"/>
          <w:szCs w:val="34"/>
          <w:highlight w:val="none"/>
        </w:rPr>
      </w:pPr>
      <w:r>
        <w:rPr>
          <w:rFonts w:hint="eastAsia" w:ascii="宋体" w:hAnsi="宋体"/>
          <w:color w:val="auto"/>
          <w:kern w:val="2"/>
          <w:sz w:val="24"/>
          <w:szCs w:val="22"/>
          <w:highlight w:val="none"/>
          <w:lang w:val="en-US" w:eastAsia="zh-CN" w:bidi="ar-SA"/>
        </w:rPr>
        <w:t>食材货款包括商品价款，包装、运输、搬运、贮存、调换费用，管理费，人工费（包括加工费、分割费、去皮等），检验、保险，税金，利润等一切费用，即中标人按采购人要求将食材送达指定库房内的包干价，不得在此价格外以任何形式向采购人收取任何形式的额外费用。中标人在报价前充分考虑各类食材货款应包含一切费用，评估风险，合理确定报价，任何超过合同规定食材货款及其他费用均由中标人自行承担。</w:t>
      </w:r>
    </w:p>
    <w:p w14:paraId="21F838CC">
      <w:pPr>
        <w:pStyle w:val="47"/>
        <w:spacing w:line="360" w:lineRule="auto"/>
        <w:ind w:firstLine="0" w:firstLineChars="0"/>
        <w:outlineLvl w:val="2"/>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 xml:space="preserve">四、违约责任 </w:t>
      </w:r>
    </w:p>
    <w:p w14:paraId="13C3231C">
      <w:pPr>
        <w:pStyle w:val="63"/>
        <w:keepNext w:val="0"/>
        <w:keepLines w:val="0"/>
        <w:pageBreakBefore w:val="0"/>
        <w:kinsoku/>
        <w:wordWrap/>
        <w:overflowPunct/>
        <w:topLinePunct w:val="0"/>
        <w:bidi w:val="0"/>
        <w:adjustRightInd w:val="0"/>
        <w:snapToGrid w:val="0"/>
        <w:spacing w:line="360" w:lineRule="auto"/>
        <w:ind w:firstLine="480"/>
        <w:textAlignment w:val="auto"/>
        <w:rPr>
          <w:rFonts w:hint="eastAsia" w:ascii="宋体" w:hAnsi="宋体"/>
          <w:color w:val="auto"/>
          <w:kern w:val="2"/>
          <w:sz w:val="24"/>
          <w:szCs w:val="22"/>
          <w:highlight w:val="none"/>
          <w:lang w:val="en-US" w:eastAsia="zh-CN" w:bidi="ar-SA"/>
        </w:rPr>
      </w:pPr>
      <w:r>
        <w:rPr>
          <w:rFonts w:hint="eastAsia" w:ascii="宋体" w:hAnsi="宋体"/>
          <w:color w:val="auto"/>
          <w:kern w:val="2"/>
          <w:sz w:val="24"/>
          <w:szCs w:val="22"/>
          <w:highlight w:val="none"/>
          <w:lang w:val="en-US" w:eastAsia="zh-CN" w:bidi="ar-SA"/>
        </w:rPr>
        <w:t>1、</w:t>
      </w:r>
      <w:r>
        <w:rPr>
          <w:rFonts w:hint="eastAsia" w:hAnsi="宋体"/>
          <w:color w:val="auto"/>
          <w:sz w:val="24"/>
          <w:highlight w:val="none"/>
        </w:rPr>
        <w:t>乙方违反招标文件和合同的规定，不能按核定的供货价交付货品、不能提供与其承诺相符的服务，采购人书面提出整改通知，乙方未按要求及时整改的，采购人有权终止合同，由此造成采购人经济损失的，乙方应给予赔偿。</w:t>
      </w:r>
    </w:p>
    <w:p w14:paraId="041B0EDF">
      <w:pPr>
        <w:pStyle w:val="47"/>
        <w:spacing w:line="360" w:lineRule="auto"/>
        <w:rPr>
          <w:rFonts w:hint="eastAsia" w:ascii="宋体" w:hAnsi="宋体"/>
          <w:color w:val="auto"/>
          <w:kern w:val="2"/>
          <w:sz w:val="24"/>
          <w:szCs w:val="22"/>
          <w:highlight w:val="none"/>
          <w:lang w:val="en-US" w:eastAsia="zh-CN" w:bidi="ar-SA"/>
        </w:rPr>
      </w:pPr>
      <w:r>
        <w:rPr>
          <w:rFonts w:hint="eastAsia" w:ascii="宋体" w:hAnsi="宋体"/>
          <w:color w:val="auto"/>
          <w:kern w:val="2"/>
          <w:sz w:val="24"/>
          <w:szCs w:val="22"/>
          <w:highlight w:val="none"/>
          <w:lang w:val="en-US" w:eastAsia="zh-CN" w:bidi="ar-SA"/>
        </w:rPr>
        <w:t>2、服务违约：若供应商未按时送达采购人，影响伙食保障工作正常开展，累计超过3次的，采购人有权立即解除合同。</w:t>
      </w:r>
    </w:p>
    <w:p w14:paraId="7E73F482">
      <w:pPr>
        <w:pStyle w:val="47"/>
        <w:spacing w:line="360" w:lineRule="auto"/>
        <w:rPr>
          <w:rFonts w:hint="eastAsia" w:ascii="宋体" w:hAnsi="宋体"/>
          <w:color w:val="auto"/>
          <w:sz w:val="24"/>
          <w:highlight w:val="none"/>
          <w:lang w:eastAsia="zh-CN"/>
        </w:rPr>
      </w:pPr>
      <w:r>
        <w:rPr>
          <w:rFonts w:hint="eastAsia" w:ascii="宋体" w:hAnsi="宋体"/>
          <w:color w:val="auto"/>
          <w:kern w:val="2"/>
          <w:sz w:val="24"/>
          <w:szCs w:val="22"/>
          <w:highlight w:val="none"/>
          <w:lang w:val="en-US" w:eastAsia="zh-CN" w:bidi="ar-SA"/>
        </w:rPr>
        <w:t>3、对于配送单位违约行为对采购人造成严重后果的，采购人可提前终止合同。</w:t>
      </w:r>
    </w:p>
    <w:p w14:paraId="0117302C">
      <w:pPr>
        <w:pStyle w:val="47"/>
        <w:spacing w:line="360" w:lineRule="auto"/>
        <w:ind w:firstLine="0" w:firstLineChars="0"/>
        <w:outlineLvl w:val="2"/>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五、报价方式</w:t>
      </w:r>
    </w:p>
    <w:p w14:paraId="79E93751">
      <w:pPr>
        <w:numPr>
          <w:ilvl w:val="0"/>
          <w:numId w:val="0"/>
        </w:numPr>
        <w:spacing w:before="120" w:beforeLines="50" w:line="360" w:lineRule="auto"/>
        <w:ind w:leftChars="0" w:firstLine="490" w:firstLineChars="200"/>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color w:val="auto"/>
          <w:sz w:val="24"/>
          <w:highlight w:val="none"/>
          <w:lang w:val="en-US" w:eastAsia="zh-CN"/>
        </w:rPr>
        <w:t>1、</w:t>
      </w:r>
      <w:r>
        <w:rPr>
          <w:rFonts w:hint="eastAsia" w:ascii="宋体" w:hAnsi="宋体" w:eastAsia="宋体" w:cs="宋体"/>
          <w:b/>
          <w:bCs/>
          <w:color w:val="auto"/>
          <w:kern w:val="2"/>
          <w:sz w:val="24"/>
          <w:szCs w:val="24"/>
          <w:highlight w:val="none"/>
          <w:lang w:val="en-US" w:eastAsia="zh-CN" w:bidi="ar-SA"/>
        </w:rPr>
        <w:t>供货数量及品目以甲方（各校）单位当时当月发生的需求为准。</w:t>
      </w:r>
    </w:p>
    <w:p w14:paraId="3809D231">
      <w:pPr>
        <w:numPr>
          <w:ilvl w:val="0"/>
          <w:numId w:val="0"/>
        </w:numPr>
        <w:spacing w:before="120" w:beforeLines="50" w:line="360" w:lineRule="auto"/>
        <w:ind w:leftChars="0" w:firstLine="490" w:firstLineChars="200"/>
        <w:outlineLvl w:val="3"/>
        <w:rPr>
          <w:rFonts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报价包含了所有支出、保险、税费和其他服务以及合同实施过程中应预见和不可预见的一切费用，如发生缺漏项视同以包含在报价之中。采购人无须另外支付任何费用。</w:t>
      </w:r>
    </w:p>
    <w:p w14:paraId="5FD23564">
      <w:pPr>
        <w:numPr>
          <w:ilvl w:val="0"/>
          <w:numId w:val="0"/>
        </w:numPr>
        <w:spacing w:before="120" w:beforeLines="50" w:line="360" w:lineRule="auto"/>
        <w:ind w:leftChars="0" w:firstLine="490" w:firstLineChars="200"/>
        <w:outlineLvl w:val="3"/>
        <w:rPr>
          <w:rFonts w:hint="eastAsia" w:ascii="宋体" w:hAnsi="宋体"/>
          <w:bCs/>
          <w:color w:val="auto"/>
          <w:sz w:val="24"/>
          <w:highlight w:val="none"/>
        </w:rPr>
      </w:pPr>
      <w:r>
        <w:rPr>
          <w:rFonts w:hint="eastAsia" w:ascii="宋体" w:hAnsi="宋体"/>
          <w:bCs/>
          <w:color w:val="auto"/>
          <w:sz w:val="24"/>
          <w:highlight w:val="none"/>
          <w:lang w:val="en-US" w:eastAsia="zh-CN"/>
        </w:rPr>
        <w:t>3、</w:t>
      </w:r>
      <w:r>
        <w:rPr>
          <w:rFonts w:hint="eastAsia" w:ascii="宋体" w:hAnsi="宋体"/>
          <w:bCs/>
          <w:color w:val="auto"/>
          <w:sz w:val="24"/>
          <w:highlight w:val="none"/>
        </w:rPr>
        <w:t>除非招标文件另有规定，投标价不是唯一的或不是固定不变的投标文件将被作为非响应性投标而予以拒绝。投标人所报的投标价在投标有效期及合同执行期间是固定不变的，投标人不得以任何理由予以变更。</w:t>
      </w:r>
    </w:p>
    <w:p w14:paraId="08C2F14C">
      <w:pPr>
        <w:pStyle w:val="47"/>
        <w:spacing w:line="360" w:lineRule="auto"/>
        <w:rPr>
          <w:rFonts w:ascii="宋体" w:hAnsi="宋体"/>
          <w:color w:val="auto"/>
          <w:sz w:val="24"/>
          <w:szCs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为确保项目质量，投标人不得恶意低价投标，凡报价或明显无法保证项目质量的低价投标，投标人无法提供合理证明材料的，评标委员会可认定为无效投标。</w:t>
      </w:r>
    </w:p>
    <w:p w14:paraId="1DBF1627">
      <w:pPr>
        <w:pStyle w:val="47"/>
        <w:spacing w:line="360" w:lineRule="auto"/>
        <w:ind w:firstLine="0" w:firstLineChars="0"/>
        <w:outlineLvl w:val="2"/>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六、定价、结算及付款方式</w:t>
      </w:r>
    </w:p>
    <w:p w14:paraId="1970D505">
      <w:pPr>
        <w:pStyle w:val="47"/>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0"/>
        <w:textAlignment w:val="baseline"/>
        <w:rPr>
          <w:rFonts w:ascii="宋体" w:hAnsi="宋体"/>
          <w:color w:val="auto"/>
          <w:sz w:val="24"/>
          <w:highlight w:val="none"/>
        </w:rPr>
      </w:pPr>
      <w:r>
        <w:rPr>
          <w:rFonts w:hint="eastAsia" w:ascii="宋体" w:hAnsi="宋体"/>
          <w:color w:val="auto"/>
          <w:sz w:val="24"/>
          <w:highlight w:val="none"/>
          <w:lang w:eastAsia="zh-CN"/>
        </w:rPr>
        <w:t>（一）</w:t>
      </w:r>
      <w:r>
        <w:rPr>
          <w:rFonts w:hint="eastAsia" w:ascii="宋体" w:hAnsi="宋体"/>
          <w:color w:val="auto"/>
          <w:sz w:val="24"/>
          <w:highlight w:val="none"/>
        </w:rPr>
        <w:t>定价方式</w:t>
      </w:r>
    </w:p>
    <w:p w14:paraId="5EAD3114">
      <w:pPr>
        <w:pStyle w:val="47"/>
        <w:spacing w:line="360" w:lineRule="auto"/>
        <w:ind w:firstLineChars="0"/>
        <w:rPr>
          <w:rFonts w:hint="eastAsia" w:ascii="宋体" w:hAnsi="宋体"/>
          <w:color w:val="auto"/>
          <w:sz w:val="24"/>
          <w:highlight w:val="none"/>
          <w:lang w:val="en-US" w:eastAsia="zh-CN"/>
        </w:rPr>
      </w:pPr>
      <w:r>
        <w:rPr>
          <w:rFonts w:hint="eastAsia" w:ascii="宋体" w:hAnsi="宋体"/>
          <w:color w:val="auto"/>
          <w:kern w:val="2"/>
          <w:sz w:val="24"/>
          <w:szCs w:val="22"/>
          <w:highlight w:val="none"/>
          <w:lang w:val="en-US" w:eastAsia="zh-CN" w:bidi="ar-SA"/>
        </w:rPr>
        <w:t>1.</w:t>
      </w:r>
      <w:r>
        <w:rPr>
          <w:rFonts w:hint="eastAsia" w:ascii="宋体" w:hAnsi="宋体"/>
          <w:color w:val="auto"/>
          <w:sz w:val="24"/>
          <w:highlight w:val="none"/>
          <w:lang w:val="en-US" w:eastAsia="zh-CN"/>
        </w:rPr>
        <w:t>肉类</w:t>
      </w:r>
      <w:r>
        <w:rPr>
          <w:rFonts w:hint="eastAsia" w:ascii="宋体" w:hAnsi="宋体"/>
          <w:color w:val="auto"/>
          <w:sz w:val="24"/>
          <w:highlight w:val="none"/>
          <w:lang w:val="en-US" w:eastAsia="zh-CN"/>
        </w:rPr>
        <w:t>每月两次询价定价，</w:t>
      </w:r>
      <w:r>
        <w:rPr>
          <w:rFonts w:hint="eastAsia" w:ascii="宋体" w:hAnsi="宋体"/>
          <w:color w:val="auto"/>
          <w:sz w:val="24"/>
          <w:highlight w:val="none"/>
          <w:lang w:val="en-US" w:eastAsia="zh-CN"/>
        </w:rPr>
        <w:t>青河县教育局采购部门对青河县市场实地询价并做好记录工作，</w:t>
      </w:r>
      <w:r>
        <w:rPr>
          <w:rFonts w:hint="eastAsia" w:ascii="宋体" w:hAnsi="宋体"/>
          <w:color w:val="auto"/>
          <w:sz w:val="24"/>
          <w:highlight w:val="none"/>
          <w:lang w:val="en-US" w:eastAsia="zh-CN"/>
        </w:rPr>
        <w:t>采购部门最终以青河县市场实地询价与北园春官网当日实时价相结合，乘以100%减投标时所报的下浮率确定大宗食材肉类价格，</w:t>
      </w:r>
      <w:r>
        <w:rPr>
          <w:rFonts w:hint="eastAsia" w:ascii="宋体" w:hAnsi="宋体"/>
          <w:color w:val="auto"/>
          <w:sz w:val="24"/>
          <w:highlight w:val="none"/>
          <w:lang w:val="en-US" w:eastAsia="zh-CN"/>
        </w:rPr>
        <w:t>根据采购需求，对供应商下达采购计划，具体结合学校实际需求下单。</w:t>
      </w:r>
    </w:p>
    <w:p w14:paraId="7BF1A8F7">
      <w:pPr>
        <w:pStyle w:val="47"/>
        <w:keepNext w:val="0"/>
        <w:keepLines w:val="0"/>
        <w:pageBreakBefore w:val="0"/>
        <w:widowControl w:val="0"/>
        <w:kinsoku/>
        <w:wordWrap/>
        <w:overflowPunct/>
        <w:topLinePunct w:val="0"/>
        <w:autoSpaceDE/>
        <w:autoSpaceDN/>
        <w:bidi w:val="0"/>
        <w:adjustRightInd/>
        <w:snapToGrid/>
        <w:spacing w:before="143" w:beforeLines="50" w:line="360" w:lineRule="auto"/>
        <w:textAlignment w:val="auto"/>
        <w:outlineLvl w:val="9"/>
        <w:rPr>
          <w:rFonts w:hint="eastAsia" w:ascii="宋体" w:hAnsi="宋体"/>
          <w:color w:val="auto"/>
          <w:kern w:val="2"/>
          <w:sz w:val="24"/>
          <w:szCs w:val="22"/>
          <w:highlight w:val="none"/>
          <w:lang w:val="en-US" w:eastAsia="zh-CN" w:bidi="ar-SA"/>
        </w:rPr>
      </w:pPr>
      <w:r>
        <w:rPr>
          <w:rFonts w:hint="eastAsia" w:ascii="宋体" w:hAnsi="宋体"/>
          <w:color w:val="auto"/>
          <w:kern w:val="2"/>
          <w:sz w:val="24"/>
          <w:szCs w:val="22"/>
          <w:highlight w:val="none"/>
          <w:lang w:val="en-US" w:eastAsia="zh-CN" w:bidi="ar-SA"/>
        </w:rPr>
        <w:t>2.结算及付款方式：</w:t>
      </w:r>
    </w:p>
    <w:p w14:paraId="51F3D6AE">
      <w:pPr>
        <w:pStyle w:val="47"/>
        <w:keepNext w:val="0"/>
        <w:keepLines w:val="0"/>
        <w:pageBreakBefore w:val="0"/>
        <w:widowControl w:val="0"/>
        <w:kinsoku/>
        <w:wordWrap/>
        <w:overflowPunct/>
        <w:topLinePunct w:val="0"/>
        <w:autoSpaceDE/>
        <w:autoSpaceDN/>
        <w:bidi w:val="0"/>
        <w:adjustRightInd/>
        <w:snapToGrid/>
        <w:spacing w:before="143" w:beforeLines="50" w:line="360" w:lineRule="auto"/>
        <w:textAlignment w:val="auto"/>
        <w:outlineLvl w:val="9"/>
        <w:rPr>
          <w:rFonts w:ascii="宋体" w:hAnsi="宋体"/>
          <w:color w:val="auto"/>
          <w:sz w:val="24"/>
          <w:highlight w:val="none"/>
        </w:rPr>
      </w:pPr>
      <w:r>
        <w:rPr>
          <w:rFonts w:hint="eastAsia" w:ascii="宋体" w:hAnsi="宋体"/>
          <w:color w:val="auto"/>
          <w:kern w:val="2"/>
          <w:sz w:val="24"/>
          <w:szCs w:val="22"/>
          <w:highlight w:val="none"/>
          <w:lang w:val="en-US" w:eastAsia="zh-CN" w:bidi="ar-SA"/>
        </w:rPr>
        <w:t>（1）结算公式：各类产品货款＝对应品种的</w:t>
      </w:r>
      <w:r>
        <w:rPr>
          <w:rFonts w:hint="eastAsia" w:ascii="宋体" w:hAnsi="宋体"/>
          <w:color w:val="auto"/>
          <w:kern w:val="2"/>
          <w:sz w:val="24"/>
          <w:szCs w:val="22"/>
          <w:highlight w:val="none"/>
          <w:lang w:val="en-US" w:eastAsia="zh-CN" w:bidi="ar-SA"/>
        </w:rPr>
        <w:t>最终价（下浮后的价格）</w:t>
      </w:r>
      <w:r>
        <w:rPr>
          <w:rFonts w:hint="eastAsia" w:ascii="宋体" w:hAnsi="宋体"/>
          <w:color w:val="auto"/>
          <w:kern w:val="2"/>
          <w:sz w:val="24"/>
          <w:szCs w:val="22"/>
          <w:highlight w:val="none"/>
          <w:lang w:val="en-US" w:eastAsia="zh-CN" w:bidi="ar-SA"/>
        </w:rPr>
        <w:t>×实际供货量。</w:t>
      </w:r>
    </w:p>
    <w:p w14:paraId="08815DA8">
      <w:pPr>
        <w:pStyle w:val="47"/>
        <w:spacing w:line="360" w:lineRule="auto"/>
        <w:ind w:firstLineChars="0"/>
        <w:rPr>
          <w:rFonts w:ascii="宋体" w:hAnsi="宋体"/>
          <w:color w:val="auto"/>
          <w:sz w:val="24"/>
          <w:szCs w:val="24"/>
          <w:highlight w:val="none"/>
        </w:rPr>
      </w:pPr>
      <w:r>
        <w:rPr>
          <w:rFonts w:hint="eastAsia" w:ascii="宋体" w:hAnsi="宋体"/>
          <w:color w:val="auto"/>
          <w:sz w:val="24"/>
          <w:highlight w:val="none"/>
        </w:rPr>
        <w:t>（</w:t>
      </w:r>
      <w:r>
        <w:rPr>
          <w:rFonts w:hint="eastAsia" w:ascii="宋体" w:hAnsi="宋体"/>
          <w:color w:val="auto"/>
          <w:sz w:val="24"/>
          <w:highlight w:val="none"/>
          <w:lang w:eastAsia="zh-CN"/>
        </w:rPr>
        <w:t>2</w:t>
      </w:r>
      <w:r>
        <w:rPr>
          <w:rFonts w:hint="eastAsia" w:ascii="宋体" w:hAnsi="宋体"/>
          <w:color w:val="auto"/>
          <w:sz w:val="24"/>
          <w:highlight w:val="none"/>
        </w:rPr>
        <w:t>）每月结算一次，在办理付款手续之前双方须对供应货物的品种、数量、单价、金额等进行统计，并核实无误。采购人在收到中标人提供的等额的正式发票之日起</w:t>
      </w:r>
      <w:r>
        <w:rPr>
          <w:rFonts w:hint="eastAsia" w:ascii="宋体" w:hAnsi="宋体"/>
          <w:color w:val="auto"/>
          <w:sz w:val="24"/>
          <w:highlight w:val="none"/>
          <w:lang w:eastAsia="zh-CN"/>
        </w:rPr>
        <w:t>次月</w:t>
      </w:r>
      <w:r>
        <w:rPr>
          <w:rFonts w:hint="eastAsia" w:ascii="宋体" w:hAnsi="宋体"/>
          <w:color w:val="auto"/>
          <w:sz w:val="24"/>
          <w:highlight w:val="none"/>
        </w:rPr>
        <w:t>内办理上月采购货物价款支付手续。</w:t>
      </w:r>
      <w:r>
        <w:rPr>
          <w:rFonts w:hint="eastAsia" w:ascii="宋体" w:hAnsi="宋体"/>
          <w:color w:val="auto"/>
          <w:sz w:val="24"/>
          <w:szCs w:val="24"/>
          <w:highlight w:val="none"/>
        </w:rPr>
        <w:t>中标人须提供以下材料以便</w:t>
      </w:r>
      <w:r>
        <w:rPr>
          <w:rFonts w:hint="eastAsia" w:ascii="宋体" w:hAnsi="宋体"/>
          <w:color w:val="auto"/>
          <w:sz w:val="24"/>
          <w:highlight w:val="none"/>
        </w:rPr>
        <w:t>采购</w:t>
      </w:r>
      <w:r>
        <w:rPr>
          <w:rFonts w:hint="eastAsia" w:ascii="宋体" w:hAnsi="宋体"/>
          <w:color w:val="auto"/>
          <w:sz w:val="24"/>
          <w:szCs w:val="24"/>
          <w:highlight w:val="none"/>
        </w:rPr>
        <w:t>人办理付款手续：</w:t>
      </w:r>
    </w:p>
    <w:p w14:paraId="35014246">
      <w:pPr>
        <w:widowControl/>
        <w:numPr>
          <w:ilvl w:val="0"/>
          <w:numId w:val="0"/>
        </w:numPr>
        <w:adjustRightInd w:val="0"/>
        <w:snapToGrid w:val="0"/>
        <w:spacing w:line="360" w:lineRule="auto"/>
        <w:ind w:leftChars="200"/>
        <w:jc w:val="left"/>
        <w:rPr>
          <w:rFonts w:ascii="宋体" w:hAnsi="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rPr>
        <w:t>中标人开具的</w:t>
      </w:r>
      <w:r>
        <w:rPr>
          <w:rFonts w:hint="eastAsia" w:ascii="宋体" w:hAnsi="宋体" w:cs="宋体"/>
          <w:color w:val="auto"/>
          <w:sz w:val="24"/>
          <w:highlight w:val="none"/>
          <w:lang w:eastAsia="zh-CN"/>
        </w:rPr>
        <w:t>普通</w:t>
      </w:r>
      <w:r>
        <w:rPr>
          <w:rFonts w:hint="eastAsia" w:ascii="宋体" w:hAnsi="宋体" w:cs="宋体"/>
          <w:color w:val="auto"/>
          <w:sz w:val="24"/>
          <w:highlight w:val="none"/>
        </w:rPr>
        <w:t>发票；</w:t>
      </w:r>
    </w:p>
    <w:p w14:paraId="6D9AC8AD">
      <w:pPr>
        <w:widowControl/>
        <w:numPr>
          <w:ilvl w:val="0"/>
          <w:numId w:val="0"/>
        </w:numPr>
        <w:adjustRightInd w:val="0"/>
        <w:snapToGrid w:val="0"/>
        <w:spacing w:line="360" w:lineRule="auto"/>
        <w:ind w:leftChars="200"/>
        <w:jc w:val="left"/>
        <w:rPr>
          <w:rFonts w:ascii="宋体" w:hAnsi="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rPr>
        <w:t>验收报告（加盖</w:t>
      </w:r>
      <w:r>
        <w:rPr>
          <w:rFonts w:hint="eastAsia" w:ascii="宋体" w:hAnsi="宋体"/>
          <w:color w:val="auto"/>
          <w:sz w:val="24"/>
          <w:highlight w:val="none"/>
        </w:rPr>
        <w:t>采购人</w:t>
      </w:r>
      <w:r>
        <w:rPr>
          <w:rFonts w:hint="eastAsia" w:ascii="宋体" w:hAnsi="宋体" w:cs="宋体"/>
          <w:color w:val="auto"/>
          <w:sz w:val="24"/>
          <w:highlight w:val="none"/>
        </w:rPr>
        <w:t>公章）；</w:t>
      </w:r>
    </w:p>
    <w:p w14:paraId="731E365F">
      <w:pPr>
        <w:widowControl/>
        <w:numPr>
          <w:ilvl w:val="0"/>
          <w:numId w:val="0"/>
        </w:numPr>
        <w:adjustRightInd w:val="0"/>
        <w:snapToGrid w:val="0"/>
        <w:spacing w:line="360" w:lineRule="auto"/>
        <w:ind w:leftChars="200"/>
        <w:jc w:val="left"/>
        <w:rPr>
          <w:rFonts w:hint="eastAsia" w:ascii="宋体" w:hAnsi="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rPr>
        <w:t>月供货清单（加盖</w:t>
      </w:r>
      <w:r>
        <w:rPr>
          <w:rFonts w:hint="eastAsia" w:ascii="宋体" w:hAnsi="宋体"/>
          <w:color w:val="auto"/>
          <w:sz w:val="24"/>
          <w:highlight w:val="none"/>
        </w:rPr>
        <w:t>采购人</w:t>
      </w:r>
      <w:r>
        <w:rPr>
          <w:rFonts w:hint="eastAsia" w:ascii="宋体" w:hAnsi="宋体" w:cs="宋体"/>
          <w:color w:val="auto"/>
          <w:sz w:val="24"/>
          <w:highlight w:val="none"/>
        </w:rPr>
        <w:t>公章）；</w:t>
      </w:r>
    </w:p>
    <w:p w14:paraId="31E29EF0">
      <w:pPr>
        <w:pStyle w:val="47"/>
        <w:spacing w:line="360" w:lineRule="auto"/>
        <w:ind w:firstLine="0" w:firstLineChars="0"/>
        <w:outlineLvl w:val="2"/>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4"/>
          <w:szCs w:val="24"/>
          <w:highlight w:val="none"/>
          <w:lang w:val="en-US" w:eastAsia="zh-CN"/>
        </w:rPr>
        <w:t>七、验收条款</w:t>
      </w:r>
    </w:p>
    <w:p w14:paraId="71638C2E">
      <w:pPr>
        <w:pStyle w:val="47"/>
        <w:spacing w:line="360" w:lineRule="auto"/>
        <w:ind w:firstLineChars="0"/>
        <w:rPr>
          <w:rFonts w:ascii="宋体" w:hAnsi="宋体"/>
          <w:color w:val="auto"/>
          <w:sz w:val="24"/>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w:t>
      </w:r>
      <w:r>
        <w:rPr>
          <w:rFonts w:hint="eastAsia" w:ascii="宋体" w:hAnsi="宋体"/>
          <w:color w:val="auto"/>
          <w:sz w:val="21"/>
          <w:szCs w:val="21"/>
          <w:highlight w:val="none"/>
        </w:rPr>
        <w:t>所购入的物品必须符</w:t>
      </w:r>
      <w:r>
        <w:rPr>
          <w:rFonts w:hint="eastAsia" w:ascii="宋体" w:hAnsi="宋体"/>
          <w:color w:val="auto"/>
          <w:sz w:val="24"/>
          <w:highlight w:val="none"/>
        </w:rPr>
        <w:t>合《中华人民共和国食品卫生法》、《中华人民共和国食品安全法》要求。</w:t>
      </w:r>
    </w:p>
    <w:p w14:paraId="076B3250">
      <w:pPr>
        <w:pStyle w:val="47"/>
        <w:spacing w:line="360" w:lineRule="auto"/>
        <w:ind w:firstLineChars="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eastAsia="zh-CN"/>
        </w:rPr>
        <w:t>.</w:t>
      </w:r>
      <w:r>
        <w:rPr>
          <w:rFonts w:hint="eastAsia" w:ascii="宋体" w:hAnsi="宋体"/>
          <w:color w:val="auto"/>
          <w:sz w:val="24"/>
          <w:highlight w:val="none"/>
        </w:rPr>
        <w:t>所供商品必须符合国家行业生产及经营标准，货真价实，均能提供相应批次的合格检验证明；</w:t>
      </w:r>
    </w:p>
    <w:p w14:paraId="13B3633A">
      <w:pPr>
        <w:pStyle w:val="47"/>
        <w:pageBreakBefore w:val="0"/>
        <w:widowControl/>
        <w:kinsoku w:val="0"/>
        <w:wordWrap/>
        <w:overflowPunct/>
        <w:topLinePunct w:val="0"/>
        <w:autoSpaceDE w:val="0"/>
        <w:autoSpaceDN w:val="0"/>
        <w:bidi w:val="0"/>
        <w:adjustRightInd w:val="0"/>
        <w:snapToGrid w:val="0"/>
        <w:spacing w:line="360" w:lineRule="auto"/>
        <w:ind w:firstLine="490" w:firstLineChars="200"/>
        <w:textAlignment w:val="baseline"/>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eastAsia="zh-CN"/>
        </w:rPr>
        <w:t>.</w:t>
      </w:r>
      <w:r>
        <w:rPr>
          <w:rFonts w:hint="eastAsia" w:ascii="宋体" w:hAnsi="宋体"/>
          <w:color w:val="auto"/>
          <w:spacing w:val="-2"/>
          <w:sz w:val="24"/>
          <w:highlight w:val="none"/>
        </w:rPr>
        <w:t>投标货物必须各项技术指标完全符合国家有关质量检测、环保标准及产品出厂标准。</w:t>
      </w:r>
    </w:p>
    <w:p w14:paraId="07F46034">
      <w:pPr>
        <w:pStyle w:val="47"/>
        <w:pageBreakBefore w:val="0"/>
        <w:widowControl/>
        <w:kinsoku w:val="0"/>
        <w:wordWrap/>
        <w:overflowPunct/>
        <w:topLinePunct w:val="0"/>
        <w:autoSpaceDE w:val="0"/>
        <w:autoSpaceDN w:val="0"/>
        <w:bidi w:val="0"/>
        <w:adjustRightInd w:val="0"/>
        <w:snapToGrid w:val="0"/>
        <w:spacing w:line="360" w:lineRule="auto"/>
        <w:ind w:firstLine="490" w:firstLineChars="200"/>
        <w:textAlignment w:val="baseline"/>
        <w:rPr>
          <w:rFonts w:ascii="宋体" w:hAnsi="宋体"/>
          <w:color w:val="auto"/>
          <w:sz w:val="24"/>
          <w:highlight w:val="none"/>
        </w:rPr>
      </w:pPr>
      <w:r>
        <w:rPr>
          <w:rFonts w:hint="eastAsia" w:ascii="宋体" w:hAnsi="宋体"/>
          <w:color w:val="auto"/>
          <w:sz w:val="24"/>
          <w:highlight w:val="none"/>
        </w:rPr>
        <w:t>4</w:t>
      </w:r>
      <w:r>
        <w:rPr>
          <w:rFonts w:hint="eastAsia" w:ascii="宋体" w:hAnsi="宋体"/>
          <w:color w:val="auto"/>
          <w:sz w:val="24"/>
          <w:highlight w:val="none"/>
          <w:lang w:eastAsia="zh-CN"/>
        </w:rPr>
        <w:t>.</w:t>
      </w:r>
      <w:r>
        <w:rPr>
          <w:rFonts w:hint="eastAsia" w:ascii="宋体" w:hAnsi="宋体"/>
          <w:color w:val="auto"/>
          <w:sz w:val="24"/>
          <w:highlight w:val="none"/>
        </w:rPr>
        <w:t>所有货物指标要符合国家强制性标准要求。</w:t>
      </w:r>
    </w:p>
    <w:p w14:paraId="1E23C7CD">
      <w:pPr>
        <w:pStyle w:val="47"/>
        <w:pageBreakBefore w:val="0"/>
        <w:widowControl/>
        <w:kinsoku w:val="0"/>
        <w:wordWrap/>
        <w:overflowPunct/>
        <w:topLinePunct w:val="0"/>
        <w:autoSpaceDE w:val="0"/>
        <w:autoSpaceDN w:val="0"/>
        <w:bidi w:val="0"/>
        <w:adjustRightInd w:val="0"/>
        <w:snapToGrid w:val="0"/>
        <w:spacing w:line="360" w:lineRule="auto"/>
        <w:ind w:firstLine="490" w:firstLineChars="200"/>
        <w:textAlignment w:val="baseline"/>
        <w:rPr>
          <w:rFonts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lang w:eastAsia="zh-CN"/>
        </w:rPr>
        <w:t>.</w:t>
      </w:r>
      <w:r>
        <w:rPr>
          <w:rFonts w:hint="eastAsia" w:ascii="宋体" w:hAnsi="宋体"/>
          <w:color w:val="auto"/>
          <w:sz w:val="24"/>
          <w:highlight w:val="none"/>
        </w:rPr>
        <w:t>中标人必须负责中标货物的运输、质量检测等工作，所产生的费用由中标人负责。</w:t>
      </w:r>
    </w:p>
    <w:p w14:paraId="2F17B5F0">
      <w:pPr>
        <w:pStyle w:val="47"/>
        <w:pageBreakBefore w:val="0"/>
        <w:widowControl/>
        <w:kinsoku w:val="0"/>
        <w:wordWrap/>
        <w:overflowPunct/>
        <w:topLinePunct w:val="0"/>
        <w:autoSpaceDE w:val="0"/>
        <w:autoSpaceDN w:val="0"/>
        <w:bidi w:val="0"/>
        <w:adjustRightInd w:val="0"/>
        <w:snapToGrid w:val="0"/>
        <w:spacing w:line="360" w:lineRule="auto"/>
        <w:ind w:firstLine="490" w:firstLineChars="200"/>
        <w:textAlignment w:val="baseline"/>
        <w:rPr>
          <w:rFonts w:hint="eastAsia" w:ascii="宋体" w:hAnsi="宋体"/>
          <w:b/>
          <w:color w:val="auto"/>
          <w:sz w:val="24"/>
          <w:highlight w:val="none"/>
          <w:lang w:eastAsia="zh-CN"/>
        </w:rPr>
      </w:pPr>
      <w:r>
        <w:rPr>
          <w:rFonts w:hint="eastAsia" w:ascii="宋体" w:hAnsi="宋体"/>
          <w:color w:val="auto"/>
          <w:sz w:val="24"/>
          <w:highlight w:val="none"/>
        </w:rPr>
        <w:t>6</w:t>
      </w:r>
      <w:r>
        <w:rPr>
          <w:rFonts w:hint="eastAsia" w:ascii="宋体" w:hAnsi="宋体"/>
          <w:color w:val="auto"/>
          <w:sz w:val="24"/>
          <w:highlight w:val="none"/>
          <w:lang w:eastAsia="zh-CN"/>
        </w:rPr>
        <w:t>.</w:t>
      </w:r>
      <w:r>
        <w:rPr>
          <w:rFonts w:hint="eastAsia" w:ascii="宋体" w:hAnsi="宋体"/>
          <w:color w:val="auto"/>
          <w:sz w:val="24"/>
          <w:highlight w:val="none"/>
        </w:rPr>
        <w:t>配送货物必须按时按量按质送到采购人指定地点，并当面核实克重。验收完毕后，双方必须在货物收货清单（格式自定，但必须包括货物单价、数量、重量、合价等内容）上签名确认，货物收货清单作为采购人支付货款的依据之一。</w:t>
      </w:r>
    </w:p>
    <w:p w14:paraId="369EE6FF">
      <w:pPr>
        <w:pStyle w:val="4"/>
        <w:pageBreakBefore w:val="0"/>
        <w:widowControl/>
        <w:numPr>
          <w:ilvl w:val="2"/>
          <w:numId w:val="0"/>
        </w:numPr>
        <w:kinsoku w:val="0"/>
        <w:wordWrap/>
        <w:overflowPunct/>
        <w:topLinePunct w:val="0"/>
        <w:autoSpaceDE w:val="0"/>
        <w:autoSpaceDN w:val="0"/>
        <w:bidi w:val="0"/>
        <w:adjustRightInd w:val="0"/>
        <w:snapToGrid w:val="0"/>
        <w:ind w:firstLine="490" w:firstLineChars="200"/>
        <w:textAlignment w:val="baseline"/>
        <w:rPr>
          <w:color w:val="auto"/>
          <w:highlight w:val="none"/>
        </w:rPr>
      </w:pPr>
      <w:r>
        <w:rPr>
          <w:rFonts w:hint="eastAsia" w:ascii="宋体" w:hAnsi="宋体"/>
          <w:b/>
          <w:color w:val="auto"/>
          <w:sz w:val="24"/>
          <w:highlight w:val="none"/>
          <w:lang w:val="en-US" w:eastAsia="zh-CN"/>
        </w:rPr>
        <w:t>7</w:t>
      </w:r>
      <w:r>
        <w:rPr>
          <w:rFonts w:hint="eastAsia" w:ascii="宋体" w:hAnsi="宋体"/>
          <w:b/>
          <w:bCs w:val="0"/>
          <w:color w:val="auto"/>
          <w:sz w:val="24"/>
          <w:highlight w:val="none"/>
          <w:lang w:val="en-US" w:eastAsia="zh-CN"/>
        </w:rPr>
        <w:t>.在服务期内，采购人根据实际情况要求提供服务。供货资格的取得并不意味着食品（服务）的售出，采购人在任何情况下无法预计也无法向中标人单位保证采购的数量及采购的金额。</w:t>
      </w:r>
    </w:p>
    <w:p w14:paraId="1140C9BF">
      <w:pPr>
        <w:rPr>
          <w:color w:val="auto"/>
          <w:highlight w:val="none"/>
        </w:rPr>
      </w:pPr>
    </w:p>
    <w:p w14:paraId="5351306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b/>
          <w:bCs/>
          <w:color w:val="auto"/>
          <w:highlight w:val="none"/>
          <w:lang w:eastAsia="zh-CN"/>
        </w:rPr>
        <w:sectPr>
          <w:headerReference r:id="rId7" w:type="default"/>
          <w:footerReference r:id="rId8" w:type="default"/>
          <w:pgSz w:w="11905" w:h="16838"/>
          <w:pgMar w:top="1440" w:right="1417" w:bottom="1440" w:left="1417" w:header="850" w:footer="992" w:gutter="0"/>
          <w:pgNumType w:fmt="decimal"/>
          <w:cols w:space="0" w:num="1"/>
          <w:rtlGutter w:val="0"/>
          <w:docGrid w:type="linesAndChars" w:linePitch="332" w:charSpace="1057"/>
        </w:sectPr>
      </w:pPr>
    </w:p>
    <w:p w14:paraId="4380D92B">
      <w:pPr>
        <w:spacing w:line="480" w:lineRule="exact"/>
        <w:jc w:val="center"/>
        <w:outlineLvl w:val="1"/>
        <w:rPr>
          <w:rFonts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lang w:eastAsia="zh-CN"/>
        </w:rPr>
        <w:t>第五部分 合同条款及格式</w:t>
      </w:r>
      <w:bookmarkStart w:id="50" w:name="_Toc20669"/>
    </w:p>
    <w:p w14:paraId="2951D39B">
      <w:pPr>
        <w:spacing w:line="480" w:lineRule="exact"/>
        <w:jc w:val="center"/>
        <w:outlineLvl w:val="1"/>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（本合同为合同样稿，最终稿由供需双方协商后确定）</w:t>
      </w:r>
      <w:bookmarkEnd w:id="50"/>
    </w:p>
    <w:p w14:paraId="6F1FACE9">
      <w:pPr>
        <w:spacing w:before="152" w:line="221" w:lineRule="auto"/>
        <w:ind w:left="1038"/>
        <w:rPr>
          <w:rFonts w:ascii="宋体" w:hAnsi="宋体" w:eastAsia="宋体" w:cs="宋体"/>
          <w:color w:val="auto"/>
          <w:sz w:val="47"/>
          <w:szCs w:val="47"/>
          <w:highlight w:val="none"/>
        </w:rPr>
      </w:pPr>
      <w:r>
        <w:rPr>
          <w:rFonts w:ascii="宋体" w:hAnsi="宋体" w:eastAsia="宋体" w:cs="宋体"/>
          <w:b/>
          <w:bCs/>
          <w:color w:val="auto"/>
          <w:spacing w:val="4"/>
          <w:sz w:val="47"/>
          <w:szCs w:val="47"/>
          <w:highlight w:val="none"/>
        </w:rPr>
        <w:t>新疆维吾尔自治区学校食堂食材</w:t>
      </w:r>
    </w:p>
    <w:p w14:paraId="4FF7E6D0">
      <w:pPr>
        <w:spacing w:before="122" w:line="218" w:lineRule="auto"/>
        <w:ind w:left="3442"/>
        <w:rPr>
          <w:rFonts w:ascii="宋体" w:hAnsi="宋体" w:eastAsia="宋体" w:cs="宋体"/>
          <w:color w:val="auto"/>
          <w:sz w:val="47"/>
          <w:szCs w:val="47"/>
          <w:highlight w:val="none"/>
        </w:rPr>
      </w:pPr>
      <w:r>
        <w:rPr>
          <w:rFonts w:ascii="宋体" w:hAnsi="宋体" w:eastAsia="宋体" w:cs="宋体"/>
          <w:b/>
          <w:bCs/>
          <w:color w:val="auto"/>
          <w:spacing w:val="2"/>
          <w:sz w:val="47"/>
          <w:szCs w:val="47"/>
          <w:highlight w:val="none"/>
        </w:rPr>
        <w:t>采购合同</w:t>
      </w:r>
    </w:p>
    <w:p w14:paraId="1A9ECD51">
      <w:pPr>
        <w:spacing w:before="161" w:line="220" w:lineRule="auto"/>
        <w:jc w:val="center"/>
        <w:rPr>
          <w:rFonts w:ascii="楷体" w:hAnsi="楷体" w:eastAsia="楷体" w:cs="楷体"/>
          <w:color w:val="auto"/>
          <w:sz w:val="43"/>
          <w:szCs w:val="43"/>
          <w:highlight w:val="none"/>
        </w:rPr>
      </w:pPr>
      <w:r>
        <w:rPr>
          <w:rFonts w:ascii="楷体" w:hAnsi="楷体" w:eastAsia="楷体" w:cs="楷体"/>
          <w:color w:val="auto"/>
          <w:spacing w:val="8"/>
          <w:sz w:val="43"/>
          <w:szCs w:val="43"/>
          <w:highlight w:val="none"/>
        </w:rPr>
        <w:t>（示范文本</w:t>
      </w:r>
      <w:r>
        <w:rPr>
          <w:rFonts w:hint="eastAsia" w:ascii="楷体" w:hAnsi="楷体" w:eastAsia="楷体" w:cs="楷体"/>
          <w:color w:val="auto"/>
          <w:spacing w:val="8"/>
          <w:sz w:val="43"/>
          <w:szCs w:val="43"/>
          <w:highlight w:val="none"/>
          <w:lang w:eastAsia="zh-CN"/>
        </w:rPr>
        <w:t>，</w:t>
      </w:r>
      <w:r>
        <w:rPr>
          <w:rFonts w:hint="eastAsia" w:ascii="楷体" w:hAnsi="楷体" w:eastAsia="楷体" w:cs="楷体"/>
          <w:color w:val="auto"/>
          <w:spacing w:val="8"/>
          <w:sz w:val="43"/>
          <w:szCs w:val="43"/>
          <w:highlight w:val="none"/>
          <w:lang w:val="en-US" w:eastAsia="zh-CN"/>
        </w:rPr>
        <w:t>仅供参考</w:t>
      </w:r>
      <w:r>
        <w:rPr>
          <w:rFonts w:ascii="楷体" w:hAnsi="楷体" w:eastAsia="楷体" w:cs="楷体"/>
          <w:color w:val="auto"/>
          <w:spacing w:val="8"/>
          <w:sz w:val="43"/>
          <w:szCs w:val="43"/>
          <w:highlight w:val="none"/>
        </w:rPr>
        <w:t>）</w:t>
      </w:r>
    </w:p>
    <w:p w14:paraId="15314911">
      <w:pPr>
        <w:spacing w:before="2"/>
        <w:rPr>
          <w:color w:val="auto"/>
          <w:highlight w:val="none"/>
        </w:rPr>
      </w:pPr>
    </w:p>
    <w:p w14:paraId="0320B5B2">
      <w:pPr>
        <w:spacing w:before="2"/>
        <w:rPr>
          <w:color w:val="auto"/>
          <w:highlight w:val="none"/>
        </w:rPr>
      </w:pPr>
    </w:p>
    <w:p w14:paraId="13222B22">
      <w:pPr>
        <w:spacing w:before="2"/>
        <w:rPr>
          <w:color w:val="auto"/>
          <w:highlight w:val="none"/>
        </w:rPr>
      </w:pPr>
    </w:p>
    <w:p w14:paraId="6F93E8C8">
      <w:pPr>
        <w:spacing w:before="2"/>
        <w:rPr>
          <w:color w:val="auto"/>
          <w:highlight w:val="none"/>
        </w:rPr>
      </w:pPr>
    </w:p>
    <w:p w14:paraId="18CF882E">
      <w:pPr>
        <w:spacing w:before="2"/>
        <w:rPr>
          <w:color w:val="auto"/>
          <w:highlight w:val="none"/>
        </w:rPr>
      </w:pPr>
    </w:p>
    <w:p w14:paraId="064BEB20">
      <w:pPr>
        <w:spacing w:before="2"/>
        <w:rPr>
          <w:color w:val="auto"/>
          <w:highlight w:val="none"/>
        </w:rPr>
      </w:pPr>
    </w:p>
    <w:p w14:paraId="7558BE7A">
      <w:pPr>
        <w:spacing w:before="2"/>
        <w:rPr>
          <w:color w:val="auto"/>
          <w:highlight w:val="none"/>
        </w:rPr>
      </w:pPr>
    </w:p>
    <w:p w14:paraId="220CF818">
      <w:pPr>
        <w:spacing w:before="2"/>
        <w:rPr>
          <w:color w:val="auto"/>
          <w:highlight w:val="none"/>
        </w:rPr>
      </w:pPr>
    </w:p>
    <w:p w14:paraId="3914797B">
      <w:pPr>
        <w:spacing w:before="1"/>
        <w:rPr>
          <w:color w:val="auto"/>
          <w:highlight w:val="none"/>
        </w:rPr>
      </w:pPr>
    </w:p>
    <w:p w14:paraId="50A625CE">
      <w:pPr>
        <w:spacing w:before="1"/>
        <w:rPr>
          <w:color w:val="auto"/>
          <w:highlight w:val="none"/>
        </w:rPr>
      </w:pPr>
    </w:p>
    <w:p w14:paraId="4887CB9E">
      <w:pPr>
        <w:spacing w:before="1"/>
        <w:rPr>
          <w:color w:val="auto"/>
          <w:highlight w:val="none"/>
        </w:rPr>
      </w:pPr>
    </w:p>
    <w:p w14:paraId="3D3B71D7">
      <w:pPr>
        <w:spacing w:before="1"/>
        <w:rPr>
          <w:color w:val="auto"/>
          <w:highlight w:val="none"/>
        </w:rPr>
      </w:pPr>
    </w:p>
    <w:p w14:paraId="533828C4">
      <w:pPr>
        <w:spacing w:before="1"/>
        <w:rPr>
          <w:color w:val="auto"/>
          <w:highlight w:val="none"/>
        </w:rPr>
      </w:pPr>
    </w:p>
    <w:p w14:paraId="696AA497">
      <w:pPr>
        <w:spacing w:before="1"/>
        <w:rPr>
          <w:color w:val="auto"/>
          <w:highlight w:val="none"/>
        </w:rPr>
      </w:pPr>
    </w:p>
    <w:p w14:paraId="5B655D0F">
      <w:pPr>
        <w:spacing w:before="1"/>
        <w:rPr>
          <w:color w:val="auto"/>
          <w:highlight w:val="none"/>
        </w:rPr>
      </w:pPr>
    </w:p>
    <w:p w14:paraId="2181CADC">
      <w:pPr>
        <w:spacing w:before="1"/>
        <w:rPr>
          <w:color w:val="auto"/>
          <w:highlight w:val="none"/>
        </w:rPr>
      </w:pPr>
    </w:p>
    <w:p w14:paraId="1FCDDEAC">
      <w:pPr>
        <w:spacing w:before="1"/>
        <w:rPr>
          <w:color w:val="auto"/>
          <w:highlight w:val="none"/>
        </w:rPr>
      </w:pPr>
    </w:p>
    <w:p w14:paraId="2ED07456">
      <w:pPr>
        <w:spacing w:before="1"/>
        <w:rPr>
          <w:color w:val="auto"/>
          <w:highlight w:val="none"/>
        </w:rPr>
      </w:pPr>
    </w:p>
    <w:p w14:paraId="174947CC">
      <w:pPr>
        <w:spacing w:before="1"/>
        <w:rPr>
          <w:color w:val="auto"/>
          <w:highlight w:val="none"/>
        </w:rPr>
      </w:pPr>
    </w:p>
    <w:p w14:paraId="01A94A3B">
      <w:pPr>
        <w:spacing w:before="1"/>
        <w:rPr>
          <w:color w:val="auto"/>
          <w:highlight w:val="none"/>
        </w:rPr>
      </w:pPr>
    </w:p>
    <w:p w14:paraId="199148FE">
      <w:pPr>
        <w:spacing w:before="1"/>
        <w:rPr>
          <w:color w:val="auto"/>
          <w:highlight w:val="none"/>
        </w:rPr>
      </w:pPr>
    </w:p>
    <w:p w14:paraId="5B96AC71">
      <w:pPr>
        <w:spacing w:before="1"/>
        <w:rPr>
          <w:color w:val="auto"/>
          <w:highlight w:val="none"/>
        </w:rPr>
      </w:pPr>
    </w:p>
    <w:p w14:paraId="5DDB1CFD">
      <w:pPr>
        <w:spacing w:before="1"/>
        <w:rPr>
          <w:color w:val="auto"/>
          <w:highlight w:val="none"/>
        </w:rPr>
      </w:pPr>
    </w:p>
    <w:p w14:paraId="0C6949E4">
      <w:pPr>
        <w:spacing w:before="1"/>
        <w:rPr>
          <w:color w:val="auto"/>
          <w:highlight w:val="none"/>
        </w:rPr>
      </w:pPr>
    </w:p>
    <w:p w14:paraId="70453CD7">
      <w:pPr>
        <w:spacing w:before="1"/>
        <w:rPr>
          <w:color w:val="auto"/>
          <w:highlight w:val="none"/>
        </w:rPr>
      </w:pPr>
    </w:p>
    <w:p w14:paraId="19541243">
      <w:pPr>
        <w:spacing w:before="1"/>
        <w:rPr>
          <w:color w:val="auto"/>
          <w:highlight w:val="none"/>
        </w:rPr>
      </w:pPr>
    </w:p>
    <w:p w14:paraId="0E234880">
      <w:pPr>
        <w:spacing w:before="1"/>
        <w:rPr>
          <w:color w:val="auto"/>
          <w:highlight w:val="none"/>
        </w:rPr>
      </w:pPr>
    </w:p>
    <w:p w14:paraId="516AC574">
      <w:pPr>
        <w:spacing w:before="1"/>
        <w:rPr>
          <w:color w:val="auto"/>
          <w:highlight w:val="none"/>
        </w:rPr>
      </w:pPr>
    </w:p>
    <w:p w14:paraId="60820BA3">
      <w:pPr>
        <w:rPr>
          <w:color w:val="auto"/>
          <w:highlight w:val="none"/>
        </w:rPr>
        <w:sectPr>
          <w:headerReference r:id="rId9" w:type="default"/>
          <w:footerReference r:id="rId10" w:type="default"/>
          <w:pgSz w:w="11906" w:h="16840"/>
          <w:pgMar w:top="1140" w:right="1785" w:bottom="1617" w:left="1616" w:header="0" w:footer="1339" w:gutter="0"/>
          <w:cols w:space="720" w:num="1"/>
        </w:sectPr>
      </w:pPr>
    </w:p>
    <w:p w14:paraId="04ED15A7">
      <w:pPr>
        <w:spacing w:before="65" w:line="237" w:lineRule="auto"/>
        <w:ind w:left="2587" w:right="197" w:hanging="859"/>
        <w:rPr>
          <w:rFonts w:ascii="楷体" w:hAnsi="楷体" w:eastAsia="楷体" w:cs="楷体"/>
          <w:color w:val="auto"/>
          <w:sz w:val="31"/>
          <w:szCs w:val="31"/>
          <w:highlight w:val="none"/>
        </w:rPr>
      </w:pPr>
      <w:r>
        <w:rPr>
          <w:rFonts w:ascii="楷体" w:hAnsi="楷体" w:eastAsia="楷体" w:cs="楷体"/>
          <w:color w:val="auto"/>
          <w:spacing w:val="29"/>
          <w:sz w:val="31"/>
          <w:szCs w:val="31"/>
          <w:highlight w:val="none"/>
        </w:rPr>
        <w:t>新疆维吾尔</w:t>
      </w:r>
      <w:r>
        <w:rPr>
          <w:rFonts w:ascii="楷体" w:hAnsi="楷体" w:eastAsia="楷体" w:cs="楷体"/>
          <w:color w:val="auto"/>
          <w:spacing w:val="-30"/>
          <w:sz w:val="31"/>
          <w:szCs w:val="31"/>
          <w:highlight w:val="none"/>
        </w:rPr>
        <w:t xml:space="preserve"> </w:t>
      </w:r>
      <w:r>
        <w:rPr>
          <w:rFonts w:ascii="楷体" w:hAnsi="楷体" w:eastAsia="楷体" w:cs="楷体"/>
          <w:color w:val="auto"/>
          <w:spacing w:val="29"/>
          <w:sz w:val="31"/>
          <w:szCs w:val="31"/>
          <w:highlight w:val="none"/>
        </w:rPr>
        <w:t>自治</w:t>
      </w:r>
      <w:r>
        <w:rPr>
          <w:rFonts w:ascii="楷体" w:hAnsi="楷体" w:eastAsia="楷体" w:cs="楷体"/>
          <w:color w:val="auto"/>
          <w:spacing w:val="-69"/>
          <w:sz w:val="31"/>
          <w:szCs w:val="31"/>
          <w:highlight w:val="none"/>
        </w:rPr>
        <w:t xml:space="preserve"> </w:t>
      </w:r>
      <w:r>
        <w:rPr>
          <w:rFonts w:ascii="楷体" w:hAnsi="楷体" w:eastAsia="楷体" w:cs="楷体"/>
          <w:color w:val="auto"/>
          <w:spacing w:val="29"/>
          <w:sz w:val="31"/>
          <w:szCs w:val="31"/>
          <w:highlight w:val="none"/>
        </w:rPr>
        <w:t>区市场监督管理局</w:t>
      </w:r>
      <w:r>
        <w:rPr>
          <w:rFonts w:ascii="楷体" w:hAnsi="楷体" w:eastAsia="楷体" w:cs="楷体"/>
          <w:color w:val="auto"/>
          <w:sz w:val="31"/>
          <w:szCs w:val="31"/>
          <w:highlight w:val="none"/>
        </w:rPr>
        <w:t xml:space="preserve"> </w:t>
      </w:r>
      <w:r>
        <w:rPr>
          <w:rFonts w:ascii="楷体" w:hAnsi="楷体" w:eastAsia="楷体" w:cs="楷体"/>
          <w:color w:val="auto"/>
          <w:spacing w:val="9"/>
          <w:sz w:val="31"/>
          <w:szCs w:val="31"/>
          <w:highlight w:val="none"/>
        </w:rPr>
        <w:t>新疆维吾尔自治区教育厅</w:t>
      </w:r>
    </w:p>
    <w:p w14:paraId="53FD13D6">
      <w:pPr>
        <w:spacing w:line="14" w:lineRule="auto"/>
        <w:rPr>
          <w:rFonts w:ascii="Arial"/>
          <w:color w:val="auto"/>
          <w:sz w:val="2"/>
          <w:highlight w:val="none"/>
        </w:rPr>
      </w:pPr>
      <w:r>
        <w:rPr>
          <w:rFonts w:ascii="Arial" w:hAnsi="Arial" w:eastAsia="Arial" w:cs="Arial"/>
          <w:color w:val="auto"/>
          <w:sz w:val="2"/>
          <w:szCs w:val="2"/>
          <w:highlight w:val="none"/>
        </w:rPr>
        <w:br w:type="column"/>
      </w:r>
    </w:p>
    <w:p w14:paraId="24581E39">
      <w:pPr>
        <w:spacing w:before="214" w:line="226" w:lineRule="auto"/>
        <w:rPr>
          <w:rFonts w:ascii="楷体" w:hAnsi="楷体" w:eastAsia="楷体" w:cs="楷体"/>
          <w:color w:val="auto"/>
          <w:sz w:val="31"/>
          <w:szCs w:val="31"/>
          <w:highlight w:val="none"/>
        </w:rPr>
      </w:pPr>
      <w:r>
        <w:rPr>
          <w:rFonts w:ascii="楷体" w:hAnsi="楷体" w:eastAsia="楷体" w:cs="楷体"/>
          <w:color w:val="auto"/>
          <w:sz w:val="31"/>
          <w:szCs w:val="31"/>
          <w:highlight w:val="none"/>
        </w:rPr>
        <w:t>制定</w:t>
      </w:r>
    </w:p>
    <w:p w14:paraId="2789002D">
      <w:pPr>
        <w:spacing w:line="226" w:lineRule="auto"/>
        <w:rPr>
          <w:rFonts w:ascii="楷体" w:hAnsi="楷体" w:eastAsia="楷体" w:cs="楷体"/>
          <w:color w:val="auto"/>
          <w:sz w:val="31"/>
          <w:szCs w:val="31"/>
          <w:highlight w:val="none"/>
        </w:rPr>
        <w:sectPr>
          <w:type w:val="continuous"/>
          <w:pgSz w:w="11906" w:h="16840"/>
          <w:pgMar w:top="400" w:right="1785" w:bottom="1617" w:left="1616" w:header="0" w:footer="1339" w:gutter="0"/>
          <w:cols w:equalWidth="0" w:num="2">
            <w:col w:w="7224" w:space="100"/>
            <w:col w:w="1181"/>
          </w:cols>
        </w:sectPr>
      </w:pPr>
    </w:p>
    <w:p w14:paraId="72E47DE6">
      <w:pPr>
        <w:spacing w:line="272" w:lineRule="auto"/>
        <w:rPr>
          <w:rFonts w:ascii="Arial"/>
          <w:color w:val="auto"/>
          <w:sz w:val="21"/>
          <w:highlight w:val="none"/>
        </w:rPr>
      </w:pPr>
    </w:p>
    <w:p w14:paraId="49674777">
      <w:pPr>
        <w:spacing w:line="272" w:lineRule="auto"/>
        <w:rPr>
          <w:rFonts w:ascii="Arial"/>
          <w:color w:val="auto"/>
          <w:sz w:val="21"/>
          <w:highlight w:val="none"/>
        </w:rPr>
      </w:pPr>
    </w:p>
    <w:p w14:paraId="0B02B2C4">
      <w:pPr>
        <w:spacing w:line="272" w:lineRule="auto"/>
        <w:rPr>
          <w:rFonts w:ascii="Arial"/>
          <w:color w:val="auto"/>
          <w:sz w:val="21"/>
          <w:highlight w:val="none"/>
        </w:rPr>
      </w:pPr>
    </w:p>
    <w:p w14:paraId="5ECE9198">
      <w:pPr>
        <w:spacing w:line="273" w:lineRule="auto"/>
        <w:rPr>
          <w:rFonts w:ascii="Arial"/>
          <w:color w:val="auto"/>
          <w:sz w:val="21"/>
          <w:highlight w:val="none"/>
        </w:rPr>
      </w:pPr>
    </w:p>
    <w:p w14:paraId="11F1E581">
      <w:pPr>
        <w:spacing w:line="273" w:lineRule="auto"/>
        <w:rPr>
          <w:rFonts w:ascii="Arial"/>
          <w:color w:val="auto"/>
          <w:sz w:val="21"/>
          <w:highlight w:val="none"/>
        </w:rPr>
      </w:pPr>
    </w:p>
    <w:p w14:paraId="54470BEC">
      <w:pPr>
        <w:spacing w:line="273" w:lineRule="auto"/>
        <w:rPr>
          <w:rFonts w:ascii="Arial"/>
          <w:color w:val="auto"/>
          <w:sz w:val="21"/>
          <w:highlight w:val="none"/>
        </w:rPr>
      </w:pPr>
    </w:p>
    <w:p w14:paraId="411E798D">
      <w:pPr>
        <w:spacing w:before="101" w:line="226" w:lineRule="auto"/>
        <w:ind w:left="3802"/>
        <w:outlineLvl w:val="1"/>
        <w:rPr>
          <w:rFonts w:ascii="黑体" w:hAnsi="黑体" w:eastAsia="黑体" w:cs="黑体"/>
          <w:color w:val="auto"/>
          <w:sz w:val="31"/>
          <w:szCs w:val="31"/>
          <w:highlight w:val="none"/>
        </w:rPr>
      </w:pPr>
      <w:r>
        <w:rPr>
          <w:rFonts w:ascii="黑体" w:hAnsi="黑体" w:eastAsia="黑体" w:cs="黑体"/>
          <w:color w:val="auto"/>
          <w:spacing w:val="6"/>
          <w:sz w:val="31"/>
          <w:szCs w:val="31"/>
          <w:highlight w:val="none"/>
        </w:rPr>
        <w:t>使用说明</w:t>
      </w:r>
    </w:p>
    <w:p w14:paraId="12C1584B">
      <w:pPr>
        <w:spacing w:line="248" w:lineRule="auto"/>
        <w:rPr>
          <w:rFonts w:ascii="Arial"/>
          <w:color w:val="auto"/>
          <w:sz w:val="21"/>
          <w:highlight w:val="none"/>
        </w:rPr>
      </w:pPr>
    </w:p>
    <w:p w14:paraId="328A0153">
      <w:pPr>
        <w:spacing w:before="95" w:line="246" w:lineRule="auto"/>
        <w:ind w:left="17" w:right="88" w:firstLine="438"/>
        <w:rPr>
          <w:rFonts w:ascii="微软雅黑" w:hAnsi="微软雅黑" w:eastAsia="微软雅黑" w:cs="微软雅黑"/>
          <w:color w:val="auto"/>
          <w:sz w:val="22"/>
          <w:szCs w:val="22"/>
          <w:highlight w:val="none"/>
        </w:rPr>
      </w:pPr>
      <w:r>
        <w:rPr>
          <w:rFonts w:ascii="微软雅黑" w:hAnsi="微软雅黑" w:eastAsia="微软雅黑" w:cs="微软雅黑"/>
          <w:color w:val="auto"/>
          <w:spacing w:val="-1"/>
          <w:sz w:val="22"/>
          <w:szCs w:val="22"/>
          <w:highlight w:val="none"/>
        </w:rPr>
        <w:t>一、为规范学校与企业的权利义务</w:t>
      </w:r>
      <w:r>
        <w:rPr>
          <w:rFonts w:ascii="微软雅黑" w:hAnsi="微软雅黑" w:eastAsia="微软雅黑" w:cs="微软雅黑"/>
          <w:color w:val="auto"/>
          <w:spacing w:val="-25"/>
          <w:sz w:val="22"/>
          <w:szCs w:val="22"/>
          <w:highlight w:val="none"/>
        </w:rPr>
        <w:t xml:space="preserve"> </w:t>
      </w:r>
      <w:r>
        <w:rPr>
          <w:rFonts w:ascii="微软雅黑" w:hAnsi="微软雅黑" w:eastAsia="微软雅黑" w:cs="微软雅黑"/>
          <w:color w:val="auto"/>
          <w:spacing w:val="-1"/>
          <w:sz w:val="22"/>
          <w:szCs w:val="22"/>
          <w:highlight w:val="none"/>
        </w:rPr>
        <w:t>，维护双方合法权益</w:t>
      </w:r>
      <w:r>
        <w:rPr>
          <w:rFonts w:ascii="微软雅黑" w:hAnsi="微软雅黑" w:eastAsia="微软雅黑" w:cs="微软雅黑"/>
          <w:color w:val="auto"/>
          <w:spacing w:val="-27"/>
          <w:sz w:val="22"/>
          <w:szCs w:val="22"/>
          <w:highlight w:val="none"/>
        </w:rPr>
        <w:t xml:space="preserve"> </w:t>
      </w:r>
      <w:r>
        <w:rPr>
          <w:rFonts w:ascii="微软雅黑" w:hAnsi="微软雅黑" w:eastAsia="微软雅黑" w:cs="微软雅黑"/>
          <w:color w:val="auto"/>
          <w:spacing w:val="-1"/>
          <w:sz w:val="22"/>
          <w:szCs w:val="22"/>
          <w:highlight w:val="none"/>
        </w:rPr>
        <w:t>，确保学校食堂大宗食材的</w:t>
      </w:r>
      <w:r>
        <w:rPr>
          <w:rFonts w:ascii="微软雅黑" w:hAnsi="微软雅黑" w:eastAsia="微软雅黑" w:cs="微软雅黑"/>
          <w:color w:val="auto"/>
          <w:spacing w:val="-2"/>
          <w:sz w:val="22"/>
          <w:szCs w:val="22"/>
          <w:highlight w:val="none"/>
        </w:rPr>
        <w:t>安全</w:t>
      </w:r>
      <w:r>
        <w:rPr>
          <w:rFonts w:ascii="微软雅黑" w:hAnsi="微软雅黑" w:eastAsia="微软雅黑" w:cs="微软雅黑"/>
          <w:color w:val="auto"/>
          <w:sz w:val="22"/>
          <w:szCs w:val="22"/>
          <w:highlight w:val="none"/>
        </w:rPr>
        <w:t xml:space="preserve"> </w:t>
      </w:r>
      <w:r>
        <w:rPr>
          <w:rFonts w:ascii="微软雅黑" w:hAnsi="微软雅黑" w:eastAsia="微软雅黑" w:cs="微软雅黑"/>
          <w:color w:val="auto"/>
          <w:spacing w:val="-1"/>
          <w:sz w:val="22"/>
          <w:szCs w:val="22"/>
          <w:highlight w:val="none"/>
        </w:rPr>
        <w:t>和质量</w:t>
      </w:r>
      <w:r>
        <w:rPr>
          <w:rFonts w:ascii="微软雅黑" w:hAnsi="微软雅黑" w:eastAsia="微软雅黑" w:cs="微软雅黑"/>
          <w:color w:val="auto"/>
          <w:spacing w:val="-27"/>
          <w:sz w:val="22"/>
          <w:szCs w:val="22"/>
          <w:highlight w:val="none"/>
        </w:rPr>
        <w:t xml:space="preserve"> </w:t>
      </w:r>
      <w:r>
        <w:rPr>
          <w:rFonts w:ascii="微软雅黑" w:hAnsi="微软雅黑" w:eastAsia="微软雅黑" w:cs="微软雅黑"/>
          <w:color w:val="auto"/>
          <w:spacing w:val="-1"/>
          <w:sz w:val="22"/>
          <w:szCs w:val="22"/>
          <w:highlight w:val="none"/>
        </w:rPr>
        <w:t>，根据《中华人民共和国民法典》及相关法律法规、规章制度要求</w:t>
      </w:r>
      <w:r>
        <w:rPr>
          <w:rFonts w:ascii="微软雅黑" w:hAnsi="微软雅黑" w:eastAsia="微软雅黑" w:cs="微软雅黑"/>
          <w:color w:val="auto"/>
          <w:spacing w:val="-27"/>
          <w:sz w:val="22"/>
          <w:szCs w:val="22"/>
          <w:highlight w:val="none"/>
        </w:rPr>
        <w:t xml:space="preserve"> </w:t>
      </w:r>
      <w:r>
        <w:rPr>
          <w:rFonts w:ascii="微软雅黑" w:hAnsi="微软雅黑" w:eastAsia="微软雅黑" w:cs="微软雅黑"/>
          <w:color w:val="auto"/>
          <w:spacing w:val="-1"/>
          <w:sz w:val="22"/>
          <w:szCs w:val="22"/>
          <w:highlight w:val="none"/>
        </w:rPr>
        <w:t>，制定本《合同示</w:t>
      </w:r>
      <w:r>
        <w:rPr>
          <w:rFonts w:ascii="微软雅黑" w:hAnsi="微软雅黑" w:eastAsia="微软雅黑" w:cs="微软雅黑"/>
          <w:color w:val="auto"/>
          <w:sz w:val="22"/>
          <w:szCs w:val="22"/>
          <w:highlight w:val="none"/>
        </w:rPr>
        <w:t xml:space="preserve"> </w:t>
      </w:r>
      <w:r>
        <w:rPr>
          <w:rFonts w:ascii="微软雅黑" w:hAnsi="微软雅黑" w:eastAsia="微软雅黑" w:cs="微软雅黑"/>
          <w:color w:val="auto"/>
          <w:spacing w:val="-2"/>
          <w:sz w:val="22"/>
          <w:szCs w:val="22"/>
          <w:highlight w:val="none"/>
        </w:rPr>
        <w:t>范文本》。</w:t>
      </w:r>
    </w:p>
    <w:p w14:paraId="465E119A">
      <w:pPr>
        <w:spacing w:before="93" w:line="225" w:lineRule="auto"/>
        <w:ind w:left="18" w:right="88" w:firstLine="437"/>
        <w:rPr>
          <w:rFonts w:ascii="微软雅黑" w:hAnsi="微软雅黑" w:eastAsia="微软雅黑" w:cs="微软雅黑"/>
          <w:color w:val="auto"/>
          <w:sz w:val="22"/>
          <w:szCs w:val="22"/>
          <w:highlight w:val="none"/>
        </w:rPr>
      </w:pPr>
      <w:r>
        <w:rPr>
          <w:rFonts w:ascii="微软雅黑" w:hAnsi="微软雅黑" w:eastAsia="微软雅黑" w:cs="微软雅黑"/>
          <w:color w:val="auto"/>
          <w:spacing w:val="1"/>
          <w:sz w:val="22"/>
          <w:szCs w:val="22"/>
          <w:highlight w:val="none"/>
        </w:rPr>
        <w:t>二、本《合同示范文本》供新疆维吾尔自治区行政区域内的学校与企业之间签订学校食</w:t>
      </w:r>
      <w:r>
        <w:rPr>
          <w:rFonts w:ascii="微软雅黑" w:hAnsi="微软雅黑" w:eastAsia="微软雅黑" w:cs="微软雅黑"/>
          <w:color w:val="auto"/>
          <w:sz w:val="22"/>
          <w:szCs w:val="22"/>
          <w:highlight w:val="none"/>
        </w:rPr>
        <w:t xml:space="preserve"> </w:t>
      </w:r>
      <w:r>
        <w:rPr>
          <w:rFonts w:ascii="微软雅黑" w:hAnsi="微软雅黑" w:eastAsia="微软雅黑" w:cs="微软雅黑"/>
          <w:color w:val="auto"/>
          <w:spacing w:val="-1"/>
          <w:sz w:val="22"/>
          <w:szCs w:val="22"/>
          <w:highlight w:val="none"/>
        </w:rPr>
        <w:t>堂大宗食材采购合同时参照使用。</w:t>
      </w:r>
    </w:p>
    <w:p w14:paraId="1D0CB724">
      <w:pPr>
        <w:spacing w:before="131" w:line="225" w:lineRule="auto"/>
        <w:ind w:left="11" w:right="88" w:firstLine="447"/>
        <w:rPr>
          <w:rFonts w:ascii="微软雅黑" w:hAnsi="微软雅黑" w:eastAsia="微软雅黑" w:cs="微软雅黑"/>
          <w:color w:val="auto"/>
          <w:sz w:val="22"/>
          <w:szCs w:val="22"/>
          <w:highlight w:val="none"/>
        </w:rPr>
      </w:pPr>
      <w:r>
        <w:rPr>
          <w:rFonts w:ascii="微软雅黑" w:hAnsi="微软雅黑" w:eastAsia="微软雅黑" w:cs="微软雅黑"/>
          <w:color w:val="auto"/>
          <w:sz w:val="22"/>
          <w:szCs w:val="22"/>
          <w:highlight w:val="none"/>
        </w:rPr>
        <w:t>三、本《合同示范文本》</w:t>
      </w:r>
      <w:r>
        <w:rPr>
          <w:rFonts w:ascii="微软雅黑" w:hAnsi="微软雅黑" w:eastAsia="微软雅黑" w:cs="微软雅黑"/>
          <w:color w:val="auto"/>
          <w:spacing w:val="-30"/>
          <w:sz w:val="22"/>
          <w:szCs w:val="22"/>
          <w:highlight w:val="none"/>
        </w:rPr>
        <w:t xml:space="preserve"> </w:t>
      </w:r>
      <w:r>
        <w:rPr>
          <w:rFonts w:ascii="微软雅黑" w:hAnsi="微软雅黑" w:eastAsia="微软雅黑" w:cs="微软雅黑"/>
          <w:color w:val="auto"/>
          <w:sz w:val="22"/>
          <w:szCs w:val="22"/>
          <w:highlight w:val="none"/>
        </w:rPr>
        <w:t xml:space="preserve">由新疆维吾尔自治区市场监督管理局和新疆维吾尔自治区教育 </w:t>
      </w:r>
      <w:r>
        <w:rPr>
          <w:rFonts w:ascii="微软雅黑" w:hAnsi="微软雅黑" w:eastAsia="微软雅黑" w:cs="微软雅黑"/>
          <w:color w:val="auto"/>
          <w:spacing w:val="-1"/>
          <w:sz w:val="22"/>
          <w:szCs w:val="22"/>
          <w:highlight w:val="none"/>
        </w:rPr>
        <w:t>厅共同制定发布并负责解释。</w:t>
      </w:r>
    </w:p>
    <w:p w14:paraId="7F4DD926">
      <w:pPr>
        <w:spacing w:before="131" w:line="239" w:lineRule="auto"/>
        <w:ind w:left="12" w:right="88" w:firstLine="465"/>
        <w:rPr>
          <w:rFonts w:ascii="微软雅黑" w:hAnsi="微软雅黑" w:eastAsia="微软雅黑" w:cs="微软雅黑"/>
          <w:color w:val="auto"/>
          <w:sz w:val="22"/>
          <w:szCs w:val="22"/>
          <w:highlight w:val="none"/>
        </w:rPr>
      </w:pPr>
      <w:r>
        <w:rPr>
          <w:rFonts w:ascii="微软雅黑" w:hAnsi="微软雅黑" w:eastAsia="微软雅黑" w:cs="微软雅黑"/>
          <w:color w:val="auto"/>
          <w:sz w:val="22"/>
          <w:szCs w:val="22"/>
          <w:highlight w:val="none"/>
        </w:rPr>
        <w:t>四、当事人参照本《合同示范文本》订立合同的，应充分理解合同中条款的内容，并自</w:t>
      </w:r>
      <w:r>
        <w:rPr>
          <w:rFonts w:ascii="微软雅黑" w:hAnsi="微软雅黑" w:eastAsia="微软雅黑" w:cs="微软雅黑"/>
          <w:color w:val="auto"/>
          <w:spacing w:val="16"/>
          <w:sz w:val="22"/>
          <w:szCs w:val="22"/>
          <w:highlight w:val="none"/>
        </w:rPr>
        <w:t xml:space="preserve"> </w:t>
      </w:r>
      <w:r>
        <w:rPr>
          <w:rFonts w:ascii="微软雅黑" w:hAnsi="微软雅黑" w:eastAsia="微软雅黑" w:cs="微软雅黑"/>
          <w:color w:val="auto"/>
          <w:sz w:val="22"/>
          <w:szCs w:val="22"/>
          <w:highlight w:val="none"/>
        </w:rPr>
        <w:t>行承担合同订立履行所发生的法律后果</w:t>
      </w:r>
      <w:r>
        <w:rPr>
          <w:rFonts w:ascii="微软雅黑" w:hAnsi="微软雅黑" w:eastAsia="微软雅黑" w:cs="微软雅黑"/>
          <w:color w:val="auto"/>
          <w:spacing w:val="-24"/>
          <w:sz w:val="22"/>
          <w:szCs w:val="22"/>
          <w:highlight w:val="none"/>
        </w:rPr>
        <w:t xml:space="preserve"> </w:t>
      </w:r>
      <w:r>
        <w:rPr>
          <w:rFonts w:ascii="微软雅黑" w:hAnsi="微软雅黑" w:eastAsia="微软雅黑" w:cs="微软雅黑"/>
          <w:color w:val="auto"/>
          <w:sz w:val="22"/>
          <w:szCs w:val="22"/>
          <w:highlight w:val="none"/>
        </w:rPr>
        <w:t xml:space="preserve">。当事人对合同条款理解发生争议时，应按照有关法 </w:t>
      </w:r>
      <w:r>
        <w:rPr>
          <w:rFonts w:ascii="微软雅黑" w:hAnsi="微软雅黑" w:eastAsia="微软雅黑" w:cs="微软雅黑"/>
          <w:color w:val="auto"/>
          <w:spacing w:val="-1"/>
          <w:sz w:val="22"/>
          <w:szCs w:val="22"/>
          <w:highlight w:val="none"/>
        </w:rPr>
        <w:t>律法规规定对条款进行解释。</w:t>
      </w:r>
    </w:p>
    <w:p w14:paraId="559EAA7A">
      <w:pPr>
        <w:spacing w:before="134" w:line="239" w:lineRule="auto"/>
        <w:ind w:left="12" w:right="88" w:firstLine="447"/>
        <w:rPr>
          <w:rFonts w:ascii="微软雅黑" w:hAnsi="微软雅黑" w:eastAsia="微软雅黑" w:cs="微软雅黑"/>
          <w:color w:val="auto"/>
          <w:sz w:val="22"/>
          <w:szCs w:val="22"/>
          <w:highlight w:val="none"/>
        </w:rPr>
      </w:pPr>
      <w:r>
        <w:rPr>
          <w:rFonts w:ascii="微软雅黑" w:hAnsi="微软雅黑" w:eastAsia="微软雅黑" w:cs="微软雅黑"/>
          <w:color w:val="auto"/>
          <w:sz w:val="22"/>
          <w:szCs w:val="22"/>
          <w:highlight w:val="none"/>
        </w:rPr>
        <w:t>五、合同当事人参照本《合同示范文本》订立合同时</w:t>
      </w:r>
      <w:r>
        <w:rPr>
          <w:rFonts w:ascii="微软雅黑" w:hAnsi="微软雅黑" w:eastAsia="微软雅黑" w:cs="微软雅黑"/>
          <w:color w:val="auto"/>
          <w:spacing w:val="-27"/>
          <w:sz w:val="22"/>
          <w:szCs w:val="22"/>
          <w:highlight w:val="none"/>
        </w:rPr>
        <w:t xml:space="preserve"> </w:t>
      </w:r>
      <w:r>
        <w:rPr>
          <w:rFonts w:ascii="微软雅黑" w:hAnsi="微软雅黑" w:eastAsia="微软雅黑" w:cs="微软雅黑"/>
          <w:color w:val="auto"/>
          <w:sz w:val="22"/>
          <w:szCs w:val="22"/>
          <w:highlight w:val="none"/>
        </w:rPr>
        <w:t>，可以根据实际情况修改</w:t>
      </w:r>
      <w:r>
        <w:rPr>
          <w:rFonts w:ascii="微软雅黑" w:hAnsi="微软雅黑" w:eastAsia="微软雅黑" w:cs="微软雅黑"/>
          <w:color w:val="auto"/>
          <w:spacing w:val="-1"/>
          <w:sz w:val="22"/>
          <w:szCs w:val="22"/>
          <w:highlight w:val="none"/>
        </w:rPr>
        <w:t>、增补合</w:t>
      </w:r>
      <w:r>
        <w:rPr>
          <w:rFonts w:ascii="微软雅黑" w:hAnsi="微软雅黑" w:eastAsia="微软雅黑" w:cs="微软雅黑"/>
          <w:color w:val="auto"/>
          <w:sz w:val="22"/>
          <w:szCs w:val="22"/>
          <w:highlight w:val="none"/>
        </w:rPr>
        <w:t xml:space="preserve"> 同内容。但是对文本中的格式条款如果进行了修改、增补的</w:t>
      </w:r>
      <w:r>
        <w:rPr>
          <w:rFonts w:ascii="微软雅黑" w:hAnsi="微软雅黑" w:eastAsia="微软雅黑" w:cs="微软雅黑"/>
          <w:color w:val="auto"/>
          <w:spacing w:val="-26"/>
          <w:sz w:val="22"/>
          <w:szCs w:val="22"/>
          <w:highlight w:val="none"/>
        </w:rPr>
        <w:t xml:space="preserve"> </w:t>
      </w:r>
      <w:r>
        <w:rPr>
          <w:rFonts w:ascii="微软雅黑" w:hAnsi="微软雅黑" w:eastAsia="微软雅黑" w:cs="微软雅黑"/>
          <w:color w:val="auto"/>
          <w:sz w:val="22"/>
          <w:szCs w:val="22"/>
          <w:highlight w:val="none"/>
        </w:rPr>
        <w:t xml:space="preserve">，不得以“合同示范文本”名义 </w:t>
      </w:r>
      <w:r>
        <w:rPr>
          <w:rFonts w:ascii="微软雅黑" w:hAnsi="微软雅黑" w:eastAsia="微软雅黑" w:cs="微软雅黑"/>
          <w:color w:val="auto"/>
          <w:spacing w:val="-1"/>
          <w:sz w:val="22"/>
          <w:szCs w:val="22"/>
          <w:highlight w:val="none"/>
        </w:rPr>
        <w:t>使用。</w:t>
      </w:r>
    </w:p>
    <w:p w14:paraId="36DF6624">
      <w:pPr>
        <w:spacing w:before="132" w:line="239" w:lineRule="auto"/>
        <w:ind w:left="13" w:firstLine="441"/>
        <w:rPr>
          <w:rFonts w:ascii="微软雅黑" w:hAnsi="微软雅黑" w:eastAsia="微软雅黑" w:cs="微软雅黑"/>
          <w:color w:val="auto"/>
          <w:sz w:val="22"/>
          <w:szCs w:val="22"/>
          <w:highlight w:val="none"/>
        </w:rPr>
      </w:pPr>
      <w:r>
        <w:rPr>
          <w:rFonts w:ascii="微软雅黑" w:hAnsi="微软雅黑" w:eastAsia="微软雅黑" w:cs="微软雅黑"/>
          <w:color w:val="auto"/>
          <w:spacing w:val="-2"/>
          <w:sz w:val="22"/>
          <w:szCs w:val="22"/>
          <w:highlight w:val="none"/>
        </w:rPr>
        <w:t>六、本《合同示范文本》中所称的学校食堂食材采购是</w:t>
      </w:r>
      <w:r>
        <w:rPr>
          <w:rFonts w:ascii="微软雅黑" w:hAnsi="微软雅黑" w:eastAsia="微软雅黑" w:cs="微软雅黑"/>
          <w:color w:val="auto"/>
          <w:spacing w:val="-3"/>
          <w:sz w:val="22"/>
          <w:szCs w:val="22"/>
          <w:highlight w:val="none"/>
        </w:rPr>
        <w:t>指：学校对具有相关资质、规模、</w:t>
      </w:r>
      <w:r>
        <w:rPr>
          <w:rFonts w:ascii="微软雅黑" w:hAnsi="微软雅黑" w:eastAsia="微软雅黑" w:cs="微软雅黑"/>
          <w:color w:val="auto"/>
          <w:sz w:val="22"/>
          <w:szCs w:val="22"/>
          <w:highlight w:val="none"/>
        </w:rPr>
        <w:t xml:space="preserve"> </w:t>
      </w:r>
      <w:r>
        <w:rPr>
          <w:rFonts w:ascii="微软雅黑" w:hAnsi="微软雅黑" w:eastAsia="微软雅黑" w:cs="微软雅黑"/>
          <w:color w:val="auto"/>
          <w:spacing w:val="-2"/>
          <w:sz w:val="22"/>
          <w:szCs w:val="22"/>
          <w:highlight w:val="none"/>
        </w:rPr>
        <w:t>技术、服务质量等方面优势的供应商为学校自办食堂或委托管理服务性质</w:t>
      </w:r>
      <w:r>
        <w:rPr>
          <w:rFonts w:ascii="微软雅黑" w:hAnsi="微软雅黑" w:eastAsia="微软雅黑" w:cs="微软雅黑"/>
          <w:color w:val="auto"/>
          <w:spacing w:val="-3"/>
          <w:sz w:val="22"/>
          <w:szCs w:val="22"/>
          <w:highlight w:val="none"/>
        </w:rPr>
        <w:t>的食堂提供米、面、</w:t>
      </w:r>
      <w:r>
        <w:rPr>
          <w:rFonts w:ascii="微软雅黑" w:hAnsi="微软雅黑" w:eastAsia="微软雅黑" w:cs="微软雅黑"/>
          <w:color w:val="auto"/>
          <w:sz w:val="22"/>
          <w:szCs w:val="22"/>
          <w:highlight w:val="none"/>
        </w:rPr>
        <w:t xml:space="preserve"> 油、肉、蛋、奶等大宗原材料进行统一配送服务的购</w:t>
      </w:r>
      <w:r>
        <w:rPr>
          <w:rFonts w:ascii="微软雅黑" w:hAnsi="微软雅黑" w:eastAsia="微软雅黑" w:cs="微软雅黑"/>
          <w:color w:val="auto"/>
          <w:spacing w:val="-1"/>
          <w:sz w:val="22"/>
          <w:szCs w:val="22"/>
          <w:highlight w:val="none"/>
        </w:rPr>
        <w:t>买行为。</w:t>
      </w:r>
    </w:p>
    <w:p w14:paraId="4824D137">
      <w:pPr>
        <w:spacing w:before="131" w:line="226" w:lineRule="auto"/>
        <w:ind w:left="14" w:right="88" w:firstLine="439"/>
        <w:rPr>
          <w:rFonts w:ascii="微软雅黑" w:hAnsi="微软雅黑" w:eastAsia="微软雅黑" w:cs="微软雅黑"/>
          <w:color w:val="auto"/>
          <w:sz w:val="22"/>
          <w:szCs w:val="22"/>
          <w:highlight w:val="none"/>
        </w:rPr>
      </w:pPr>
      <w:r>
        <w:rPr>
          <w:rFonts w:ascii="微软雅黑" w:hAnsi="微软雅黑" w:eastAsia="微软雅黑" w:cs="微软雅黑"/>
          <w:color w:val="auto"/>
          <w:sz w:val="22"/>
          <w:szCs w:val="22"/>
          <w:highlight w:val="none"/>
        </w:rPr>
        <w:t>七、本《合同示范文本》</w:t>
      </w:r>
      <w:r>
        <w:rPr>
          <w:rFonts w:ascii="微软雅黑" w:hAnsi="微软雅黑" w:eastAsia="微软雅黑" w:cs="微软雅黑"/>
          <w:color w:val="auto"/>
          <w:spacing w:val="-38"/>
          <w:sz w:val="22"/>
          <w:szCs w:val="22"/>
          <w:highlight w:val="none"/>
        </w:rPr>
        <w:t xml:space="preserve"> </w:t>
      </w:r>
      <w:r>
        <w:rPr>
          <w:rFonts w:ascii="微软雅黑" w:hAnsi="微软雅黑" w:eastAsia="微软雅黑" w:cs="微软雅黑"/>
          <w:color w:val="auto"/>
          <w:sz w:val="22"/>
          <w:szCs w:val="22"/>
          <w:highlight w:val="none"/>
        </w:rPr>
        <w:t>中所称的学校是指：普通中小</w:t>
      </w:r>
      <w:r>
        <w:rPr>
          <w:rFonts w:ascii="微软雅黑" w:hAnsi="微软雅黑" w:eastAsia="微软雅黑" w:cs="微软雅黑"/>
          <w:color w:val="auto"/>
          <w:spacing w:val="-1"/>
          <w:sz w:val="22"/>
          <w:szCs w:val="22"/>
          <w:highlight w:val="none"/>
        </w:rPr>
        <w:t>学校</w:t>
      </w:r>
      <w:r>
        <w:rPr>
          <w:rFonts w:ascii="微软雅黑" w:hAnsi="微软雅黑" w:eastAsia="微软雅黑" w:cs="微软雅黑"/>
          <w:color w:val="auto"/>
          <w:spacing w:val="-38"/>
          <w:sz w:val="22"/>
          <w:szCs w:val="22"/>
          <w:highlight w:val="none"/>
        </w:rPr>
        <w:t xml:space="preserve"> </w:t>
      </w:r>
      <w:r>
        <w:rPr>
          <w:rFonts w:ascii="微软雅黑" w:hAnsi="微软雅黑" w:eastAsia="微软雅黑" w:cs="微软雅黑"/>
          <w:color w:val="auto"/>
          <w:spacing w:val="-1"/>
          <w:sz w:val="22"/>
          <w:szCs w:val="22"/>
          <w:highlight w:val="none"/>
        </w:rPr>
        <w:t>、中等职业学校、高等教育</w:t>
      </w:r>
      <w:r>
        <w:rPr>
          <w:rFonts w:ascii="微软雅黑" w:hAnsi="微软雅黑" w:eastAsia="微软雅黑" w:cs="微软雅黑"/>
          <w:color w:val="auto"/>
          <w:sz w:val="22"/>
          <w:szCs w:val="22"/>
          <w:highlight w:val="none"/>
        </w:rPr>
        <w:t xml:space="preserve"> 学校、特殊教育学校、专门学校等，包括幼儿园、小学、初中</w:t>
      </w:r>
      <w:r>
        <w:rPr>
          <w:rFonts w:ascii="微软雅黑" w:hAnsi="微软雅黑" w:eastAsia="微软雅黑" w:cs="微软雅黑"/>
          <w:color w:val="auto"/>
          <w:spacing w:val="-1"/>
          <w:sz w:val="22"/>
          <w:szCs w:val="22"/>
          <w:highlight w:val="none"/>
        </w:rPr>
        <w:t>、高中和大学。</w:t>
      </w:r>
    </w:p>
    <w:p w14:paraId="63DEA0F9">
      <w:pPr>
        <w:spacing w:before="136" w:line="251" w:lineRule="auto"/>
        <w:ind w:right="88" w:firstLine="452"/>
        <w:rPr>
          <w:rFonts w:ascii="微软雅黑" w:hAnsi="微软雅黑" w:eastAsia="微软雅黑" w:cs="微软雅黑"/>
          <w:color w:val="auto"/>
          <w:sz w:val="22"/>
          <w:szCs w:val="22"/>
          <w:highlight w:val="none"/>
        </w:rPr>
        <w:sectPr>
          <w:footerReference r:id="rId11" w:type="default"/>
          <w:pgSz w:w="11906" w:h="16840"/>
          <w:pgMar w:top="400" w:right="1384" w:bottom="1619" w:left="1577" w:header="0" w:footer="1341" w:gutter="0"/>
          <w:cols w:space="720" w:num="1"/>
        </w:sectPr>
      </w:pPr>
      <w:r>
        <w:rPr>
          <w:rFonts w:ascii="微软雅黑" w:hAnsi="微软雅黑" w:eastAsia="微软雅黑" w:cs="微软雅黑"/>
          <w:color w:val="auto"/>
          <w:sz w:val="22"/>
          <w:szCs w:val="22"/>
          <w:highlight w:val="none"/>
        </w:rPr>
        <w:t>八、为保证合同条款的全面、准确，请在“新疆维吾尔自治区市场监督管理局”</w:t>
      </w:r>
      <w:r>
        <w:rPr>
          <w:rFonts w:ascii="微软雅黑" w:hAnsi="微软雅黑" w:eastAsia="微软雅黑" w:cs="微软雅黑"/>
          <w:color w:val="auto"/>
          <w:spacing w:val="-26"/>
          <w:sz w:val="22"/>
          <w:szCs w:val="22"/>
          <w:highlight w:val="none"/>
        </w:rPr>
        <w:t xml:space="preserve"> </w:t>
      </w:r>
      <w:r>
        <w:rPr>
          <w:rFonts w:ascii="微软雅黑" w:hAnsi="微软雅黑" w:eastAsia="微软雅黑" w:cs="微软雅黑"/>
          <w:color w:val="auto"/>
          <w:sz w:val="22"/>
          <w:szCs w:val="22"/>
          <w:highlight w:val="none"/>
        </w:rPr>
        <w:t xml:space="preserve">门户网 </w:t>
      </w:r>
      <w:r>
        <w:rPr>
          <w:rFonts w:ascii="微软雅黑" w:hAnsi="微软雅黑" w:eastAsia="微软雅黑" w:cs="微软雅黑"/>
          <w:color w:val="auto"/>
          <w:spacing w:val="-1"/>
          <w:sz w:val="22"/>
          <w:szCs w:val="22"/>
          <w:highlight w:val="none"/>
        </w:rPr>
        <w:t>站（ www.xjaic.gov.cn ）“</w:t>
      </w:r>
      <w:r>
        <w:rPr>
          <w:rFonts w:ascii="微软雅黑" w:hAnsi="微软雅黑" w:eastAsia="微软雅黑" w:cs="微软雅黑"/>
          <w:color w:val="auto"/>
          <w:spacing w:val="-45"/>
          <w:sz w:val="22"/>
          <w:szCs w:val="22"/>
          <w:highlight w:val="none"/>
        </w:rPr>
        <w:t xml:space="preserve"> </w:t>
      </w:r>
      <w:r>
        <w:rPr>
          <w:rFonts w:ascii="微软雅黑" w:hAnsi="微软雅黑" w:eastAsia="微软雅黑" w:cs="微软雅黑"/>
          <w:color w:val="auto"/>
          <w:spacing w:val="-1"/>
          <w:sz w:val="22"/>
          <w:szCs w:val="22"/>
          <w:highlight w:val="none"/>
        </w:rPr>
        <w:t>合同示范文本</w:t>
      </w:r>
      <w:r>
        <w:rPr>
          <w:rFonts w:ascii="微软雅黑" w:hAnsi="微软雅黑" w:eastAsia="微软雅黑" w:cs="微软雅黑"/>
          <w:color w:val="auto"/>
          <w:spacing w:val="-29"/>
          <w:sz w:val="22"/>
          <w:szCs w:val="22"/>
          <w:highlight w:val="none"/>
        </w:rPr>
        <w:t xml:space="preserve"> </w:t>
      </w:r>
      <w:r>
        <w:rPr>
          <w:rFonts w:ascii="微软雅黑" w:hAnsi="微软雅黑" w:eastAsia="微软雅黑" w:cs="微软雅黑"/>
          <w:color w:val="auto"/>
          <w:spacing w:val="-1"/>
          <w:sz w:val="22"/>
          <w:szCs w:val="22"/>
          <w:highlight w:val="none"/>
        </w:rPr>
        <w:t>”模块</w:t>
      </w:r>
      <w:r>
        <w:rPr>
          <w:rFonts w:ascii="微软雅黑" w:hAnsi="微软雅黑" w:eastAsia="微软雅黑" w:cs="微软雅黑"/>
          <w:color w:val="auto"/>
          <w:spacing w:val="-25"/>
          <w:sz w:val="22"/>
          <w:szCs w:val="22"/>
          <w:highlight w:val="none"/>
        </w:rPr>
        <w:t xml:space="preserve"> </w:t>
      </w:r>
      <w:r>
        <w:rPr>
          <w:rFonts w:ascii="微软雅黑" w:hAnsi="微软雅黑" w:eastAsia="微软雅黑" w:cs="微软雅黑"/>
          <w:color w:val="auto"/>
          <w:spacing w:val="-1"/>
          <w:sz w:val="22"/>
          <w:szCs w:val="22"/>
          <w:highlight w:val="none"/>
        </w:rPr>
        <w:t>、“</w:t>
      </w:r>
      <w:r>
        <w:rPr>
          <w:rFonts w:ascii="微软雅黑" w:hAnsi="微软雅黑" w:eastAsia="微软雅黑" w:cs="微软雅黑"/>
          <w:color w:val="auto"/>
          <w:spacing w:val="-45"/>
          <w:sz w:val="22"/>
          <w:szCs w:val="22"/>
          <w:highlight w:val="none"/>
        </w:rPr>
        <w:t xml:space="preserve"> </w:t>
      </w:r>
      <w:r>
        <w:rPr>
          <w:rFonts w:ascii="微软雅黑" w:hAnsi="微软雅黑" w:eastAsia="微软雅黑" w:cs="微软雅黑"/>
          <w:color w:val="auto"/>
          <w:spacing w:val="-1"/>
          <w:sz w:val="22"/>
          <w:szCs w:val="22"/>
          <w:highlight w:val="none"/>
        </w:rPr>
        <w:t>新疆维吾尔自治区教育厅</w:t>
      </w:r>
      <w:r>
        <w:rPr>
          <w:rFonts w:ascii="微软雅黑" w:hAnsi="微软雅黑" w:eastAsia="微软雅黑" w:cs="微软雅黑"/>
          <w:color w:val="auto"/>
          <w:spacing w:val="-32"/>
          <w:sz w:val="22"/>
          <w:szCs w:val="22"/>
          <w:highlight w:val="none"/>
        </w:rPr>
        <w:t xml:space="preserve"> </w:t>
      </w:r>
      <w:r>
        <w:rPr>
          <w:rFonts w:ascii="微软雅黑" w:hAnsi="微软雅黑" w:eastAsia="微软雅黑" w:cs="微软雅黑"/>
          <w:color w:val="auto"/>
          <w:spacing w:val="-2"/>
          <w:sz w:val="22"/>
          <w:szCs w:val="22"/>
          <w:highlight w:val="none"/>
        </w:rPr>
        <w:t>”</w:t>
      </w:r>
      <w:r>
        <w:rPr>
          <w:rFonts w:ascii="微软雅黑" w:hAnsi="微软雅黑" w:eastAsia="微软雅黑" w:cs="微软雅黑"/>
          <w:color w:val="auto"/>
          <w:spacing w:val="-39"/>
          <w:sz w:val="22"/>
          <w:szCs w:val="22"/>
          <w:highlight w:val="none"/>
        </w:rPr>
        <w:t xml:space="preserve"> </w:t>
      </w:r>
      <w:r>
        <w:rPr>
          <w:rFonts w:ascii="微软雅黑" w:hAnsi="微软雅黑" w:eastAsia="微软雅黑" w:cs="微软雅黑"/>
          <w:color w:val="auto"/>
          <w:spacing w:val="-2"/>
          <w:sz w:val="22"/>
          <w:szCs w:val="22"/>
          <w:highlight w:val="none"/>
        </w:rPr>
        <w:t>门户网站</w:t>
      </w:r>
      <w:r>
        <w:rPr>
          <w:rFonts w:ascii="微软雅黑" w:hAnsi="微软雅黑" w:eastAsia="微软雅黑" w:cs="微软雅黑"/>
          <w:color w:val="auto"/>
          <w:sz w:val="22"/>
          <w:szCs w:val="22"/>
          <w:highlight w:val="none"/>
        </w:rPr>
        <w:t xml:space="preserve"> </w:t>
      </w:r>
      <w:r>
        <w:rPr>
          <w:rFonts w:ascii="微软雅黑" w:hAnsi="微软雅黑" w:eastAsia="微软雅黑" w:cs="微软雅黑"/>
          <w:color w:val="auto"/>
          <w:spacing w:val="-6"/>
          <w:sz w:val="22"/>
          <w:szCs w:val="22"/>
          <w:highlight w:val="none"/>
        </w:rPr>
        <w:t>（jyt.xinjiang.gov.cn）相关栏目等渠道下载本《合同示范文本》</w:t>
      </w:r>
      <w:r>
        <w:rPr>
          <w:rFonts w:ascii="微软雅黑" w:hAnsi="微软雅黑" w:eastAsia="微软雅黑" w:cs="微软雅黑"/>
          <w:color w:val="auto"/>
          <w:spacing w:val="-29"/>
          <w:sz w:val="22"/>
          <w:szCs w:val="22"/>
          <w:highlight w:val="none"/>
        </w:rPr>
        <w:t xml:space="preserve"> </w:t>
      </w:r>
      <w:r>
        <w:rPr>
          <w:rFonts w:ascii="微软雅黑" w:hAnsi="微软雅黑" w:eastAsia="微软雅黑" w:cs="微软雅黑"/>
          <w:color w:val="auto"/>
          <w:spacing w:val="-6"/>
          <w:sz w:val="22"/>
          <w:szCs w:val="22"/>
          <w:highlight w:val="none"/>
        </w:rPr>
        <w:t>，任何单</w:t>
      </w:r>
      <w:r>
        <w:rPr>
          <w:rFonts w:ascii="微软雅黑" w:hAnsi="微软雅黑" w:eastAsia="微软雅黑" w:cs="微软雅黑"/>
          <w:color w:val="auto"/>
          <w:spacing w:val="-7"/>
          <w:sz w:val="22"/>
          <w:szCs w:val="22"/>
          <w:highlight w:val="none"/>
        </w:rPr>
        <w:t>位和个人不得出于商</w:t>
      </w:r>
      <w:r>
        <w:rPr>
          <w:rFonts w:ascii="微软雅黑" w:hAnsi="微软雅黑" w:eastAsia="微软雅黑" w:cs="微软雅黑"/>
          <w:color w:val="auto"/>
          <w:sz w:val="22"/>
          <w:szCs w:val="22"/>
          <w:highlight w:val="none"/>
        </w:rPr>
        <w:t xml:space="preserve"> 业目的擅自翻印和出售《合同示范文本》。</w:t>
      </w:r>
    </w:p>
    <w:p w14:paraId="34FC2327">
      <w:pPr>
        <w:spacing w:line="270" w:lineRule="auto"/>
        <w:rPr>
          <w:rFonts w:ascii="Arial"/>
          <w:color w:val="auto"/>
          <w:sz w:val="21"/>
          <w:highlight w:val="none"/>
        </w:rPr>
      </w:pPr>
    </w:p>
    <w:p w14:paraId="5940A941">
      <w:pPr>
        <w:spacing w:line="270" w:lineRule="auto"/>
        <w:rPr>
          <w:rFonts w:ascii="Arial"/>
          <w:color w:val="auto"/>
          <w:sz w:val="21"/>
          <w:highlight w:val="none"/>
        </w:rPr>
      </w:pPr>
    </w:p>
    <w:p w14:paraId="246CCFA1">
      <w:pPr>
        <w:spacing w:line="270" w:lineRule="auto"/>
        <w:rPr>
          <w:rFonts w:ascii="Arial"/>
          <w:color w:val="auto"/>
          <w:sz w:val="21"/>
          <w:highlight w:val="none"/>
        </w:rPr>
      </w:pPr>
    </w:p>
    <w:p w14:paraId="49FA5F1C">
      <w:pPr>
        <w:spacing w:before="140" w:line="230" w:lineRule="auto"/>
        <w:ind w:left="3524" w:right="1333" w:hanging="2242"/>
        <w:rPr>
          <w:rFonts w:ascii="宋体" w:hAnsi="宋体" w:eastAsia="宋体" w:cs="宋体"/>
          <w:color w:val="auto"/>
          <w:sz w:val="43"/>
          <w:szCs w:val="43"/>
          <w:highlight w:val="none"/>
        </w:rPr>
      </w:pPr>
      <w:r>
        <w:rPr>
          <w:rFonts w:ascii="宋体" w:hAnsi="宋体" w:eastAsia="宋体" w:cs="宋体"/>
          <w:b/>
          <w:bCs/>
          <w:color w:val="auto"/>
          <w:spacing w:val="12"/>
          <w:sz w:val="43"/>
          <w:szCs w:val="43"/>
          <w:highlight w:val="none"/>
        </w:rPr>
        <w:t>新疆维吾尔自治区学校食堂食材</w:t>
      </w:r>
      <w:r>
        <w:rPr>
          <w:rFonts w:ascii="宋体" w:hAnsi="宋体" w:eastAsia="宋体" w:cs="宋体"/>
          <w:b/>
          <w:bCs/>
          <w:color w:val="auto"/>
          <w:spacing w:val="9"/>
          <w:sz w:val="43"/>
          <w:szCs w:val="43"/>
          <w:highlight w:val="none"/>
        </w:rPr>
        <w:t>采购合同</w:t>
      </w:r>
    </w:p>
    <w:p w14:paraId="094FE575">
      <w:pPr>
        <w:spacing w:line="325" w:lineRule="auto"/>
        <w:rPr>
          <w:rFonts w:ascii="Arial"/>
          <w:color w:val="auto"/>
          <w:sz w:val="21"/>
          <w:highlight w:val="none"/>
        </w:rPr>
      </w:pPr>
    </w:p>
    <w:p w14:paraId="6C2CDCB1">
      <w:pPr>
        <w:spacing w:line="326" w:lineRule="auto"/>
        <w:rPr>
          <w:rFonts w:ascii="Arial"/>
          <w:color w:val="auto"/>
          <w:sz w:val="21"/>
          <w:highlight w:val="none"/>
        </w:rPr>
      </w:pPr>
    </w:p>
    <w:p w14:paraId="59B408FB">
      <w:pPr>
        <w:spacing w:before="78" w:line="220" w:lineRule="auto"/>
        <w:ind w:left="52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甲方（学校方）：</w:t>
      </w:r>
    </w:p>
    <w:p w14:paraId="400AA2EF">
      <w:pPr>
        <w:spacing w:before="214" w:line="370" w:lineRule="auto"/>
        <w:ind w:left="519" w:right="6219"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统一社会信用代码：</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1"/>
          <w:sz w:val="24"/>
          <w:szCs w:val="24"/>
          <w:highlight w:val="none"/>
        </w:rPr>
        <w:t>乙方（供货方</w:t>
      </w:r>
      <w:r>
        <w:rPr>
          <w:rFonts w:hint="eastAsia" w:ascii="宋体" w:hAnsi="宋体" w:eastAsia="宋体" w:cs="宋体"/>
          <w:color w:val="auto"/>
          <w:sz w:val="24"/>
          <w:szCs w:val="24"/>
          <w:highlight w:val="none"/>
        </w:rPr>
        <w:t>）：</w:t>
      </w:r>
    </w:p>
    <w:p w14:paraId="4018972B">
      <w:pPr>
        <w:spacing w:before="37" w:line="219"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统一社会信用代码：</w:t>
      </w:r>
    </w:p>
    <w:p w14:paraId="3C0D0225">
      <w:pPr>
        <w:spacing w:line="315" w:lineRule="auto"/>
        <w:rPr>
          <w:rFonts w:hint="eastAsia" w:ascii="宋体" w:hAnsi="宋体" w:eastAsia="宋体" w:cs="宋体"/>
          <w:color w:val="auto"/>
          <w:sz w:val="21"/>
          <w:highlight w:val="none"/>
        </w:rPr>
      </w:pPr>
    </w:p>
    <w:p w14:paraId="200C4A49">
      <w:pPr>
        <w:spacing w:line="316" w:lineRule="auto"/>
        <w:rPr>
          <w:rFonts w:hint="eastAsia" w:ascii="宋体" w:hAnsi="宋体" w:eastAsia="宋体" w:cs="宋体"/>
          <w:color w:val="auto"/>
          <w:sz w:val="21"/>
          <w:highlight w:val="none"/>
        </w:rPr>
      </w:pPr>
    </w:p>
    <w:p w14:paraId="6971B2FA">
      <w:pPr>
        <w:spacing w:before="78" w:line="378" w:lineRule="auto"/>
        <w:ind w:firstLine="498"/>
        <w:jc w:val="both"/>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依据《中华人民共和国民法典》《招投标文件》《中标通知书》及其他法律、</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5"/>
          <w:sz w:val="24"/>
          <w:szCs w:val="24"/>
          <w:highlight w:val="none"/>
        </w:rPr>
        <w:t>法规、规章规定，遵循平等、</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5"/>
          <w:sz w:val="24"/>
          <w:szCs w:val="24"/>
          <w:highlight w:val="none"/>
        </w:rPr>
        <w:t>自愿、公平和诚实信用原则，经甲乙双</w:t>
      </w:r>
      <w:r>
        <w:rPr>
          <w:rFonts w:hint="eastAsia" w:ascii="宋体" w:hAnsi="宋体" w:eastAsia="宋体" w:cs="宋体"/>
          <w:color w:val="auto"/>
          <w:spacing w:val="4"/>
          <w:sz w:val="24"/>
          <w:szCs w:val="24"/>
          <w:highlight w:val="none"/>
        </w:rPr>
        <w:t>方协商一致，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就学校食堂采购食材事宜，签订本合同，食材具体质量要求详见附件《学校大宗食</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5"/>
          <w:sz w:val="24"/>
          <w:szCs w:val="24"/>
          <w:highlight w:val="none"/>
        </w:rPr>
        <w:t>材原（辅）料技术及质量要求表》。</w:t>
      </w:r>
    </w:p>
    <w:p w14:paraId="4D456C69">
      <w:pPr>
        <w:spacing w:before="37" w:line="220" w:lineRule="auto"/>
        <w:ind w:left="5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一、合同期限</w:t>
      </w:r>
    </w:p>
    <w:p w14:paraId="12DC7037">
      <w:pPr>
        <w:spacing w:before="212" w:line="376" w:lineRule="auto"/>
        <w:ind w:right="27" w:firstLine="49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供货服务期</w:t>
      </w:r>
      <w:r>
        <w:rPr>
          <w:rFonts w:hint="eastAsia" w:ascii="宋体" w:hAnsi="宋体" w:eastAsia="宋体" w:cs="宋体"/>
          <w:color w:val="auto"/>
          <w:spacing w:val="-106"/>
          <w:sz w:val="24"/>
          <w:szCs w:val="24"/>
          <w:highlight w:val="none"/>
        </w:rPr>
        <w:t xml:space="preserve"> </w:t>
      </w:r>
      <w:r>
        <w:rPr>
          <w:rFonts w:hint="eastAsia" w:ascii="宋体" w:hAnsi="宋体" w:eastAsia="宋体" w:cs="宋体"/>
          <w:color w:val="auto"/>
          <w:spacing w:val="9"/>
          <w:sz w:val="24"/>
          <w:szCs w:val="24"/>
          <w:highlight w:val="none"/>
          <w:u w:val="single" w:color="auto"/>
        </w:rPr>
        <w:t xml:space="preserve">    </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5"/>
          <w:sz w:val="24"/>
          <w:szCs w:val="24"/>
          <w:highlight w:val="none"/>
        </w:rPr>
        <w:t>年，即：</w:t>
      </w:r>
      <w:r>
        <w:rPr>
          <w:rFonts w:hint="eastAsia" w:ascii="宋体" w:hAnsi="宋体" w:eastAsia="宋体" w:cs="宋体"/>
          <w:color w:val="auto"/>
          <w:spacing w:val="9"/>
          <w:sz w:val="24"/>
          <w:szCs w:val="24"/>
          <w:highlight w:val="none"/>
          <w:u w:val="single" w:color="auto"/>
        </w:rPr>
        <w:t xml:space="preserve">    </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5"/>
          <w:sz w:val="24"/>
          <w:szCs w:val="24"/>
          <w:highlight w:val="none"/>
        </w:rPr>
        <w:t>年</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pacing w:val="9"/>
          <w:sz w:val="24"/>
          <w:szCs w:val="24"/>
          <w:highlight w:val="none"/>
          <w:u w:val="single" w:color="auto"/>
        </w:rPr>
        <w:t xml:space="preserve">     </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pacing w:val="-5"/>
          <w:sz w:val="24"/>
          <w:szCs w:val="24"/>
          <w:highlight w:val="none"/>
        </w:rPr>
        <w:t>月</w:t>
      </w:r>
      <w:r>
        <w:rPr>
          <w:rFonts w:hint="eastAsia" w:ascii="宋体" w:hAnsi="宋体" w:eastAsia="宋体" w:cs="宋体"/>
          <w:color w:val="auto"/>
          <w:spacing w:val="-114"/>
          <w:sz w:val="24"/>
          <w:szCs w:val="24"/>
          <w:highlight w:val="none"/>
        </w:rPr>
        <w:t xml:space="preserve"> </w:t>
      </w:r>
      <w:r>
        <w:rPr>
          <w:rFonts w:hint="eastAsia" w:ascii="宋体" w:hAnsi="宋体" w:eastAsia="宋体" w:cs="宋体"/>
          <w:color w:val="auto"/>
          <w:spacing w:val="9"/>
          <w:sz w:val="24"/>
          <w:szCs w:val="24"/>
          <w:highlight w:val="none"/>
          <w:u w:val="single" w:color="auto"/>
        </w:rPr>
        <w:t xml:space="preserve">    </w:t>
      </w:r>
      <w:r>
        <w:rPr>
          <w:rFonts w:hint="eastAsia" w:ascii="宋体" w:hAnsi="宋体" w:eastAsia="宋体" w:cs="宋体"/>
          <w:color w:val="auto"/>
          <w:spacing w:val="-68"/>
          <w:sz w:val="24"/>
          <w:szCs w:val="24"/>
          <w:highlight w:val="none"/>
        </w:rPr>
        <w:t xml:space="preserve"> </w:t>
      </w:r>
      <w:r>
        <w:rPr>
          <w:rFonts w:hint="eastAsia" w:ascii="宋体" w:hAnsi="宋体" w:eastAsia="宋体" w:cs="宋体"/>
          <w:color w:val="auto"/>
          <w:spacing w:val="-5"/>
          <w:sz w:val="24"/>
          <w:szCs w:val="24"/>
          <w:highlight w:val="none"/>
        </w:rPr>
        <w:t>日至</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06"/>
          <w:sz w:val="24"/>
          <w:szCs w:val="24"/>
          <w:highlight w:val="none"/>
        </w:rPr>
        <w:t xml:space="preserve"> </w:t>
      </w:r>
      <w:r>
        <w:rPr>
          <w:rFonts w:hint="eastAsia" w:ascii="宋体" w:hAnsi="宋体" w:eastAsia="宋体" w:cs="宋体"/>
          <w:color w:val="auto"/>
          <w:spacing w:val="-5"/>
          <w:sz w:val="24"/>
          <w:szCs w:val="24"/>
          <w:highlight w:val="none"/>
        </w:rPr>
        <w:t>年</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pacing w:val="9"/>
          <w:sz w:val="24"/>
          <w:szCs w:val="24"/>
          <w:highlight w:val="none"/>
          <w:u w:val="single" w:color="auto"/>
        </w:rPr>
        <w:t xml:space="preserve">    </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pacing w:val="-5"/>
          <w:sz w:val="24"/>
          <w:szCs w:val="24"/>
          <w:highlight w:val="none"/>
        </w:rPr>
        <w:t>月</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pacing w:val="9"/>
          <w:sz w:val="24"/>
          <w:szCs w:val="24"/>
          <w:highlight w:val="none"/>
          <w:u w:val="single" w:color="auto"/>
        </w:rPr>
        <w:t xml:space="preserve">    </w:t>
      </w:r>
      <w:r>
        <w:rPr>
          <w:rFonts w:hint="eastAsia" w:ascii="宋体" w:hAnsi="宋体" w:eastAsia="宋体" w:cs="宋体"/>
          <w:color w:val="auto"/>
          <w:spacing w:val="-69"/>
          <w:sz w:val="24"/>
          <w:szCs w:val="24"/>
          <w:highlight w:val="none"/>
        </w:rPr>
        <w:t xml:space="preserve"> </w:t>
      </w:r>
      <w:r>
        <w:rPr>
          <w:rFonts w:hint="eastAsia" w:ascii="宋体" w:hAnsi="宋体" w:eastAsia="宋体" w:cs="宋体"/>
          <w:color w:val="auto"/>
          <w:spacing w:val="-5"/>
          <w:sz w:val="24"/>
          <w:szCs w:val="24"/>
          <w:highlight w:val="none"/>
        </w:rPr>
        <w:t>日止；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合同一年一签，即：</w:t>
      </w:r>
      <w:r>
        <w:rPr>
          <w:rFonts w:hint="eastAsia" w:ascii="宋体" w:hAnsi="宋体" w:eastAsia="宋体" w:cs="宋体"/>
          <w:color w:val="auto"/>
          <w:spacing w:val="-6"/>
          <w:sz w:val="24"/>
          <w:szCs w:val="24"/>
          <w:highlight w:val="none"/>
          <w:u w:val="single" w:color="auto"/>
        </w:rPr>
        <w:t xml:space="preserve">    </w:t>
      </w:r>
      <w:r>
        <w:rPr>
          <w:rFonts w:hint="eastAsia" w:ascii="宋体" w:hAnsi="宋体" w:eastAsia="宋体" w:cs="宋体"/>
          <w:color w:val="auto"/>
          <w:spacing w:val="-94"/>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03"/>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67"/>
          <w:sz w:val="24"/>
          <w:szCs w:val="24"/>
          <w:highlight w:val="none"/>
        </w:rPr>
        <w:t xml:space="preserve"> </w:t>
      </w:r>
      <w:r>
        <w:rPr>
          <w:rFonts w:hint="eastAsia" w:ascii="宋体" w:hAnsi="宋体" w:eastAsia="宋体" w:cs="宋体"/>
          <w:color w:val="auto"/>
          <w:spacing w:val="-6"/>
          <w:sz w:val="24"/>
          <w:szCs w:val="24"/>
          <w:highlight w:val="none"/>
        </w:rPr>
        <w:t>日至</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08"/>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10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69"/>
          <w:sz w:val="24"/>
          <w:szCs w:val="24"/>
          <w:highlight w:val="none"/>
        </w:rPr>
        <w:t xml:space="preserve"> </w:t>
      </w:r>
      <w:r>
        <w:rPr>
          <w:rFonts w:hint="eastAsia" w:ascii="宋体" w:hAnsi="宋体" w:eastAsia="宋体" w:cs="宋体"/>
          <w:color w:val="auto"/>
          <w:spacing w:val="-6"/>
          <w:sz w:val="24"/>
          <w:szCs w:val="24"/>
          <w:highlight w:val="none"/>
        </w:rPr>
        <w:t>日止。如采用招投标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方式确定管理服务对象的，则本合同期限与招投标文件保持一致。</w:t>
      </w:r>
    </w:p>
    <w:p w14:paraId="3443FED5">
      <w:pPr>
        <w:spacing w:before="33"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服务期内，国家、</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3"/>
          <w:sz w:val="24"/>
          <w:szCs w:val="24"/>
          <w:highlight w:val="none"/>
        </w:rPr>
        <w:t>自治区如发布新的规定，按照国家、</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3"/>
          <w:sz w:val="24"/>
          <w:szCs w:val="24"/>
          <w:highlight w:val="none"/>
        </w:rPr>
        <w:t>自治区新的规定</w:t>
      </w:r>
      <w:r>
        <w:rPr>
          <w:rFonts w:hint="eastAsia" w:ascii="宋体" w:hAnsi="宋体" w:eastAsia="宋体" w:cs="宋体"/>
          <w:color w:val="auto"/>
          <w:spacing w:val="2"/>
          <w:sz w:val="24"/>
          <w:szCs w:val="24"/>
          <w:highlight w:val="none"/>
        </w:rPr>
        <w:t>执行。</w:t>
      </w:r>
    </w:p>
    <w:p w14:paraId="4DF0EA69">
      <w:pPr>
        <w:spacing w:before="215" w:line="218" w:lineRule="auto"/>
        <w:ind w:left="50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二、合同金额、食材供应的品种及单价</w:t>
      </w:r>
    </w:p>
    <w:p w14:paraId="3767F949">
      <w:pPr>
        <w:spacing w:before="219" w:line="329" w:lineRule="auto"/>
        <w:ind w:right="34" w:firstLine="50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（一）预计年采购金额为</w:t>
      </w:r>
      <w:r>
        <w:rPr>
          <w:rFonts w:hint="eastAsia" w:ascii="宋体" w:hAnsi="宋体" w:eastAsia="宋体" w:cs="宋体"/>
          <w:color w:val="auto"/>
          <w:spacing w:val="-105"/>
          <w:sz w:val="24"/>
          <w:szCs w:val="24"/>
          <w:highlight w:val="none"/>
        </w:rPr>
        <w:t xml:space="preserve"> </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101"/>
          <w:sz w:val="24"/>
          <w:szCs w:val="24"/>
          <w:highlight w:val="none"/>
        </w:rPr>
        <w:t xml:space="preserve"> </w:t>
      </w:r>
      <w:r>
        <w:rPr>
          <w:rFonts w:hint="eastAsia" w:ascii="宋体" w:hAnsi="宋体" w:eastAsia="宋体" w:cs="宋体"/>
          <w:color w:val="auto"/>
          <w:spacing w:val="3"/>
          <w:sz w:val="24"/>
          <w:szCs w:val="24"/>
          <w:highlight w:val="none"/>
        </w:rPr>
        <w:t>万元（本合同具体金额：学校按照国家和自治区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有关规定采购贫困地区农副产品之外的实际发生采购金额，最终以实际配送数量和</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2"/>
          <w:sz w:val="24"/>
          <w:szCs w:val="24"/>
          <w:highlight w:val="none"/>
        </w:rPr>
        <w:t>范围进行结算）。</w:t>
      </w:r>
    </w:p>
    <w:p w14:paraId="0FAE8135">
      <w:pPr>
        <w:spacing w:before="216" w:line="302" w:lineRule="auto"/>
        <w:ind w:firstLine="508"/>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（二）本次招标实行定点采购的食堂原（辅）材料为以下项目：大米、面</w:t>
      </w:r>
      <w:r>
        <w:rPr>
          <w:rFonts w:hint="eastAsia" w:ascii="宋体" w:hAnsi="宋体" w:eastAsia="宋体" w:cs="宋体"/>
          <w:color w:val="auto"/>
          <w:spacing w:val="5"/>
          <w:sz w:val="24"/>
          <w:szCs w:val="24"/>
          <w:highlight w:val="none"/>
        </w:rPr>
        <w:t>粉、</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食用油、调味品、肉、禽蛋、蔬菜、豆制品、水果等食品。</w:t>
      </w:r>
    </w:p>
    <w:p w14:paraId="3881E383">
      <w:pPr>
        <w:spacing w:before="213"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三、交货地点、时间、数量及验收</w:t>
      </w:r>
    </w:p>
    <w:p w14:paraId="02703093">
      <w:pPr>
        <w:spacing w:line="219" w:lineRule="auto"/>
        <w:rPr>
          <w:rFonts w:hint="eastAsia" w:ascii="宋体" w:hAnsi="宋体" w:eastAsia="宋体" w:cs="宋体"/>
          <w:color w:val="auto"/>
          <w:sz w:val="24"/>
          <w:szCs w:val="24"/>
          <w:highlight w:val="none"/>
        </w:rPr>
        <w:sectPr>
          <w:footerReference r:id="rId12" w:type="default"/>
          <w:pgSz w:w="11906" w:h="16839"/>
          <w:pgMar w:top="400" w:right="1438" w:bottom="1666" w:left="1595" w:header="0" w:footer="1388" w:gutter="0"/>
          <w:cols w:space="720" w:num="1"/>
        </w:sectPr>
      </w:pPr>
    </w:p>
    <w:p w14:paraId="7D767307">
      <w:pPr>
        <w:spacing w:line="258" w:lineRule="auto"/>
        <w:rPr>
          <w:rFonts w:hint="eastAsia" w:ascii="宋体" w:hAnsi="宋体" w:eastAsia="宋体" w:cs="宋体"/>
          <w:color w:val="auto"/>
          <w:sz w:val="21"/>
          <w:highlight w:val="none"/>
        </w:rPr>
      </w:pPr>
    </w:p>
    <w:p w14:paraId="6A11FECB">
      <w:pPr>
        <w:spacing w:before="78" w:line="302" w:lineRule="auto"/>
        <w:ind w:right="82" w:firstLine="510"/>
        <w:rPr>
          <w:rFonts w:hint="eastAsia" w:ascii="宋体" w:hAnsi="宋体" w:eastAsia="宋体" w:cs="宋体"/>
          <w:color w:val="auto"/>
          <w:spacing w:val="5"/>
          <w:sz w:val="24"/>
          <w:szCs w:val="24"/>
          <w:highlight w:val="none"/>
        </w:rPr>
      </w:pPr>
    </w:p>
    <w:p w14:paraId="671565F7">
      <w:pPr>
        <w:spacing w:before="78" w:line="302" w:lineRule="auto"/>
        <w:ind w:right="82" w:firstLine="51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（一）交货地点：乙方根据配送范围内学校具体要求将</w:t>
      </w:r>
      <w:r>
        <w:rPr>
          <w:rFonts w:hint="eastAsia" w:ascii="宋体" w:hAnsi="宋体" w:eastAsia="宋体" w:cs="宋体"/>
          <w:color w:val="auto"/>
          <w:spacing w:val="4"/>
          <w:sz w:val="24"/>
          <w:szCs w:val="24"/>
          <w:highlight w:val="none"/>
        </w:rPr>
        <w:t>产品送至指定地方即配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送目标学校内，原则上送至学校食堂。</w:t>
      </w:r>
    </w:p>
    <w:p w14:paraId="66D688A0">
      <w:pPr>
        <w:spacing w:before="214" w:line="219" w:lineRule="auto"/>
        <w:ind w:left="51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（二）数量：</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4"/>
          <w:sz w:val="24"/>
          <w:szCs w:val="24"/>
          <w:highlight w:val="none"/>
        </w:rPr>
        <w:t>以甲乙双方签字确认后的配送验收单为准。</w:t>
      </w:r>
    </w:p>
    <w:p w14:paraId="218A1D2F">
      <w:pPr>
        <w:spacing w:before="216" w:line="219" w:lineRule="auto"/>
        <w:ind w:left="5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（三）验收：</w:t>
      </w:r>
    </w:p>
    <w:p w14:paraId="3C481F1D">
      <w:pPr>
        <w:spacing w:before="213" w:line="219"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1.在收到配送货物的现场，</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5"/>
          <w:sz w:val="24"/>
          <w:szCs w:val="24"/>
          <w:highlight w:val="none"/>
        </w:rPr>
        <w:t>由甲方指定负责人按照确定的订货清单验</w:t>
      </w:r>
      <w:r>
        <w:rPr>
          <w:rFonts w:hint="eastAsia" w:ascii="宋体" w:hAnsi="宋体" w:eastAsia="宋体" w:cs="宋体"/>
          <w:color w:val="auto"/>
          <w:spacing w:val="4"/>
          <w:sz w:val="24"/>
          <w:szCs w:val="24"/>
          <w:highlight w:val="none"/>
        </w:rPr>
        <w:t>收。</w:t>
      </w:r>
    </w:p>
    <w:p w14:paraId="41CB6EC4">
      <w:pPr>
        <w:spacing w:before="214" w:line="373" w:lineRule="auto"/>
        <w:ind w:left="502" w:hang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2.如甲方对产品的质量、数量、等级、包装有异议的，应在验收时向乙方提出。</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6"/>
          <w:sz w:val="24"/>
          <w:szCs w:val="24"/>
          <w:highlight w:val="none"/>
        </w:rPr>
        <w:t>3.甲乙双方验收合格后，应在配送验收清单上签字确认。</w:t>
      </w:r>
    </w:p>
    <w:p w14:paraId="62025275">
      <w:pPr>
        <w:spacing w:before="33" w:line="370" w:lineRule="auto"/>
        <w:ind w:left="9" w:right="85" w:firstLine="48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4.对不符合质量的品种，甲方有权退货和要求乙方换货，乙方应及</w:t>
      </w:r>
      <w:r>
        <w:rPr>
          <w:rFonts w:hint="eastAsia" w:ascii="宋体" w:hAnsi="宋体" w:eastAsia="宋体" w:cs="宋体"/>
          <w:color w:val="auto"/>
          <w:spacing w:val="4"/>
          <w:sz w:val="24"/>
          <w:szCs w:val="24"/>
          <w:highlight w:val="none"/>
        </w:rPr>
        <w:t>时处理、解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决，不得影响学校为学生供餐。</w:t>
      </w:r>
    </w:p>
    <w:p w14:paraId="181AA4A5">
      <w:pPr>
        <w:spacing w:before="38" w:line="219" w:lineRule="auto"/>
        <w:ind w:left="52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四、结算及付款方式</w:t>
      </w:r>
    </w:p>
    <w:p w14:paraId="2A9CC725">
      <w:pPr>
        <w:spacing w:before="214" w:line="219" w:lineRule="auto"/>
        <w:ind w:left="51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（一）</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甲乙双方应在月底完成当月供货有关情况核对工作。</w:t>
      </w:r>
    </w:p>
    <w:p w14:paraId="641A2B60">
      <w:pPr>
        <w:spacing w:before="215" w:line="302" w:lineRule="auto"/>
        <w:ind w:left="4" w:right="82" w:firstLine="5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（二）乙方应于次月第一周，向甲方提供上月货款的正</w:t>
      </w:r>
      <w:r>
        <w:rPr>
          <w:rFonts w:hint="eastAsia" w:ascii="宋体" w:hAnsi="宋体" w:eastAsia="宋体" w:cs="宋体"/>
          <w:color w:val="auto"/>
          <w:spacing w:val="4"/>
          <w:sz w:val="24"/>
          <w:szCs w:val="24"/>
          <w:highlight w:val="none"/>
        </w:rPr>
        <w:t>规发票，甲方经核实无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异议后，在收到发票</w:t>
      </w:r>
      <w:r>
        <w:rPr>
          <w:rFonts w:hint="eastAsia" w:ascii="宋体" w:hAnsi="宋体" w:eastAsia="宋体" w:cs="宋体"/>
          <w:color w:val="auto"/>
          <w:spacing w:val="-108"/>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08"/>
          <w:sz w:val="24"/>
          <w:szCs w:val="24"/>
          <w:highlight w:val="none"/>
        </w:rPr>
        <w:t xml:space="preserve"> </w:t>
      </w:r>
      <w:r>
        <w:rPr>
          <w:rFonts w:hint="eastAsia" w:ascii="宋体" w:hAnsi="宋体" w:eastAsia="宋体" w:cs="宋体"/>
          <w:color w:val="auto"/>
          <w:spacing w:val="6"/>
          <w:sz w:val="24"/>
          <w:szCs w:val="24"/>
          <w:highlight w:val="none"/>
        </w:rPr>
        <w:t>个工作日内将上月采购款支付给乙方。</w:t>
      </w:r>
    </w:p>
    <w:p w14:paraId="39818A62">
      <w:pPr>
        <w:spacing w:before="216" w:line="219" w:lineRule="auto"/>
        <w:ind w:left="51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（三）付款方式：公对公银行转账或公对个</w:t>
      </w:r>
      <w:r>
        <w:rPr>
          <w:rFonts w:hint="eastAsia" w:ascii="宋体" w:hAnsi="宋体" w:eastAsia="宋体" w:cs="宋体"/>
          <w:color w:val="auto"/>
          <w:spacing w:val="6"/>
          <w:sz w:val="24"/>
          <w:szCs w:val="24"/>
          <w:highlight w:val="none"/>
        </w:rPr>
        <w:t>人（农户）银行转账。</w:t>
      </w:r>
    </w:p>
    <w:p w14:paraId="7DF857A9">
      <w:pPr>
        <w:spacing w:before="214" w:line="219" w:lineRule="auto"/>
        <w:ind w:left="51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（四）其他结算方式：</w:t>
      </w:r>
      <w:r>
        <w:rPr>
          <w:rFonts w:hint="eastAsia" w:ascii="宋体" w:hAnsi="宋体" w:eastAsia="宋体" w:cs="宋体"/>
          <w:color w:val="auto"/>
          <w:sz w:val="24"/>
          <w:szCs w:val="24"/>
          <w:highlight w:val="none"/>
          <w:u w:val="single" w:color="auto"/>
        </w:rPr>
        <w:t xml:space="preserve">                                         </w:t>
      </w:r>
    </w:p>
    <w:p w14:paraId="644043A3">
      <w:pPr>
        <w:spacing w:before="216" w:line="301" w:lineRule="auto"/>
        <w:ind w:left="1" w:right="18" w:firstLine="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（五）合同期满或中途解除合同，双方应当</w:t>
      </w:r>
      <w:r>
        <w:rPr>
          <w:rFonts w:hint="eastAsia" w:ascii="宋体" w:hAnsi="宋体" w:eastAsia="宋体" w:cs="宋体"/>
          <w:color w:val="auto"/>
          <w:spacing w:val="-1"/>
          <w:sz w:val="24"/>
          <w:szCs w:val="24"/>
          <w:highlight w:val="none"/>
        </w:rPr>
        <w:t>按照本合同的约定进行对账和结算，</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确定未结算的价款，甲方在确定价款后</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6"/>
          <w:sz w:val="24"/>
          <w:szCs w:val="24"/>
          <w:highlight w:val="none"/>
        </w:rPr>
        <w:t>内，一次</w:t>
      </w:r>
      <w:r>
        <w:rPr>
          <w:rFonts w:hint="eastAsia" w:ascii="宋体" w:hAnsi="宋体" w:eastAsia="宋体" w:cs="宋体"/>
          <w:color w:val="auto"/>
          <w:spacing w:val="5"/>
          <w:sz w:val="24"/>
          <w:szCs w:val="24"/>
          <w:highlight w:val="none"/>
        </w:rPr>
        <w:t>性结算乙方的所有款项。</w:t>
      </w:r>
    </w:p>
    <w:p w14:paraId="60D22B19">
      <w:pPr>
        <w:spacing w:before="216" w:line="220" w:lineRule="auto"/>
        <w:ind w:left="502"/>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五、履约保证金</w:t>
      </w:r>
    </w:p>
    <w:p w14:paraId="2AFC7766">
      <w:pPr>
        <w:spacing w:before="217" w:line="343" w:lineRule="auto"/>
        <w:ind w:left="2" w:right="40" w:firstLine="50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（一）</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7"/>
          <w:sz w:val="24"/>
          <w:szCs w:val="24"/>
          <w:highlight w:val="none"/>
        </w:rPr>
        <w:t>乙方在签订合同后</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102"/>
          <w:sz w:val="24"/>
          <w:szCs w:val="24"/>
          <w:highlight w:val="none"/>
        </w:rPr>
        <w:t xml:space="preserve"> </w:t>
      </w:r>
      <w:r>
        <w:rPr>
          <w:rFonts w:hint="eastAsia" w:ascii="宋体" w:hAnsi="宋体" w:eastAsia="宋体" w:cs="宋体"/>
          <w:color w:val="auto"/>
          <w:spacing w:val="-7"/>
          <w:sz w:val="24"/>
          <w:szCs w:val="24"/>
          <w:highlight w:val="none"/>
        </w:rPr>
        <w:t>个工作日内，向甲方提供履约保证金或银行</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开具的履约保函。其中履约保证金、保函金额</w:t>
      </w:r>
      <w:r>
        <w:rPr>
          <w:rFonts w:hint="eastAsia" w:ascii="宋体" w:hAnsi="宋体" w:eastAsia="宋体" w:cs="宋体"/>
          <w:color w:val="auto"/>
          <w:spacing w:val="6"/>
          <w:sz w:val="24"/>
          <w:szCs w:val="24"/>
          <w:highlight w:val="none"/>
          <w:u w:val="single" w:color="auto"/>
        </w:rPr>
        <w:t xml:space="preserve">          </w:t>
      </w:r>
      <w:r>
        <w:rPr>
          <w:rFonts w:hint="eastAsia" w:ascii="宋体" w:hAnsi="宋体" w:eastAsia="宋体" w:cs="宋体"/>
          <w:color w:val="auto"/>
          <w:spacing w:val="-102"/>
          <w:sz w:val="24"/>
          <w:szCs w:val="24"/>
          <w:highlight w:val="none"/>
        </w:rPr>
        <w:t xml:space="preserve"> </w:t>
      </w:r>
      <w:r>
        <w:rPr>
          <w:rFonts w:hint="eastAsia" w:ascii="宋体" w:hAnsi="宋体" w:eastAsia="宋体" w:cs="宋体"/>
          <w:color w:val="auto"/>
          <w:spacing w:val="-10"/>
          <w:sz w:val="24"/>
          <w:szCs w:val="24"/>
          <w:highlight w:val="none"/>
        </w:rPr>
        <w:t>万元，期限</w:t>
      </w:r>
      <w:r>
        <w:rPr>
          <w:rFonts w:hint="eastAsia"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103"/>
          <w:sz w:val="24"/>
          <w:szCs w:val="24"/>
          <w:highlight w:val="none"/>
        </w:rPr>
        <w:t xml:space="preserve"> </w:t>
      </w:r>
      <w:r>
        <w:rPr>
          <w:rFonts w:hint="eastAsia" w:ascii="宋体" w:hAnsi="宋体" w:eastAsia="宋体" w:cs="宋体"/>
          <w:color w:val="auto"/>
          <w:spacing w:val="-10"/>
          <w:sz w:val="24"/>
          <w:szCs w:val="24"/>
          <w:highlight w:val="none"/>
        </w:rPr>
        <w:t>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如超期未提供保函原件，将视为乙方无故单方解除合同，因</w:t>
      </w:r>
      <w:r>
        <w:rPr>
          <w:rFonts w:hint="eastAsia" w:ascii="宋体" w:hAnsi="宋体" w:eastAsia="宋体" w:cs="宋体"/>
          <w:color w:val="auto"/>
          <w:spacing w:val="-8"/>
          <w:sz w:val="24"/>
          <w:szCs w:val="24"/>
          <w:highlight w:val="none"/>
        </w:rPr>
        <w:t>此造成甲方损失的，乙方应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当予以赔偿。</w:t>
      </w:r>
    </w:p>
    <w:p w14:paraId="45D7012B">
      <w:pPr>
        <w:spacing w:before="215" w:line="220" w:lineRule="auto"/>
        <w:ind w:left="51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（二）保证金用于以下用途：</w:t>
      </w:r>
    </w:p>
    <w:p w14:paraId="30C27D9A">
      <w:pPr>
        <w:spacing w:before="212" w:line="373" w:lineRule="auto"/>
        <w:ind w:left="2" w:right="85" w:firstLine="513"/>
        <w:rPr>
          <w:rFonts w:hint="eastAsia" w:ascii="宋体" w:hAnsi="宋体" w:eastAsia="宋体" w:cs="宋体"/>
          <w:color w:val="auto"/>
          <w:sz w:val="24"/>
          <w:szCs w:val="24"/>
          <w:highlight w:val="none"/>
        </w:rPr>
        <w:sectPr>
          <w:footerReference r:id="rId13" w:type="default"/>
          <w:pgSz w:w="11906" w:h="16839"/>
          <w:pgMar w:top="400" w:right="1397" w:bottom="1667" w:left="1593" w:header="0" w:footer="1388" w:gutter="0"/>
          <w:cols w:space="720" w:num="1"/>
        </w:sectPr>
      </w:pPr>
      <w:r>
        <w:rPr>
          <w:rFonts w:hint="eastAsia" w:ascii="宋体" w:hAnsi="宋体" w:eastAsia="宋体" w:cs="宋体"/>
          <w:color w:val="auto"/>
          <w:spacing w:val="4"/>
          <w:sz w:val="24"/>
          <w:szCs w:val="24"/>
          <w:highlight w:val="none"/>
        </w:rPr>
        <w:t>1.因食材原因导致食品安全事故时，用于第一时间救治师生，乙方需无条件配</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5"/>
          <w:sz w:val="24"/>
          <w:szCs w:val="24"/>
          <w:highlight w:val="none"/>
        </w:rPr>
        <w:t>合甲方启用履约保证金；</w:t>
      </w:r>
    </w:p>
    <w:p w14:paraId="3EABD00A">
      <w:pPr>
        <w:spacing w:line="258" w:lineRule="auto"/>
        <w:rPr>
          <w:rFonts w:hint="eastAsia" w:ascii="宋体" w:hAnsi="宋体" w:eastAsia="宋体" w:cs="宋体"/>
          <w:color w:val="auto"/>
          <w:sz w:val="21"/>
          <w:highlight w:val="none"/>
        </w:rPr>
      </w:pPr>
    </w:p>
    <w:p w14:paraId="71B84587">
      <w:pPr>
        <w:spacing w:before="78" w:line="371" w:lineRule="auto"/>
        <w:ind w:left="5" w:right="169" w:firstLine="493"/>
        <w:rPr>
          <w:rFonts w:hint="eastAsia" w:ascii="宋体" w:hAnsi="宋体" w:eastAsia="宋体" w:cs="宋体"/>
          <w:color w:val="auto"/>
          <w:spacing w:val="5"/>
          <w:sz w:val="24"/>
          <w:szCs w:val="24"/>
          <w:highlight w:val="none"/>
        </w:rPr>
      </w:pPr>
    </w:p>
    <w:p w14:paraId="102E5591">
      <w:pPr>
        <w:spacing w:before="78" w:line="371" w:lineRule="auto"/>
        <w:ind w:left="5" w:right="169" w:firstLine="49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2.因乙方原因不能履约，导致学校、师生经济损失的，甲</w:t>
      </w:r>
      <w:r>
        <w:rPr>
          <w:rFonts w:hint="eastAsia" w:ascii="宋体" w:hAnsi="宋体" w:eastAsia="宋体" w:cs="宋体"/>
          <w:color w:val="auto"/>
          <w:spacing w:val="4"/>
          <w:sz w:val="24"/>
          <w:szCs w:val="24"/>
          <w:highlight w:val="none"/>
        </w:rPr>
        <w:t>方有权单方面启用履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约保证金予以赔付。</w:t>
      </w:r>
    </w:p>
    <w:p w14:paraId="56C8E646">
      <w:pPr>
        <w:spacing w:before="34" w:line="219" w:lineRule="auto"/>
        <w:ind w:left="508"/>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（三）当保证金不足时，乙方应当在</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6"/>
          <w:sz w:val="24"/>
          <w:szCs w:val="24"/>
          <w:highlight w:val="none"/>
        </w:rPr>
        <w:t>个工作日内补足保证</w:t>
      </w:r>
      <w:r>
        <w:rPr>
          <w:rFonts w:hint="eastAsia" w:ascii="宋体" w:hAnsi="宋体" w:eastAsia="宋体" w:cs="宋体"/>
          <w:color w:val="auto"/>
          <w:spacing w:val="5"/>
          <w:sz w:val="24"/>
          <w:szCs w:val="24"/>
          <w:highlight w:val="none"/>
        </w:rPr>
        <w:t>金。</w:t>
      </w:r>
    </w:p>
    <w:p w14:paraId="67716FE6">
      <w:pPr>
        <w:spacing w:before="216" w:line="219" w:lineRule="auto"/>
        <w:ind w:left="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（四）当合同履行期满，</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5"/>
          <w:sz w:val="24"/>
          <w:szCs w:val="24"/>
          <w:highlight w:val="none"/>
        </w:rPr>
        <w:t>甲方应当</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107"/>
          <w:sz w:val="24"/>
          <w:szCs w:val="24"/>
          <w:highlight w:val="none"/>
        </w:rPr>
        <w:t xml:space="preserve"> </w:t>
      </w:r>
      <w:r>
        <w:rPr>
          <w:rFonts w:hint="eastAsia" w:ascii="宋体" w:hAnsi="宋体" w:eastAsia="宋体" w:cs="宋体"/>
          <w:color w:val="auto"/>
          <w:spacing w:val="5"/>
          <w:sz w:val="24"/>
          <w:szCs w:val="24"/>
          <w:highlight w:val="none"/>
        </w:rPr>
        <w:t>个工作日内</w:t>
      </w:r>
      <w:r>
        <w:rPr>
          <w:rFonts w:hint="eastAsia" w:ascii="宋体" w:hAnsi="宋体" w:eastAsia="宋体" w:cs="宋体"/>
          <w:color w:val="auto"/>
          <w:spacing w:val="4"/>
          <w:sz w:val="24"/>
          <w:szCs w:val="24"/>
          <w:highlight w:val="none"/>
        </w:rPr>
        <w:t>，将保证金返还给乙方。</w:t>
      </w:r>
    </w:p>
    <w:p w14:paraId="0A2413DE">
      <w:pPr>
        <w:spacing w:before="213" w:line="219" w:lineRule="auto"/>
        <w:ind w:left="49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六、食材质量要求</w:t>
      </w:r>
    </w:p>
    <w:p w14:paraId="7A405A8F">
      <w:pPr>
        <w:spacing w:before="217" w:line="329" w:lineRule="auto"/>
        <w:ind w:right="169" w:firstLine="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（一）食材标准：必须符合国家有关食品安全标准</w:t>
      </w:r>
      <w:r>
        <w:rPr>
          <w:rFonts w:hint="eastAsia" w:ascii="宋体" w:hAnsi="宋体" w:eastAsia="宋体" w:cs="宋体"/>
          <w:color w:val="auto"/>
          <w:spacing w:val="4"/>
          <w:sz w:val="24"/>
          <w:szCs w:val="24"/>
          <w:highlight w:val="none"/>
        </w:rPr>
        <w:t>，乙方须提供所供食材的检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测合格报告。没有国家标准的，必须符合行业标准，既没有国家标准和行业标准的</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5"/>
          <w:sz w:val="24"/>
          <w:szCs w:val="24"/>
          <w:highlight w:val="none"/>
        </w:rPr>
        <w:t>应确保食材的新鲜、健康。</w:t>
      </w:r>
    </w:p>
    <w:p w14:paraId="3A2AC2C4">
      <w:pPr>
        <w:spacing w:before="216" w:line="357" w:lineRule="auto"/>
        <w:ind w:firstLine="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（二）食材质量：乙方在承包采购服务期间要严把</w:t>
      </w:r>
      <w:r>
        <w:rPr>
          <w:rFonts w:hint="eastAsia" w:ascii="宋体" w:hAnsi="宋体" w:eastAsia="宋体" w:cs="宋体"/>
          <w:color w:val="auto"/>
          <w:spacing w:val="4"/>
          <w:sz w:val="24"/>
          <w:szCs w:val="24"/>
          <w:highlight w:val="none"/>
        </w:rPr>
        <w:t>质量关，明确进货渠道，建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立台账，杜绝“三无</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4"/>
          <w:sz w:val="24"/>
          <w:szCs w:val="24"/>
          <w:highlight w:val="none"/>
        </w:rPr>
        <w:t>”产品、劣质原料进校园。乙方提供甲方所需食材同时随货附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带加盖相应货物生产厂家资质（若乙方为经销商则应提供厂家资质及经销商资质）、</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5"/>
          <w:sz w:val="24"/>
          <w:szCs w:val="24"/>
          <w:highlight w:val="none"/>
        </w:rPr>
        <w:t>质量承诺保证书等说明材料及检验、检疫报告、台账记录及其他甲方要求提供的证</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5"/>
          <w:sz w:val="24"/>
          <w:szCs w:val="24"/>
          <w:highlight w:val="none"/>
        </w:rPr>
        <w:t>明文件。供应的食材要适合实际操作，减少边角余料，合理节约，降低成本，杜绝</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浪费。如出现质量问题，乙方应无条件退货</w:t>
      </w:r>
      <w:r>
        <w:rPr>
          <w:rFonts w:hint="eastAsia" w:ascii="宋体" w:hAnsi="宋体" w:eastAsia="宋体" w:cs="宋体"/>
          <w:color w:val="auto"/>
          <w:spacing w:val="6"/>
          <w:sz w:val="24"/>
          <w:szCs w:val="24"/>
          <w:highlight w:val="none"/>
        </w:rPr>
        <w:t>或换货。</w:t>
      </w:r>
    </w:p>
    <w:p w14:paraId="0BCFF1FA">
      <w:pPr>
        <w:spacing w:before="215" w:line="219" w:lineRule="auto"/>
        <w:ind w:left="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（三）外包装应符合食品安全规定。</w:t>
      </w:r>
    </w:p>
    <w:p w14:paraId="41347654">
      <w:pPr>
        <w:spacing w:before="216" w:line="219" w:lineRule="auto"/>
        <w:ind w:left="49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七、供应方式</w:t>
      </w:r>
    </w:p>
    <w:p w14:paraId="7B0E9802">
      <w:pPr>
        <w:spacing w:before="214" w:line="378" w:lineRule="auto"/>
        <w:ind w:right="166" w:firstLine="499"/>
        <w:jc w:val="both"/>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为确保供餐质量，有效降低采购成本，学校（点）食堂实行食品原料采购“统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一采购、统一配送</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”。以乙方为主体全面负责学生食品供应安全，负责学校食品原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材料与副食品的采购与配送及食材检验，做好相关自检记录，并按食品安全要求和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6"/>
          <w:sz w:val="24"/>
          <w:szCs w:val="24"/>
          <w:highlight w:val="none"/>
        </w:rPr>
        <w:t>财务要求向学校提供相关票证。</w:t>
      </w:r>
    </w:p>
    <w:p w14:paraId="62ED3862">
      <w:pPr>
        <w:spacing w:before="35" w:line="220" w:lineRule="auto"/>
        <w:ind w:left="5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八、配送要求</w:t>
      </w:r>
    </w:p>
    <w:p w14:paraId="5C8B37F9">
      <w:pPr>
        <w:spacing w:before="215" w:line="219" w:lineRule="auto"/>
        <w:ind w:left="50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（一）由各学校根据实际情况制定用餐食谱，乙方按学校提供的食谱进行配送。</w:t>
      </w:r>
    </w:p>
    <w:p w14:paraId="72B0CB54">
      <w:pPr>
        <w:spacing w:before="215" w:line="302" w:lineRule="auto"/>
        <w:ind w:right="169" w:firstLine="507"/>
        <w:rPr>
          <w:rFonts w:hint="eastAsia" w:ascii="宋体" w:hAnsi="宋体" w:eastAsia="宋体" w:cs="宋体"/>
          <w:color w:val="auto"/>
          <w:sz w:val="24"/>
          <w:szCs w:val="24"/>
          <w:highlight w:val="none"/>
        </w:rPr>
        <w:sectPr>
          <w:footerReference r:id="rId14" w:type="default"/>
          <w:pgSz w:w="11906" w:h="16839"/>
          <w:pgMar w:top="400" w:right="1313" w:bottom="1666" w:left="1595" w:header="0" w:footer="1388" w:gutter="0"/>
          <w:cols w:space="720" w:num="1"/>
        </w:sectPr>
      </w:pPr>
      <w:r>
        <w:rPr>
          <w:rFonts w:hint="eastAsia" w:ascii="宋体" w:hAnsi="宋体" w:eastAsia="宋体" w:cs="宋体"/>
          <w:color w:val="auto"/>
          <w:spacing w:val="6"/>
          <w:sz w:val="24"/>
          <w:szCs w:val="24"/>
          <w:highlight w:val="none"/>
        </w:rPr>
        <w:t>（二）确定食谱后通知学校提前</w:t>
      </w:r>
      <w:r>
        <w:rPr>
          <w:rFonts w:hint="eastAsia" w:ascii="宋体" w:hAnsi="宋体" w:eastAsia="宋体" w:cs="宋体"/>
          <w:color w:val="auto"/>
          <w:spacing w:val="-95"/>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03"/>
          <w:sz w:val="24"/>
          <w:szCs w:val="24"/>
          <w:highlight w:val="none"/>
        </w:rPr>
        <w:t xml:space="preserve"> </w:t>
      </w:r>
      <w:r>
        <w:rPr>
          <w:rFonts w:hint="eastAsia" w:ascii="宋体" w:hAnsi="宋体" w:eastAsia="宋体" w:cs="宋体"/>
          <w:color w:val="auto"/>
          <w:spacing w:val="6"/>
          <w:sz w:val="24"/>
          <w:szCs w:val="24"/>
          <w:highlight w:val="none"/>
        </w:rPr>
        <w:t>天把周需求量提交给乙方，乙方按学</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校要求进行配送。</w:t>
      </w:r>
    </w:p>
    <w:p w14:paraId="04A35F80">
      <w:pPr>
        <w:spacing w:line="258" w:lineRule="auto"/>
        <w:rPr>
          <w:rFonts w:hint="eastAsia" w:ascii="宋体" w:hAnsi="宋体" w:eastAsia="宋体" w:cs="宋体"/>
          <w:color w:val="auto"/>
          <w:sz w:val="21"/>
          <w:highlight w:val="none"/>
        </w:rPr>
      </w:pPr>
    </w:p>
    <w:p w14:paraId="0535E96E">
      <w:pPr>
        <w:spacing w:line="258" w:lineRule="auto"/>
        <w:rPr>
          <w:rFonts w:hint="eastAsia" w:ascii="宋体" w:hAnsi="宋体" w:eastAsia="宋体" w:cs="宋体"/>
          <w:color w:val="auto"/>
          <w:sz w:val="21"/>
          <w:highlight w:val="none"/>
        </w:rPr>
      </w:pPr>
    </w:p>
    <w:p w14:paraId="59362FB8">
      <w:pPr>
        <w:spacing w:line="258" w:lineRule="auto"/>
        <w:rPr>
          <w:rFonts w:hint="eastAsia" w:ascii="宋体" w:hAnsi="宋体" w:eastAsia="宋体" w:cs="宋体"/>
          <w:color w:val="auto"/>
          <w:sz w:val="21"/>
          <w:highlight w:val="none"/>
        </w:rPr>
      </w:pPr>
    </w:p>
    <w:p w14:paraId="69581353">
      <w:pPr>
        <w:spacing w:before="78" w:line="301" w:lineRule="auto"/>
        <w:ind w:right="85" w:firstLine="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（三）乙方按照学校提供的购货申请单内容和要求</w:t>
      </w:r>
      <w:r>
        <w:rPr>
          <w:rFonts w:hint="eastAsia" w:ascii="宋体" w:hAnsi="宋体" w:eastAsia="宋体" w:cs="宋体"/>
          <w:color w:val="auto"/>
          <w:spacing w:val="4"/>
          <w:sz w:val="24"/>
          <w:szCs w:val="24"/>
          <w:highlight w:val="none"/>
        </w:rPr>
        <w:t>进行配送，具体的配送时间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根据各个学校的实际情况确定，并随货开据食品原料配送单。</w:t>
      </w:r>
    </w:p>
    <w:p w14:paraId="55008ABE">
      <w:pPr>
        <w:spacing w:before="213" w:line="303" w:lineRule="auto"/>
        <w:ind w:left="2" w:right="85" w:firstLine="50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（四）学校食品管理员查验食品原料，校领导审核</w:t>
      </w:r>
      <w:r>
        <w:rPr>
          <w:rFonts w:hint="eastAsia" w:ascii="宋体" w:hAnsi="宋体" w:eastAsia="宋体" w:cs="宋体"/>
          <w:color w:val="auto"/>
          <w:spacing w:val="4"/>
          <w:sz w:val="24"/>
          <w:szCs w:val="24"/>
          <w:highlight w:val="none"/>
        </w:rPr>
        <w:t>无误后，分别在食品配送单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上签名确认，学校根据配送单做好台账及公示工作。</w:t>
      </w:r>
    </w:p>
    <w:p w14:paraId="565A15FC">
      <w:pPr>
        <w:spacing w:before="214"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（五）每月底乙方据实开具税务发票直接与学校结算。</w:t>
      </w:r>
    </w:p>
    <w:p w14:paraId="2843930F">
      <w:pPr>
        <w:spacing w:before="215" w:line="343" w:lineRule="auto"/>
        <w:ind w:right="82" w:firstLine="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（六）原料的接收查验。乙方必须按照学校选定的</w:t>
      </w:r>
      <w:r>
        <w:rPr>
          <w:rFonts w:hint="eastAsia" w:ascii="宋体" w:hAnsi="宋体" w:eastAsia="宋体" w:cs="宋体"/>
          <w:color w:val="auto"/>
          <w:spacing w:val="4"/>
          <w:sz w:val="24"/>
          <w:szCs w:val="24"/>
          <w:highlight w:val="none"/>
        </w:rPr>
        <w:t>中标品牌供应食品原料，必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须确保食品原料的质量。乙方配送食品原料时，必须向采购学校提供产品检验检测</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5"/>
          <w:sz w:val="24"/>
          <w:szCs w:val="24"/>
          <w:highlight w:val="none"/>
        </w:rPr>
        <w:t>相关报告、生产厂家的出厂抽检报告及产品检验合格证或每批次动物检疫合格证明</w:t>
      </w:r>
      <w:r>
        <w:rPr>
          <w:rFonts w:hint="eastAsia" w:ascii="宋体" w:hAnsi="宋体" w:eastAsia="宋体" w:cs="宋体"/>
          <w:color w:val="auto"/>
          <w:spacing w:val="6"/>
          <w:sz w:val="24"/>
          <w:szCs w:val="24"/>
          <w:highlight w:val="none"/>
        </w:rPr>
        <w:t xml:space="preserve"> 等国家规定的其它有效证明材料。</w:t>
      </w:r>
    </w:p>
    <w:p w14:paraId="1C67A06E">
      <w:pPr>
        <w:spacing w:before="220" w:line="351" w:lineRule="auto"/>
        <w:ind w:firstLine="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（七）食品储存。配备必要的食品原料储藏保鲜设施，配备良好的通风、防潮、</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8"/>
          <w:sz w:val="24"/>
          <w:szCs w:val="24"/>
          <w:highlight w:val="none"/>
        </w:rPr>
        <w:t>防鼠、防虫、防蝇、防霉变等设施并能正常使</w:t>
      </w:r>
      <w:r>
        <w:rPr>
          <w:rFonts w:hint="eastAsia" w:ascii="宋体" w:hAnsi="宋体" w:eastAsia="宋体" w:cs="宋体"/>
          <w:color w:val="auto"/>
          <w:spacing w:val="7"/>
          <w:sz w:val="24"/>
          <w:szCs w:val="24"/>
          <w:highlight w:val="none"/>
        </w:rPr>
        <w:t>用；食品原料储藏应当分类、分架、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离地安全管理，遵循先进先出的原则摆放，不同区域应有明显标识，建立健全进出</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5"/>
          <w:sz w:val="24"/>
          <w:szCs w:val="24"/>
          <w:highlight w:val="none"/>
        </w:rPr>
        <w:t>库管理制度，并落实双人管理；乙方须免费指导学校建立符合食品安全标准的储藏</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仓库。</w:t>
      </w:r>
    </w:p>
    <w:p w14:paraId="154A115C">
      <w:pPr>
        <w:spacing w:before="215" w:line="343" w:lineRule="auto"/>
        <w:ind w:right="82" w:firstLine="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（八）应急保障。乙方须自备应急车辆一台或多台</w:t>
      </w:r>
      <w:r>
        <w:rPr>
          <w:rFonts w:hint="eastAsia" w:ascii="宋体" w:hAnsi="宋体" w:eastAsia="宋体" w:cs="宋体"/>
          <w:color w:val="auto"/>
          <w:spacing w:val="4"/>
          <w:sz w:val="24"/>
          <w:szCs w:val="24"/>
          <w:highlight w:val="none"/>
        </w:rPr>
        <w:t>。当运输车辆在配送途中出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现故障时，可迅速补上；乙方须随时关注天气预报，特殊天气情况下，应提前准备</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5"/>
          <w:sz w:val="24"/>
          <w:szCs w:val="24"/>
          <w:highlight w:val="none"/>
        </w:rPr>
        <w:t>雨衣、电筒、发电机等。提前检查车辆等设备是否正常运转。应加派人手，积极做</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3"/>
          <w:sz w:val="24"/>
          <w:szCs w:val="24"/>
          <w:highlight w:val="none"/>
        </w:rPr>
        <w:t>好配送准备。</w:t>
      </w:r>
    </w:p>
    <w:p w14:paraId="1C7CCCE8">
      <w:pPr>
        <w:spacing w:before="217" w:line="220"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（九）其他要求：</w:t>
      </w:r>
      <w:r>
        <w:rPr>
          <w:rFonts w:hint="eastAsia" w:ascii="宋体" w:hAnsi="宋体" w:eastAsia="宋体" w:cs="宋体"/>
          <w:color w:val="auto"/>
          <w:spacing w:val="2"/>
          <w:sz w:val="24"/>
          <w:szCs w:val="24"/>
          <w:highlight w:val="none"/>
          <w:u w:val="single" w:color="E43019"/>
        </w:rPr>
        <w:t xml:space="preserve">                      </w:t>
      </w:r>
      <w:r>
        <w:rPr>
          <w:rFonts w:hint="eastAsia" w:ascii="宋体" w:hAnsi="宋体" w:eastAsia="宋体" w:cs="宋体"/>
          <w:color w:val="auto"/>
          <w:spacing w:val="5"/>
          <w:sz w:val="24"/>
          <w:szCs w:val="24"/>
          <w:highlight w:val="none"/>
        </w:rPr>
        <w:t xml:space="preserve"> 。</w:t>
      </w:r>
    </w:p>
    <w:p w14:paraId="47BC964D">
      <w:pPr>
        <w:spacing w:before="213" w:line="219" w:lineRule="auto"/>
        <w:ind w:left="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九、包装和运输</w:t>
      </w:r>
    </w:p>
    <w:p w14:paraId="64EB4BFE">
      <w:pPr>
        <w:spacing w:before="212" w:line="380" w:lineRule="auto"/>
        <w:ind w:right="82" w:firstLine="509"/>
        <w:jc w:val="both"/>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（一）包装与保护：乙方所提供的食品在装卸、运</w:t>
      </w:r>
      <w:r>
        <w:rPr>
          <w:rFonts w:hint="eastAsia" w:ascii="宋体" w:hAnsi="宋体" w:eastAsia="宋体" w:cs="宋体"/>
          <w:color w:val="auto"/>
          <w:spacing w:val="4"/>
          <w:sz w:val="24"/>
          <w:szCs w:val="24"/>
          <w:highlight w:val="none"/>
        </w:rPr>
        <w:t>输和仓储过程中应有足够的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包装保护，防止食品受潮、被腐蚀以及其他不可预见的损坏。贮存、运输和装卸食</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5"/>
          <w:sz w:val="24"/>
          <w:szCs w:val="24"/>
          <w:highlight w:val="none"/>
        </w:rPr>
        <w:t>品的容器、工具和设备应当安全、无害，保持清洁，防止食品污染，并符合保证食</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5"/>
          <w:sz w:val="24"/>
          <w:szCs w:val="24"/>
          <w:highlight w:val="none"/>
        </w:rPr>
        <w:t>品安全所需的温度、湿度等特殊要求，不得将食品与有毒、有害物品一同贮存、运</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5"/>
          <w:sz w:val="24"/>
          <w:szCs w:val="24"/>
          <w:highlight w:val="none"/>
        </w:rPr>
        <w:t>输。</w:t>
      </w:r>
    </w:p>
    <w:p w14:paraId="6A0BFF5B">
      <w:pPr>
        <w:spacing w:line="380" w:lineRule="auto"/>
        <w:rPr>
          <w:rFonts w:hint="eastAsia" w:ascii="宋体" w:hAnsi="宋体" w:eastAsia="宋体" w:cs="宋体"/>
          <w:color w:val="auto"/>
          <w:sz w:val="24"/>
          <w:szCs w:val="24"/>
          <w:highlight w:val="none"/>
        </w:rPr>
        <w:sectPr>
          <w:footerReference r:id="rId15" w:type="default"/>
          <w:pgSz w:w="11906" w:h="16839"/>
          <w:pgMar w:top="400" w:right="1397" w:bottom="1666" w:left="1594" w:header="0" w:footer="1388" w:gutter="0"/>
          <w:cols w:space="720" w:num="1"/>
        </w:sectPr>
      </w:pPr>
    </w:p>
    <w:p w14:paraId="1F291C9B">
      <w:pPr>
        <w:spacing w:line="257" w:lineRule="auto"/>
        <w:rPr>
          <w:rFonts w:hint="eastAsia" w:ascii="宋体" w:hAnsi="宋体" w:eastAsia="宋体" w:cs="宋体"/>
          <w:color w:val="auto"/>
          <w:sz w:val="21"/>
          <w:highlight w:val="none"/>
        </w:rPr>
      </w:pPr>
    </w:p>
    <w:p w14:paraId="0999F5C4">
      <w:pPr>
        <w:spacing w:line="258" w:lineRule="auto"/>
        <w:rPr>
          <w:rFonts w:hint="eastAsia" w:ascii="宋体" w:hAnsi="宋体" w:eastAsia="宋体" w:cs="宋体"/>
          <w:color w:val="auto"/>
          <w:sz w:val="21"/>
          <w:highlight w:val="none"/>
        </w:rPr>
      </w:pPr>
    </w:p>
    <w:p w14:paraId="36E842D5">
      <w:pPr>
        <w:spacing w:line="258" w:lineRule="auto"/>
        <w:rPr>
          <w:rFonts w:hint="eastAsia" w:ascii="宋体" w:hAnsi="宋体" w:eastAsia="宋体" w:cs="宋体"/>
          <w:color w:val="auto"/>
          <w:sz w:val="21"/>
          <w:highlight w:val="none"/>
        </w:rPr>
      </w:pPr>
    </w:p>
    <w:p w14:paraId="3222BF8C">
      <w:pPr>
        <w:spacing w:before="78" w:line="370" w:lineRule="auto"/>
        <w:ind w:left="2" w:right="2" w:firstLine="50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（二）由乙方负责完成食品运输过程中的全部工作</w:t>
      </w:r>
      <w:r>
        <w:rPr>
          <w:rFonts w:hint="eastAsia" w:ascii="宋体" w:hAnsi="宋体" w:eastAsia="宋体" w:cs="宋体"/>
          <w:color w:val="auto"/>
          <w:spacing w:val="4"/>
          <w:sz w:val="24"/>
          <w:szCs w:val="24"/>
          <w:highlight w:val="none"/>
        </w:rPr>
        <w:t>内容，并安全送达到甲方或</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者各学校指定交货地点。</w:t>
      </w:r>
    </w:p>
    <w:p w14:paraId="0857CA01">
      <w:pPr>
        <w:spacing w:before="34" w:line="232"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                            。</w:t>
      </w:r>
    </w:p>
    <w:p w14:paraId="13583EA9">
      <w:pPr>
        <w:spacing w:before="200" w:line="219" w:lineRule="auto"/>
        <w:ind w:left="49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十、食材验收</w:t>
      </w:r>
    </w:p>
    <w:p w14:paraId="33F82C74">
      <w:pPr>
        <w:spacing w:before="214" w:line="302" w:lineRule="auto"/>
        <w:ind w:firstLine="50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（一）学校指定专人按国家相关标准进行验收，不符合</w:t>
      </w:r>
      <w:r>
        <w:rPr>
          <w:rFonts w:hint="eastAsia" w:ascii="宋体" w:hAnsi="宋体" w:eastAsia="宋体" w:cs="宋体"/>
          <w:color w:val="auto"/>
          <w:spacing w:val="4"/>
          <w:sz w:val="24"/>
          <w:szCs w:val="24"/>
          <w:highlight w:val="none"/>
        </w:rPr>
        <w:t>相关标准的食材乙方应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及时调换，并不得影响甲方及学校的正常工作。</w:t>
      </w:r>
    </w:p>
    <w:p w14:paraId="74A5E726">
      <w:pPr>
        <w:spacing w:before="215" w:line="329" w:lineRule="auto"/>
        <w:ind w:left="1" w:firstLine="507"/>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（二）送货单一式四联，经学校食堂管理员、主管及乙</w:t>
      </w:r>
      <w:r>
        <w:rPr>
          <w:rFonts w:hint="eastAsia" w:ascii="宋体" w:hAnsi="宋体" w:eastAsia="宋体" w:cs="宋体"/>
          <w:color w:val="auto"/>
          <w:spacing w:val="4"/>
          <w:sz w:val="24"/>
          <w:szCs w:val="24"/>
          <w:highlight w:val="none"/>
        </w:rPr>
        <w:t>方库房、送货人签字后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各自留存（白联：乙方财务，红联：乙方与学校对账，蓝联和黄联给学校食堂和学</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6"/>
          <w:sz w:val="24"/>
          <w:szCs w:val="24"/>
          <w:highlight w:val="none"/>
        </w:rPr>
        <w:t>校财务各一份）作为结算依据。</w:t>
      </w:r>
    </w:p>
    <w:p w14:paraId="420F6E19">
      <w:pPr>
        <w:spacing w:before="216" w:line="232"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rPr>
        <w:t>。</w:t>
      </w:r>
    </w:p>
    <w:p w14:paraId="2FF91F04">
      <w:pPr>
        <w:spacing w:before="199" w:line="219" w:lineRule="auto"/>
        <w:ind w:left="49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十一、</w:t>
      </w:r>
      <w:r>
        <w:rPr>
          <w:rFonts w:hint="eastAsia" w:ascii="宋体" w:hAnsi="宋体" w:eastAsia="宋体" w:cs="宋体"/>
          <w:color w:val="auto"/>
          <w:spacing w:val="-65"/>
          <w:sz w:val="24"/>
          <w:szCs w:val="24"/>
          <w:highlight w:val="none"/>
        </w:rPr>
        <w:t xml:space="preserve"> </w:t>
      </w:r>
      <w:r>
        <w:rPr>
          <w:rFonts w:hint="eastAsia" w:ascii="宋体" w:hAnsi="宋体" w:eastAsia="宋体" w:cs="宋体"/>
          <w:b/>
          <w:bCs/>
          <w:color w:val="auto"/>
          <w:spacing w:val="-2"/>
          <w:sz w:val="24"/>
          <w:szCs w:val="24"/>
          <w:highlight w:val="none"/>
        </w:rPr>
        <w:t>甲方权利义务</w:t>
      </w:r>
    </w:p>
    <w:p w14:paraId="5599954A">
      <w:pPr>
        <w:spacing w:before="215"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（一）按时向乙方下达次日或次周订单，以</w:t>
      </w:r>
      <w:r>
        <w:rPr>
          <w:rFonts w:hint="eastAsia" w:ascii="宋体" w:hAnsi="宋体" w:eastAsia="宋体" w:cs="宋体"/>
          <w:color w:val="auto"/>
          <w:spacing w:val="6"/>
          <w:sz w:val="24"/>
          <w:szCs w:val="24"/>
          <w:highlight w:val="none"/>
        </w:rPr>
        <w:t>便乙方提前安排准备；</w:t>
      </w:r>
    </w:p>
    <w:p w14:paraId="0271E6AA">
      <w:pPr>
        <w:spacing w:before="215" w:line="302" w:lineRule="auto"/>
        <w:ind w:left="24" w:firstLine="48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（二）依据订单和供货清单进行清点验收，对不符合学</w:t>
      </w:r>
      <w:r>
        <w:rPr>
          <w:rFonts w:hint="eastAsia" w:ascii="宋体" w:hAnsi="宋体" w:eastAsia="宋体" w:cs="宋体"/>
          <w:color w:val="auto"/>
          <w:spacing w:val="4"/>
          <w:sz w:val="24"/>
          <w:szCs w:val="24"/>
          <w:highlight w:val="none"/>
        </w:rPr>
        <w:t>校订单的食材，有权退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回乙方，由此产生的损失由乙方承担；</w:t>
      </w:r>
    </w:p>
    <w:p w14:paraId="1E156D5C">
      <w:pPr>
        <w:spacing w:before="214"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（三）依据订单和供货清单进行称重验收，重量以学校</w:t>
      </w:r>
      <w:r>
        <w:rPr>
          <w:rFonts w:hint="eastAsia" w:ascii="宋体" w:hAnsi="宋体" w:eastAsia="宋体" w:cs="宋体"/>
          <w:color w:val="auto"/>
          <w:spacing w:val="6"/>
          <w:sz w:val="24"/>
          <w:szCs w:val="24"/>
          <w:highlight w:val="none"/>
        </w:rPr>
        <w:t>称重数据为准；</w:t>
      </w:r>
    </w:p>
    <w:p w14:paraId="7887B78B">
      <w:pPr>
        <w:spacing w:before="217"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（四）双方需在供货清单上签字确认；</w:t>
      </w:r>
    </w:p>
    <w:p w14:paraId="76AA0C5A">
      <w:pPr>
        <w:spacing w:before="214"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（五）</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5"/>
          <w:sz w:val="24"/>
          <w:szCs w:val="24"/>
          <w:highlight w:val="none"/>
        </w:rPr>
        <w:t>乙方提供发票信息与实际发生信息一致时，不得拖延支付费用；</w:t>
      </w:r>
    </w:p>
    <w:p w14:paraId="67E197F0">
      <w:pPr>
        <w:spacing w:before="214" w:line="303" w:lineRule="auto"/>
        <w:ind w:left="1" w:firstLine="507"/>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（六）学校监督小组或膳食委员会等监督管理机构不定</w:t>
      </w:r>
      <w:r>
        <w:rPr>
          <w:rFonts w:hint="eastAsia" w:ascii="宋体" w:hAnsi="宋体" w:eastAsia="宋体" w:cs="宋体"/>
          <w:color w:val="auto"/>
          <w:spacing w:val="4"/>
          <w:sz w:val="24"/>
          <w:szCs w:val="24"/>
          <w:highlight w:val="none"/>
        </w:rPr>
        <w:t>期对乙方经营的食材品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质及来源进行检查；</w:t>
      </w:r>
    </w:p>
    <w:p w14:paraId="21BC6313">
      <w:pPr>
        <w:spacing w:before="215" w:line="301" w:lineRule="auto"/>
        <w:ind w:left="1" w:firstLine="507"/>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（七）定期检查库存食材，对临近保质期的食材进行管</w:t>
      </w:r>
      <w:r>
        <w:rPr>
          <w:rFonts w:hint="eastAsia" w:ascii="宋体" w:hAnsi="宋体" w:eastAsia="宋体" w:cs="宋体"/>
          <w:color w:val="auto"/>
          <w:spacing w:val="4"/>
          <w:sz w:val="24"/>
          <w:szCs w:val="24"/>
          <w:highlight w:val="none"/>
        </w:rPr>
        <w:t>理监督，设置临期食材</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专柜或在相对集中区域陈列使用；</w:t>
      </w:r>
    </w:p>
    <w:p w14:paraId="4AC9B018">
      <w:pPr>
        <w:spacing w:before="217" w:line="220"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z w:val="24"/>
          <w:szCs w:val="24"/>
          <w:highlight w:val="none"/>
        </w:rPr>
        <w:t>。</w:t>
      </w:r>
    </w:p>
    <w:p w14:paraId="07C14750">
      <w:pPr>
        <w:spacing w:before="214" w:line="219" w:lineRule="auto"/>
        <w:ind w:left="498"/>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十二、乙方权利义务</w:t>
      </w:r>
    </w:p>
    <w:p w14:paraId="0ED8A638">
      <w:pPr>
        <w:spacing w:before="213" w:line="373" w:lineRule="auto"/>
        <w:ind w:left="14" w:firstLine="49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（一）应严格按照《中华人民共和国农产品质量安</w:t>
      </w:r>
      <w:r>
        <w:rPr>
          <w:rFonts w:hint="eastAsia" w:ascii="宋体" w:hAnsi="宋体" w:eastAsia="宋体" w:cs="宋体"/>
          <w:color w:val="auto"/>
          <w:spacing w:val="4"/>
          <w:sz w:val="24"/>
          <w:szCs w:val="24"/>
          <w:highlight w:val="none"/>
        </w:rPr>
        <w:t>全法》《中华人民共和国消</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费者权益保护法》《中华人民共和国食品安全法》等有关食品安全规定</w:t>
      </w:r>
      <w:r>
        <w:rPr>
          <w:rFonts w:hint="eastAsia" w:ascii="宋体" w:hAnsi="宋体" w:eastAsia="宋体" w:cs="宋体"/>
          <w:color w:val="auto"/>
          <w:spacing w:val="4"/>
          <w:sz w:val="24"/>
          <w:szCs w:val="24"/>
          <w:highlight w:val="none"/>
        </w:rPr>
        <w:t>，保质、保</w:t>
      </w:r>
    </w:p>
    <w:p w14:paraId="20E89625">
      <w:pPr>
        <w:spacing w:line="373" w:lineRule="auto"/>
        <w:rPr>
          <w:rFonts w:hint="eastAsia" w:ascii="宋体" w:hAnsi="宋体" w:eastAsia="宋体" w:cs="宋体"/>
          <w:color w:val="auto"/>
          <w:sz w:val="24"/>
          <w:szCs w:val="24"/>
          <w:highlight w:val="none"/>
        </w:rPr>
        <w:sectPr>
          <w:footerReference r:id="rId16" w:type="default"/>
          <w:pgSz w:w="11906" w:h="16839"/>
          <w:pgMar w:top="400" w:right="1480" w:bottom="1666" w:left="1594" w:header="0" w:footer="1388" w:gutter="0"/>
          <w:cols w:space="720" w:num="1"/>
        </w:sectPr>
      </w:pPr>
    </w:p>
    <w:p w14:paraId="0676D848">
      <w:pPr>
        <w:spacing w:line="257" w:lineRule="auto"/>
        <w:rPr>
          <w:rFonts w:hint="eastAsia" w:ascii="宋体" w:hAnsi="宋体" w:eastAsia="宋体" w:cs="宋体"/>
          <w:color w:val="auto"/>
          <w:sz w:val="21"/>
          <w:highlight w:val="none"/>
        </w:rPr>
      </w:pPr>
    </w:p>
    <w:p w14:paraId="37CA0AB4">
      <w:pPr>
        <w:spacing w:line="258" w:lineRule="auto"/>
        <w:rPr>
          <w:rFonts w:hint="eastAsia" w:ascii="宋体" w:hAnsi="宋体" w:eastAsia="宋体" w:cs="宋体"/>
          <w:color w:val="auto"/>
          <w:sz w:val="21"/>
          <w:highlight w:val="none"/>
        </w:rPr>
      </w:pPr>
    </w:p>
    <w:p w14:paraId="6A553494">
      <w:pPr>
        <w:spacing w:line="258" w:lineRule="auto"/>
        <w:rPr>
          <w:rFonts w:hint="eastAsia" w:ascii="宋体" w:hAnsi="宋体" w:eastAsia="宋体" w:cs="宋体"/>
          <w:color w:val="auto"/>
          <w:sz w:val="21"/>
          <w:highlight w:val="none"/>
        </w:rPr>
      </w:pPr>
    </w:p>
    <w:p w14:paraId="7283CEA0">
      <w:pPr>
        <w:spacing w:before="78" w:line="219" w:lineRule="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量为甲方供应所需食材。</w:t>
      </w:r>
    </w:p>
    <w:p w14:paraId="6DA657C6">
      <w:pPr>
        <w:spacing w:before="216" w:line="329" w:lineRule="auto"/>
        <w:ind w:firstLine="508"/>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（二）需向甲方提供营业执照、账户及开户行信息、供应食材质量合格证</w:t>
      </w:r>
      <w:r>
        <w:rPr>
          <w:rFonts w:hint="eastAsia" w:ascii="宋体" w:hAnsi="宋体" w:eastAsia="宋体" w:cs="宋体"/>
          <w:color w:val="auto"/>
          <w:spacing w:val="5"/>
          <w:sz w:val="24"/>
          <w:szCs w:val="24"/>
          <w:highlight w:val="none"/>
        </w:rPr>
        <w:t>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从业人员健康证明、税务登记证、食品的检验报告、食品安全管理体系认证证书、</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6"/>
          <w:sz w:val="24"/>
          <w:szCs w:val="24"/>
          <w:highlight w:val="none"/>
        </w:rPr>
        <w:t>食材来源证明、安全应急预案等有关资料；</w:t>
      </w:r>
    </w:p>
    <w:p w14:paraId="23FB1672">
      <w:pPr>
        <w:spacing w:before="214"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（三）与甲方核对供应食材信息无误后，需向甲</w:t>
      </w:r>
      <w:r>
        <w:rPr>
          <w:rFonts w:hint="eastAsia" w:ascii="宋体" w:hAnsi="宋体" w:eastAsia="宋体" w:cs="宋体"/>
          <w:color w:val="auto"/>
          <w:spacing w:val="6"/>
          <w:sz w:val="24"/>
          <w:szCs w:val="24"/>
          <w:highlight w:val="none"/>
        </w:rPr>
        <w:t>方提供合规的发票；</w:t>
      </w:r>
    </w:p>
    <w:p w14:paraId="67B1435D">
      <w:pPr>
        <w:spacing w:before="213" w:line="303" w:lineRule="auto"/>
        <w:ind w:right="41" w:firstLine="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（四）按照订单约定准时将食材运送到指定地点，配合</w:t>
      </w:r>
      <w:r>
        <w:rPr>
          <w:rFonts w:hint="eastAsia" w:ascii="宋体" w:hAnsi="宋体" w:eastAsia="宋体" w:cs="宋体"/>
          <w:color w:val="auto"/>
          <w:spacing w:val="4"/>
          <w:sz w:val="24"/>
          <w:szCs w:val="24"/>
          <w:highlight w:val="none"/>
        </w:rPr>
        <w:t>甲方做好验收并在供货</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清单上签字确认；</w:t>
      </w:r>
    </w:p>
    <w:p w14:paraId="165A2EDE">
      <w:pPr>
        <w:spacing w:before="214"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3"/>
          <w:sz w:val="24"/>
          <w:szCs w:val="24"/>
          <w:highlight w:val="none"/>
        </w:rPr>
        <w:t>自行承担食材从开始运输至经甲方检验合格前的一切损毁、变质风险；</w:t>
      </w:r>
    </w:p>
    <w:p w14:paraId="548600D8">
      <w:pPr>
        <w:spacing w:before="217" w:line="329" w:lineRule="auto"/>
        <w:ind w:left="1" w:right="41" w:firstLine="507"/>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（六）严格按照甲方订单中的品类、规格、质量及</w:t>
      </w:r>
      <w:r>
        <w:rPr>
          <w:rFonts w:hint="eastAsia" w:ascii="宋体" w:hAnsi="宋体" w:eastAsia="宋体" w:cs="宋体"/>
          <w:color w:val="auto"/>
          <w:spacing w:val="4"/>
          <w:sz w:val="24"/>
          <w:szCs w:val="24"/>
          <w:highlight w:val="none"/>
        </w:rPr>
        <w:t>数量进行配送，验收时甲方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若发现食材质量不达标、重量不足或出现漏货等情况，乙方应按照甲方的要求立即</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3"/>
          <w:sz w:val="24"/>
          <w:szCs w:val="24"/>
          <w:highlight w:val="none"/>
        </w:rPr>
        <w:t>更换及补货；</w:t>
      </w:r>
    </w:p>
    <w:p w14:paraId="62F199B0">
      <w:pPr>
        <w:spacing w:before="214"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（七）工作人员出入校园应遵守学校规章制度；</w:t>
      </w:r>
    </w:p>
    <w:p w14:paraId="7ADDDE1E">
      <w:pPr>
        <w:spacing w:before="218" w:line="220"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z w:val="24"/>
          <w:szCs w:val="24"/>
          <w:highlight w:val="none"/>
        </w:rPr>
        <w:t>。</w:t>
      </w:r>
    </w:p>
    <w:p w14:paraId="7B926E23">
      <w:pPr>
        <w:spacing w:before="213" w:line="219" w:lineRule="auto"/>
        <w:ind w:left="49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十三、合同解除</w:t>
      </w:r>
    </w:p>
    <w:p w14:paraId="2CCB06BE">
      <w:pPr>
        <w:spacing w:before="214"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（一）双方协商一致可以解除本合同；</w:t>
      </w:r>
    </w:p>
    <w:p w14:paraId="2F8F7A3C">
      <w:pPr>
        <w:spacing w:before="217" w:line="302" w:lineRule="auto"/>
        <w:ind w:right="41" w:firstLine="50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（二）在合同期内，由于发生不可抗力，致使合同不能</w:t>
      </w:r>
      <w:r>
        <w:rPr>
          <w:rFonts w:hint="eastAsia" w:ascii="宋体" w:hAnsi="宋体" w:eastAsia="宋体" w:cs="宋体"/>
          <w:color w:val="auto"/>
          <w:spacing w:val="4"/>
          <w:sz w:val="24"/>
          <w:szCs w:val="24"/>
          <w:highlight w:val="none"/>
        </w:rPr>
        <w:t>履行的，甲、乙双方的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任何一方有权提出终止合同。由此发生的经济损失</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5"/>
          <w:sz w:val="24"/>
          <w:szCs w:val="24"/>
          <w:highlight w:val="none"/>
        </w:rPr>
        <w:t>甲、乙双方各自承担。</w:t>
      </w:r>
    </w:p>
    <w:p w14:paraId="7B6E8278">
      <w:pPr>
        <w:spacing w:before="214" w:line="302" w:lineRule="auto"/>
        <w:ind w:right="41" w:firstLine="508"/>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（三）</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6"/>
          <w:sz w:val="24"/>
          <w:szCs w:val="24"/>
          <w:highlight w:val="none"/>
        </w:rPr>
        <w:t>乙方未按合同约定时间供货的，每延迟一次按延迟供</w:t>
      </w:r>
      <w:r>
        <w:rPr>
          <w:rFonts w:hint="eastAsia" w:ascii="宋体" w:hAnsi="宋体" w:eastAsia="宋体" w:cs="宋体"/>
          <w:color w:val="auto"/>
          <w:spacing w:val="5"/>
          <w:sz w:val="24"/>
          <w:szCs w:val="24"/>
          <w:highlight w:val="none"/>
        </w:rPr>
        <w:t>货金额</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15"/>
          <w:sz w:val="24"/>
          <w:szCs w:val="24"/>
          <w:highlight w:val="none"/>
        </w:rPr>
        <w:t xml:space="preserve"> </w:t>
      </w:r>
      <w:r>
        <w:rPr>
          <w:rFonts w:hint="eastAsia" w:ascii="宋体" w:hAnsi="宋体" w:eastAsia="宋体" w:cs="宋体"/>
          <w:color w:val="auto"/>
          <w:spacing w:val="5"/>
          <w:sz w:val="24"/>
          <w:szCs w:val="24"/>
          <w:highlight w:val="none"/>
        </w:rPr>
        <w:t>%支付</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违约金，如发生</w:t>
      </w:r>
      <w:r>
        <w:rPr>
          <w:rFonts w:hint="eastAsia" w:ascii="宋体" w:hAnsi="宋体" w:eastAsia="宋体" w:cs="宋体"/>
          <w:color w:val="auto"/>
          <w:spacing w:val="-96"/>
          <w:sz w:val="24"/>
          <w:szCs w:val="24"/>
          <w:highlight w:val="none"/>
        </w:rPr>
        <w:t xml:space="preserve"> </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101"/>
          <w:sz w:val="24"/>
          <w:szCs w:val="24"/>
          <w:highlight w:val="none"/>
        </w:rPr>
        <w:t xml:space="preserve"> </w:t>
      </w:r>
      <w:r>
        <w:rPr>
          <w:rFonts w:hint="eastAsia" w:ascii="宋体" w:hAnsi="宋体" w:eastAsia="宋体" w:cs="宋体"/>
          <w:color w:val="auto"/>
          <w:spacing w:val="5"/>
          <w:sz w:val="24"/>
          <w:szCs w:val="24"/>
          <w:highlight w:val="none"/>
        </w:rPr>
        <w:t>次延迟供货，甲方有权解除合同。</w:t>
      </w:r>
    </w:p>
    <w:p w14:paraId="2DFC5B50">
      <w:pPr>
        <w:spacing w:before="218" w:line="351" w:lineRule="auto"/>
        <w:ind w:right="41" w:firstLine="50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（四）合同期内，如果因乙方原因不能履约的，应提前</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69"/>
          <w:sz w:val="24"/>
          <w:szCs w:val="24"/>
          <w:highlight w:val="none"/>
        </w:rPr>
        <w:t xml:space="preserve"> </w:t>
      </w:r>
      <w:r>
        <w:rPr>
          <w:rFonts w:hint="eastAsia" w:ascii="宋体" w:hAnsi="宋体" w:eastAsia="宋体" w:cs="宋体"/>
          <w:color w:val="auto"/>
          <w:spacing w:val="2"/>
          <w:sz w:val="24"/>
          <w:szCs w:val="24"/>
          <w:highlight w:val="none"/>
        </w:rPr>
        <w:t>日通知甲方终止合</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同；如乙方未及时书面通知甲方终止合同而给甲方造成损失的，除乙方应向甲方支</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付已经履行合同总价款___ %违约金外，还应赔偿甲方临时采购增加的费用以及其</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5"/>
          <w:sz w:val="24"/>
          <w:szCs w:val="24"/>
          <w:highlight w:val="none"/>
        </w:rPr>
        <w:t>他损失。如果乙方拒绝支付违约金和赔偿金的，甲方有权在乙方已供原材料款项中</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扣除。</w:t>
      </w:r>
    </w:p>
    <w:p w14:paraId="0DFCF244">
      <w:pPr>
        <w:spacing w:before="216" w:line="219"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（五）如乙方所提供的食材经甲方进行抽检不合格</w:t>
      </w:r>
      <w:r>
        <w:rPr>
          <w:rFonts w:hint="eastAsia" w:ascii="宋体" w:hAnsi="宋体" w:eastAsia="宋体" w:cs="宋体"/>
          <w:color w:val="auto"/>
          <w:spacing w:val="4"/>
          <w:sz w:val="24"/>
          <w:szCs w:val="24"/>
          <w:highlight w:val="none"/>
        </w:rPr>
        <w:t>的，该批次产品一律无条件</w:t>
      </w:r>
    </w:p>
    <w:p w14:paraId="1C3D188B">
      <w:pPr>
        <w:spacing w:line="219" w:lineRule="auto"/>
        <w:rPr>
          <w:rFonts w:hint="eastAsia" w:ascii="宋体" w:hAnsi="宋体" w:eastAsia="宋体" w:cs="宋体"/>
          <w:color w:val="auto"/>
          <w:sz w:val="24"/>
          <w:szCs w:val="24"/>
          <w:highlight w:val="none"/>
        </w:rPr>
        <w:sectPr>
          <w:footerReference r:id="rId17" w:type="default"/>
          <w:pgSz w:w="11906" w:h="16839"/>
          <w:pgMar w:top="400" w:right="1438" w:bottom="1666" w:left="1594" w:header="0" w:footer="1388" w:gutter="0"/>
          <w:cols w:space="720" w:num="1"/>
        </w:sectPr>
      </w:pPr>
    </w:p>
    <w:p w14:paraId="5BC2913D">
      <w:pPr>
        <w:spacing w:line="257" w:lineRule="auto"/>
        <w:rPr>
          <w:rFonts w:hint="eastAsia" w:ascii="宋体" w:hAnsi="宋体" w:eastAsia="宋体" w:cs="宋体"/>
          <w:color w:val="auto"/>
          <w:sz w:val="21"/>
          <w:highlight w:val="none"/>
        </w:rPr>
      </w:pPr>
    </w:p>
    <w:p w14:paraId="4047E363">
      <w:pPr>
        <w:spacing w:line="258" w:lineRule="auto"/>
        <w:rPr>
          <w:rFonts w:hint="eastAsia" w:ascii="宋体" w:hAnsi="宋体" w:eastAsia="宋体" w:cs="宋体"/>
          <w:color w:val="auto"/>
          <w:sz w:val="21"/>
          <w:highlight w:val="none"/>
        </w:rPr>
      </w:pPr>
    </w:p>
    <w:p w14:paraId="718889C5">
      <w:pPr>
        <w:spacing w:line="258" w:lineRule="auto"/>
        <w:rPr>
          <w:rFonts w:hint="eastAsia" w:ascii="宋体" w:hAnsi="宋体" w:eastAsia="宋体" w:cs="宋体"/>
          <w:color w:val="auto"/>
          <w:sz w:val="21"/>
          <w:highlight w:val="none"/>
        </w:rPr>
      </w:pPr>
    </w:p>
    <w:p w14:paraId="1FF34F29">
      <w:pPr>
        <w:spacing w:line="258" w:lineRule="auto"/>
        <w:rPr>
          <w:rFonts w:hint="eastAsia" w:ascii="宋体" w:hAnsi="宋体" w:eastAsia="宋体" w:cs="宋体"/>
          <w:color w:val="auto"/>
          <w:sz w:val="21"/>
          <w:highlight w:val="none"/>
        </w:rPr>
      </w:pPr>
    </w:p>
    <w:p w14:paraId="731FAA69">
      <w:pPr>
        <w:spacing w:line="258" w:lineRule="auto"/>
        <w:rPr>
          <w:rFonts w:hint="eastAsia" w:ascii="宋体" w:hAnsi="宋体" w:eastAsia="宋体" w:cs="宋体"/>
          <w:color w:val="auto"/>
          <w:sz w:val="21"/>
          <w:highlight w:val="none"/>
        </w:rPr>
      </w:pPr>
    </w:p>
    <w:p w14:paraId="7A14C9F3">
      <w:pPr>
        <w:spacing w:before="78" w:line="370" w:lineRule="auto"/>
        <w:ind w:left="30" w:right="85" w:hanging="3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退回。如果两次发现抽查不合格的，甲方有权终止合同，乙方应承担违约责任，向 </w:t>
      </w:r>
      <w:r>
        <w:rPr>
          <w:rFonts w:hint="eastAsia" w:ascii="宋体" w:hAnsi="宋体" w:eastAsia="宋体" w:cs="宋体"/>
          <w:color w:val="auto"/>
          <w:spacing w:val="3"/>
          <w:sz w:val="24"/>
          <w:szCs w:val="24"/>
          <w:highlight w:val="none"/>
        </w:rPr>
        <w:t>甲方支付已经履约总价款</w:t>
      </w:r>
      <w:r>
        <w:rPr>
          <w:rFonts w:hint="eastAsia" w:ascii="宋体" w:hAnsi="宋体" w:eastAsia="宋体" w:cs="宋体"/>
          <w:color w:val="auto"/>
          <w:spacing w:val="-98"/>
          <w:sz w:val="24"/>
          <w:szCs w:val="24"/>
          <w:highlight w:val="none"/>
        </w:rPr>
        <w:t xml:space="preserve"> </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114"/>
          <w:sz w:val="24"/>
          <w:szCs w:val="24"/>
          <w:highlight w:val="none"/>
        </w:rPr>
        <w:t xml:space="preserve"> </w:t>
      </w:r>
      <w:r>
        <w:rPr>
          <w:rFonts w:hint="eastAsia" w:ascii="宋体" w:hAnsi="宋体" w:eastAsia="宋体" w:cs="宋体"/>
          <w:color w:val="auto"/>
          <w:spacing w:val="3"/>
          <w:sz w:val="24"/>
          <w:szCs w:val="24"/>
          <w:highlight w:val="none"/>
        </w:rPr>
        <w:t>%的违约金。</w:t>
      </w:r>
    </w:p>
    <w:p w14:paraId="626ACAAB">
      <w:pPr>
        <w:spacing w:before="36" w:line="378" w:lineRule="auto"/>
        <w:ind w:left="1" w:right="85" w:firstLine="506"/>
        <w:jc w:val="both"/>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（六）如甲、乙双方中有一方不接受调整价格，可</w:t>
      </w:r>
      <w:r>
        <w:rPr>
          <w:rFonts w:hint="eastAsia" w:ascii="宋体" w:hAnsi="宋体" w:eastAsia="宋体" w:cs="宋体"/>
          <w:color w:val="auto"/>
          <w:spacing w:val="4"/>
          <w:sz w:val="24"/>
          <w:szCs w:val="24"/>
          <w:highlight w:val="none"/>
        </w:rPr>
        <w:t>提出终止合同，不属于违约</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行为。如终止合同，乙方仍需按照上一个周期的价格为甲方供货一个月，如因乙方</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5"/>
          <w:sz w:val="24"/>
          <w:szCs w:val="24"/>
          <w:highlight w:val="none"/>
        </w:rPr>
        <w:t>无法供货给甲方造成损失，则视为违约行为，损失优先从履约保证金中扣除，不足</w:t>
      </w:r>
      <w:r>
        <w:rPr>
          <w:rFonts w:hint="eastAsia" w:ascii="宋体" w:hAnsi="宋体" w:eastAsia="宋体" w:cs="宋体"/>
          <w:color w:val="auto"/>
          <w:spacing w:val="4"/>
          <w:sz w:val="24"/>
          <w:szCs w:val="24"/>
          <w:highlight w:val="none"/>
        </w:rPr>
        <w:t xml:space="preserve"> 部分由乙方补足。</w:t>
      </w:r>
    </w:p>
    <w:p w14:paraId="1A7620FC">
      <w:pPr>
        <w:spacing w:before="36" w:line="219" w:lineRule="auto"/>
        <w:ind w:left="497"/>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十四、违约责任</w:t>
      </w:r>
    </w:p>
    <w:p w14:paraId="5C3C75C7">
      <w:pPr>
        <w:spacing w:before="215" w:line="329" w:lineRule="auto"/>
        <w:ind w:right="82" w:firstLine="50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（一）食品供应造成师生食物中毒（一般食品安全事故</w:t>
      </w:r>
      <w:r>
        <w:rPr>
          <w:rFonts w:hint="eastAsia" w:ascii="宋体" w:hAnsi="宋体" w:eastAsia="宋体" w:cs="宋体"/>
          <w:color w:val="auto"/>
          <w:spacing w:val="4"/>
          <w:sz w:val="24"/>
          <w:szCs w:val="24"/>
          <w:highlight w:val="none"/>
        </w:rPr>
        <w:t>及以上等级的）或其他</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食源性疾病等重大安全事故的，经检测是乙方配送食品原材料原因的，甲方有权单</w:t>
      </w:r>
      <w:r>
        <w:rPr>
          <w:rFonts w:hint="eastAsia" w:ascii="宋体" w:hAnsi="宋体" w:eastAsia="宋体" w:cs="宋体"/>
          <w:color w:val="auto"/>
          <w:spacing w:val="6"/>
          <w:sz w:val="24"/>
          <w:szCs w:val="24"/>
          <w:highlight w:val="none"/>
        </w:rPr>
        <w:t xml:space="preserve"> 方解除本合同，乙方应当向甲方支付已供货总金额</w:t>
      </w:r>
      <w:r>
        <w:rPr>
          <w:rFonts w:hint="eastAsia" w:ascii="宋体" w:hAnsi="宋体" w:eastAsia="宋体" w:cs="宋体"/>
          <w:color w:val="auto"/>
          <w:spacing w:val="-95"/>
          <w:sz w:val="24"/>
          <w:szCs w:val="24"/>
          <w:highlight w:val="none"/>
        </w:rPr>
        <w:t xml:space="preserve"> </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114"/>
          <w:sz w:val="24"/>
          <w:szCs w:val="24"/>
          <w:highlight w:val="none"/>
        </w:rPr>
        <w:t xml:space="preserve"> </w:t>
      </w:r>
      <w:r>
        <w:rPr>
          <w:rFonts w:hint="eastAsia" w:ascii="宋体" w:hAnsi="宋体" w:eastAsia="宋体" w:cs="宋体"/>
          <w:color w:val="auto"/>
          <w:spacing w:val="6"/>
          <w:sz w:val="24"/>
          <w:szCs w:val="24"/>
          <w:highlight w:val="none"/>
        </w:rPr>
        <w:t>%的违约金。</w:t>
      </w:r>
    </w:p>
    <w:p w14:paraId="30538A4C">
      <w:pPr>
        <w:spacing w:before="213" w:line="330" w:lineRule="auto"/>
        <w:ind w:firstLine="508"/>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6"/>
          <w:sz w:val="24"/>
          <w:szCs w:val="24"/>
          <w:highlight w:val="none"/>
        </w:rPr>
        <w:t>乙方工作没有达到甲方或学校要求的，甲方有</w:t>
      </w:r>
      <w:r>
        <w:rPr>
          <w:rFonts w:hint="eastAsia" w:ascii="宋体" w:hAnsi="宋体" w:eastAsia="宋体" w:cs="宋体"/>
          <w:color w:val="auto"/>
          <w:spacing w:val="5"/>
          <w:sz w:val="24"/>
          <w:szCs w:val="24"/>
          <w:highlight w:val="none"/>
        </w:rPr>
        <w:t>权向乙方提出工作整改，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提高服务水平。甲方三次催告后乙方仍不予整改的，甲方有权单方解除合同，乙方</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5"/>
          <w:sz w:val="24"/>
          <w:szCs w:val="24"/>
          <w:highlight w:val="none"/>
        </w:rPr>
        <w:t>应承担给甲方造成的一切损失（包括但不限</w:t>
      </w:r>
      <w:r>
        <w:rPr>
          <w:rFonts w:hint="eastAsia" w:ascii="宋体" w:hAnsi="宋体" w:eastAsia="宋体" w:cs="宋体"/>
          <w:color w:val="auto"/>
          <w:spacing w:val="-6"/>
          <w:sz w:val="24"/>
          <w:szCs w:val="24"/>
          <w:highlight w:val="none"/>
        </w:rPr>
        <w:t>于鉴定费、差旅费、诉讼费、律师费等）。</w:t>
      </w:r>
    </w:p>
    <w:p w14:paraId="095A4B06">
      <w:pPr>
        <w:spacing w:before="215" w:line="301" w:lineRule="auto"/>
        <w:ind w:right="82" w:firstLine="507"/>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（三）若乙方已做到供货及时，保质保量，诚信经营，</w:t>
      </w:r>
      <w:r>
        <w:rPr>
          <w:rFonts w:hint="eastAsia" w:ascii="宋体" w:hAnsi="宋体" w:eastAsia="宋体" w:cs="宋体"/>
          <w:color w:val="auto"/>
          <w:spacing w:val="4"/>
          <w:sz w:val="24"/>
          <w:szCs w:val="24"/>
          <w:highlight w:val="none"/>
        </w:rPr>
        <w:t>甲方无正当理由不能在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合同期内随意取消乙方的供货权。</w:t>
      </w:r>
    </w:p>
    <w:p w14:paraId="2E6119AD">
      <w:pPr>
        <w:spacing w:before="220" w:line="351" w:lineRule="auto"/>
        <w:ind w:left="1" w:right="82" w:firstLine="50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（四）除本合同对违约责任有明确约定外，任何一方不</w:t>
      </w:r>
      <w:r>
        <w:rPr>
          <w:rFonts w:hint="eastAsia" w:ascii="宋体" w:hAnsi="宋体" w:eastAsia="宋体" w:cs="宋体"/>
          <w:color w:val="auto"/>
          <w:spacing w:val="4"/>
          <w:sz w:val="24"/>
          <w:szCs w:val="24"/>
          <w:highlight w:val="none"/>
        </w:rPr>
        <w:t>履行合同或履行合同不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符合约定的均视为违约。届时，违约方除应向守约方支付</w:t>
      </w:r>
      <w:r>
        <w:rPr>
          <w:rFonts w:hint="eastAsia" w:ascii="宋体" w:hAnsi="宋体" w:eastAsia="宋体" w:cs="宋体"/>
          <w:color w:val="auto"/>
          <w:spacing w:val="7"/>
          <w:sz w:val="24"/>
          <w:szCs w:val="24"/>
          <w:highlight w:val="none"/>
        </w:rPr>
        <w:t>已供货总金额</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%的惩</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罚性违约金外，还应赔偿由此给守约方造成的所有损失。同时，违约方未按守约方</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5"/>
          <w:sz w:val="24"/>
          <w:szCs w:val="24"/>
          <w:highlight w:val="none"/>
        </w:rPr>
        <w:t>的要求纠正违约行为或虽经纠正但仍不符合合同约定的，守约方有权单方面解除合</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同，</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3"/>
          <w:sz w:val="24"/>
          <w:szCs w:val="24"/>
          <w:highlight w:val="none"/>
        </w:rPr>
        <w:t>由此产生的责任均由违约方承担。</w:t>
      </w:r>
    </w:p>
    <w:p w14:paraId="154185AD">
      <w:pPr>
        <w:spacing w:before="215" w:line="219" w:lineRule="auto"/>
        <w:ind w:left="497"/>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十五、争议解决</w:t>
      </w:r>
    </w:p>
    <w:p w14:paraId="6BCF965A">
      <w:pPr>
        <w:spacing w:before="216" w:line="371" w:lineRule="auto"/>
        <w:ind w:right="85" w:firstLine="515"/>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因本合同相关事项发生的纠纷，可由双方协商解决，协商不成</w:t>
      </w:r>
      <w:r>
        <w:rPr>
          <w:rFonts w:hint="eastAsia" w:ascii="宋体" w:hAnsi="宋体" w:eastAsia="宋体" w:cs="宋体"/>
          <w:color w:val="auto"/>
          <w:spacing w:val="11"/>
          <w:sz w:val="24"/>
          <w:szCs w:val="24"/>
          <w:highlight w:val="none"/>
        </w:rPr>
        <w:t>，可按以下第</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种方式解决：</w:t>
      </w:r>
    </w:p>
    <w:p w14:paraId="6900E3C0">
      <w:pPr>
        <w:spacing w:before="34" w:line="219"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z w:val="24"/>
          <w:szCs w:val="24"/>
          <w:highlight w:val="none"/>
        </w:rPr>
        <w:t>向</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z w:val="24"/>
          <w:szCs w:val="24"/>
          <w:highlight w:val="none"/>
        </w:rPr>
        <w:t>仲裁委员会申请仲裁。</w:t>
      </w:r>
    </w:p>
    <w:p w14:paraId="1D02F500">
      <w:pPr>
        <w:spacing w:before="217" w:line="219" w:lineRule="auto"/>
        <w:ind w:left="50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（二）依法向</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99"/>
          <w:sz w:val="24"/>
          <w:szCs w:val="24"/>
          <w:highlight w:val="none"/>
        </w:rPr>
        <w:t xml:space="preserve"> </w:t>
      </w:r>
      <w:r>
        <w:rPr>
          <w:rFonts w:hint="eastAsia" w:ascii="宋体" w:hAnsi="宋体" w:eastAsia="宋体" w:cs="宋体"/>
          <w:color w:val="auto"/>
          <w:spacing w:val="3"/>
          <w:sz w:val="24"/>
          <w:szCs w:val="24"/>
          <w:highlight w:val="none"/>
        </w:rPr>
        <w:t>人民法院起诉。</w:t>
      </w:r>
    </w:p>
    <w:p w14:paraId="4315CC48">
      <w:pPr>
        <w:spacing w:line="219" w:lineRule="auto"/>
        <w:rPr>
          <w:rFonts w:hint="eastAsia" w:ascii="宋体" w:hAnsi="宋体" w:eastAsia="宋体" w:cs="宋体"/>
          <w:color w:val="auto"/>
          <w:sz w:val="24"/>
          <w:szCs w:val="24"/>
          <w:highlight w:val="none"/>
        </w:rPr>
        <w:sectPr>
          <w:footerReference r:id="rId18" w:type="default"/>
          <w:pgSz w:w="11906" w:h="16839"/>
          <w:pgMar w:top="400" w:right="1397" w:bottom="1666" w:left="1595" w:header="0" w:footer="1388" w:gutter="0"/>
          <w:cols w:space="720" w:num="1"/>
        </w:sectPr>
      </w:pPr>
    </w:p>
    <w:p w14:paraId="6B4345C2">
      <w:pPr>
        <w:spacing w:line="257" w:lineRule="auto"/>
        <w:rPr>
          <w:rFonts w:hint="eastAsia" w:ascii="宋体" w:hAnsi="宋体" w:eastAsia="宋体" w:cs="宋体"/>
          <w:color w:val="auto"/>
          <w:sz w:val="21"/>
          <w:highlight w:val="none"/>
        </w:rPr>
      </w:pPr>
    </w:p>
    <w:p w14:paraId="799DF6BA">
      <w:pPr>
        <w:spacing w:line="257" w:lineRule="auto"/>
        <w:rPr>
          <w:rFonts w:hint="eastAsia" w:ascii="宋体" w:hAnsi="宋体" w:eastAsia="宋体" w:cs="宋体"/>
          <w:color w:val="auto"/>
          <w:sz w:val="21"/>
          <w:highlight w:val="none"/>
        </w:rPr>
      </w:pPr>
    </w:p>
    <w:p w14:paraId="52FACBE9">
      <w:pPr>
        <w:spacing w:line="258" w:lineRule="auto"/>
        <w:rPr>
          <w:rFonts w:hint="eastAsia" w:ascii="宋体" w:hAnsi="宋体" w:eastAsia="宋体" w:cs="宋体"/>
          <w:color w:val="auto"/>
          <w:sz w:val="21"/>
          <w:highlight w:val="none"/>
        </w:rPr>
      </w:pPr>
    </w:p>
    <w:p w14:paraId="38422B80">
      <w:pPr>
        <w:spacing w:line="258" w:lineRule="auto"/>
        <w:rPr>
          <w:rFonts w:hint="eastAsia" w:ascii="宋体" w:hAnsi="宋体" w:eastAsia="宋体" w:cs="宋体"/>
          <w:color w:val="auto"/>
          <w:sz w:val="21"/>
          <w:highlight w:val="none"/>
        </w:rPr>
      </w:pPr>
    </w:p>
    <w:p w14:paraId="181B8F1C">
      <w:pPr>
        <w:spacing w:line="258" w:lineRule="auto"/>
        <w:rPr>
          <w:rFonts w:hint="eastAsia" w:ascii="宋体" w:hAnsi="宋体" w:eastAsia="宋体" w:cs="宋体"/>
          <w:color w:val="auto"/>
          <w:sz w:val="21"/>
          <w:highlight w:val="none"/>
        </w:rPr>
      </w:pPr>
    </w:p>
    <w:p w14:paraId="32F9F13F">
      <w:pPr>
        <w:spacing w:before="78" w:line="375" w:lineRule="auto"/>
        <w:ind w:left="1" w:right="56" w:firstLine="47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在诉讼或仲裁期间，本合同不涉及争议的条款仍然有效，双方</w:t>
      </w:r>
      <w:r>
        <w:rPr>
          <w:rFonts w:hint="eastAsia" w:ascii="宋体" w:hAnsi="宋体" w:eastAsia="宋体" w:cs="宋体"/>
          <w:color w:val="auto"/>
          <w:spacing w:val="-2"/>
          <w:sz w:val="24"/>
          <w:szCs w:val="24"/>
          <w:highlight w:val="none"/>
        </w:rPr>
        <w:t>应继续履行。因争</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议解决产生的诉讼费、保全费、保全、保险费、律师费、鉴定费</w:t>
      </w:r>
      <w:r>
        <w:rPr>
          <w:rFonts w:hint="eastAsia" w:ascii="宋体" w:hAnsi="宋体" w:eastAsia="宋体" w:cs="宋体"/>
          <w:color w:val="auto"/>
          <w:spacing w:val="-2"/>
          <w:sz w:val="24"/>
          <w:szCs w:val="24"/>
          <w:highlight w:val="none"/>
        </w:rPr>
        <w:t>、评估费、公证费、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差旅费、公告费、邮寄送达费等所有成本由违约方承担。</w:t>
      </w:r>
    </w:p>
    <w:p w14:paraId="5256867C">
      <w:pPr>
        <w:spacing w:before="39" w:line="219" w:lineRule="auto"/>
        <w:ind w:left="480"/>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十六、合同签订时间、地点、份数及生效</w:t>
      </w:r>
    </w:p>
    <w:p w14:paraId="653F86A3">
      <w:pPr>
        <w:spacing w:before="21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（一）合同签订时间：</w:t>
      </w:r>
      <w:r>
        <w:rPr>
          <w:rFonts w:hint="eastAsia"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105"/>
          <w:sz w:val="24"/>
          <w:szCs w:val="24"/>
          <w:highlight w:val="none"/>
        </w:rPr>
        <w:t xml:space="preserve"> </w:t>
      </w:r>
      <w:r>
        <w:rPr>
          <w:rFonts w:hint="eastAsia" w:ascii="宋体" w:hAnsi="宋体" w:eastAsia="宋体" w:cs="宋体"/>
          <w:color w:val="auto"/>
          <w:spacing w:val="-4"/>
          <w:sz w:val="24"/>
          <w:szCs w:val="24"/>
          <w:highlight w:val="none"/>
        </w:rPr>
        <w:t>年</w:t>
      </w:r>
      <w:r>
        <w:rPr>
          <w:rFonts w:hint="eastAsia"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pacing w:val="-4"/>
          <w:sz w:val="24"/>
          <w:szCs w:val="24"/>
          <w:highlight w:val="none"/>
        </w:rPr>
        <w:t>月</w:t>
      </w:r>
      <w:r>
        <w:rPr>
          <w:rFonts w:hint="eastAsia"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69"/>
          <w:sz w:val="24"/>
          <w:szCs w:val="24"/>
          <w:highlight w:val="none"/>
        </w:rPr>
        <w:t xml:space="preserve"> </w:t>
      </w:r>
      <w:r>
        <w:rPr>
          <w:rFonts w:hint="eastAsia" w:ascii="宋体" w:hAnsi="宋体" w:eastAsia="宋体" w:cs="宋体"/>
          <w:color w:val="auto"/>
          <w:spacing w:val="-4"/>
          <w:sz w:val="24"/>
          <w:szCs w:val="24"/>
          <w:highlight w:val="none"/>
        </w:rPr>
        <w:t>日。</w:t>
      </w:r>
    </w:p>
    <w:p w14:paraId="6594D6D0">
      <w:pPr>
        <w:spacing w:before="214" w:line="221"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（二）合同签订地点：</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rPr>
        <w:t>。</w:t>
      </w:r>
    </w:p>
    <w:p w14:paraId="6FC1A49E">
      <w:pPr>
        <w:spacing w:before="213" w:line="302" w:lineRule="auto"/>
        <w:ind w:left="9" w:right="56"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（三）合同份数：合同一式</w:t>
      </w:r>
      <w:r>
        <w:rPr>
          <w:rFonts w:hint="eastAsia" w:ascii="宋体" w:hAnsi="宋体" w:eastAsia="宋体" w:cs="宋体"/>
          <w:color w:val="auto"/>
          <w:spacing w:val="-102"/>
          <w:sz w:val="24"/>
          <w:szCs w:val="24"/>
          <w:highlight w:val="none"/>
        </w:rPr>
        <w:t xml:space="preserve"> </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z w:val="24"/>
          <w:szCs w:val="24"/>
          <w:highlight w:val="none"/>
        </w:rPr>
        <w:t>份，甲方</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10"/>
          <w:sz w:val="24"/>
          <w:szCs w:val="24"/>
          <w:highlight w:val="none"/>
        </w:rPr>
        <w:t xml:space="preserve"> </w:t>
      </w:r>
      <w:r>
        <w:rPr>
          <w:rFonts w:hint="eastAsia" w:ascii="宋体" w:hAnsi="宋体" w:eastAsia="宋体" w:cs="宋体"/>
          <w:color w:val="auto"/>
          <w:sz w:val="24"/>
          <w:szCs w:val="24"/>
          <w:highlight w:val="none"/>
        </w:rPr>
        <w:t>份，乙方</w:t>
      </w:r>
      <w:r>
        <w:rPr>
          <w:rFonts w:hint="eastAsia" w:ascii="宋体" w:hAnsi="宋体" w:eastAsia="宋体" w:cs="宋体"/>
          <w:color w:val="auto"/>
          <w:spacing w:val="-120"/>
          <w:sz w:val="24"/>
          <w:szCs w:val="24"/>
          <w:highlight w:val="none"/>
        </w:rPr>
        <w:t xml:space="preserve"> </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z w:val="24"/>
          <w:szCs w:val="24"/>
          <w:highlight w:val="none"/>
        </w:rPr>
        <w:t xml:space="preserve">份，由甲方向当地教 </w:t>
      </w:r>
      <w:r>
        <w:rPr>
          <w:rFonts w:hint="eastAsia" w:ascii="宋体" w:hAnsi="宋体" w:eastAsia="宋体" w:cs="宋体"/>
          <w:color w:val="auto"/>
          <w:spacing w:val="-2"/>
          <w:sz w:val="24"/>
          <w:szCs w:val="24"/>
          <w:highlight w:val="none"/>
        </w:rPr>
        <w:t>育行政部门备案</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110"/>
          <w:sz w:val="24"/>
          <w:szCs w:val="24"/>
          <w:highlight w:val="none"/>
        </w:rPr>
        <w:t xml:space="preserve"> </w:t>
      </w:r>
      <w:r>
        <w:rPr>
          <w:rFonts w:hint="eastAsia" w:ascii="宋体" w:hAnsi="宋体" w:eastAsia="宋体" w:cs="宋体"/>
          <w:color w:val="auto"/>
          <w:spacing w:val="-2"/>
          <w:sz w:val="24"/>
          <w:szCs w:val="24"/>
          <w:highlight w:val="none"/>
        </w:rPr>
        <w:t>份。</w:t>
      </w:r>
    </w:p>
    <w:p w14:paraId="5E18F94A">
      <w:pPr>
        <w:spacing w:before="21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（四）本合同经双方法定代表人签字并加盖公章后生效。</w:t>
      </w:r>
    </w:p>
    <w:p w14:paraId="252FB9FF">
      <w:pPr>
        <w:spacing w:before="218" w:line="220" w:lineRule="auto"/>
        <w:ind w:left="497"/>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十七、其它约定</w:t>
      </w:r>
    </w:p>
    <w:p w14:paraId="58E04C1E">
      <w:pPr>
        <w:spacing w:before="213" w:line="219" w:lineRule="auto"/>
        <w:ind w:left="50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（一）合同签订后</w:t>
      </w:r>
      <w:r>
        <w:rPr>
          <w:rFonts w:hint="eastAsia" w:ascii="宋体" w:hAnsi="宋体" w:eastAsia="宋体" w:cs="宋体"/>
          <w:color w:val="auto"/>
          <w:spacing w:val="-98"/>
          <w:sz w:val="24"/>
          <w:szCs w:val="24"/>
          <w:highlight w:val="none"/>
        </w:rPr>
        <w:t xml:space="preserve"> </w:t>
      </w:r>
      <w:r>
        <w:rPr>
          <w:rFonts w:hint="eastAsia"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3"/>
          <w:sz w:val="24"/>
          <w:szCs w:val="24"/>
          <w:highlight w:val="none"/>
        </w:rPr>
        <w:t>日内向属地教育行政部门备案。</w:t>
      </w:r>
    </w:p>
    <w:p w14:paraId="54816666">
      <w:pPr>
        <w:spacing w:before="213" w:line="330" w:lineRule="auto"/>
        <w:ind w:left="1" w:right="66" w:firstLine="50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（二）在履行本合同过程中涉及对中标资金和本合</w:t>
      </w:r>
      <w:r>
        <w:rPr>
          <w:rFonts w:hint="eastAsia" w:ascii="宋体" w:hAnsi="宋体" w:eastAsia="宋体" w:cs="宋体"/>
          <w:color w:val="auto"/>
          <w:spacing w:val="4"/>
          <w:sz w:val="24"/>
          <w:szCs w:val="24"/>
          <w:highlight w:val="none"/>
        </w:rPr>
        <w:t>同内容修改或补充的，须经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当地财政部门审批，并签订书面补充协议报教育行政部门和市场监管部门备案，方</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6"/>
          <w:sz w:val="24"/>
          <w:szCs w:val="24"/>
          <w:highlight w:val="none"/>
        </w:rPr>
        <w:t>可作为主合同不可分割的一部分。</w:t>
      </w:r>
    </w:p>
    <w:p w14:paraId="46F6C169">
      <w:pPr>
        <w:spacing w:before="213" w:line="330" w:lineRule="auto"/>
        <w:ind w:right="66" w:firstLine="507"/>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（三）本合同所有附件、采购文件、投标文件、中</w:t>
      </w:r>
      <w:r>
        <w:rPr>
          <w:rFonts w:hint="eastAsia" w:ascii="宋体" w:hAnsi="宋体" w:eastAsia="宋体" w:cs="宋体"/>
          <w:color w:val="auto"/>
          <w:spacing w:val="4"/>
          <w:sz w:val="24"/>
          <w:szCs w:val="24"/>
          <w:highlight w:val="none"/>
        </w:rPr>
        <w:t>标通知书均为合同的有效组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 xml:space="preserve">成部分，与本合同具有同等法律效力。本合同应实质性响应招标要求，优于或满足 </w:t>
      </w:r>
      <w:r>
        <w:rPr>
          <w:rFonts w:hint="eastAsia" w:ascii="宋体" w:hAnsi="宋体" w:eastAsia="宋体" w:cs="宋体"/>
          <w:color w:val="auto"/>
          <w:spacing w:val="7"/>
          <w:sz w:val="24"/>
          <w:szCs w:val="24"/>
          <w:highlight w:val="none"/>
        </w:rPr>
        <w:t>招投标文件，如有降低要求或不满足等不一致情况，以招投标文件为准。</w:t>
      </w:r>
    </w:p>
    <w:p w14:paraId="194FED53">
      <w:pPr>
        <w:spacing w:before="213" w:line="330" w:lineRule="auto"/>
        <w:ind w:firstLine="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（四）本合同如有未尽事宜，由甲乙双方协</w:t>
      </w:r>
      <w:r>
        <w:rPr>
          <w:rFonts w:hint="eastAsia" w:ascii="宋体" w:hAnsi="宋体" w:eastAsia="宋体" w:cs="宋体"/>
          <w:color w:val="auto"/>
          <w:spacing w:val="-1"/>
          <w:sz w:val="24"/>
          <w:szCs w:val="24"/>
          <w:highlight w:val="none"/>
        </w:rPr>
        <w:t>商解决。达成一致后签订补充协议，</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补充协议的约定原则上不能与本合同及中标通知书的核心内容相抵触，否则不具有</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法律效力。</w:t>
      </w:r>
    </w:p>
    <w:p w14:paraId="253BD4C3">
      <w:pPr>
        <w:spacing w:before="214" w:line="220" w:lineRule="auto"/>
        <w:ind w:left="497"/>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十八、合同生效</w:t>
      </w:r>
    </w:p>
    <w:p w14:paraId="6AE9977B">
      <w:pPr>
        <w:spacing w:before="215" w:line="219" w:lineRule="auto"/>
        <w:ind w:left="49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本合同自甲乙双方法定代表人签章并加盖单位公章（加盖骑缝章）后生效。</w:t>
      </w:r>
    </w:p>
    <w:p w14:paraId="537F9C57">
      <w:pPr>
        <w:spacing w:before="215" w:line="219" w:lineRule="auto"/>
        <w:ind w:left="5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甲方（公章</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乙方（公章</w:t>
      </w:r>
      <w:r>
        <w:rPr>
          <w:rFonts w:hint="eastAsia" w:ascii="宋体" w:hAnsi="宋体" w:eastAsia="宋体" w:cs="宋体"/>
          <w:color w:val="auto"/>
          <w:spacing w:val="6"/>
          <w:sz w:val="24"/>
          <w:szCs w:val="24"/>
          <w:highlight w:val="none"/>
        </w:rPr>
        <w:t>）：</w:t>
      </w:r>
    </w:p>
    <w:p w14:paraId="34491E5D">
      <w:pPr>
        <w:spacing w:before="215" w:line="220" w:lineRule="auto"/>
        <w:ind w:left="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账户：                        </w:t>
      </w:r>
      <w:r>
        <w:rPr>
          <w:rFonts w:hint="eastAsia" w:ascii="宋体" w:hAnsi="宋体" w:eastAsia="宋体" w:cs="宋体"/>
          <w:color w:val="auto"/>
          <w:spacing w:val="-1"/>
          <w:sz w:val="24"/>
          <w:szCs w:val="24"/>
          <w:highlight w:val="none"/>
        </w:rPr>
        <w:t xml:space="preserve">     账户：</w:t>
      </w:r>
    </w:p>
    <w:p w14:paraId="309C87CF">
      <w:pPr>
        <w:spacing w:before="215" w:line="220" w:lineRule="auto"/>
        <w:ind w:lef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开户行：</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1"/>
          <w:sz w:val="24"/>
          <w:szCs w:val="24"/>
          <w:highlight w:val="none"/>
        </w:rPr>
        <w:t>开户行：</w:t>
      </w:r>
    </w:p>
    <w:p w14:paraId="007888D5">
      <w:pPr>
        <w:spacing w:line="220" w:lineRule="auto"/>
        <w:rPr>
          <w:rFonts w:hint="eastAsia" w:ascii="宋体" w:hAnsi="宋体" w:eastAsia="宋体" w:cs="宋体"/>
          <w:color w:val="auto"/>
          <w:sz w:val="24"/>
          <w:szCs w:val="24"/>
          <w:highlight w:val="none"/>
        </w:rPr>
        <w:sectPr>
          <w:footerReference r:id="rId19" w:type="default"/>
          <w:pgSz w:w="11906" w:h="16839"/>
          <w:pgMar w:top="400" w:right="1416" w:bottom="1666" w:left="1595" w:header="0" w:footer="1388" w:gutter="0"/>
          <w:cols w:space="720" w:num="1"/>
        </w:sectPr>
      </w:pPr>
    </w:p>
    <w:p w14:paraId="0ADB9149">
      <w:pPr>
        <w:spacing w:line="257" w:lineRule="auto"/>
        <w:rPr>
          <w:rFonts w:hint="eastAsia" w:ascii="宋体" w:hAnsi="宋体" w:eastAsia="宋体" w:cs="宋体"/>
          <w:color w:val="auto"/>
          <w:sz w:val="21"/>
          <w:highlight w:val="none"/>
        </w:rPr>
      </w:pPr>
    </w:p>
    <w:p w14:paraId="506EB0C2">
      <w:pPr>
        <w:spacing w:line="258" w:lineRule="auto"/>
        <w:rPr>
          <w:rFonts w:hint="eastAsia" w:ascii="宋体" w:hAnsi="宋体" w:eastAsia="宋体" w:cs="宋体"/>
          <w:color w:val="auto"/>
          <w:sz w:val="21"/>
          <w:highlight w:val="none"/>
        </w:rPr>
      </w:pPr>
    </w:p>
    <w:p w14:paraId="155DFD2E">
      <w:pPr>
        <w:spacing w:line="258" w:lineRule="auto"/>
        <w:rPr>
          <w:rFonts w:hint="eastAsia" w:ascii="宋体" w:hAnsi="宋体" w:eastAsia="宋体" w:cs="宋体"/>
          <w:color w:val="auto"/>
          <w:sz w:val="21"/>
          <w:highlight w:val="none"/>
        </w:rPr>
      </w:pPr>
    </w:p>
    <w:p w14:paraId="537BA210">
      <w:pPr>
        <w:spacing w:line="258" w:lineRule="auto"/>
        <w:rPr>
          <w:rFonts w:hint="eastAsia" w:ascii="宋体" w:hAnsi="宋体" w:eastAsia="宋体" w:cs="宋体"/>
          <w:color w:val="auto"/>
          <w:sz w:val="21"/>
          <w:highlight w:val="none"/>
        </w:rPr>
      </w:pPr>
    </w:p>
    <w:p w14:paraId="33C985E1">
      <w:pPr>
        <w:spacing w:line="258" w:lineRule="auto"/>
        <w:rPr>
          <w:rFonts w:hint="eastAsia" w:ascii="宋体" w:hAnsi="宋体" w:eastAsia="宋体" w:cs="宋体"/>
          <w:color w:val="auto"/>
          <w:sz w:val="21"/>
          <w:highlight w:val="none"/>
        </w:rPr>
      </w:pPr>
    </w:p>
    <w:p w14:paraId="09CEB2BA">
      <w:pPr>
        <w:spacing w:before="78" w:line="220" w:lineRule="auto"/>
        <w:ind w:left="49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纳税人识别号：                    纳税人识别号：</w:t>
      </w:r>
    </w:p>
    <w:p w14:paraId="49F3DEE5">
      <w:pPr>
        <w:spacing w:before="212" w:line="229" w:lineRule="auto"/>
        <w:ind w:left="4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pacing w:val="-1"/>
          <w:sz w:val="24"/>
          <w:szCs w:val="24"/>
          <w:highlight w:val="none"/>
        </w:rPr>
        <w:t xml:space="preserve"> 地址：</w:t>
      </w:r>
    </w:p>
    <w:p w14:paraId="23A67DEE">
      <w:pPr>
        <w:spacing w:before="202" w:line="221"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联系人：</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1"/>
          <w:sz w:val="24"/>
          <w:szCs w:val="24"/>
          <w:highlight w:val="none"/>
        </w:rPr>
        <w:t>联系人：</w:t>
      </w:r>
    </w:p>
    <w:p w14:paraId="6878D94C">
      <w:pPr>
        <w:spacing w:before="214" w:line="221"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联系电话：</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联系电话：</w:t>
      </w:r>
    </w:p>
    <w:p w14:paraId="63708F7D">
      <w:pPr>
        <w:spacing w:before="211" w:line="219"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法人（签字）：</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4"/>
          <w:sz w:val="24"/>
          <w:szCs w:val="24"/>
          <w:highlight w:val="none"/>
        </w:rPr>
        <w:t>法人（签字）：</w:t>
      </w:r>
    </w:p>
    <w:p w14:paraId="7475A476">
      <w:pPr>
        <w:spacing w:before="215" w:line="372"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注意事项：本合同条款未尽事宜，由甲乙双方以补充合同约</w:t>
      </w:r>
      <w:r>
        <w:rPr>
          <w:rFonts w:hint="eastAsia" w:ascii="宋体" w:hAnsi="宋体" w:eastAsia="宋体" w:cs="宋体"/>
          <w:color w:val="auto"/>
          <w:spacing w:val="-2"/>
          <w:sz w:val="24"/>
          <w:szCs w:val="24"/>
          <w:highlight w:val="none"/>
        </w:rPr>
        <w:t>定，原则上不能超越</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和违背采购文件、投标文件及投标有关承诺的范围及内容。</w:t>
      </w:r>
    </w:p>
    <w:p w14:paraId="3504AE95">
      <w:pPr>
        <w:spacing w:line="372" w:lineRule="auto"/>
        <w:rPr>
          <w:rFonts w:hint="eastAsia" w:ascii="宋体" w:hAnsi="宋体" w:eastAsia="宋体" w:cs="宋体"/>
          <w:color w:val="auto"/>
          <w:sz w:val="24"/>
          <w:szCs w:val="24"/>
          <w:highlight w:val="none"/>
        </w:rPr>
        <w:sectPr>
          <w:footerReference r:id="rId20" w:type="default"/>
          <w:pgSz w:w="11906" w:h="16839"/>
          <w:pgMar w:top="400" w:right="1473" w:bottom="1666" w:left="1596" w:header="0" w:footer="1388" w:gutter="0"/>
          <w:cols w:space="720" w:num="1"/>
        </w:sectPr>
      </w:pPr>
    </w:p>
    <w:p w14:paraId="74A3CCB3">
      <w:pPr>
        <w:rPr>
          <w:rFonts w:ascii="仿宋" w:hAnsi="仿宋" w:eastAsia="仿宋" w:cs="仿宋"/>
          <w:b/>
          <w:bCs/>
          <w:color w:val="auto"/>
          <w:highlight w:val="none"/>
          <w:lang w:eastAsia="zh-CN"/>
        </w:rPr>
      </w:pPr>
    </w:p>
    <w:p w14:paraId="0C9416A4">
      <w:pPr>
        <w:rPr>
          <w:rFonts w:ascii="仿宋" w:hAnsi="仿宋" w:eastAsia="仿宋" w:cs="仿宋"/>
          <w:color w:val="auto"/>
          <w:highlight w:val="none"/>
          <w:lang w:eastAsia="zh-CN"/>
        </w:rPr>
      </w:pPr>
    </w:p>
    <w:p w14:paraId="1EF873AF">
      <w:pPr>
        <w:pStyle w:val="36"/>
        <w:keepNext/>
        <w:keepLines/>
        <w:spacing w:before="0" w:after="1160"/>
        <w:rPr>
          <w:rFonts w:ascii="仿宋" w:hAnsi="仿宋" w:eastAsia="仿宋" w:cs="仿宋"/>
          <w:b/>
          <w:bCs/>
          <w:color w:val="auto"/>
          <w:highlight w:val="none"/>
        </w:rPr>
      </w:pPr>
      <w:r>
        <w:rPr>
          <w:rFonts w:hint="eastAsia" w:ascii="仿宋" w:hAnsi="仿宋" w:eastAsia="仿宋" w:cs="仿宋"/>
          <w:b/>
          <w:bCs/>
          <w:color w:val="auto"/>
          <w:highlight w:val="none"/>
        </w:rPr>
        <w:t>第</w:t>
      </w:r>
      <w:r>
        <w:rPr>
          <w:rFonts w:hint="eastAsia" w:ascii="仿宋" w:hAnsi="仿宋" w:eastAsia="仿宋" w:cs="仿宋"/>
          <w:b/>
          <w:bCs/>
          <w:color w:val="auto"/>
          <w:highlight w:val="none"/>
          <w:lang w:eastAsia="zh-CN"/>
        </w:rPr>
        <w:t>六</w:t>
      </w:r>
      <w:r>
        <w:rPr>
          <w:rFonts w:hint="eastAsia" w:ascii="仿宋" w:hAnsi="仿宋" w:eastAsia="仿宋" w:cs="仿宋"/>
          <w:b/>
          <w:bCs/>
          <w:color w:val="auto"/>
          <w:highlight w:val="none"/>
        </w:rPr>
        <w:t>部分</w:t>
      </w:r>
      <w:r>
        <w:rPr>
          <w:rFonts w:hint="eastAsia" w:ascii="仿宋" w:hAnsi="仿宋" w:eastAsia="仿宋" w:cs="仿宋"/>
          <w:b/>
          <w:bCs/>
          <w:color w:val="auto"/>
          <w:highlight w:val="none"/>
          <w:lang w:val="en-US" w:eastAsia="zh-CN"/>
        </w:rPr>
        <w:t xml:space="preserve">  </w:t>
      </w:r>
      <w:r>
        <w:rPr>
          <w:rFonts w:hint="eastAsia" w:ascii="仿宋" w:hAnsi="仿宋" w:eastAsia="仿宋" w:cs="仿宋"/>
          <w:b/>
          <w:bCs/>
          <w:color w:val="auto"/>
          <w:highlight w:val="none"/>
        </w:rPr>
        <w:t>投标文件格式</w:t>
      </w:r>
    </w:p>
    <w:p w14:paraId="067BD3A5">
      <w:pPr>
        <w:adjustRightInd w:val="0"/>
        <w:snapToGrid w:val="0"/>
        <w:spacing w:line="360" w:lineRule="auto"/>
        <w:ind w:left="602" w:right="70" w:hanging="602"/>
        <w:jc w:val="right"/>
        <w:rPr>
          <w:rFonts w:ascii="仿宋" w:hAnsi="仿宋" w:eastAsia="仿宋" w:cs="仿宋"/>
          <w:b/>
          <w:bCs/>
          <w:color w:val="auto"/>
          <w:sz w:val="28"/>
          <w:szCs w:val="28"/>
          <w:highlight w:val="none"/>
          <w:bdr w:val="single" w:color="auto" w:sz="4" w:space="0"/>
          <w:lang w:eastAsia="zh-CN"/>
        </w:rPr>
      </w:pPr>
      <w:bookmarkStart w:id="51" w:name="bookmark196"/>
      <w:r>
        <w:rPr>
          <w:rFonts w:hint="eastAsia" w:ascii="仿宋" w:hAnsi="仿宋" w:eastAsia="仿宋" w:cs="仿宋"/>
          <w:b/>
          <w:bCs/>
          <w:color w:val="auto"/>
          <w:sz w:val="28"/>
          <w:szCs w:val="28"/>
          <w:highlight w:val="none"/>
          <w:bdr w:val="single" w:color="auto" w:sz="4" w:space="0"/>
          <w:lang w:eastAsia="zh-CN"/>
        </w:rPr>
        <w:t>正/副 本</w:t>
      </w:r>
    </w:p>
    <w:p w14:paraId="6031E42D">
      <w:pPr>
        <w:adjustRightInd w:val="0"/>
        <w:snapToGrid w:val="0"/>
        <w:spacing w:line="360" w:lineRule="auto"/>
        <w:jc w:val="center"/>
        <w:rPr>
          <w:rFonts w:ascii="仿宋" w:hAnsi="仿宋" w:eastAsia="仿宋" w:cs="仿宋"/>
          <w:b/>
          <w:caps/>
          <w:color w:val="auto"/>
          <w:highlight w:val="none"/>
          <w:lang w:eastAsia="zh-CN"/>
        </w:rPr>
      </w:pPr>
    </w:p>
    <w:p w14:paraId="0288368F">
      <w:pPr>
        <w:adjustRightInd w:val="0"/>
        <w:snapToGrid w:val="0"/>
        <w:spacing w:line="360" w:lineRule="auto"/>
        <w:jc w:val="center"/>
        <w:rPr>
          <w:rFonts w:ascii="仿宋" w:hAnsi="仿宋" w:eastAsia="仿宋" w:cs="仿宋"/>
          <w:bCs/>
          <w:color w:val="auto"/>
          <w:sz w:val="32"/>
          <w:szCs w:val="32"/>
          <w:highlight w:val="none"/>
          <w:lang w:eastAsia="zh-CN"/>
        </w:rPr>
      </w:pPr>
      <w:r>
        <w:rPr>
          <w:rFonts w:hint="eastAsia" w:ascii="仿宋" w:hAnsi="仿宋" w:eastAsia="仿宋" w:cs="仿宋"/>
          <w:b/>
          <w:caps/>
          <w:color w:val="auto"/>
          <w:sz w:val="32"/>
          <w:szCs w:val="32"/>
          <w:highlight w:val="none"/>
          <w:lang w:eastAsia="zh-CN"/>
        </w:rPr>
        <w:t>（项目名称）</w:t>
      </w:r>
    </w:p>
    <w:p w14:paraId="0DF0A97C">
      <w:pPr>
        <w:adjustRightInd w:val="0"/>
        <w:snapToGrid w:val="0"/>
        <w:spacing w:line="360" w:lineRule="auto"/>
        <w:jc w:val="both"/>
        <w:rPr>
          <w:rFonts w:ascii="仿宋" w:hAnsi="仿宋" w:eastAsia="仿宋" w:cs="仿宋"/>
          <w:bCs/>
          <w:color w:val="auto"/>
          <w:sz w:val="32"/>
          <w:szCs w:val="32"/>
          <w:highlight w:val="none"/>
          <w:lang w:eastAsia="zh-CN"/>
        </w:rPr>
      </w:pPr>
    </w:p>
    <w:p w14:paraId="0129FC46">
      <w:pPr>
        <w:adjustRightInd w:val="0"/>
        <w:snapToGrid w:val="0"/>
        <w:spacing w:line="360" w:lineRule="auto"/>
        <w:jc w:val="center"/>
        <w:rPr>
          <w:rFonts w:ascii="仿宋" w:hAnsi="仿宋" w:eastAsia="仿宋" w:cs="仿宋"/>
          <w:bCs/>
          <w:color w:val="auto"/>
          <w:sz w:val="32"/>
          <w:szCs w:val="32"/>
          <w:highlight w:val="none"/>
          <w:lang w:eastAsia="zh-CN"/>
        </w:rPr>
      </w:pPr>
    </w:p>
    <w:p w14:paraId="7F4908C8">
      <w:pPr>
        <w:adjustRightInd w:val="0"/>
        <w:snapToGrid w:val="0"/>
        <w:spacing w:line="360" w:lineRule="auto"/>
        <w:jc w:val="center"/>
        <w:rPr>
          <w:rFonts w:ascii="仿宋" w:hAnsi="仿宋" w:eastAsia="仿宋" w:cs="仿宋"/>
          <w:bCs/>
          <w:color w:val="auto"/>
          <w:sz w:val="32"/>
          <w:szCs w:val="32"/>
          <w:highlight w:val="none"/>
          <w:lang w:eastAsia="zh-CN"/>
        </w:rPr>
      </w:pPr>
      <w:r>
        <w:rPr>
          <w:rFonts w:hint="eastAsia" w:ascii="仿宋" w:hAnsi="仿宋" w:eastAsia="仿宋" w:cs="仿宋"/>
          <w:b/>
          <w:bCs/>
          <w:color w:val="auto"/>
          <w:sz w:val="44"/>
          <w:szCs w:val="44"/>
          <w:highlight w:val="none"/>
          <w:lang w:eastAsia="zh-CN"/>
        </w:rPr>
        <w:t>投标文件</w:t>
      </w:r>
    </w:p>
    <w:p w14:paraId="64586C6E">
      <w:pPr>
        <w:adjustRightInd w:val="0"/>
        <w:snapToGrid w:val="0"/>
        <w:spacing w:line="360" w:lineRule="auto"/>
        <w:jc w:val="center"/>
        <w:rPr>
          <w:rFonts w:ascii="仿宋" w:hAnsi="仿宋" w:eastAsia="仿宋" w:cs="仿宋"/>
          <w:bCs/>
          <w:color w:val="auto"/>
          <w:sz w:val="32"/>
          <w:szCs w:val="32"/>
          <w:highlight w:val="none"/>
          <w:lang w:eastAsia="zh-CN"/>
        </w:rPr>
      </w:pPr>
    </w:p>
    <w:p w14:paraId="1A1B0E1B">
      <w:pPr>
        <w:adjustRightInd w:val="0"/>
        <w:snapToGrid w:val="0"/>
        <w:spacing w:line="360" w:lineRule="auto"/>
        <w:jc w:val="both"/>
        <w:rPr>
          <w:rFonts w:ascii="仿宋" w:hAnsi="仿宋" w:eastAsia="仿宋" w:cs="仿宋"/>
          <w:bCs/>
          <w:color w:val="auto"/>
          <w:sz w:val="32"/>
          <w:szCs w:val="32"/>
          <w:highlight w:val="none"/>
          <w:lang w:eastAsia="zh-CN"/>
        </w:rPr>
      </w:pPr>
    </w:p>
    <w:p w14:paraId="43CFAFEC">
      <w:pPr>
        <w:adjustRightInd w:val="0"/>
        <w:snapToGrid w:val="0"/>
        <w:spacing w:line="360" w:lineRule="auto"/>
        <w:ind w:right="-156" w:rightChars="-64"/>
        <w:rPr>
          <w:rFonts w:ascii="仿宋" w:hAnsi="仿宋" w:eastAsia="仿宋" w:cs="仿宋"/>
          <w:b/>
          <w:caps/>
          <w:color w:val="auto"/>
          <w:sz w:val="28"/>
          <w:szCs w:val="28"/>
          <w:highlight w:val="none"/>
          <w:lang w:eastAsia="zh-CN"/>
        </w:rPr>
      </w:pPr>
      <w:r>
        <w:rPr>
          <w:rFonts w:hint="eastAsia" w:ascii="仿宋" w:hAnsi="仿宋" w:eastAsia="仿宋" w:cs="仿宋"/>
          <w:b/>
          <w:caps/>
          <w:color w:val="auto"/>
          <w:spacing w:val="0"/>
          <w:kern w:val="0"/>
          <w:sz w:val="28"/>
          <w:szCs w:val="28"/>
          <w:highlight w:val="none"/>
          <w:fitText w:val="2810" w:id="1470909418"/>
          <w:lang w:eastAsia="zh-CN"/>
        </w:rPr>
        <w:t>供应商名称（公章）：</w:t>
      </w:r>
    </w:p>
    <w:p w14:paraId="12D7B041">
      <w:pPr>
        <w:adjustRightInd w:val="0"/>
        <w:snapToGrid w:val="0"/>
        <w:spacing w:line="360" w:lineRule="auto"/>
        <w:ind w:right="-156" w:rightChars="-64"/>
        <w:rPr>
          <w:rFonts w:ascii="仿宋" w:hAnsi="仿宋" w:eastAsia="仿宋" w:cs="仿宋"/>
          <w:b/>
          <w:caps/>
          <w:color w:val="auto"/>
          <w:sz w:val="28"/>
          <w:szCs w:val="28"/>
          <w:highlight w:val="none"/>
          <w:lang w:eastAsia="zh-CN"/>
        </w:rPr>
      </w:pPr>
    </w:p>
    <w:p w14:paraId="6CF81B01">
      <w:pPr>
        <w:adjustRightInd w:val="0"/>
        <w:snapToGrid w:val="0"/>
        <w:spacing w:line="360" w:lineRule="auto"/>
        <w:ind w:right="-156" w:rightChars="-64"/>
        <w:rPr>
          <w:rFonts w:ascii="仿宋" w:hAnsi="仿宋" w:eastAsia="仿宋" w:cs="仿宋"/>
          <w:b/>
          <w:caps/>
          <w:color w:val="auto"/>
          <w:sz w:val="28"/>
          <w:szCs w:val="28"/>
          <w:highlight w:val="none"/>
          <w:lang w:eastAsia="zh-CN"/>
        </w:rPr>
      </w:pPr>
      <w:r>
        <w:rPr>
          <w:rFonts w:hint="eastAsia" w:ascii="仿宋" w:hAnsi="仿宋" w:eastAsia="仿宋" w:cs="仿宋"/>
          <w:b/>
          <w:caps/>
          <w:color w:val="auto"/>
          <w:spacing w:val="0"/>
          <w:w w:val="77"/>
          <w:kern w:val="0"/>
          <w:sz w:val="28"/>
          <w:szCs w:val="28"/>
          <w:highlight w:val="none"/>
          <w:fitText w:val="2810" w:id="1"/>
          <w:lang w:eastAsia="zh-CN"/>
        </w:rPr>
        <w:t>法定代表人（签章或盖章）</w:t>
      </w:r>
      <w:r>
        <w:rPr>
          <w:rFonts w:hint="eastAsia" w:ascii="仿宋" w:hAnsi="仿宋" w:eastAsia="仿宋" w:cs="仿宋"/>
          <w:b/>
          <w:caps/>
          <w:color w:val="auto"/>
          <w:spacing w:val="-1"/>
          <w:w w:val="77"/>
          <w:kern w:val="0"/>
          <w:sz w:val="28"/>
          <w:szCs w:val="28"/>
          <w:highlight w:val="none"/>
          <w:fitText w:val="2810" w:id="1"/>
          <w:lang w:eastAsia="zh-CN"/>
        </w:rPr>
        <w:t>：</w:t>
      </w:r>
    </w:p>
    <w:p w14:paraId="3D9AD508">
      <w:pPr>
        <w:adjustRightInd w:val="0"/>
        <w:snapToGrid w:val="0"/>
        <w:spacing w:line="360" w:lineRule="auto"/>
        <w:ind w:right="-156" w:rightChars="-64"/>
        <w:rPr>
          <w:rFonts w:ascii="仿宋" w:hAnsi="仿宋" w:eastAsia="仿宋" w:cs="仿宋"/>
          <w:b/>
          <w:caps/>
          <w:color w:val="auto"/>
          <w:sz w:val="28"/>
          <w:szCs w:val="28"/>
          <w:highlight w:val="none"/>
          <w:lang w:eastAsia="zh-CN"/>
        </w:rPr>
      </w:pPr>
    </w:p>
    <w:p w14:paraId="5A2ACE5A">
      <w:pPr>
        <w:adjustRightInd w:val="0"/>
        <w:snapToGrid w:val="0"/>
        <w:spacing w:line="360" w:lineRule="auto"/>
        <w:ind w:right="-156" w:rightChars="-64"/>
        <w:rPr>
          <w:rFonts w:ascii="仿宋" w:hAnsi="仿宋" w:eastAsia="仿宋" w:cs="仿宋"/>
          <w:b/>
          <w:caps/>
          <w:color w:val="auto"/>
          <w:sz w:val="28"/>
          <w:szCs w:val="28"/>
          <w:highlight w:val="none"/>
          <w:lang w:eastAsia="zh-CN"/>
        </w:rPr>
      </w:pPr>
      <w:r>
        <w:rPr>
          <w:rFonts w:hint="eastAsia" w:ascii="仿宋" w:hAnsi="仿宋" w:eastAsia="仿宋" w:cs="仿宋"/>
          <w:b/>
          <w:caps/>
          <w:color w:val="auto"/>
          <w:spacing w:val="113"/>
          <w:kern w:val="0"/>
          <w:sz w:val="28"/>
          <w:szCs w:val="28"/>
          <w:highlight w:val="none"/>
          <w:fitText w:val="2810" w:id="2"/>
          <w:lang w:eastAsia="zh-CN"/>
        </w:rPr>
        <w:t>供应商地址</w:t>
      </w:r>
      <w:r>
        <w:rPr>
          <w:rFonts w:hint="eastAsia" w:ascii="仿宋" w:hAnsi="仿宋" w:eastAsia="仿宋" w:cs="仿宋"/>
          <w:b/>
          <w:caps/>
          <w:color w:val="auto"/>
          <w:spacing w:val="0"/>
          <w:kern w:val="0"/>
          <w:sz w:val="28"/>
          <w:szCs w:val="28"/>
          <w:highlight w:val="none"/>
          <w:fitText w:val="2810" w:id="2"/>
          <w:lang w:eastAsia="zh-CN"/>
        </w:rPr>
        <w:t>：</w:t>
      </w:r>
    </w:p>
    <w:p w14:paraId="654BAD4B">
      <w:pPr>
        <w:adjustRightInd w:val="0"/>
        <w:snapToGrid w:val="0"/>
        <w:spacing w:line="360" w:lineRule="auto"/>
        <w:ind w:right="-156" w:rightChars="-64"/>
        <w:rPr>
          <w:rFonts w:ascii="仿宋" w:hAnsi="仿宋" w:eastAsia="仿宋" w:cs="仿宋"/>
          <w:b/>
          <w:caps/>
          <w:color w:val="auto"/>
          <w:sz w:val="28"/>
          <w:szCs w:val="28"/>
          <w:highlight w:val="none"/>
          <w:lang w:eastAsia="zh-CN"/>
        </w:rPr>
      </w:pPr>
    </w:p>
    <w:p w14:paraId="4BB26B0D">
      <w:pPr>
        <w:adjustRightInd w:val="0"/>
        <w:snapToGrid w:val="0"/>
        <w:spacing w:line="360" w:lineRule="auto"/>
        <w:ind w:right="-156" w:rightChars="-64"/>
        <w:rPr>
          <w:rFonts w:ascii="仿宋" w:hAnsi="仿宋" w:eastAsia="仿宋" w:cs="仿宋"/>
          <w:b/>
          <w:caps/>
          <w:color w:val="auto"/>
          <w:sz w:val="28"/>
          <w:szCs w:val="28"/>
          <w:highlight w:val="none"/>
          <w:lang w:eastAsia="zh-CN"/>
        </w:rPr>
      </w:pPr>
      <w:r>
        <w:rPr>
          <w:rFonts w:hint="eastAsia" w:ascii="仿宋" w:hAnsi="仿宋" w:eastAsia="仿宋" w:cs="仿宋"/>
          <w:b/>
          <w:caps/>
          <w:color w:val="auto"/>
          <w:spacing w:val="281"/>
          <w:kern w:val="0"/>
          <w:sz w:val="28"/>
          <w:szCs w:val="28"/>
          <w:highlight w:val="none"/>
          <w:fitText w:val="2810" w:id="3"/>
          <w:lang w:eastAsia="zh-CN"/>
        </w:rPr>
        <w:t>联系人</w:t>
      </w:r>
      <w:r>
        <w:rPr>
          <w:rFonts w:hint="eastAsia" w:ascii="仿宋" w:hAnsi="仿宋" w:eastAsia="仿宋" w:cs="仿宋"/>
          <w:b/>
          <w:caps/>
          <w:color w:val="auto"/>
          <w:spacing w:val="2"/>
          <w:kern w:val="0"/>
          <w:sz w:val="28"/>
          <w:szCs w:val="28"/>
          <w:highlight w:val="none"/>
          <w:fitText w:val="2810" w:id="3"/>
          <w:lang w:eastAsia="zh-CN"/>
        </w:rPr>
        <w:t>：</w:t>
      </w:r>
    </w:p>
    <w:p w14:paraId="258C7612">
      <w:pPr>
        <w:adjustRightInd w:val="0"/>
        <w:snapToGrid w:val="0"/>
        <w:spacing w:line="360" w:lineRule="auto"/>
        <w:ind w:right="-156" w:rightChars="-64"/>
        <w:rPr>
          <w:rFonts w:ascii="仿宋" w:hAnsi="仿宋" w:eastAsia="仿宋" w:cs="仿宋"/>
          <w:b/>
          <w:caps/>
          <w:color w:val="auto"/>
          <w:sz w:val="28"/>
          <w:szCs w:val="28"/>
          <w:highlight w:val="none"/>
          <w:lang w:eastAsia="zh-CN"/>
        </w:rPr>
      </w:pPr>
    </w:p>
    <w:p w14:paraId="01049F18">
      <w:pPr>
        <w:adjustRightInd w:val="0"/>
        <w:snapToGrid w:val="0"/>
        <w:spacing w:line="360" w:lineRule="auto"/>
        <w:ind w:right="-156" w:rightChars="-64"/>
        <w:rPr>
          <w:rFonts w:ascii="仿宋" w:hAnsi="仿宋" w:eastAsia="仿宋" w:cs="仿宋"/>
          <w:b/>
          <w:caps/>
          <w:color w:val="auto"/>
          <w:sz w:val="28"/>
          <w:szCs w:val="28"/>
          <w:highlight w:val="none"/>
          <w:lang w:eastAsia="zh-CN"/>
        </w:rPr>
      </w:pPr>
      <w:r>
        <w:rPr>
          <w:rFonts w:hint="eastAsia" w:ascii="仿宋" w:hAnsi="仿宋" w:eastAsia="仿宋" w:cs="仿宋"/>
          <w:b/>
          <w:caps/>
          <w:color w:val="auto"/>
          <w:spacing w:val="176"/>
          <w:kern w:val="0"/>
          <w:sz w:val="28"/>
          <w:szCs w:val="28"/>
          <w:highlight w:val="none"/>
          <w:fitText w:val="2810" w:id="4"/>
          <w:lang w:eastAsia="zh-CN"/>
        </w:rPr>
        <w:t>联系电话</w:t>
      </w:r>
      <w:r>
        <w:rPr>
          <w:rFonts w:hint="eastAsia" w:ascii="仿宋" w:hAnsi="仿宋" w:eastAsia="仿宋" w:cs="仿宋"/>
          <w:b/>
          <w:caps/>
          <w:color w:val="auto"/>
          <w:spacing w:val="1"/>
          <w:kern w:val="0"/>
          <w:sz w:val="28"/>
          <w:szCs w:val="28"/>
          <w:highlight w:val="none"/>
          <w:fitText w:val="2810" w:id="4"/>
          <w:lang w:eastAsia="zh-CN"/>
        </w:rPr>
        <w:t>：</w:t>
      </w:r>
    </w:p>
    <w:p w14:paraId="6E051C77">
      <w:pPr>
        <w:adjustRightInd w:val="0"/>
        <w:snapToGrid w:val="0"/>
        <w:spacing w:line="360" w:lineRule="auto"/>
        <w:jc w:val="center"/>
        <w:rPr>
          <w:rFonts w:ascii="仿宋" w:hAnsi="仿宋" w:eastAsia="仿宋" w:cs="仿宋"/>
          <w:b/>
          <w:caps/>
          <w:color w:val="auto"/>
          <w:sz w:val="28"/>
          <w:szCs w:val="28"/>
          <w:highlight w:val="none"/>
          <w:lang w:eastAsia="zh-CN"/>
        </w:rPr>
      </w:pPr>
    </w:p>
    <w:p w14:paraId="19C57470">
      <w:pPr>
        <w:adjustRightInd w:val="0"/>
        <w:snapToGrid w:val="0"/>
        <w:spacing w:line="360" w:lineRule="auto"/>
        <w:jc w:val="center"/>
        <w:rPr>
          <w:rFonts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_</w:t>
      </w:r>
      <w:r>
        <w:rPr>
          <w:rFonts w:hint="eastAsia" w:ascii="仿宋" w:hAnsi="仿宋" w:eastAsia="仿宋" w:cs="仿宋"/>
          <w:b/>
          <w:color w:val="auto"/>
          <w:sz w:val="28"/>
          <w:szCs w:val="28"/>
          <w:highlight w:val="none"/>
          <w:u w:val="single"/>
          <w:lang w:eastAsia="zh-CN"/>
        </w:rPr>
        <w:t xml:space="preserve">    </w:t>
      </w:r>
      <w:r>
        <w:rPr>
          <w:rFonts w:hint="eastAsia" w:ascii="仿宋" w:hAnsi="仿宋" w:eastAsia="仿宋" w:cs="仿宋"/>
          <w:b/>
          <w:color w:val="auto"/>
          <w:sz w:val="28"/>
          <w:szCs w:val="28"/>
          <w:highlight w:val="none"/>
          <w:lang w:eastAsia="zh-CN"/>
        </w:rPr>
        <w:t>_年__</w:t>
      </w:r>
      <w:r>
        <w:rPr>
          <w:rFonts w:hint="eastAsia" w:ascii="仿宋" w:hAnsi="仿宋" w:eastAsia="仿宋" w:cs="仿宋"/>
          <w:b/>
          <w:color w:val="auto"/>
          <w:sz w:val="28"/>
          <w:szCs w:val="28"/>
          <w:highlight w:val="none"/>
          <w:u w:val="single"/>
          <w:lang w:eastAsia="zh-CN"/>
        </w:rPr>
        <w:t xml:space="preserve">   </w:t>
      </w:r>
      <w:r>
        <w:rPr>
          <w:rFonts w:hint="eastAsia" w:ascii="仿宋" w:hAnsi="仿宋" w:eastAsia="仿宋" w:cs="仿宋"/>
          <w:b/>
          <w:color w:val="auto"/>
          <w:sz w:val="28"/>
          <w:szCs w:val="28"/>
          <w:highlight w:val="none"/>
          <w:lang w:eastAsia="zh-CN"/>
        </w:rPr>
        <w:t>_月__</w:t>
      </w:r>
      <w:r>
        <w:rPr>
          <w:rFonts w:hint="eastAsia" w:ascii="仿宋" w:hAnsi="仿宋" w:eastAsia="仿宋" w:cs="仿宋"/>
          <w:b/>
          <w:color w:val="auto"/>
          <w:sz w:val="28"/>
          <w:szCs w:val="28"/>
          <w:highlight w:val="none"/>
          <w:u w:val="single"/>
          <w:lang w:eastAsia="zh-CN"/>
        </w:rPr>
        <w:t xml:space="preserve">   </w:t>
      </w:r>
      <w:r>
        <w:rPr>
          <w:rFonts w:hint="eastAsia" w:ascii="仿宋" w:hAnsi="仿宋" w:eastAsia="仿宋" w:cs="仿宋"/>
          <w:b/>
          <w:color w:val="auto"/>
          <w:sz w:val="28"/>
          <w:szCs w:val="28"/>
          <w:highlight w:val="none"/>
          <w:lang w:eastAsia="zh-CN"/>
        </w:rPr>
        <w:t>_日</w:t>
      </w:r>
    </w:p>
    <w:p w14:paraId="1CD128B5">
      <w:pPr>
        <w:pStyle w:val="38"/>
        <w:spacing w:after="340" w:line="240" w:lineRule="auto"/>
        <w:ind w:firstLine="0"/>
        <w:rPr>
          <w:rFonts w:ascii="仿宋" w:hAnsi="仿宋" w:eastAsia="仿宋" w:cs="仿宋"/>
          <w:color w:val="auto"/>
          <w:highlight w:val="none"/>
        </w:rPr>
      </w:pPr>
    </w:p>
    <w:bookmarkEnd w:id="51"/>
    <w:p w14:paraId="0A53B445">
      <w:pPr>
        <w:pStyle w:val="2"/>
        <w:spacing w:line="240" w:lineRule="atLeast"/>
        <w:rPr>
          <w:rFonts w:ascii="仿宋" w:hAnsi="仿宋" w:eastAsia="仿宋" w:cs="仿宋"/>
          <w:bCs/>
          <w:color w:val="auto"/>
          <w:sz w:val="24"/>
          <w:highlight w:val="none"/>
          <w:lang w:eastAsia="zh-CN"/>
        </w:rPr>
      </w:pPr>
      <w:bookmarkStart w:id="52" w:name="_Toc515647803"/>
      <w:bookmarkStart w:id="53" w:name="_Toc18694"/>
      <w:bookmarkStart w:id="54" w:name="_Toc8919"/>
      <w:bookmarkStart w:id="55" w:name="_Toc18974"/>
    </w:p>
    <w:p w14:paraId="66652351">
      <w:pPr>
        <w:pStyle w:val="2"/>
        <w:spacing w:line="240" w:lineRule="atLeast"/>
        <w:rPr>
          <w:rFonts w:ascii="仿宋" w:hAnsi="仿宋" w:eastAsia="仿宋" w:cs="仿宋"/>
          <w:color w:val="auto"/>
          <w:szCs w:val="21"/>
          <w:highlight w:val="none"/>
          <w:lang w:eastAsia="zh-CN"/>
        </w:rPr>
      </w:pPr>
      <w:r>
        <w:rPr>
          <w:rFonts w:hint="eastAsia" w:ascii="仿宋" w:hAnsi="仿宋" w:eastAsia="仿宋" w:cs="仿宋"/>
          <w:bCs/>
          <w:color w:val="auto"/>
          <w:szCs w:val="21"/>
          <w:highlight w:val="none"/>
          <w:lang w:eastAsia="zh-CN"/>
        </w:rPr>
        <w:t>第一部分 资格证明文件</w:t>
      </w:r>
      <w:bookmarkEnd w:id="52"/>
      <w:bookmarkEnd w:id="53"/>
      <w:bookmarkEnd w:id="54"/>
      <w:bookmarkEnd w:id="55"/>
    </w:p>
    <w:p w14:paraId="67028A07">
      <w:pPr>
        <w:spacing w:line="240" w:lineRule="atLeast"/>
        <w:ind w:left="717" w:hanging="722" w:hangingChars="295"/>
        <w:jc w:val="center"/>
        <w:rPr>
          <w:rFonts w:ascii="仿宋" w:hAnsi="仿宋" w:eastAsia="仿宋" w:cs="仿宋"/>
          <w:color w:val="auto"/>
          <w:highlight w:val="none"/>
          <w:lang w:eastAsia="zh-CN"/>
        </w:rPr>
      </w:pPr>
    </w:p>
    <w:p w14:paraId="1E77BCF8">
      <w:pPr>
        <w:pStyle w:val="33"/>
        <w:rPr>
          <w:rFonts w:hint="default" w:ascii="仿宋" w:hAnsi="仿宋" w:eastAsia="仿宋" w:cs="仿宋"/>
          <w:b/>
          <w:bCs/>
          <w:color w:val="auto"/>
          <w:sz w:val="36"/>
          <w:szCs w:val="36"/>
          <w:highlight w:val="none"/>
          <w:lang w:val="en-US" w:eastAsia="zh-CN"/>
        </w:rPr>
      </w:pPr>
      <w:r>
        <w:rPr>
          <w:rFonts w:hint="eastAsia" w:ascii="仿宋" w:hAnsi="仿宋" w:eastAsia="仿宋" w:cs="仿宋"/>
          <w:color w:val="auto"/>
          <w:szCs w:val="21"/>
          <w:highlight w:val="none"/>
          <w:lang w:val="en-US" w:eastAsia="zh-CN"/>
        </w:rPr>
        <w:t>详见“</w:t>
      </w:r>
      <w:r>
        <w:rPr>
          <w:rFonts w:hint="eastAsia" w:ascii="仿宋" w:hAnsi="仿宋" w:eastAsia="仿宋" w:cs="仿宋"/>
          <w:b/>
          <w:color w:val="auto"/>
          <w:szCs w:val="21"/>
          <w:highlight w:val="none"/>
          <w:lang w:eastAsia="zh-CN"/>
        </w:rPr>
        <w:t>资格性审查</w:t>
      </w:r>
      <w:r>
        <w:rPr>
          <w:rFonts w:hint="eastAsia" w:ascii="仿宋" w:hAnsi="仿宋" w:eastAsia="仿宋" w:cs="仿宋"/>
          <w:color w:val="auto"/>
          <w:szCs w:val="21"/>
          <w:highlight w:val="none"/>
          <w:lang w:val="en-US" w:eastAsia="zh-CN"/>
        </w:rPr>
        <w:t>”表</w:t>
      </w:r>
    </w:p>
    <w:p w14:paraId="4DF4A2DC">
      <w:pPr>
        <w:pStyle w:val="8"/>
        <w:numPr>
          <w:ilvl w:val="0"/>
          <w:numId w:val="0"/>
        </w:numPr>
        <w:kinsoku w:val="0"/>
        <w:overflowPunct w:val="0"/>
        <w:spacing w:before="34" w:line="440" w:lineRule="exact"/>
        <w:ind w:left="480" w:right="126"/>
        <w:jc w:val="center"/>
        <w:rPr>
          <w:rFonts w:hint="eastAsia" w:ascii="仿宋" w:hAnsi="仿宋" w:eastAsia="仿宋" w:cs="仿宋"/>
          <w:b/>
          <w:bCs/>
          <w:color w:val="auto"/>
          <w:sz w:val="36"/>
          <w:szCs w:val="36"/>
          <w:highlight w:val="none"/>
          <w:lang w:eastAsia="zh-CN"/>
        </w:rPr>
      </w:pPr>
      <w:bookmarkStart w:id="56" w:name="_Toc515647805"/>
      <w:bookmarkStart w:id="57" w:name="_Toc29899"/>
      <w:bookmarkStart w:id="58" w:name="_Toc17577"/>
      <w:bookmarkStart w:id="59" w:name="_Toc4844"/>
    </w:p>
    <w:p w14:paraId="27187789">
      <w:pPr>
        <w:rPr>
          <w:rFonts w:hint="eastAsia" w:ascii="仿宋" w:hAnsi="仿宋" w:eastAsia="仿宋" w:cs="仿宋"/>
          <w:b/>
          <w:bCs/>
          <w:color w:val="auto"/>
          <w:sz w:val="36"/>
          <w:szCs w:val="36"/>
          <w:highlight w:val="none"/>
          <w:lang w:eastAsia="zh-CN"/>
        </w:rPr>
      </w:pPr>
    </w:p>
    <w:p w14:paraId="6E288273">
      <w:pPr>
        <w:pStyle w:val="5"/>
        <w:rPr>
          <w:rFonts w:hint="eastAsia" w:ascii="仿宋" w:hAnsi="仿宋" w:eastAsia="仿宋" w:cs="仿宋"/>
          <w:b/>
          <w:bCs/>
          <w:color w:val="auto"/>
          <w:sz w:val="36"/>
          <w:szCs w:val="36"/>
          <w:highlight w:val="none"/>
          <w:lang w:eastAsia="zh-CN"/>
        </w:rPr>
      </w:pPr>
    </w:p>
    <w:p w14:paraId="0895D0DA">
      <w:pPr>
        <w:pStyle w:val="6"/>
        <w:rPr>
          <w:rFonts w:hint="eastAsia" w:ascii="仿宋" w:hAnsi="仿宋" w:eastAsia="仿宋" w:cs="仿宋"/>
          <w:b/>
          <w:bCs/>
          <w:color w:val="auto"/>
          <w:sz w:val="36"/>
          <w:szCs w:val="36"/>
          <w:highlight w:val="none"/>
          <w:lang w:eastAsia="zh-CN"/>
        </w:rPr>
      </w:pPr>
    </w:p>
    <w:p w14:paraId="7514A328">
      <w:pPr>
        <w:rPr>
          <w:rFonts w:hint="eastAsia" w:ascii="仿宋" w:hAnsi="仿宋" w:eastAsia="仿宋" w:cs="仿宋"/>
          <w:b/>
          <w:bCs/>
          <w:color w:val="auto"/>
          <w:sz w:val="36"/>
          <w:szCs w:val="36"/>
          <w:highlight w:val="none"/>
          <w:lang w:eastAsia="zh-CN"/>
        </w:rPr>
      </w:pPr>
    </w:p>
    <w:p w14:paraId="736C2363">
      <w:pPr>
        <w:rPr>
          <w:rFonts w:hint="eastAsia" w:ascii="仿宋" w:hAnsi="仿宋" w:eastAsia="仿宋" w:cs="仿宋"/>
          <w:b/>
          <w:bCs/>
          <w:color w:val="auto"/>
          <w:sz w:val="36"/>
          <w:szCs w:val="36"/>
          <w:highlight w:val="none"/>
          <w:lang w:eastAsia="zh-CN"/>
        </w:rPr>
      </w:pPr>
    </w:p>
    <w:p w14:paraId="156A85AE">
      <w:pPr>
        <w:rPr>
          <w:rFonts w:hint="eastAsia" w:ascii="仿宋" w:hAnsi="仿宋" w:eastAsia="仿宋" w:cs="仿宋"/>
          <w:b/>
          <w:bCs/>
          <w:color w:val="auto"/>
          <w:sz w:val="36"/>
          <w:szCs w:val="36"/>
          <w:highlight w:val="none"/>
          <w:lang w:eastAsia="zh-CN"/>
        </w:rPr>
      </w:pPr>
    </w:p>
    <w:p w14:paraId="15E815D9">
      <w:pPr>
        <w:pStyle w:val="5"/>
        <w:rPr>
          <w:rFonts w:hint="eastAsia" w:ascii="仿宋" w:hAnsi="仿宋" w:eastAsia="仿宋" w:cs="仿宋"/>
          <w:b/>
          <w:bCs/>
          <w:color w:val="auto"/>
          <w:sz w:val="36"/>
          <w:szCs w:val="36"/>
          <w:highlight w:val="none"/>
          <w:lang w:eastAsia="zh-CN"/>
        </w:rPr>
      </w:pPr>
    </w:p>
    <w:p w14:paraId="6E2C1916">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1、 法人或者非法人组织的营业执照等证明文件</w:t>
      </w:r>
      <w:bookmarkEnd w:id="56"/>
      <w:bookmarkStart w:id="60" w:name="_Toc515647806"/>
      <w:r>
        <w:rPr>
          <w:rFonts w:hint="eastAsia" w:ascii="仿宋" w:hAnsi="仿宋" w:eastAsia="仿宋" w:cs="仿宋"/>
          <w:b/>
          <w:bCs/>
          <w:color w:val="auto"/>
          <w:sz w:val="36"/>
          <w:szCs w:val="36"/>
          <w:highlight w:val="none"/>
          <w:lang w:eastAsia="zh-CN"/>
        </w:rPr>
        <w:t>或自然人的身份证明</w:t>
      </w:r>
      <w:bookmarkEnd w:id="57"/>
      <w:bookmarkEnd w:id="58"/>
      <w:bookmarkEnd w:id="59"/>
      <w:bookmarkEnd w:id="60"/>
    </w:p>
    <w:p w14:paraId="2542D304">
      <w:pPr>
        <w:pStyle w:val="10"/>
        <w:tabs>
          <w:tab w:val="left" w:pos="5580"/>
        </w:tabs>
        <w:spacing w:line="400" w:lineRule="exact"/>
        <w:ind w:left="1169" w:leftChars="257" w:hanging="540"/>
        <w:jc w:val="center"/>
        <w:rPr>
          <w:rFonts w:ascii="仿宋" w:hAnsi="仿宋" w:eastAsia="仿宋" w:cs="仿宋"/>
          <w:b/>
          <w:color w:val="auto"/>
          <w:highlight w:val="none"/>
          <w:lang w:eastAsia="zh-CN"/>
        </w:rPr>
      </w:pPr>
    </w:p>
    <w:p w14:paraId="2713B69E">
      <w:pPr>
        <w:pStyle w:val="10"/>
        <w:tabs>
          <w:tab w:val="left" w:pos="5580"/>
        </w:tabs>
        <w:spacing w:line="400" w:lineRule="exact"/>
        <w:ind w:left="1169" w:leftChars="257" w:hanging="540"/>
        <w:rPr>
          <w:rFonts w:ascii="仿宋" w:hAnsi="仿宋" w:eastAsia="仿宋" w:cs="仿宋"/>
          <w:b/>
          <w:color w:val="auto"/>
          <w:highlight w:val="none"/>
          <w:lang w:eastAsia="zh-CN"/>
        </w:rPr>
      </w:pPr>
    </w:p>
    <w:p w14:paraId="4C8C8554">
      <w:pPr>
        <w:pStyle w:val="10"/>
        <w:tabs>
          <w:tab w:val="left" w:pos="5580"/>
        </w:tabs>
        <w:spacing w:line="400" w:lineRule="exact"/>
        <w:ind w:left="1169" w:leftChars="257" w:hanging="540"/>
        <w:rPr>
          <w:rFonts w:ascii="仿宋" w:hAnsi="仿宋" w:eastAsia="仿宋" w:cs="仿宋"/>
          <w:b/>
          <w:color w:val="auto"/>
          <w:highlight w:val="none"/>
          <w:lang w:eastAsia="zh-CN"/>
        </w:rPr>
      </w:pPr>
    </w:p>
    <w:p w14:paraId="1DBC7801">
      <w:pPr>
        <w:pStyle w:val="10"/>
        <w:tabs>
          <w:tab w:val="left" w:pos="5580"/>
        </w:tabs>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说明：1.提供有效的营业执照等证明文件复印件，复印件上应加盖本单位章。</w:t>
      </w:r>
    </w:p>
    <w:p w14:paraId="435B7946">
      <w:pPr>
        <w:pStyle w:val="10"/>
        <w:tabs>
          <w:tab w:val="left" w:pos="5580"/>
        </w:tabs>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2.供应商为自然人的，应提供身份证明的复印件。</w:t>
      </w:r>
    </w:p>
    <w:p w14:paraId="27C4D6D8">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highlight w:val="none"/>
          <w:lang w:eastAsia="zh-CN"/>
        </w:rPr>
      </w:pPr>
    </w:p>
    <w:p w14:paraId="177599D3">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highlight w:val="none"/>
          <w:lang w:eastAsia="zh-CN"/>
        </w:rPr>
      </w:pPr>
    </w:p>
    <w:p w14:paraId="09EAEADF">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highlight w:val="none"/>
          <w:lang w:eastAsia="zh-CN"/>
        </w:rPr>
      </w:pPr>
    </w:p>
    <w:p w14:paraId="35DDBA41">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highlight w:val="none"/>
          <w:lang w:eastAsia="zh-CN"/>
        </w:rPr>
      </w:pPr>
    </w:p>
    <w:p w14:paraId="37541DF9">
      <w:pPr>
        <w:pStyle w:val="8"/>
        <w:numPr>
          <w:ilvl w:val="0"/>
          <w:numId w:val="0"/>
        </w:numPr>
        <w:kinsoku w:val="0"/>
        <w:overflowPunct w:val="0"/>
        <w:spacing w:before="34" w:line="440" w:lineRule="exact"/>
        <w:ind w:left="480" w:right="126"/>
        <w:jc w:val="center"/>
        <w:rPr>
          <w:rFonts w:ascii="仿宋" w:hAnsi="仿宋" w:eastAsia="仿宋" w:cs="仿宋"/>
          <w:b/>
          <w:bCs/>
          <w:color w:val="auto"/>
          <w:sz w:val="36"/>
          <w:szCs w:val="36"/>
          <w:highlight w:val="none"/>
          <w:lang w:eastAsia="zh-CN"/>
        </w:rPr>
      </w:pPr>
    </w:p>
    <w:p w14:paraId="41E2FD0A">
      <w:pPr>
        <w:pStyle w:val="8"/>
        <w:numPr>
          <w:ilvl w:val="0"/>
          <w:numId w:val="0"/>
        </w:numPr>
        <w:kinsoku w:val="0"/>
        <w:overflowPunct w:val="0"/>
        <w:spacing w:before="34" w:line="440" w:lineRule="exact"/>
        <w:ind w:right="126"/>
        <w:jc w:val="both"/>
        <w:rPr>
          <w:rFonts w:ascii="仿宋" w:hAnsi="仿宋" w:eastAsia="仿宋" w:cs="仿宋"/>
          <w:b/>
          <w:bCs/>
          <w:color w:val="auto"/>
          <w:sz w:val="36"/>
          <w:szCs w:val="36"/>
          <w:highlight w:val="none"/>
          <w:lang w:eastAsia="zh-CN"/>
        </w:rPr>
      </w:pPr>
    </w:p>
    <w:p w14:paraId="40EEC092">
      <w:pPr>
        <w:rPr>
          <w:rFonts w:ascii="仿宋" w:hAnsi="仿宋" w:eastAsia="仿宋" w:cs="仿宋"/>
          <w:b/>
          <w:bCs/>
          <w:color w:val="auto"/>
          <w:sz w:val="36"/>
          <w:szCs w:val="36"/>
          <w:highlight w:val="none"/>
          <w:lang w:eastAsia="zh-CN"/>
        </w:rPr>
      </w:pPr>
    </w:p>
    <w:p w14:paraId="58EBDA81">
      <w:pPr>
        <w:pStyle w:val="33"/>
        <w:ind w:left="0" w:leftChars="0" w:firstLine="0" w:firstLineChars="0"/>
        <w:rPr>
          <w:rFonts w:ascii="仿宋" w:hAnsi="仿宋" w:eastAsia="仿宋" w:cs="仿宋"/>
          <w:b/>
          <w:bCs/>
          <w:color w:val="auto"/>
          <w:sz w:val="36"/>
          <w:szCs w:val="36"/>
          <w:highlight w:val="none"/>
          <w:lang w:eastAsia="zh-CN"/>
        </w:rPr>
      </w:pPr>
    </w:p>
    <w:p w14:paraId="76342311">
      <w:pPr>
        <w:pStyle w:val="8"/>
        <w:numPr>
          <w:ilvl w:val="0"/>
          <w:numId w:val="0"/>
        </w:numPr>
        <w:kinsoku w:val="0"/>
        <w:overflowPunct w:val="0"/>
        <w:spacing w:before="34" w:line="440" w:lineRule="exact"/>
        <w:ind w:left="480" w:right="126"/>
        <w:jc w:val="center"/>
        <w:rPr>
          <w:rFonts w:ascii="仿宋" w:hAnsi="仿宋" w:eastAsia="仿宋" w:cs="仿宋"/>
          <w:color w:val="auto"/>
          <w:sz w:val="36"/>
          <w:szCs w:val="36"/>
          <w:highlight w:val="none"/>
          <w:lang w:eastAsia="zh-CN"/>
        </w:rPr>
      </w:pPr>
      <w:r>
        <w:rPr>
          <w:rFonts w:hint="eastAsia" w:ascii="仿宋" w:hAnsi="仿宋" w:eastAsia="仿宋" w:cs="仿宋"/>
          <w:b/>
          <w:bCs/>
          <w:color w:val="auto"/>
          <w:sz w:val="36"/>
          <w:szCs w:val="36"/>
          <w:highlight w:val="none"/>
          <w:lang w:eastAsia="zh-CN"/>
        </w:rPr>
        <w:t>2、法定代表人资格证明书</w:t>
      </w:r>
    </w:p>
    <w:p w14:paraId="68E14D96">
      <w:pPr>
        <w:spacing w:line="420" w:lineRule="exact"/>
        <w:ind w:firstLine="49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投标单位名称：</w:t>
      </w:r>
      <w:r>
        <w:rPr>
          <w:rFonts w:hint="eastAsia" w:ascii="仿宋" w:hAnsi="仿宋" w:eastAsia="仿宋" w:cs="仿宋"/>
          <w:color w:val="auto"/>
          <w:highlight w:val="none"/>
          <w:u w:val="single"/>
          <w:lang w:eastAsia="zh-CN"/>
        </w:rPr>
        <w:t xml:space="preserve">                       </w:t>
      </w:r>
    </w:p>
    <w:p w14:paraId="7F39C11E">
      <w:pPr>
        <w:spacing w:line="420" w:lineRule="exact"/>
        <w:ind w:firstLine="49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单位性质：</w:t>
      </w:r>
      <w:r>
        <w:rPr>
          <w:rFonts w:hint="eastAsia" w:ascii="仿宋" w:hAnsi="仿宋" w:eastAsia="仿宋" w:cs="仿宋"/>
          <w:color w:val="auto"/>
          <w:highlight w:val="none"/>
          <w:u w:val="single"/>
          <w:lang w:eastAsia="zh-CN"/>
        </w:rPr>
        <w:t xml:space="preserve">                           </w:t>
      </w:r>
    </w:p>
    <w:p w14:paraId="6F9663FB">
      <w:pPr>
        <w:spacing w:line="420" w:lineRule="exact"/>
        <w:ind w:firstLine="49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地址：</w:t>
      </w:r>
      <w:r>
        <w:rPr>
          <w:rFonts w:hint="eastAsia" w:ascii="仿宋" w:hAnsi="仿宋" w:eastAsia="仿宋" w:cs="仿宋"/>
          <w:color w:val="auto"/>
          <w:highlight w:val="none"/>
          <w:u w:val="single"/>
          <w:lang w:eastAsia="zh-CN"/>
        </w:rPr>
        <w:t xml:space="preserve">                               </w:t>
      </w:r>
    </w:p>
    <w:p w14:paraId="564C0527">
      <w:pPr>
        <w:spacing w:line="42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成立时间：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1520C518">
      <w:pPr>
        <w:spacing w:line="420" w:lineRule="exact"/>
        <w:ind w:firstLine="49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经营期限：</w:t>
      </w:r>
      <w:r>
        <w:rPr>
          <w:rFonts w:hint="eastAsia" w:ascii="仿宋" w:hAnsi="仿宋" w:eastAsia="仿宋" w:cs="仿宋"/>
          <w:color w:val="auto"/>
          <w:highlight w:val="none"/>
          <w:u w:val="single"/>
          <w:lang w:eastAsia="zh-CN"/>
        </w:rPr>
        <w:t xml:space="preserve">             </w:t>
      </w:r>
    </w:p>
    <w:p w14:paraId="07787507">
      <w:pPr>
        <w:spacing w:line="420" w:lineRule="exact"/>
        <w:ind w:firstLine="49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性别：</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年龄：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职务：</w:t>
      </w:r>
      <w:r>
        <w:rPr>
          <w:rFonts w:hint="eastAsia" w:ascii="仿宋" w:hAnsi="仿宋" w:eastAsia="仿宋" w:cs="仿宋"/>
          <w:color w:val="auto"/>
          <w:highlight w:val="none"/>
          <w:u w:val="single"/>
          <w:lang w:eastAsia="zh-CN"/>
        </w:rPr>
        <w:t xml:space="preserve">           </w:t>
      </w:r>
    </w:p>
    <w:p w14:paraId="44A95F8B">
      <w:pPr>
        <w:spacing w:line="420" w:lineRule="exact"/>
        <w:ind w:firstLine="49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身份证号码：</w:t>
      </w:r>
      <w:r>
        <w:rPr>
          <w:rFonts w:hint="eastAsia" w:ascii="仿宋" w:hAnsi="仿宋" w:eastAsia="仿宋" w:cs="仿宋"/>
          <w:color w:val="auto"/>
          <w:highlight w:val="none"/>
          <w:u w:val="single"/>
          <w:lang w:eastAsia="zh-CN"/>
        </w:rPr>
        <w:t xml:space="preserve">                                                     </w:t>
      </w:r>
    </w:p>
    <w:p w14:paraId="022A804D">
      <w:pPr>
        <w:spacing w:line="42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系</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（投标单位名称）的法定代表人。</w:t>
      </w:r>
    </w:p>
    <w:p w14:paraId="0C06054A">
      <w:pPr>
        <w:spacing w:line="420" w:lineRule="exact"/>
        <w:ind w:firstLine="980" w:firstLineChars="400"/>
        <w:rPr>
          <w:rFonts w:ascii="仿宋" w:hAnsi="仿宋" w:eastAsia="仿宋" w:cs="仿宋"/>
          <w:color w:val="auto"/>
          <w:highlight w:val="none"/>
        </w:rPr>
      </w:pPr>
      <w:r>
        <w:rPr>
          <w:rFonts w:hint="eastAsia" w:ascii="仿宋" w:hAnsi="仿宋" w:eastAsia="仿宋" w:cs="仿宋"/>
          <w:color w:val="auto"/>
          <w:highlight w:val="none"/>
        </w:rPr>
        <w:t>特此证明。</w:t>
      </w:r>
    </w:p>
    <w:p w14:paraId="589FCE64">
      <w:pPr>
        <w:pStyle w:val="8"/>
        <w:numPr>
          <w:ilvl w:val="0"/>
          <w:numId w:val="0"/>
        </w:numPr>
        <w:kinsoku w:val="0"/>
        <w:overflowPunct w:val="0"/>
        <w:rPr>
          <w:rFonts w:ascii="仿宋" w:hAnsi="仿宋" w:eastAsia="仿宋" w:cs="仿宋"/>
          <w:color w:val="auto"/>
          <w:sz w:val="20"/>
          <w:szCs w:val="20"/>
          <w:highlight w:val="none"/>
        </w:rPr>
      </w:pPr>
      <w:r>
        <w:rPr>
          <w:color w:val="auto"/>
          <w:sz w:val="25"/>
          <w:highlight w:val="none"/>
        </w:rPr>
        <mc:AlternateContent>
          <mc:Choice Requires="wps">
            <w:drawing>
              <wp:anchor distT="0" distB="0" distL="114300" distR="114300" simplePos="0" relativeHeight="251660288" behindDoc="0" locked="0" layoutInCell="1" allowOverlap="1">
                <wp:simplePos x="0" y="0"/>
                <wp:positionH relativeFrom="column">
                  <wp:posOffset>2991485</wp:posOffset>
                </wp:positionH>
                <wp:positionV relativeFrom="paragraph">
                  <wp:posOffset>194945</wp:posOffset>
                </wp:positionV>
                <wp:extent cx="2363470" cy="1403350"/>
                <wp:effectExtent l="5080" t="4445" r="12700" b="20955"/>
                <wp:wrapSquare wrapText="bothSides"/>
                <wp:docPr id="1" name="自选图形 77"/>
                <wp:cNvGraphicFramePr/>
                <a:graphic xmlns:a="http://schemas.openxmlformats.org/drawingml/2006/main">
                  <a:graphicData uri="http://schemas.microsoft.com/office/word/2010/wordprocessingShape">
                    <wps:wsp>
                      <wps:cNvSpPr/>
                      <wps:spPr>
                        <a:xfrm>
                          <a:off x="0" y="0"/>
                          <a:ext cx="2363470" cy="1403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89D6197">
                            <w:pPr>
                              <w:jc w:val="center"/>
                              <w:rPr>
                                <w:rFonts w:hint="eastAsia" w:ascii="仿宋" w:hAnsi="仿宋" w:eastAsia="仿宋" w:cs="仿宋"/>
                                <w:sz w:val="24"/>
                                <w:szCs w:val="24"/>
                              </w:rPr>
                            </w:pPr>
                          </w:p>
                          <w:p w14:paraId="41277E29">
                            <w:pPr>
                              <w:jc w:val="center"/>
                              <w:rPr>
                                <w:rFonts w:hint="eastAsia" w:ascii="仿宋" w:hAnsi="仿宋" w:eastAsia="仿宋" w:cs="仿宋"/>
                                <w:sz w:val="24"/>
                                <w:szCs w:val="24"/>
                              </w:rPr>
                            </w:pPr>
                          </w:p>
                          <w:p w14:paraId="2BD274C6">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0AC182B1"/>
                        </w:txbxContent>
                      </wps:txbx>
                      <wps:bodyPr upright="1"/>
                    </wps:wsp>
                  </a:graphicData>
                </a:graphic>
              </wp:anchor>
            </w:drawing>
          </mc:Choice>
          <mc:Fallback>
            <w:pict>
              <v:roundrect id="自选图形 77" o:spid="_x0000_s1026" o:spt="2" style="position:absolute;left:0pt;margin-left:235.55pt;margin-top:15.35pt;height:110.5pt;width:186.1pt;mso-wrap-distance-bottom:0pt;mso-wrap-distance-left:9pt;mso-wrap-distance-right:9pt;mso-wrap-distance-top:0pt;z-index:251660288;mso-width-relative:page;mso-height-relative:page;" fillcolor="#FFFFFF" filled="t" stroked="t" coordsize="21600,21600" arcsize="0.166666666666667" o:gfxdata="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Pn&#10;fv/XAAAACgEAAA8AAAAAAAAAAQAgAAAAIgAAAGRycy9kb3ducmV2LnhtbFBLAQIUABQAAAAIAIdO&#10;4kCi5g+wJAIAAFgEAAAOAAAAAAAAAAEAIAAAACYBAABkcnMvZTJvRG9jLnhtbFBLBQYAAAAABgAG&#10;AFkBAAC8BQAAAAA=&#10;">
                <v:fill on="t" focussize="0,0"/>
                <v:stroke color="#000000" joinstyle="round"/>
                <v:imagedata o:title=""/>
                <o:lock v:ext="edit" aspectratio="f"/>
                <v:textbox>
                  <w:txbxContent>
                    <w:p w14:paraId="589D6197">
                      <w:pPr>
                        <w:jc w:val="center"/>
                        <w:rPr>
                          <w:rFonts w:hint="eastAsia" w:ascii="仿宋" w:hAnsi="仿宋" w:eastAsia="仿宋" w:cs="仿宋"/>
                          <w:sz w:val="24"/>
                          <w:szCs w:val="24"/>
                        </w:rPr>
                      </w:pPr>
                    </w:p>
                    <w:p w14:paraId="41277E29">
                      <w:pPr>
                        <w:jc w:val="center"/>
                        <w:rPr>
                          <w:rFonts w:hint="eastAsia" w:ascii="仿宋" w:hAnsi="仿宋" w:eastAsia="仿宋" w:cs="仿宋"/>
                          <w:sz w:val="24"/>
                          <w:szCs w:val="24"/>
                        </w:rPr>
                      </w:pPr>
                    </w:p>
                    <w:p w14:paraId="2BD274C6">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w:t>
                      </w:r>
                      <w:r>
                        <w:rPr>
                          <w:rFonts w:hint="eastAsia" w:ascii="仿宋" w:hAnsi="仿宋" w:eastAsia="仿宋" w:cs="仿宋"/>
                          <w:sz w:val="24"/>
                          <w:szCs w:val="24"/>
                          <w:lang w:val="en-US" w:eastAsia="zh-CN"/>
                        </w:rPr>
                        <w:t>反</w:t>
                      </w:r>
                      <w:r>
                        <w:rPr>
                          <w:rFonts w:hint="eastAsia" w:ascii="仿宋" w:hAnsi="仿宋" w:eastAsia="仿宋" w:cs="仿宋"/>
                          <w:sz w:val="24"/>
                          <w:szCs w:val="24"/>
                        </w:rPr>
                        <w:t>面</w:t>
                      </w:r>
                    </w:p>
                    <w:p w14:paraId="0AC182B1"/>
                  </w:txbxContent>
                </v:textbox>
                <w10:wrap type="square"/>
              </v:roundrect>
            </w:pict>
          </mc:Fallback>
        </mc:AlternateContent>
      </w:r>
    </w:p>
    <w:p w14:paraId="60169C09">
      <w:pPr>
        <w:pStyle w:val="8"/>
        <w:numPr>
          <w:ilvl w:val="0"/>
          <w:numId w:val="0"/>
        </w:numPr>
        <w:kinsoku w:val="0"/>
        <w:overflowPunct w:val="0"/>
        <w:spacing w:before="7"/>
        <w:rPr>
          <w:rFonts w:ascii="仿宋" w:hAnsi="仿宋" w:eastAsia="仿宋" w:cs="仿宋"/>
          <w:color w:val="auto"/>
          <w:sz w:val="25"/>
          <w:szCs w:val="25"/>
          <w:highlight w:val="none"/>
        </w:rPr>
      </w:pPr>
      <w:r>
        <w:rPr>
          <w:color w:val="auto"/>
          <w:sz w:val="25"/>
          <w:highlight w:val="none"/>
        </w:rPr>
        <mc:AlternateContent>
          <mc:Choice Requires="wps">
            <w:drawing>
              <wp:anchor distT="0" distB="0" distL="114300" distR="114300" simplePos="0" relativeHeight="251664384" behindDoc="1" locked="0" layoutInCell="1" allowOverlap="1">
                <wp:simplePos x="0" y="0"/>
                <wp:positionH relativeFrom="column">
                  <wp:posOffset>336550</wp:posOffset>
                </wp:positionH>
                <wp:positionV relativeFrom="paragraph">
                  <wp:posOffset>17145</wp:posOffset>
                </wp:positionV>
                <wp:extent cx="2371725" cy="1403350"/>
                <wp:effectExtent l="5080" t="5080" r="4445" b="20320"/>
                <wp:wrapTight wrapText="bothSides">
                  <wp:wrapPolygon>
                    <wp:start x="20682" y="-2"/>
                    <wp:lineTo x="909" y="0"/>
                    <wp:lineTo x="0" y="1611"/>
                    <wp:lineTo x="0" y="3600"/>
                    <wp:lineTo x="0" y="18000"/>
                    <wp:lineTo x="0" y="19988"/>
                    <wp:lineTo x="909" y="21600"/>
                    <wp:lineTo x="20682" y="21602"/>
                    <wp:lineTo x="917" y="21602"/>
                    <wp:lineTo x="20690" y="21600"/>
                    <wp:lineTo x="21599" y="19988"/>
                    <wp:lineTo x="21599" y="18000"/>
                    <wp:lineTo x="21599" y="3600"/>
                    <wp:lineTo x="21599" y="1611"/>
                    <wp:lineTo x="20690" y="0"/>
                    <wp:lineTo x="917" y="-2"/>
                    <wp:lineTo x="20682" y="-2"/>
                  </wp:wrapPolygon>
                </wp:wrapTight>
                <wp:docPr id="5" name="自选图形 91"/>
                <wp:cNvGraphicFramePr/>
                <a:graphic xmlns:a="http://schemas.openxmlformats.org/drawingml/2006/main">
                  <a:graphicData uri="http://schemas.microsoft.com/office/word/2010/wordprocessingShape">
                    <wps:wsp>
                      <wps:cNvSpPr/>
                      <wps:spPr>
                        <a:xfrm>
                          <a:off x="0" y="0"/>
                          <a:ext cx="2371725" cy="1403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0C9F647">
                            <w:pPr>
                              <w:jc w:val="center"/>
                              <w:rPr>
                                <w:rFonts w:hint="eastAsia" w:ascii="仿宋" w:hAnsi="仿宋" w:eastAsia="仿宋" w:cs="仿宋"/>
                                <w:sz w:val="24"/>
                                <w:szCs w:val="24"/>
                              </w:rPr>
                            </w:pPr>
                          </w:p>
                          <w:p w14:paraId="6724175B">
                            <w:pPr>
                              <w:jc w:val="center"/>
                              <w:rPr>
                                <w:rFonts w:hint="eastAsia" w:ascii="仿宋" w:hAnsi="仿宋" w:eastAsia="仿宋" w:cs="仿宋"/>
                                <w:sz w:val="24"/>
                                <w:szCs w:val="24"/>
                              </w:rPr>
                            </w:pPr>
                          </w:p>
                          <w:p w14:paraId="593481E6">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3C96EFE4"/>
                        </w:txbxContent>
                      </wps:txbx>
                      <wps:bodyPr upright="1"/>
                    </wps:wsp>
                  </a:graphicData>
                </a:graphic>
              </wp:anchor>
            </w:drawing>
          </mc:Choice>
          <mc:Fallback>
            <w:pict>
              <v:roundrect id="自选图形 91" o:spid="_x0000_s1026" o:spt="2" style="position:absolute;left:0pt;margin-left:26.5pt;margin-top:1.35pt;height:110.5pt;width:186.75pt;mso-wrap-distance-left:9pt;mso-wrap-distance-right:9pt;z-index:-251652096;mso-width-relative:page;mso-height-relative:page;" fillcolor="#FFFFFF" filled="t" stroked="t" coordsize="21600,21600" wrapcoords="20682 -2 909 0 0 1611 0 3600 0 18000 0 19988 909 21600 20682 21602 917 21602 20690 21600 21599 19988 21599 18000 21599 3600 21599 1611 20690 0 917 -2 20682 -2" arcsize="0.166666666666667" o:gfxdata="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2rcKNUA&#10;AAAIAQAADwAAAAAAAAABACAAAAAiAAAAZHJzL2Rvd25yZXYueG1sUEsBAhQAFAAAAAgAh07iQM0g&#10;vGgiAgAAWAQAAA4AAAAAAAAAAQAgAAAAJAEAAGRycy9lMm9Eb2MueG1sUEsFBgAAAAAGAAYAWQEA&#10;ALgFAAAAAA==&#10;">
                <v:fill on="t" focussize="0,0"/>
                <v:stroke color="#000000" joinstyle="round"/>
                <v:imagedata o:title=""/>
                <o:lock v:ext="edit" aspectratio="f"/>
                <v:textbox>
                  <w:txbxContent>
                    <w:p w14:paraId="00C9F647">
                      <w:pPr>
                        <w:jc w:val="center"/>
                        <w:rPr>
                          <w:rFonts w:hint="eastAsia" w:ascii="仿宋" w:hAnsi="仿宋" w:eastAsia="仿宋" w:cs="仿宋"/>
                          <w:sz w:val="24"/>
                          <w:szCs w:val="24"/>
                        </w:rPr>
                      </w:pPr>
                    </w:p>
                    <w:p w14:paraId="6724175B">
                      <w:pPr>
                        <w:jc w:val="center"/>
                        <w:rPr>
                          <w:rFonts w:hint="eastAsia" w:ascii="仿宋" w:hAnsi="仿宋" w:eastAsia="仿宋" w:cs="仿宋"/>
                          <w:sz w:val="24"/>
                          <w:szCs w:val="24"/>
                        </w:rPr>
                      </w:pPr>
                    </w:p>
                    <w:p w14:paraId="593481E6">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3C96EFE4"/>
                  </w:txbxContent>
                </v:textbox>
                <w10:wrap type="tight"/>
              </v:roundrect>
            </w:pict>
          </mc:Fallback>
        </mc:AlternateContent>
      </w:r>
    </w:p>
    <w:p w14:paraId="628DFD45">
      <w:pPr>
        <w:pStyle w:val="8"/>
        <w:numPr>
          <w:ilvl w:val="0"/>
          <w:numId w:val="0"/>
        </w:numPr>
        <w:kinsoku w:val="0"/>
        <w:overflowPunct w:val="0"/>
        <w:spacing w:line="200" w:lineRule="atLeast"/>
        <w:rPr>
          <w:rFonts w:ascii="仿宋" w:hAnsi="仿宋" w:eastAsia="仿宋" w:cs="仿宋"/>
          <w:color w:val="auto"/>
          <w:sz w:val="20"/>
          <w:szCs w:val="20"/>
          <w:highlight w:val="none"/>
        </w:rPr>
      </w:pPr>
    </w:p>
    <w:p w14:paraId="020BA3D3">
      <w:pPr>
        <w:wordWrap w:val="0"/>
        <w:spacing w:line="420" w:lineRule="exact"/>
        <w:ind w:firstLine="490" w:firstLineChars="200"/>
        <w:jc w:val="right"/>
        <w:rPr>
          <w:rFonts w:ascii="仿宋" w:hAnsi="仿宋" w:eastAsia="仿宋" w:cs="仿宋"/>
          <w:color w:val="auto"/>
          <w:highlight w:val="none"/>
        </w:rPr>
      </w:pPr>
    </w:p>
    <w:p w14:paraId="2E9751A7">
      <w:pPr>
        <w:pStyle w:val="8"/>
        <w:numPr>
          <w:ilvl w:val="0"/>
          <w:numId w:val="0"/>
        </w:numPr>
        <w:kinsoku w:val="0"/>
        <w:overflowPunct w:val="0"/>
        <w:spacing w:before="34" w:line="357" w:lineRule="auto"/>
        <w:ind w:right="126"/>
        <w:jc w:val="both"/>
        <w:rPr>
          <w:rFonts w:ascii="仿宋" w:hAnsi="仿宋" w:eastAsia="仿宋" w:cs="仿宋"/>
          <w:color w:val="auto"/>
          <w:highlight w:val="none"/>
          <w:lang w:eastAsia="zh-CN"/>
        </w:rPr>
      </w:pPr>
    </w:p>
    <w:p w14:paraId="5DEA1F59">
      <w:pPr>
        <w:pStyle w:val="8"/>
        <w:numPr>
          <w:ilvl w:val="0"/>
          <w:numId w:val="0"/>
        </w:numPr>
        <w:kinsoku w:val="0"/>
        <w:overflowPunct w:val="0"/>
        <w:spacing w:before="34" w:line="357" w:lineRule="auto"/>
        <w:ind w:right="126"/>
        <w:jc w:val="both"/>
        <w:rPr>
          <w:rFonts w:hint="eastAsia" w:ascii="仿宋" w:hAnsi="仿宋" w:eastAsia="仿宋" w:cs="仿宋"/>
          <w:color w:val="auto"/>
          <w:sz w:val="24"/>
          <w:highlight w:val="none"/>
          <w:lang w:eastAsia="zh-CN"/>
        </w:rPr>
      </w:pPr>
    </w:p>
    <w:p w14:paraId="4FB84BEA">
      <w:pPr>
        <w:pStyle w:val="8"/>
        <w:numPr>
          <w:ilvl w:val="0"/>
          <w:numId w:val="0"/>
        </w:numPr>
        <w:kinsoku w:val="0"/>
        <w:overflowPunct w:val="0"/>
        <w:spacing w:before="34" w:line="357" w:lineRule="auto"/>
        <w:ind w:right="126"/>
        <w:jc w:val="both"/>
        <w:rPr>
          <w:rFonts w:hint="eastAsia" w:ascii="仿宋" w:hAnsi="仿宋" w:eastAsia="仿宋" w:cs="仿宋"/>
          <w:color w:val="auto"/>
          <w:sz w:val="24"/>
          <w:highlight w:val="none"/>
          <w:lang w:eastAsia="zh-CN"/>
        </w:rPr>
      </w:pPr>
    </w:p>
    <w:p w14:paraId="3FAD8596">
      <w:pPr>
        <w:pStyle w:val="8"/>
        <w:numPr>
          <w:ilvl w:val="0"/>
          <w:numId w:val="0"/>
        </w:numPr>
        <w:kinsoku w:val="0"/>
        <w:overflowPunct w:val="0"/>
        <w:spacing w:before="34" w:line="357" w:lineRule="auto"/>
        <w:ind w:right="126"/>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投标单位名称：                       （公章）</w:t>
      </w:r>
    </w:p>
    <w:p w14:paraId="66978DC5">
      <w:pPr>
        <w:pStyle w:val="8"/>
        <w:numPr>
          <w:ilvl w:val="0"/>
          <w:numId w:val="0"/>
        </w:numPr>
        <w:kinsoku w:val="0"/>
        <w:overflowPunct w:val="0"/>
        <w:spacing w:before="34" w:line="357" w:lineRule="auto"/>
        <w:ind w:right="126"/>
        <w:jc w:val="both"/>
        <w:rPr>
          <w:rFonts w:ascii="仿宋" w:hAnsi="仿宋" w:eastAsia="仿宋" w:cs="仿宋"/>
          <w:color w:val="auto"/>
          <w:highlight w:val="none"/>
          <w:lang w:eastAsia="zh-CN"/>
        </w:rPr>
      </w:pPr>
      <w:r>
        <w:rPr>
          <w:rFonts w:hint="eastAsia" w:ascii="仿宋" w:hAnsi="仿宋" w:eastAsia="仿宋" w:cs="仿宋"/>
          <w:color w:val="auto"/>
          <w:sz w:val="24"/>
          <w:highlight w:val="none"/>
          <w:lang w:eastAsia="zh-CN"/>
        </w:rPr>
        <w:t xml:space="preserve">法定代表人（签字或盖章）：           </w:t>
      </w:r>
      <w:r>
        <w:rPr>
          <w:rFonts w:hint="eastAsia" w:ascii="仿宋" w:hAnsi="仿宋" w:eastAsia="仿宋" w:cs="仿宋"/>
          <w:color w:val="auto"/>
          <w:highlight w:val="none"/>
          <w:lang w:eastAsia="zh-CN"/>
        </w:rPr>
        <w:t xml:space="preserve">      </w:t>
      </w:r>
    </w:p>
    <w:p w14:paraId="242906F3">
      <w:pPr>
        <w:pStyle w:val="8"/>
        <w:numPr>
          <w:ilvl w:val="0"/>
          <w:numId w:val="0"/>
        </w:numPr>
        <w:kinsoku w:val="0"/>
        <w:overflowPunct w:val="0"/>
        <w:spacing w:before="34" w:line="357" w:lineRule="auto"/>
        <w:ind w:right="126"/>
        <w:jc w:val="both"/>
        <w:rPr>
          <w:rFonts w:ascii="仿宋" w:hAnsi="仿宋" w:eastAsia="仿宋" w:cs="仿宋"/>
          <w:color w:val="auto"/>
          <w:highlight w:val="none"/>
          <w:lang w:eastAsia="zh-CN"/>
        </w:rPr>
      </w:pPr>
    </w:p>
    <w:p w14:paraId="17A03DDB">
      <w:pPr>
        <w:pStyle w:val="8"/>
        <w:numPr>
          <w:ilvl w:val="0"/>
          <w:numId w:val="0"/>
        </w:numPr>
        <w:kinsoku w:val="0"/>
        <w:overflowPunct w:val="0"/>
        <w:spacing w:before="34" w:line="357" w:lineRule="auto"/>
        <w:ind w:right="126"/>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    日  期：   年  月  日</w:t>
      </w:r>
    </w:p>
    <w:p w14:paraId="2515A8FB">
      <w:pPr>
        <w:pStyle w:val="8"/>
        <w:numPr>
          <w:ilvl w:val="0"/>
          <w:numId w:val="0"/>
        </w:numPr>
        <w:kinsoku w:val="0"/>
        <w:overflowPunct w:val="0"/>
        <w:spacing w:before="34" w:line="357" w:lineRule="auto"/>
        <w:ind w:left="480" w:right="126"/>
        <w:jc w:val="center"/>
        <w:rPr>
          <w:rFonts w:hint="eastAsia" w:ascii="仿宋" w:hAnsi="仿宋" w:eastAsia="仿宋" w:cs="仿宋"/>
          <w:b/>
          <w:bCs/>
          <w:color w:val="auto"/>
          <w:sz w:val="36"/>
          <w:szCs w:val="36"/>
          <w:highlight w:val="none"/>
          <w:lang w:eastAsia="zh-CN"/>
        </w:rPr>
      </w:pPr>
      <w:r>
        <w:rPr>
          <w:rFonts w:hint="eastAsia" w:ascii="仿宋" w:hAnsi="仿宋" w:eastAsia="仿宋" w:cs="仿宋"/>
          <w:color w:val="auto"/>
          <w:highlight w:val="none"/>
          <w:lang w:eastAsia="zh-CN"/>
        </w:rPr>
        <w:br w:type="page"/>
      </w:r>
      <w:r>
        <w:rPr>
          <w:rFonts w:hint="eastAsia" w:ascii="仿宋" w:hAnsi="仿宋" w:eastAsia="仿宋" w:cs="仿宋"/>
          <w:b/>
          <w:bCs/>
          <w:color w:val="auto"/>
          <w:sz w:val="36"/>
          <w:szCs w:val="36"/>
          <w:highlight w:val="none"/>
          <w:lang w:eastAsia="zh-CN"/>
        </w:rPr>
        <w:t>3、法定代表人授权书</w:t>
      </w:r>
    </w:p>
    <w:p w14:paraId="3AB96DD6">
      <w:pPr>
        <w:spacing w:line="42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 xml:space="preserve">采购人名称） </w:t>
      </w:r>
    </w:p>
    <w:p w14:paraId="3A576F04">
      <w:pPr>
        <w:spacing w:line="42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本授权书声明：注册于</w:t>
      </w:r>
      <w:r>
        <w:rPr>
          <w:rFonts w:hint="eastAsia" w:ascii="仿宋" w:hAnsi="仿宋" w:eastAsia="仿宋" w:cs="仿宋"/>
          <w:color w:val="auto"/>
          <w:highlight w:val="none"/>
          <w:u w:val="single"/>
          <w:lang w:eastAsia="zh-CN"/>
        </w:rPr>
        <w:t>（供应商地址）</w:t>
      </w:r>
      <w:r>
        <w:rPr>
          <w:rFonts w:hint="eastAsia" w:ascii="仿宋" w:hAnsi="仿宋" w:eastAsia="仿宋" w:cs="仿宋"/>
          <w:color w:val="auto"/>
          <w:highlight w:val="none"/>
          <w:lang w:eastAsia="zh-CN"/>
        </w:rPr>
        <w:t>的</w:t>
      </w:r>
      <w:r>
        <w:rPr>
          <w:rFonts w:hint="eastAsia" w:ascii="仿宋" w:hAnsi="仿宋" w:eastAsia="仿宋" w:cs="仿宋"/>
          <w:color w:val="auto"/>
          <w:highlight w:val="none"/>
          <w:u w:val="single"/>
          <w:lang w:eastAsia="zh-CN"/>
        </w:rPr>
        <w:t>（供应商名称）</w:t>
      </w:r>
      <w:r>
        <w:rPr>
          <w:rFonts w:hint="eastAsia" w:ascii="仿宋" w:hAnsi="仿宋" w:eastAsia="仿宋" w:cs="仿宋"/>
          <w:color w:val="auto"/>
          <w:highlight w:val="none"/>
          <w:lang w:eastAsia="zh-CN"/>
        </w:rPr>
        <w:t>法定代表人（负责人）</w:t>
      </w:r>
      <w:r>
        <w:rPr>
          <w:rFonts w:hint="eastAsia" w:ascii="仿宋" w:hAnsi="仿宋" w:eastAsia="仿宋" w:cs="仿宋"/>
          <w:color w:val="auto"/>
          <w:highlight w:val="none"/>
          <w:u w:val="single"/>
          <w:lang w:eastAsia="zh-CN"/>
        </w:rPr>
        <w:t>姓名、职务或职称）</w:t>
      </w:r>
      <w:r>
        <w:rPr>
          <w:rFonts w:hint="eastAsia" w:ascii="仿宋" w:hAnsi="仿宋" w:eastAsia="仿宋" w:cs="仿宋"/>
          <w:color w:val="auto"/>
          <w:highlight w:val="none"/>
          <w:lang w:eastAsia="zh-CN"/>
        </w:rPr>
        <w:t>代表本公司授权</w:t>
      </w:r>
      <w:r>
        <w:rPr>
          <w:rFonts w:hint="eastAsia" w:ascii="仿宋" w:hAnsi="仿宋" w:eastAsia="仿宋" w:cs="仿宋"/>
          <w:color w:val="auto"/>
          <w:highlight w:val="none"/>
          <w:u w:val="single"/>
          <w:lang w:eastAsia="zh-CN"/>
        </w:rPr>
        <w:t>（姓名）</w:t>
      </w:r>
      <w:r>
        <w:rPr>
          <w:rFonts w:hint="eastAsia" w:ascii="仿宋" w:hAnsi="仿宋" w:eastAsia="仿宋" w:cs="仿宋"/>
          <w:color w:val="auto"/>
          <w:highlight w:val="none"/>
          <w:lang w:eastAsia="zh-CN"/>
        </w:rPr>
        <w:t>为本单位的合法代理人，参与贵方组织的</w:t>
      </w:r>
      <w:r>
        <w:rPr>
          <w:rFonts w:hint="eastAsia" w:ascii="仿宋" w:hAnsi="仿宋" w:eastAsia="仿宋" w:cs="仿宋"/>
          <w:color w:val="auto"/>
          <w:highlight w:val="none"/>
          <w:u w:val="single"/>
          <w:lang w:eastAsia="zh-CN"/>
        </w:rPr>
        <w:t>（项目名称及项目编号）</w:t>
      </w:r>
      <w:r>
        <w:rPr>
          <w:rFonts w:hint="eastAsia" w:ascii="仿宋" w:hAnsi="仿宋" w:eastAsia="仿宋" w:cs="仿宋"/>
          <w:color w:val="auto"/>
          <w:highlight w:val="none"/>
          <w:lang w:eastAsia="zh-CN"/>
        </w:rPr>
        <w:t xml:space="preserve"> 的投标、谈判、签约等具体工作，并签署全部有关文件、协议及合同。</w:t>
      </w:r>
    </w:p>
    <w:p w14:paraId="58066B68">
      <w:pPr>
        <w:adjustRightInd w:val="0"/>
        <w:snapToGrid w:val="0"/>
        <w:spacing w:line="42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我单位对被授权人的上述经济活动负全部责任。在撤销授权的书面通知前，本授权书一直有效。被授权人在授权书有效期内签署的所有文件不因授权的撤</w:t>
      </w:r>
      <w:r>
        <w:rPr>
          <w:rFonts w:hint="eastAsia" w:ascii="仿宋" w:hAnsi="仿宋" w:eastAsia="仿宋" w:cs="仿宋"/>
          <w:color w:val="auto"/>
          <w:highlight w:val="none"/>
          <w:lang w:val="en-US" w:eastAsia="zh-CN"/>
        </w:rPr>
        <w:t>销</w:t>
      </w:r>
      <w:r>
        <w:rPr>
          <w:rFonts w:hint="eastAsia" w:ascii="仿宋" w:hAnsi="仿宋" w:eastAsia="仿宋" w:cs="仿宋"/>
          <w:color w:val="auto"/>
          <w:highlight w:val="none"/>
          <w:lang w:eastAsia="zh-CN"/>
        </w:rPr>
        <w:t>而失效。</w:t>
      </w:r>
    </w:p>
    <w:p w14:paraId="15F90208">
      <w:pPr>
        <w:pStyle w:val="8"/>
        <w:tabs>
          <w:tab w:val="left" w:pos="780"/>
        </w:tabs>
        <w:kinsoku w:val="0"/>
        <w:overflowPunct w:val="0"/>
        <w:adjustRightInd w:val="0"/>
        <w:snapToGrid w:val="0"/>
        <w:spacing w:before="12"/>
        <w:rPr>
          <w:rFonts w:ascii="仿宋" w:hAnsi="仿宋" w:eastAsia="仿宋" w:cs="仿宋"/>
          <w:color w:val="auto"/>
          <w:sz w:val="4"/>
          <w:szCs w:val="4"/>
          <w:highlight w:val="none"/>
          <w:lang w:eastAsia="zh-CN"/>
        </w:rPr>
      </w:pPr>
    </w:p>
    <w:p w14:paraId="0ECEEFB4">
      <w:pPr>
        <w:pStyle w:val="8"/>
        <w:numPr>
          <w:ilvl w:val="0"/>
          <w:numId w:val="0"/>
        </w:numPr>
        <w:kinsoku w:val="0"/>
        <w:overflowPunct w:val="0"/>
        <w:adjustRightInd w:val="0"/>
        <w:snapToGrid w:val="0"/>
        <w:spacing w:line="200" w:lineRule="atLeast"/>
        <w:ind w:right="1947" w:rightChars="795"/>
        <w:jc w:val="both"/>
        <w:rPr>
          <w:rFonts w:ascii="仿宋" w:hAnsi="仿宋" w:eastAsia="仿宋" w:cs="仿宋"/>
          <w:color w:val="auto"/>
          <w:sz w:val="18"/>
          <w:szCs w:val="20"/>
          <w:highlight w:val="none"/>
        </w:rPr>
      </w:pPr>
      <w:r>
        <w:rPr>
          <w:color w:val="auto"/>
          <w:sz w:val="18"/>
          <w:highlight w:val="none"/>
        </w:rPr>
        <mc:AlternateContent>
          <mc:Choice Requires="wps">
            <w:drawing>
              <wp:anchor distT="0" distB="0" distL="114300" distR="114300" simplePos="0" relativeHeight="251663360" behindDoc="0" locked="0" layoutInCell="1" allowOverlap="1">
                <wp:simplePos x="0" y="0"/>
                <wp:positionH relativeFrom="column">
                  <wp:posOffset>252730</wp:posOffset>
                </wp:positionH>
                <wp:positionV relativeFrom="paragraph">
                  <wp:posOffset>1524635</wp:posOffset>
                </wp:positionV>
                <wp:extent cx="2348230" cy="1367155"/>
                <wp:effectExtent l="4445" t="4445" r="9525" b="19050"/>
                <wp:wrapSquare wrapText="bothSides"/>
                <wp:docPr id="4" name="自选图形 62"/>
                <wp:cNvGraphicFramePr/>
                <a:graphic xmlns:a="http://schemas.openxmlformats.org/drawingml/2006/main">
                  <a:graphicData uri="http://schemas.microsoft.com/office/word/2010/wordprocessingShape">
                    <wps:wsp>
                      <wps:cNvSpPr/>
                      <wps:spPr>
                        <a:xfrm>
                          <a:off x="0" y="0"/>
                          <a:ext cx="2348230"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7CF6BB5">
                            <w:pPr>
                              <w:jc w:val="center"/>
                              <w:rPr>
                                <w:rFonts w:hint="eastAsia" w:ascii="仿宋" w:hAnsi="仿宋" w:eastAsia="仿宋" w:cs="仿宋"/>
                                <w:sz w:val="24"/>
                                <w:szCs w:val="24"/>
                              </w:rPr>
                            </w:pPr>
                          </w:p>
                          <w:p w14:paraId="5B53674A">
                            <w:pPr>
                              <w:jc w:val="center"/>
                              <w:rPr>
                                <w:rFonts w:hint="eastAsia" w:ascii="仿宋" w:hAnsi="仿宋" w:eastAsia="仿宋" w:cs="仿宋"/>
                                <w:sz w:val="24"/>
                                <w:szCs w:val="24"/>
                              </w:rPr>
                            </w:pPr>
                          </w:p>
                          <w:p w14:paraId="17533155">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1BB8A2A0"/>
                        </w:txbxContent>
                      </wps:txbx>
                      <wps:bodyPr upright="1"/>
                    </wps:wsp>
                  </a:graphicData>
                </a:graphic>
              </wp:anchor>
            </w:drawing>
          </mc:Choice>
          <mc:Fallback>
            <w:pict>
              <v:roundrect id="自选图形 62" o:spid="_x0000_s1026" o:spt="2" style="position:absolute;left:0pt;margin-left:19.9pt;margin-top:120.05pt;height:107.65pt;width:184.9pt;mso-wrap-distance-bottom:0pt;mso-wrap-distance-left:9pt;mso-wrap-distance-right:9pt;mso-wrap-distance-top:0pt;z-index:251663360;mso-width-relative:page;mso-height-relative:page;" fillcolor="#FFFFFF" filled="t" stroked="t" coordsize="21600,21600" arcsize="0.166666666666667" o:gfxdata="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qJ&#10;84rXAAAACgEAAA8AAAAAAAAAAQAgAAAAIgAAAGRycy9kb3ducmV2LnhtbFBLAQIUABQAAAAIAIdO&#10;4kByItc7JAIAAFgEAAAOAAAAAAAAAAEAIAAAACYBAABkcnMvZTJvRG9jLnhtbFBLBQYAAAAABgAG&#10;AFkBAAC8BQAAAAA=&#10;">
                <v:fill on="t" focussize="0,0"/>
                <v:stroke color="#000000" joinstyle="round"/>
                <v:imagedata o:title=""/>
                <o:lock v:ext="edit" aspectratio="f"/>
                <v:textbox>
                  <w:txbxContent>
                    <w:p w14:paraId="27CF6BB5">
                      <w:pPr>
                        <w:jc w:val="center"/>
                        <w:rPr>
                          <w:rFonts w:hint="eastAsia" w:ascii="仿宋" w:hAnsi="仿宋" w:eastAsia="仿宋" w:cs="仿宋"/>
                          <w:sz w:val="24"/>
                          <w:szCs w:val="24"/>
                        </w:rPr>
                      </w:pPr>
                    </w:p>
                    <w:p w14:paraId="5B53674A">
                      <w:pPr>
                        <w:jc w:val="center"/>
                        <w:rPr>
                          <w:rFonts w:hint="eastAsia" w:ascii="仿宋" w:hAnsi="仿宋" w:eastAsia="仿宋" w:cs="仿宋"/>
                          <w:sz w:val="24"/>
                          <w:szCs w:val="24"/>
                        </w:rPr>
                      </w:pPr>
                    </w:p>
                    <w:p w14:paraId="17533155">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1BB8A2A0"/>
                  </w:txbxContent>
                </v:textbox>
                <w10:wrap type="square"/>
              </v:roundrect>
            </w:pict>
          </mc:Fallback>
        </mc:AlternateContent>
      </w:r>
      <w:r>
        <w:rPr>
          <w:rFonts w:hint="default"/>
          <w:color w:val="auto"/>
          <w:sz w:val="18"/>
          <w:highlight w:val="none"/>
          <w:lang w:val="en-US"/>
        </w:rPr>
        <mc:AlternateContent>
          <mc:Choice Requires="wps">
            <w:drawing>
              <wp:anchor distT="0" distB="0" distL="114300" distR="114300" simplePos="0" relativeHeight="251661312" behindDoc="1" locked="0" layoutInCell="1" allowOverlap="1">
                <wp:simplePos x="0" y="0"/>
                <wp:positionH relativeFrom="column">
                  <wp:posOffset>214630</wp:posOffset>
                </wp:positionH>
                <wp:positionV relativeFrom="paragraph">
                  <wp:posOffset>62865</wp:posOffset>
                </wp:positionV>
                <wp:extent cx="2378075" cy="1367155"/>
                <wp:effectExtent l="4445" t="4445" r="17780" b="19050"/>
                <wp:wrapTight wrapText="bothSides">
                  <wp:wrapPolygon>
                    <wp:start x="20605" y="-2"/>
                    <wp:lineTo x="986" y="0"/>
                    <wp:lineTo x="0" y="1611"/>
                    <wp:lineTo x="0" y="3600"/>
                    <wp:lineTo x="0" y="18000"/>
                    <wp:lineTo x="0" y="19988"/>
                    <wp:lineTo x="986" y="21600"/>
                    <wp:lineTo x="20605" y="21602"/>
                    <wp:lineTo x="994" y="21602"/>
                    <wp:lineTo x="20613" y="21600"/>
                    <wp:lineTo x="21599" y="19988"/>
                    <wp:lineTo x="21599" y="18000"/>
                    <wp:lineTo x="21599" y="3600"/>
                    <wp:lineTo x="21599" y="1611"/>
                    <wp:lineTo x="20613" y="0"/>
                    <wp:lineTo x="994" y="-2"/>
                    <wp:lineTo x="20605" y="-2"/>
                  </wp:wrapPolygon>
                </wp:wrapTight>
                <wp:docPr id="2" name="自选图形 60"/>
                <wp:cNvGraphicFramePr/>
                <a:graphic xmlns:a="http://schemas.openxmlformats.org/drawingml/2006/main">
                  <a:graphicData uri="http://schemas.microsoft.com/office/word/2010/wordprocessingShape">
                    <wps:wsp>
                      <wps:cNvSpPr/>
                      <wps:spPr>
                        <a:xfrm>
                          <a:off x="0" y="0"/>
                          <a:ext cx="2378075"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15378C5">
                            <w:pPr>
                              <w:jc w:val="center"/>
                              <w:rPr>
                                <w:rFonts w:hint="eastAsia" w:ascii="仿宋" w:hAnsi="仿宋" w:eastAsia="仿宋" w:cs="仿宋"/>
                                <w:sz w:val="24"/>
                                <w:szCs w:val="24"/>
                              </w:rPr>
                            </w:pPr>
                          </w:p>
                          <w:p w14:paraId="2B63D8C4">
                            <w:pPr>
                              <w:jc w:val="center"/>
                              <w:rPr>
                                <w:rFonts w:hint="eastAsia" w:ascii="仿宋" w:hAnsi="仿宋" w:eastAsia="仿宋" w:cs="仿宋"/>
                                <w:sz w:val="24"/>
                                <w:szCs w:val="24"/>
                              </w:rPr>
                            </w:pPr>
                          </w:p>
                          <w:p w14:paraId="1AB72049">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正面</w:t>
                            </w:r>
                          </w:p>
                          <w:p w14:paraId="4C74E33D">
                            <w:pPr>
                              <w:rPr>
                                <w:rFonts w:hint="eastAsia"/>
                                <w:lang w:val="en-US" w:eastAsia="zh-CN"/>
                              </w:rPr>
                            </w:pPr>
                          </w:p>
                        </w:txbxContent>
                      </wps:txbx>
                      <wps:bodyPr upright="1"/>
                    </wps:wsp>
                  </a:graphicData>
                </a:graphic>
              </wp:anchor>
            </w:drawing>
          </mc:Choice>
          <mc:Fallback>
            <w:pict>
              <v:roundrect id="自选图形 60" o:spid="_x0000_s1026" o:spt="2" style="position:absolute;left:0pt;margin-left:16.9pt;margin-top:4.95pt;height:107.65pt;width:187.25pt;mso-wrap-distance-left:9pt;mso-wrap-distance-right:9pt;z-index:-251655168;mso-width-relative:page;mso-height-relative:page;" fillcolor="#FFFFFF" filled="t" stroked="t" coordsize="21600,21600" wrapcoords="20605 -2 986 0 0 1611 0 3600 0 18000 0 19988 986 21600 20605 21602 994 21602 20613 21600 21599 19988 21599 18000 21599 3600 21599 1611 20613 0 994 -2 20605 -2" arcsize="0.166666666666667" o:gfxdata="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UrBPV&#10;AAAACAEAAA8AAAAAAAAAAQAgAAAAIgAAAGRycy9kb3ducmV2LnhtbFBLAQIUABQAAAAIAIdO4kBA&#10;QakHIwIAAFgEAAAOAAAAAAAAAAEAIAAAACQBAABkcnMvZTJvRG9jLnhtbFBLBQYAAAAABgAGAFkB&#10;AAC5BQAAAAA=&#10;">
                <v:fill on="t" focussize="0,0"/>
                <v:stroke color="#000000" joinstyle="round"/>
                <v:imagedata o:title=""/>
                <o:lock v:ext="edit" aspectratio="f"/>
                <v:textbox>
                  <w:txbxContent>
                    <w:p w14:paraId="215378C5">
                      <w:pPr>
                        <w:jc w:val="center"/>
                        <w:rPr>
                          <w:rFonts w:hint="eastAsia" w:ascii="仿宋" w:hAnsi="仿宋" w:eastAsia="仿宋" w:cs="仿宋"/>
                          <w:sz w:val="24"/>
                          <w:szCs w:val="24"/>
                        </w:rPr>
                      </w:pPr>
                    </w:p>
                    <w:p w14:paraId="2B63D8C4">
                      <w:pPr>
                        <w:jc w:val="center"/>
                        <w:rPr>
                          <w:rFonts w:hint="eastAsia" w:ascii="仿宋" w:hAnsi="仿宋" w:eastAsia="仿宋" w:cs="仿宋"/>
                          <w:sz w:val="24"/>
                          <w:szCs w:val="24"/>
                        </w:rPr>
                      </w:pPr>
                    </w:p>
                    <w:p w14:paraId="1AB72049">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正面</w:t>
                      </w:r>
                    </w:p>
                    <w:p w14:paraId="4C74E33D">
                      <w:pPr>
                        <w:rPr>
                          <w:rFonts w:hint="eastAsia"/>
                          <w:lang w:val="en-US" w:eastAsia="zh-CN"/>
                        </w:rPr>
                      </w:pPr>
                    </w:p>
                  </w:txbxContent>
                </v:textbox>
                <w10:wrap type="tight"/>
              </v:roundrect>
            </w:pict>
          </mc:Fallback>
        </mc:AlternateContent>
      </w:r>
      <w:r>
        <w:rPr>
          <w:color w:val="auto"/>
          <w:sz w:val="18"/>
          <w:highlight w:val="none"/>
        </w:rPr>
        <mc:AlternateContent>
          <mc:Choice Requires="wps">
            <w:drawing>
              <wp:anchor distT="0" distB="0" distL="114300" distR="114300" simplePos="0" relativeHeight="251664384" behindDoc="0" locked="0" layoutInCell="1" allowOverlap="1">
                <wp:simplePos x="0" y="0"/>
                <wp:positionH relativeFrom="column">
                  <wp:posOffset>2920365</wp:posOffset>
                </wp:positionH>
                <wp:positionV relativeFrom="paragraph">
                  <wp:posOffset>1524635</wp:posOffset>
                </wp:positionV>
                <wp:extent cx="2341245" cy="1367155"/>
                <wp:effectExtent l="4445" t="4445" r="16510" b="19050"/>
                <wp:wrapSquare wrapText="bothSides"/>
                <wp:docPr id="6" name="自选图形 63"/>
                <wp:cNvGraphicFramePr/>
                <a:graphic xmlns:a="http://schemas.openxmlformats.org/drawingml/2006/main">
                  <a:graphicData uri="http://schemas.microsoft.com/office/word/2010/wordprocessingShape">
                    <wps:wsp>
                      <wps:cNvSpPr/>
                      <wps:spPr>
                        <a:xfrm>
                          <a:off x="0" y="0"/>
                          <a:ext cx="2341245"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6CCB822">
                            <w:pPr>
                              <w:jc w:val="center"/>
                              <w:rPr>
                                <w:rFonts w:hint="eastAsia" w:ascii="仿宋" w:hAnsi="仿宋" w:eastAsia="仿宋" w:cs="仿宋"/>
                                <w:sz w:val="24"/>
                                <w:szCs w:val="24"/>
                              </w:rPr>
                            </w:pPr>
                          </w:p>
                          <w:p w14:paraId="7A8FF921">
                            <w:pPr>
                              <w:jc w:val="center"/>
                              <w:rPr>
                                <w:rFonts w:hint="eastAsia" w:ascii="仿宋" w:hAnsi="仿宋" w:eastAsia="仿宋" w:cs="仿宋"/>
                                <w:sz w:val="24"/>
                                <w:szCs w:val="24"/>
                              </w:rPr>
                            </w:pPr>
                          </w:p>
                          <w:p w14:paraId="55127BF1">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74862919"/>
                        </w:txbxContent>
                      </wps:txbx>
                      <wps:bodyPr upright="1"/>
                    </wps:wsp>
                  </a:graphicData>
                </a:graphic>
              </wp:anchor>
            </w:drawing>
          </mc:Choice>
          <mc:Fallback>
            <w:pict>
              <v:roundrect id="自选图形 63" o:spid="_x0000_s1026" o:spt="2" style="position:absolute;left:0pt;margin-left:229.95pt;margin-top:120.05pt;height:107.65pt;width:184.35pt;mso-wrap-distance-bottom:0pt;mso-wrap-distance-left:9pt;mso-wrap-distance-right:9pt;mso-wrap-distance-top:0pt;z-index:251664384;mso-width-relative:page;mso-height-relative:page;" fillcolor="#FFFFFF" filled="t" stroked="t" coordsize="21600,21600" arcsize="0.166666666666667" o:gfxdata="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xxbJ&#10;1gAAAAsBAAAPAAAAAAAAAAEAIAAAACIAAABkcnMvZG93bnJldi54bWxQSwECFAAUAAAACACHTuJA&#10;uewFBiMCAABYBAAADgAAAAAAAAABACAAAAAlAQAAZHJzL2Uyb0RvYy54bWxQSwUGAAAAAAYABgBZ&#10;AQAAugUAAAAA&#10;">
                <v:fill on="t" focussize="0,0"/>
                <v:stroke color="#000000" joinstyle="round"/>
                <v:imagedata o:title=""/>
                <o:lock v:ext="edit" aspectratio="f"/>
                <v:textbox>
                  <w:txbxContent>
                    <w:p w14:paraId="56CCB822">
                      <w:pPr>
                        <w:jc w:val="center"/>
                        <w:rPr>
                          <w:rFonts w:hint="eastAsia" w:ascii="仿宋" w:hAnsi="仿宋" w:eastAsia="仿宋" w:cs="仿宋"/>
                          <w:sz w:val="24"/>
                          <w:szCs w:val="24"/>
                        </w:rPr>
                      </w:pPr>
                    </w:p>
                    <w:p w14:paraId="7A8FF921">
                      <w:pPr>
                        <w:jc w:val="center"/>
                        <w:rPr>
                          <w:rFonts w:hint="eastAsia" w:ascii="仿宋" w:hAnsi="仿宋" w:eastAsia="仿宋" w:cs="仿宋"/>
                          <w:sz w:val="24"/>
                          <w:szCs w:val="24"/>
                        </w:rPr>
                      </w:pPr>
                    </w:p>
                    <w:p w14:paraId="55127BF1">
                      <w:pPr>
                        <w:jc w:val="center"/>
                        <w:rPr>
                          <w:rFonts w:hint="eastAsia" w:ascii="仿宋" w:hAnsi="仿宋" w:eastAsia="仿宋" w:cs="仿宋"/>
                          <w:sz w:val="24"/>
                          <w:szCs w:val="24"/>
                        </w:rPr>
                      </w:pPr>
                      <w:r>
                        <w:rPr>
                          <w:rFonts w:hint="eastAsia" w:ascii="仿宋" w:hAnsi="仿宋" w:eastAsia="仿宋" w:cs="仿宋"/>
                          <w:sz w:val="24"/>
                          <w:szCs w:val="24"/>
                        </w:rPr>
                        <w:t>法定代表人身份证复印件正面</w:t>
                      </w:r>
                    </w:p>
                    <w:p w14:paraId="74862919"/>
                  </w:txbxContent>
                </v:textbox>
                <w10:wrap type="square"/>
              </v:roundrect>
            </w:pict>
          </mc:Fallback>
        </mc:AlternateContent>
      </w:r>
      <w:r>
        <w:rPr>
          <w:color w:val="auto"/>
          <w:sz w:val="18"/>
          <w:highlight w:val="none"/>
        </w:rPr>
        <mc:AlternateContent>
          <mc:Choice Requires="wps">
            <w:drawing>
              <wp:anchor distT="0" distB="0" distL="114300" distR="114300" simplePos="0" relativeHeight="251662336" behindDoc="0" locked="0" layoutInCell="1" allowOverlap="1">
                <wp:simplePos x="0" y="0"/>
                <wp:positionH relativeFrom="column">
                  <wp:posOffset>2902585</wp:posOffset>
                </wp:positionH>
                <wp:positionV relativeFrom="paragraph">
                  <wp:posOffset>41275</wp:posOffset>
                </wp:positionV>
                <wp:extent cx="2327275" cy="1367155"/>
                <wp:effectExtent l="4445" t="4445" r="11430" b="19050"/>
                <wp:wrapSquare wrapText="bothSides"/>
                <wp:docPr id="3" name="自选图形 61"/>
                <wp:cNvGraphicFramePr/>
                <a:graphic xmlns:a="http://schemas.openxmlformats.org/drawingml/2006/main">
                  <a:graphicData uri="http://schemas.microsoft.com/office/word/2010/wordprocessingShape">
                    <wps:wsp>
                      <wps:cNvSpPr/>
                      <wps:spPr>
                        <a:xfrm>
                          <a:off x="0" y="0"/>
                          <a:ext cx="2327275" cy="13671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B3910CB">
                            <w:pPr>
                              <w:jc w:val="center"/>
                              <w:rPr>
                                <w:rFonts w:hint="eastAsia" w:ascii="仿宋" w:hAnsi="仿宋" w:eastAsia="仿宋" w:cs="仿宋"/>
                                <w:sz w:val="24"/>
                                <w:szCs w:val="24"/>
                              </w:rPr>
                            </w:pPr>
                          </w:p>
                          <w:p w14:paraId="51EE3649">
                            <w:pPr>
                              <w:jc w:val="center"/>
                              <w:rPr>
                                <w:rFonts w:hint="eastAsia" w:ascii="仿宋" w:hAnsi="仿宋" w:eastAsia="仿宋" w:cs="仿宋"/>
                                <w:sz w:val="24"/>
                                <w:szCs w:val="24"/>
                              </w:rPr>
                            </w:pPr>
                          </w:p>
                          <w:p w14:paraId="3F9F5069">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反面</w:t>
                            </w:r>
                          </w:p>
                          <w:p w14:paraId="6B924DEA"/>
                        </w:txbxContent>
                      </wps:txbx>
                      <wps:bodyPr upright="1"/>
                    </wps:wsp>
                  </a:graphicData>
                </a:graphic>
              </wp:anchor>
            </w:drawing>
          </mc:Choice>
          <mc:Fallback>
            <w:pict>
              <v:roundrect id="自选图形 61" o:spid="_x0000_s1026" o:spt="2" style="position:absolute;left:0pt;margin-left:228.55pt;margin-top:3.25pt;height:107.65pt;width:183.25pt;mso-wrap-distance-bottom:0pt;mso-wrap-distance-left:9pt;mso-wrap-distance-right:9pt;mso-wrap-distance-top:0pt;z-index:251662336;mso-width-relative:page;mso-height-relative:page;" fillcolor="#FFFFFF" filled="t" stroked="t" coordsize="21600,21600" arcsize="0.166666666666667" o:gfxdata="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EvrYLV&#10;AAAACQEAAA8AAAAAAAAAAQAgAAAAIgAAAGRycy9kb3ducmV2LnhtbFBLAQIUABQAAAAIAIdO4kAp&#10;Gsm9IwIAAFgEAAAOAAAAAAAAAAEAIAAAACQBAABkcnMvZTJvRG9jLnhtbFBLBQYAAAAABgAGAFkB&#10;AAC5BQAAAAA=&#10;">
                <v:fill on="t" focussize="0,0"/>
                <v:stroke color="#000000" joinstyle="round"/>
                <v:imagedata o:title=""/>
                <o:lock v:ext="edit" aspectratio="f"/>
                <v:textbox>
                  <w:txbxContent>
                    <w:p w14:paraId="5B3910CB">
                      <w:pPr>
                        <w:jc w:val="center"/>
                        <w:rPr>
                          <w:rFonts w:hint="eastAsia" w:ascii="仿宋" w:hAnsi="仿宋" w:eastAsia="仿宋" w:cs="仿宋"/>
                          <w:sz w:val="24"/>
                          <w:szCs w:val="24"/>
                        </w:rPr>
                      </w:pPr>
                    </w:p>
                    <w:p w14:paraId="51EE3649">
                      <w:pPr>
                        <w:jc w:val="center"/>
                        <w:rPr>
                          <w:rFonts w:hint="eastAsia" w:ascii="仿宋" w:hAnsi="仿宋" w:eastAsia="仿宋" w:cs="仿宋"/>
                          <w:sz w:val="24"/>
                          <w:szCs w:val="24"/>
                        </w:rPr>
                      </w:pPr>
                    </w:p>
                    <w:p w14:paraId="3F9F5069">
                      <w:pPr>
                        <w:jc w:val="center"/>
                        <w:rPr>
                          <w:rFonts w:hint="eastAsia" w:ascii="仿宋" w:hAnsi="仿宋" w:eastAsia="仿宋" w:cs="仿宋"/>
                          <w:sz w:val="24"/>
                          <w:szCs w:val="24"/>
                          <w:lang w:eastAsia="zh-CN"/>
                        </w:rPr>
                      </w:pPr>
                      <w:r>
                        <w:rPr>
                          <w:rFonts w:hint="eastAsia" w:ascii="仿宋" w:hAnsi="仿宋" w:eastAsia="仿宋" w:cs="仿宋"/>
                          <w:sz w:val="24"/>
                          <w:szCs w:val="24"/>
                        </w:rPr>
                        <w:t>授权委托人身份证复印件</w:t>
                      </w:r>
                      <w:r>
                        <w:rPr>
                          <w:rFonts w:hint="eastAsia" w:ascii="仿宋" w:hAnsi="仿宋" w:eastAsia="仿宋" w:cs="仿宋"/>
                          <w:sz w:val="24"/>
                          <w:szCs w:val="24"/>
                          <w:lang w:eastAsia="zh-CN"/>
                        </w:rPr>
                        <w:t>反面</w:t>
                      </w:r>
                    </w:p>
                    <w:p w14:paraId="6B924DEA"/>
                  </w:txbxContent>
                </v:textbox>
                <w10:wrap type="square"/>
              </v:roundrect>
            </w:pict>
          </mc:Fallback>
        </mc:AlternateContent>
      </w:r>
    </w:p>
    <w:p w14:paraId="22280E0B">
      <w:pPr>
        <w:pStyle w:val="8"/>
        <w:numPr>
          <w:ilvl w:val="0"/>
          <w:numId w:val="0"/>
        </w:numPr>
        <w:kinsoku w:val="0"/>
        <w:overflowPunct w:val="0"/>
        <w:adjustRightInd w:val="0"/>
        <w:snapToGrid w:val="0"/>
        <w:spacing w:line="200" w:lineRule="atLeast"/>
        <w:rPr>
          <w:rFonts w:ascii="仿宋" w:hAnsi="仿宋" w:eastAsia="仿宋" w:cs="仿宋"/>
          <w:color w:val="auto"/>
          <w:sz w:val="18"/>
          <w:szCs w:val="20"/>
          <w:highlight w:val="none"/>
        </w:rPr>
      </w:pPr>
    </w:p>
    <w:p w14:paraId="26187683">
      <w:pPr>
        <w:rPr>
          <w:rFonts w:ascii="仿宋" w:hAnsi="仿宋" w:eastAsia="仿宋" w:cs="仿宋"/>
          <w:color w:val="auto"/>
          <w:sz w:val="18"/>
          <w:szCs w:val="20"/>
          <w:highlight w:val="none"/>
        </w:rPr>
      </w:pPr>
    </w:p>
    <w:p w14:paraId="1FC8B8E2">
      <w:pPr>
        <w:pStyle w:val="33"/>
        <w:rPr>
          <w:rFonts w:ascii="仿宋" w:hAnsi="仿宋" w:eastAsia="仿宋" w:cs="仿宋"/>
          <w:color w:val="auto"/>
          <w:sz w:val="18"/>
          <w:szCs w:val="20"/>
          <w:highlight w:val="none"/>
        </w:rPr>
      </w:pPr>
    </w:p>
    <w:p w14:paraId="6911E0FC">
      <w:pPr>
        <w:pStyle w:val="33"/>
        <w:rPr>
          <w:rFonts w:ascii="仿宋" w:hAnsi="仿宋" w:eastAsia="仿宋" w:cs="仿宋"/>
          <w:color w:val="auto"/>
          <w:sz w:val="18"/>
          <w:szCs w:val="20"/>
          <w:highlight w:val="none"/>
        </w:rPr>
      </w:pPr>
    </w:p>
    <w:p w14:paraId="2706BC64">
      <w:pPr>
        <w:pStyle w:val="33"/>
        <w:rPr>
          <w:rFonts w:ascii="仿宋" w:hAnsi="仿宋" w:eastAsia="仿宋" w:cs="仿宋"/>
          <w:color w:val="auto"/>
          <w:sz w:val="18"/>
          <w:szCs w:val="20"/>
          <w:highlight w:val="none"/>
        </w:rPr>
      </w:pPr>
    </w:p>
    <w:p w14:paraId="60AFB3F9">
      <w:pPr>
        <w:pStyle w:val="33"/>
        <w:rPr>
          <w:rFonts w:ascii="仿宋" w:hAnsi="仿宋" w:eastAsia="仿宋" w:cs="仿宋"/>
          <w:color w:val="auto"/>
          <w:sz w:val="18"/>
          <w:szCs w:val="20"/>
          <w:highlight w:val="none"/>
        </w:rPr>
      </w:pPr>
    </w:p>
    <w:p w14:paraId="49DF4BA5">
      <w:pPr>
        <w:pStyle w:val="8"/>
        <w:numPr>
          <w:ilvl w:val="0"/>
          <w:numId w:val="0"/>
        </w:numPr>
        <w:tabs>
          <w:tab w:val="left" w:pos="5295"/>
        </w:tabs>
        <w:kinsoku w:val="0"/>
        <w:overflowPunct w:val="0"/>
        <w:adjustRightInd w:val="0"/>
        <w:snapToGrid w:val="0"/>
        <w:spacing w:line="360" w:lineRule="auto"/>
        <w:ind w:left="709"/>
        <w:rPr>
          <w:rFonts w:hint="eastAsia" w:ascii="仿宋" w:hAnsi="仿宋" w:eastAsia="仿宋" w:cs="仿宋"/>
          <w:color w:val="auto"/>
          <w:sz w:val="24"/>
          <w:highlight w:val="none"/>
          <w:lang w:eastAsia="zh-CN"/>
        </w:rPr>
      </w:pPr>
    </w:p>
    <w:p w14:paraId="363A97BA">
      <w:pPr>
        <w:pStyle w:val="8"/>
        <w:numPr>
          <w:ilvl w:val="0"/>
          <w:numId w:val="0"/>
        </w:numPr>
        <w:tabs>
          <w:tab w:val="left" w:pos="5295"/>
        </w:tabs>
        <w:kinsoku w:val="0"/>
        <w:overflowPunct w:val="0"/>
        <w:adjustRightInd w:val="0"/>
        <w:snapToGrid w:val="0"/>
        <w:spacing w:line="360" w:lineRule="auto"/>
        <w:ind w:left="709"/>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被授权代表（签章）：          供应商法定代表人（签章）：</w:t>
      </w:r>
    </w:p>
    <w:p w14:paraId="4CFD9A12">
      <w:pPr>
        <w:pStyle w:val="8"/>
        <w:numPr>
          <w:ilvl w:val="0"/>
          <w:numId w:val="0"/>
        </w:numPr>
        <w:tabs>
          <w:tab w:val="left" w:pos="1098"/>
          <w:tab w:val="left" w:pos="5298"/>
          <w:tab w:val="left" w:pos="5778"/>
        </w:tabs>
        <w:kinsoku w:val="0"/>
        <w:overflowPunct w:val="0"/>
        <w:adjustRightInd w:val="0"/>
        <w:snapToGrid w:val="0"/>
        <w:spacing w:line="360" w:lineRule="auto"/>
        <w:ind w:left="709"/>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职</w:t>
      </w:r>
      <w:r>
        <w:rPr>
          <w:rFonts w:hint="eastAsia" w:ascii="仿宋" w:hAnsi="仿宋" w:eastAsia="仿宋" w:cs="仿宋"/>
          <w:color w:val="auto"/>
          <w:sz w:val="24"/>
          <w:highlight w:val="none"/>
          <w:lang w:eastAsia="zh-CN"/>
        </w:rPr>
        <w:tab/>
      </w:r>
      <w:r>
        <w:rPr>
          <w:rFonts w:hint="eastAsia" w:ascii="仿宋" w:hAnsi="仿宋" w:eastAsia="仿宋" w:cs="仿宋"/>
          <w:color w:val="auto"/>
          <w:sz w:val="24"/>
          <w:highlight w:val="none"/>
          <w:lang w:eastAsia="zh-CN"/>
        </w:rPr>
        <w:t>务：</w:t>
      </w:r>
      <w:r>
        <w:rPr>
          <w:rFonts w:hint="eastAsia" w:ascii="仿宋" w:hAnsi="仿宋" w:eastAsia="仿宋" w:cs="仿宋"/>
          <w:color w:val="auto"/>
          <w:sz w:val="24"/>
          <w:highlight w:val="none"/>
          <w:lang w:eastAsia="zh-CN"/>
        </w:rPr>
        <w:tab/>
      </w:r>
      <w:r>
        <w:rPr>
          <w:rFonts w:hint="eastAsia" w:ascii="仿宋" w:hAnsi="仿宋" w:eastAsia="仿宋" w:cs="仿宋"/>
          <w:color w:val="auto"/>
          <w:sz w:val="24"/>
          <w:highlight w:val="none"/>
          <w:lang w:eastAsia="zh-CN"/>
        </w:rPr>
        <w:t>职</w:t>
      </w:r>
      <w:r>
        <w:rPr>
          <w:rFonts w:hint="eastAsia" w:ascii="仿宋" w:hAnsi="仿宋" w:eastAsia="仿宋" w:cs="仿宋"/>
          <w:color w:val="auto"/>
          <w:sz w:val="24"/>
          <w:highlight w:val="none"/>
          <w:lang w:eastAsia="zh-CN"/>
        </w:rPr>
        <w:tab/>
      </w:r>
      <w:r>
        <w:rPr>
          <w:rFonts w:hint="eastAsia" w:ascii="仿宋" w:hAnsi="仿宋" w:eastAsia="仿宋" w:cs="仿宋"/>
          <w:color w:val="auto"/>
          <w:sz w:val="24"/>
          <w:highlight w:val="none"/>
          <w:lang w:eastAsia="zh-CN"/>
        </w:rPr>
        <w:t>务：</w:t>
      </w:r>
    </w:p>
    <w:p w14:paraId="6D1E18C9">
      <w:pPr>
        <w:pStyle w:val="8"/>
        <w:numPr>
          <w:ilvl w:val="0"/>
          <w:numId w:val="0"/>
        </w:numPr>
        <w:tabs>
          <w:tab w:val="left" w:pos="1098"/>
          <w:tab w:val="left" w:pos="5298"/>
          <w:tab w:val="left" w:pos="5778"/>
        </w:tabs>
        <w:kinsoku w:val="0"/>
        <w:overflowPunct w:val="0"/>
        <w:adjustRightInd w:val="0"/>
        <w:snapToGrid w:val="0"/>
        <w:spacing w:line="360" w:lineRule="auto"/>
        <w:ind w:left="709"/>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电</w:t>
      </w:r>
      <w:r>
        <w:rPr>
          <w:rFonts w:hint="eastAsia" w:ascii="仿宋" w:hAnsi="仿宋" w:eastAsia="仿宋" w:cs="仿宋"/>
          <w:color w:val="auto"/>
          <w:sz w:val="24"/>
          <w:highlight w:val="none"/>
          <w:lang w:eastAsia="zh-CN"/>
        </w:rPr>
        <w:tab/>
      </w:r>
      <w:r>
        <w:rPr>
          <w:rFonts w:hint="eastAsia" w:ascii="仿宋" w:hAnsi="仿宋" w:eastAsia="仿宋" w:cs="仿宋"/>
          <w:color w:val="auto"/>
          <w:sz w:val="24"/>
          <w:highlight w:val="none"/>
          <w:lang w:eastAsia="zh-CN"/>
        </w:rPr>
        <w:t>话：</w:t>
      </w:r>
      <w:r>
        <w:rPr>
          <w:rFonts w:hint="eastAsia" w:ascii="仿宋" w:hAnsi="仿宋" w:eastAsia="仿宋" w:cs="仿宋"/>
          <w:color w:val="auto"/>
          <w:sz w:val="24"/>
          <w:highlight w:val="none"/>
          <w:lang w:eastAsia="zh-CN"/>
        </w:rPr>
        <w:tab/>
      </w:r>
      <w:r>
        <w:rPr>
          <w:rFonts w:hint="eastAsia" w:ascii="仿宋" w:hAnsi="仿宋" w:eastAsia="仿宋" w:cs="仿宋"/>
          <w:color w:val="auto"/>
          <w:sz w:val="24"/>
          <w:highlight w:val="none"/>
          <w:lang w:eastAsia="zh-CN"/>
        </w:rPr>
        <w:t>电</w:t>
      </w:r>
      <w:r>
        <w:rPr>
          <w:rFonts w:hint="eastAsia" w:ascii="仿宋" w:hAnsi="仿宋" w:eastAsia="仿宋" w:cs="仿宋"/>
          <w:color w:val="auto"/>
          <w:sz w:val="24"/>
          <w:highlight w:val="none"/>
          <w:lang w:eastAsia="zh-CN"/>
        </w:rPr>
        <w:tab/>
      </w:r>
      <w:r>
        <w:rPr>
          <w:rFonts w:hint="eastAsia" w:ascii="仿宋" w:hAnsi="仿宋" w:eastAsia="仿宋" w:cs="仿宋"/>
          <w:color w:val="auto"/>
          <w:sz w:val="24"/>
          <w:highlight w:val="none"/>
          <w:lang w:eastAsia="zh-CN"/>
        </w:rPr>
        <w:t>话：</w:t>
      </w:r>
    </w:p>
    <w:p w14:paraId="2A932C90">
      <w:pPr>
        <w:pStyle w:val="8"/>
        <w:numPr>
          <w:ilvl w:val="0"/>
          <w:numId w:val="0"/>
        </w:numPr>
        <w:tabs>
          <w:tab w:val="left" w:pos="5631"/>
          <w:tab w:val="left" w:pos="6591"/>
          <w:tab w:val="left" w:pos="7191"/>
          <w:tab w:val="left" w:pos="7791"/>
          <w:tab w:val="left" w:pos="8247"/>
        </w:tabs>
        <w:kinsoku w:val="0"/>
        <w:overflowPunct w:val="0"/>
        <w:adjustRightInd w:val="0"/>
        <w:snapToGrid w:val="0"/>
        <w:spacing w:line="360" w:lineRule="auto"/>
        <w:ind w:left="709" w:right="238"/>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u w:val="single"/>
          <w:lang w:eastAsia="zh-CN"/>
        </w:rPr>
        <w:tab/>
      </w:r>
      <w:r>
        <w:rPr>
          <w:rFonts w:hint="eastAsia" w:ascii="仿宋" w:hAnsi="仿宋" w:eastAsia="仿宋" w:cs="仿宋"/>
          <w:color w:val="auto"/>
          <w:sz w:val="24"/>
          <w:highlight w:val="none"/>
          <w:u w:val="single"/>
          <w:lang w:eastAsia="zh-CN"/>
        </w:rPr>
        <w:tab/>
      </w:r>
      <w:r>
        <w:rPr>
          <w:rFonts w:hint="eastAsia" w:ascii="仿宋" w:hAnsi="仿宋" w:eastAsia="仿宋" w:cs="仿宋"/>
          <w:color w:val="auto"/>
          <w:sz w:val="24"/>
          <w:highlight w:val="none"/>
          <w:u w:val="single"/>
          <w:lang w:eastAsia="zh-CN"/>
        </w:rPr>
        <w:tab/>
      </w:r>
      <w:r>
        <w:rPr>
          <w:rFonts w:hint="eastAsia" w:ascii="仿宋" w:hAnsi="仿宋" w:eastAsia="仿宋" w:cs="仿宋"/>
          <w:color w:val="auto"/>
          <w:sz w:val="24"/>
          <w:highlight w:val="none"/>
          <w:lang w:eastAsia="zh-CN"/>
        </w:rPr>
        <w:t>（盖章）</w:t>
      </w:r>
    </w:p>
    <w:p w14:paraId="7881842A">
      <w:pPr>
        <w:pStyle w:val="8"/>
        <w:numPr>
          <w:ilvl w:val="0"/>
          <w:numId w:val="0"/>
        </w:numPr>
        <w:tabs>
          <w:tab w:val="left" w:pos="5145"/>
          <w:tab w:val="left" w:pos="6591"/>
          <w:tab w:val="left" w:pos="7191"/>
          <w:tab w:val="left" w:pos="7791"/>
          <w:tab w:val="left" w:pos="8247"/>
        </w:tabs>
        <w:kinsoku w:val="0"/>
        <w:overflowPunct w:val="0"/>
        <w:adjustRightInd w:val="0"/>
        <w:snapToGrid w:val="0"/>
        <w:spacing w:line="360" w:lineRule="auto"/>
        <w:ind w:left="122" w:leftChars="50" w:right="238" w:firstLine="2940" w:firstLineChars="1200"/>
        <w:jc w:val="both"/>
        <w:rPr>
          <w:rFonts w:ascii="仿宋" w:hAnsi="仿宋" w:eastAsia="仿宋" w:cs="仿宋"/>
          <w:color w:val="auto"/>
          <w:sz w:val="20"/>
          <w:highlight w:val="none"/>
          <w:lang w:eastAsia="zh-CN"/>
        </w:rPr>
      </w:pPr>
      <w:r>
        <w:rPr>
          <w:rFonts w:hint="eastAsia" w:ascii="仿宋" w:hAnsi="仿宋" w:eastAsia="仿宋" w:cs="仿宋"/>
          <w:color w:val="auto"/>
          <w:sz w:val="24"/>
          <w:highlight w:val="none"/>
          <w:lang w:eastAsia="zh-CN"/>
        </w:rPr>
        <w:t xml:space="preserve"> 日期：</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lang w:eastAsia="zh-CN"/>
        </w:rPr>
        <w:t>年</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lang w:eastAsia="zh-CN"/>
        </w:rPr>
        <w:t xml:space="preserve">日 </w:t>
      </w:r>
      <w:r>
        <w:rPr>
          <w:rFonts w:hint="eastAsia" w:ascii="仿宋" w:hAnsi="仿宋" w:eastAsia="仿宋" w:cs="仿宋"/>
          <w:color w:val="auto"/>
          <w:sz w:val="20"/>
          <w:highlight w:val="none"/>
          <w:lang w:eastAsia="zh-CN"/>
        </w:rPr>
        <w:t xml:space="preserve">               </w:t>
      </w:r>
    </w:p>
    <w:p w14:paraId="507EB96E">
      <w:pPr>
        <w:pStyle w:val="33"/>
        <w:rPr>
          <w:rFonts w:ascii="仿宋" w:hAnsi="仿宋" w:eastAsia="仿宋" w:cs="仿宋"/>
          <w:b/>
          <w:bCs/>
          <w:color w:val="auto"/>
          <w:sz w:val="36"/>
          <w:szCs w:val="36"/>
          <w:highlight w:val="none"/>
          <w:lang w:eastAsia="zh-CN"/>
        </w:rPr>
      </w:pPr>
      <w:r>
        <w:rPr>
          <w:rFonts w:hint="eastAsia" w:ascii="仿宋" w:hAnsi="仿宋" w:eastAsia="仿宋" w:cs="仿宋"/>
          <w:color w:val="auto"/>
          <w:highlight w:val="none"/>
          <w:lang w:eastAsia="zh-CN"/>
        </w:rPr>
        <w:br w:type="page"/>
      </w:r>
    </w:p>
    <w:p w14:paraId="7696342D">
      <w:pPr>
        <w:pStyle w:val="2"/>
        <w:spacing w:line="240" w:lineRule="atLeast"/>
        <w:rPr>
          <w:rFonts w:ascii="仿宋" w:hAnsi="仿宋" w:eastAsia="仿宋" w:cs="仿宋"/>
          <w:bCs/>
          <w:color w:val="auto"/>
          <w:sz w:val="36"/>
          <w:szCs w:val="36"/>
          <w:highlight w:val="none"/>
          <w:lang w:eastAsia="zh-CN"/>
        </w:rPr>
      </w:pPr>
      <w:r>
        <w:rPr>
          <w:rFonts w:hint="eastAsia" w:ascii="仿宋" w:hAnsi="仿宋" w:eastAsia="仿宋" w:cs="仿宋"/>
          <w:bCs/>
          <w:color w:val="auto"/>
          <w:sz w:val="36"/>
          <w:szCs w:val="36"/>
          <w:highlight w:val="none"/>
          <w:lang w:val="en-US" w:eastAsia="zh-CN"/>
        </w:rPr>
        <w:t>4</w:t>
      </w:r>
      <w:r>
        <w:rPr>
          <w:rFonts w:hint="eastAsia" w:ascii="仿宋" w:hAnsi="仿宋" w:eastAsia="仿宋" w:cs="仿宋"/>
          <w:bCs/>
          <w:color w:val="auto"/>
          <w:sz w:val="36"/>
          <w:szCs w:val="36"/>
          <w:highlight w:val="none"/>
          <w:lang w:eastAsia="zh-CN"/>
        </w:rPr>
        <w:t>、投标保证金缴纳凭证或投标担保函</w:t>
      </w:r>
    </w:p>
    <w:p w14:paraId="0618186E">
      <w:pPr>
        <w:ind w:firstLine="490" w:firstLineChars="200"/>
        <w:rPr>
          <w:rFonts w:ascii="仿宋" w:hAnsi="仿宋" w:eastAsia="仿宋" w:cs="仿宋"/>
          <w:color w:val="auto"/>
          <w:highlight w:val="none"/>
          <w:lang w:eastAsia="zh-CN"/>
        </w:rPr>
      </w:pPr>
      <w:bookmarkStart w:id="61" w:name="_Toc494296665"/>
      <w:bookmarkStart w:id="62" w:name="_Toc494296991"/>
    </w:p>
    <w:bookmarkEnd w:id="61"/>
    <w:bookmarkEnd w:id="62"/>
    <w:p w14:paraId="00509C3F">
      <w:pPr>
        <w:pStyle w:val="5"/>
        <w:rPr>
          <w:rFonts w:ascii="仿宋" w:hAnsi="仿宋" w:eastAsia="仿宋" w:cs="仿宋"/>
          <w:color w:val="auto"/>
          <w:highlight w:val="none"/>
          <w:lang w:eastAsia="zh-CN"/>
        </w:rPr>
      </w:pPr>
    </w:p>
    <w:p w14:paraId="0E592619">
      <w:pPr>
        <w:pStyle w:val="5"/>
        <w:rPr>
          <w:rFonts w:ascii="仿宋" w:hAnsi="仿宋" w:eastAsia="仿宋" w:cs="仿宋"/>
          <w:color w:val="auto"/>
          <w:highlight w:val="none"/>
        </w:rPr>
      </w:pPr>
    </w:p>
    <w:p w14:paraId="0415878C">
      <w:pPr>
        <w:spacing w:line="240" w:lineRule="atLeast"/>
        <w:ind w:left="1169" w:leftChars="257" w:hanging="540"/>
        <w:jc w:val="center"/>
        <w:rPr>
          <w:rFonts w:ascii="仿宋" w:hAnsi="仿宋" w:eastAsia="仿宋" w:cs="仿宋"/>
          <w:color w:val="auto"/>
          <w:highlight w:val="none"/>
        </w:rPr>
      </w:pPr>
    </w:p>
    <w:p w14:paraId="7FDE4890">
      <w:pPr>
        <w:rPr>
          <w:rFonts w:ascii="仿宋" w:hAnsi="仿宋" w:eastAsia="仿宋" w:cs="仿宋"/>
          <w:color w:val="auto"/>
          <w:sz w:val="28"/>
          <w:szCs w:val="28"/>
          <w:highlight w:val="none"/>
        </w:rPr>
      </w:pPr>
    </w:p>
    <w:tbl>
      <w:tblPr>
        <w:tblStyle w:val="23"/>
        <w:tblpPr w:leftFromText="180" w:rightFromText="180" w:vertAnchor="text" w:horzAnchor="page" w:tblpX="2090" w:tblpY="750"/>
        <w:tblOverlap w:val="never"/>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16BE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atLeast"/>
        </w:trPr>
        <w:tc>
          <w:tcPr>
            <w:tcW w:w="7879" w:type="dxa"/>
          </w:tcPr>
          <w:p w14:paraId="48FE431B">
            <w:pPr>
              <w:rPr>
                <w:rFonts w:ascii="仿宋" w:hAnsi="仿宋" w:eastAsia="仿宋" w:cs="仿宋"/>
                <w:b/>
                <w:bCs/>
                <w:color w:val="auto"/>
                <w:sz w:val="30"/>
                <w:szCs w:val="30"/>
                <w:highlight w:val="none"/>
              </w:rPr>
            </w:pPr>
          </w:p>
          <w:p w14:paraId="118C3EE2">
            <w:pPr>
              <w:jc w:val="center"/>
              <w:rPr>
                <w:rFonts w:ascii="仿宋" w:hAnsi="仿宋" w:eastAsia="仿宋" w:cs="仿宋"/>
                <w:b/>
                <w:bCs/>
                <w:color w:val="auto"/>
                <w:sz w:val="30"/>
                <w:szCs w:val="30"/>
                <w:highlight w:val="none"/>
              </w:rPr>
            </w:pPr>
          </w:p>
          <w:p w14:paraId="3F81BFCA">
            <w:pPr>
              <w:jc w:val="center"/>
              <w:rPr>
                <w:rFonts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eastAsia="zh-CN"/>
              </w:rPr>
              <w:t>打款凭证</w:t>
            </w:r>
          </w:p>
        </w:tc>
      </w:tr>
    </w:tbl>
    <w:p w14:paraId="7B76F50B">
      <w:pPr>
        <w:pStyle w:val="5"/>
        <w:rPr>
          <w:rFonts w:ascii="仿宋" w:hAnsi="仿宋" w:eastAsia="仿宋" w:cs="仿宋"/>
          <w:color w:val="auto"/>
          <w:highlight w:val="none"/>
        </w:rPr>
      </w:pPr>
    </w:p>
    <w:p w14:paraId="1F1B5E2D">
      <w:pPr>
        <w:pStyle w:val="5"/>
        <w:rPr>
          <w:rFonts w:ascii="仿宋" w:hAnsi="仿宋" w:eastAsia="仿宋" w:cs="仿宋"/>
          <w:color w:val="auto"/>
          <w:highlight w:val="none"/>
        </w:rPr>
      </w:pPr>
    </w:p>
    <w:p w14:paraId="2E327C78">
      <w:pPr>
        <w:pStyle w:val="5"/>
        <w:rPr>
          <w:rFonts w:ascii="仿宋" w:hAnsi="仿宋" w:eastAsia="仿宋" w:cs="仿宋"/>
          <w:color w:val="auto"/>
          <w:highlight w:val="none"/>
        </w:rPr>
      </w:pPr>
    </w:p>
    <w:p w14:paraId="122AF0C0">
      <w:pPr>
        <w:pStyle w:val="5"/>
        <w:rPr>
          <w:rFonts w:ascii="仿宋" w:hAnsi="仿宋" w:eastAsia="仿宋" w:cs="仿宋"/>
          <w:color w:val="auto"/>
          <w:highlight w:val="none"/>
        </w:rPr>
      </w:pPr>
    </w:p>
    <w:p w14:paraId="6B36D0FB">
      <w:pPr>
        <w:pStyle w:val="5"/>
        <w:rPr>
          <w:rFonts w:ascii="仿宋" w:hAnsi="仿宋" w:eastAsia="仿宋" w:cs="仿宋"/>
          <w:color w:val="auto"/>
          <w:highlight w:val="none"/>
        </w:rPr>
      </w:pPr>
    </w:p>
    <w:p w14:paraId="40833C49">
      <w:pPr>
        <w:pStyle w:val="5"/>
        <w:rPr>
          <w:rFonts w:ascii="仿宋" w:hAnsi="仿宋" w:eastAsia="仿宋" w:cs="仿宋"/>
          <w:color w:val="auto"/>
          <w:highlight w:val="none"/>
        </w:rPr>
      </w:pPr>
    </w:p>
    <w:p w14:paraId="62D8877E">
      <w:pPr>
        <w:rPr>
          <w:rFonts w:ascii="仿宋" w:hAnsi="仿宋" w:eastAsia="仿宋" w:cs="仿宋"/>
          <w:color w:val="auto"/>
          <w:highlight w:val="none"/>
        </w:rPr>
      </w:pPr>
    </w:p>
    <w:p w14:paraId="3FAE423B">
      <w:pPr>
        <w:pStyle w:val="4"/>
        <w:rPr>
          <w:rFonts w:ascii="仿宋" w:hAnsi="仿宋" w:eastAsia="仿宋" w:cs="仿宋"/>
          <w:color w:val="auto"/>
          <w:highlight w:val="none"/>
        </w:rPr>
      </w:pPr>
    </w:p>
    <w:p w14:paraId="013248E7">
      <w:pPr>
        <w:rPr>
          <w:rFonts w:ascii="仿宋" w:hAnsi="仿宋" w:eastAsia="仿宋" w:cs="仿宋"/>
          <w:color w:val="auto"/>
          <w:highlight w:val="none"/>
        </w:rPr>
      </w:pPr>
    </w:p>
    <w:p w14:paraId="34A4A1C8">
      <w:pPr>
        <w:rPr>
          <w:rFonts w:ascii="仿宋" w:hAnsi="仿宋" w:eastAsia="仿宋" w:cs="仿宋"/>
          <w:color w:val="auto"/>
          <w:highlight w:val="none"/>
        </w:rPr>
      </w:pPr>
    </w:p>
    <w:p w14:paraId="7DEBCB34">
      <w:pPr>
        <w:rPr>
          <w:rFonts w:ascii="仿宋" w:hAnsi="仿宋" w:eastAsia="仿宋" w:cs="仿宋"/>
          <w:color w:val="auto"/>
          <w:highlight w:val="none"/>
        </w:rPr>
      </w:pPr>
    </w:p>
    <w:p w14:paraId="3962888E">
      <w:pPr>
        <w:jc w:val="center"/>
        <w:rPr>
          <w:rFonts w:ascii="仿宋" w:hAnsi="仿宋" w:eastAsia="仿宋" w:cs="仿宋"/>
          <w:color w:val="auto"/>
          <w:sz w:val="28"/>
          <w:szCs w:val="28"/>
          <w:highlight w:val="none"/>
        </w:rPr>
      </w:pPr>
    </w:p>
    <w:p w14:paraId="71C5B824">
      <w:pPr>
        <w:jc w:val="center"/>
        <w:rPr>
          <w:rFonts w:ascii="仿宋" w:hAnsi="仿宋" w:eastAsia="仿宋" w:cs="仿宋"/>
          <w:color w:val="auto"/>
          <w:sz w:val="28"/>
          <w:szCs w:val="28"/>
          <w:highlight w:val="none"/>
        </w:rPr>
      </w:pPr>
    </w:p>
    <w:p w14:paraId="59E6A55F">
      <w:pPr>
        <w:jc w:val="center"/>
        <w:rPr>
          <w:rFonts w:ascii="仿宋" w:hAnsi="仿宋" w:eastAsia="仿宋" w:cs="仿宋"/>
          <w:color w:val="auto"/>
          <w:sz w:val="28"/>
          <w:szCs w:val="28"/>
          <w:highlight w:val="none"/>
        </w:rPr>
      </w:pPr>
    </w:p>
    <w:p w14:paraId="1B4DF864">
      <w:pPr>
        <w:jc w:val="center"/>
        <w:rPr>
          <w:rFonts w:ascii="仿宋" w:hAnsi="仿宋" w:eastAsia="仿宋" w:cs="仿宋"/>
          <w:color w:val="auto"/>
          <w:sz w:val="28"/>
          <w:szCs w:val="28"/>
          <w:highlight w:val="none"/>
        </w:rPr>
      </w:pPr>
    </w:p>
    <w:p w14:paraId="348E858F">
      <w:pPr>
        <w:jc w:val="center"/>
        <w:rPr>
          <w:rFonts w:ascii="仿宋" w:hAnsi="仿宋" w:eastAsia="仿宋" w:cs="仿宋"/>
          <w:color w:val="auto"/>
          <w:sz w:val="28"/>
          <w:szCs w:val="28"/>
          <w:highlight w:val="none"/>
        </w:rPr>
      </w:pPr>
    </w:p>
    <w:p w14:paraId="7BD0CAF4">
      <w:pPr>
        <w:jc w:val="center"/>
        <w:rPr>
          <w:rFonts w:ascii="仿宋" w:hAnsi="仿宋" w:eastAsia="仿宋" w:cs="仿宋"/>
          <w:color w:val="auto"/>
          <w:sz w:val="28"/>
          <w:szCs w:val="28"/>
          <w:highlight w:val="none"/>
        </w:rPr>
      </w:pPr>
    </w:p>
    <w:p w14:paraId="334AA058">
      <w:pPr>
        <w:jc w:val="center"/>
        <w:rPr>
          <w:rFonts w:ascii="仿宋" w:hAnsi="仿宋" w:eastAsia="仿宋" w:cs="仿宋"/>
          <w:color w:val="auto"/>
          <w:sz w:val="28"/>
          <w:szCs w:val="28"/>
          <w:highlight w:val="none"/>
        </w:rPr>
      </w:pPr>
    </w:p>
    <w:p w14:paraId="4286580C">
      <w:pPr>
        <w:jc w:val="center"/>
        <w:rPr>
          <w:rFonts w:ascii="仿宋" w:hAnsi="仿宋" w:eastAsia="仿宋" w:cs="仿宋"/>
          <w:color w:val="auto"/>
          <w:sz w:val="28"/>
          <w:szCs w:val="28"/>
          <w:highlight w:val="none"/>
        </w:rPr>
      </w:pPr>
    </w:p>
    <w:p w14:paraId="59351379">
      <w:pPr>
        <w:pStyle w:val="29"/>
        <w:rPr>
          <w:color w:val="auto"/>
          <w:highlight w:val="none"/>
        </w:rPr>
      </w:pPr>
    </w:p>
    <w:p w14:paraId="60FF3689">
      <w:pPr>
        <w:spacing w:line="360" w:lineRule="auto"/>
        <w:jc w:val="both"/>
        <w:rPr>
          <w:rFonts w:ascii="仿宋" w:hAnsi="仿宋" w:eastAsia="仿宋" w:cs="仿宋"/>
          <w:b/>
          <w:bCs/>
          <w:color w:val="auto"/>
          <w:sz w:val="28"/>
          <w:szCs w:val="28"/>
          <w:highlight w:val="none"/>
          <w:lang w:eastAsia="zh-CN"/>
        </w:rPr>
      </w:pPr>
    </w:p>
    <w:p w14:paraId="5423A4B8">
      <w:pPr>
        <w:spacing w:line="360" w:lineRule="auto"/>
        <w:jc w:val="center"/>
        <w:rPr>
          <w:rFonts w:hint="eastAsia" w:ascii="仿宋" w:hAnsi="仿宋" w:eastAsia="仿宋" w:cs="仿宋"/>
          <w:b/>
          <w:bCs/>
          <w:color w:val="auto"/>
          <w:sz w:val="28"/>
          <w:szCs w:val="28"/>
          <w:highlight w:val="none"/>
          <w:lang w:eastAsia="zh-CN"/>
        </w:rPr>
      </w:pPr>
    </w:p>
    <w:p w14:paraId="46F54FF1">
      <w:pPr>
        <w:spacing w:line="400" w:lineRule="exact"/>
        <w:ind w:firstLine="490" w:firstLineChars="200"/>
        <w:rPr>
          <w:rFonts w:ascii="仿宋" w:hAnsi="仿宋" w:eastAsia="仿宋" w:cs="仿宋"/>
          <w:b/>
          <w:bCs/>
          <w:color w:val="auto"/>
          <w:highlight w:val="none"/>
          <w:lang w:eastAsia="zh-CN"/>
        </w:rPr>
      </w:pPr>
    </w:p>
    <w:p w14:paraId="69F78483">
      <w:pPr>
        <w:numPr>
          <w:ilvl w:val="0"/>
          <w:numId w:val="0"/>
        </w:numPr>
        <w:spacing w:line="400" w:lineRule="exact"/>
        <w:ind w:leftChars="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val="en-US" w:eastAsia="zh-CN"/>
        </w:rPr>
        <w:t>5、</w:t>
      </w:r>
      <w:r>
        <w:rPr>
          <w:rFonts w:hint="eastAsia" w:ascii="仿宋" w:hAnsi="仿宋" w:eastAsia="仿宋" w:cs="仿宋"/>
          <w:b/>
          <w:bCs/>
          <w:color w:val="auto"/>
          <w:highlight w:val="none"/>
          <w:lang w:eastAsia="zh-CN"/>
        </w:rPr>
        <w:t>投标企业须提供供应商（被授权本单位在职人员）近6个月内任意</w:t>
      </w:r>
      <w:r>
        <w:rPr>
          <w:rFonts w:hint="eastAsia" w:ascii="仿宋" w:hAnsi="仿宋" w:eastAsia="仿宋" w:cs="仿宋"/>
          <w:b/>
          <w:bCs/>
          <w:color w:val="auto"/>
          <w:highlight w:val="none"/>
          <w:lang w:val="en-US" w:eastAsia="zh-CN"/>
        </w:rPr>
        <w:t>2</w:t>
      </w:r>
      <w:r>
        <w:rPr>
          <w:rFonts w:hint="eastAsia" w:ascii="仿宋" w:hAnsi="仿宋" w:eastAsia="仿宋" w:cs="仿宋"/>
          <w:b/>
          <w:bCs/>
          <w:color w:val="auto"/>
          <w:highlight w:val="none"/>
          <w:lang w:eastAsia="zh-CN"/>
        </w:rPr>
        <w:t>个月的有效社保证明</w:t>
      </w:r>
      <w:r>
        <w:rPr>
          <w:rFonts w:hint="eastAsia" w:ascii="仿宋" w:hAnsi="仿宋" w:eastAsia="仿宋" w:cs="仿宋"/>
          <w:b/>
          <w:bCs/>
          <w:color w:val="auto"/>
          <w:highlight w:val="none"/>
          <w:lang w:val="en-US" w:eastAsia="zh-CN"/>
        </w:rPr>
        <w:t xml:space="preserve">  </w:t>
      </w:r>
      <w:r>
        <w:rPr>
          <w:rFonts w:hint="eastAsia" w:ascii="仿宋" w:hAnsi="仿宋" w:eastAsia="仿宋" w:cs="仿宋"/>
          <w:b/>
          <w:bCs/>
          <w:color w:val="auto"/>
          <w:highlight w:val="none"/>
          <w:lang w:eastAsia="zh-CN"/>
        </w:rPr>
        <w:t>说明：复印件上应加盖本单位章</w:t>
      </w:r>
    </w:p>
    <w:p w14:paraId="40F44880">
      <w:pPr>
        <w:pStyle w:val="2"/>
        <w:numPr>
          <w:ilvl w:val="0"/>
          <w:numId w:val="0"/>
        </w:numPr>
        <w:ind w:leftChars="0"/>
        <w:jc w:val="both"/>
        <w:rPr>
          <w:rFonts w:hint="eastAsia"/>
          <w:color w:val="auto"/>
          <w:highlight w:val="none"/>
          <w:lang w:eastAsia="zh-CN"/>
        </w:rPr>
      </w:pPr>
    </w:p>
    <w:p w14:paraId="064A4982">
      <w:pPr>
        <w:pStyle w:val="2"/>
        <w:jc w:val="both"/>
        <w:rPr>
          <w:rFonts w:hint="default"/>
          <w:color w:val="auto"/>
          <w:highlight w:val="none"/>
          <w:lang w:val="en-US" w:eastAsia="zh-CN"/>
        </w:rPr>
      </w:pPr>
      <w:r>
        <w:rPr>
          <w:rFonts w:hint="eastAsia" w:ascii="仿宋" w:hAnsi="仿宋" w:eastAsia="仿宋" w:cs="仿宋"/>
          <w:b/>
          <w:bCs/>
          <w:color w:val="auto"/>
          <w:sz w:val="24"/>
          <w:szCs w:val="24"/>
          <w:highlight w:val="none"/>
          <w:lang w:val="en-US" w:eastAsia="zh-CN" w:bidi="en-US"/>
        </w:rPr>
        <w:t>6、是否具备投标截止之日起半年内任意两个月的纳税证明或完税证明，依法免税的单位应提供相关证明材料</w:t>
      </w:r>
      <w:r>
        <w:rPr>
          <w:rFonts w:hint="eastAsia" w:ascii="仿宋" w:hAnsi="仿宋" w:eastAsia="仿宋" w:cs="仿宋"/>
          <w:b/>
          <w:bCs/>
          <w:color w:val="auto"/>
          <w:highlight w:val="none"/>
          <w:lang w:val="en-US" w:eastAsia="zh-CN"/>
        </w:rPr>
        <w:t>；</w:t>
      </w:r>
    </w:p>
    <w:p w14:paraId="3B437508">
      <w:pPr>
        <w:pStyle w:val="31"/>
        <w:rPr>
          <w:rFonts w:hint="eastAsia" w:ascii="仿宋" w:hAnsi="仿宋" w:eastAsia="仿宋" w:cs="仿宋"/>
          <w:b/>
          <w:bCs/>
          <w:color w:val="auto"/>
          <w:highlight w:val="none"/>
          <w:lang w:eastAsia="zh-CN"/>
        </w:rPr>
      </w:pPr>
    </w:p>
    <w:p w14:paraId="214A0C3A">
      <w:pPr>
        <w:numPr>
          <w:ilvl w:val="0"/>
          <w:numId w:val="0"/>
        </w:numPr>
        <w:spacing w:line="400" w:lineRule="exact"/>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7、经销商须提供《食品经营许可证》或向市场监管部门提交备案的资料；厂家须提供《食品生产许可证》或向市场监管部门提交备案的资料；</w:t>
      </w:r>
    </w:p>
    <w:p w14:paraId="7ABDF186">
      <w:pPr>
        <w:pStyle w:val="33"/>
        <w:numPr>
          <w:ilvl w:val="0"/>
          <w:numId w:val="0"/>
        </w:numPr>
        <w:rPr>
          <w:rFonts w:hint="eastAsia" w:ascii="仿宋" w:hAnsi="仿宋" w:eastAsia="仿宋" w:cs="仿宋"/>
          <w:b/>
          <w:bCs/>
          <w:color w:val="auto"/>
          <w:highlight w:val="none"/>
          <w:lang w:eastAsia="zh-CN"/>
        </w:rPr>
      </w:pPr>
    </w:p>
    <w:p w14:paraId="3830A2FF">
      <w:pPr>
        <w:numPr>
          <w:ilvl w:val="0"/>
          <w:numId w:val="0"/>
        </w:numPr>
        <w:spacing w:line="400" w:lineRule="exact"/>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val="en-US" w:eastAsia="zh-CN"/>
        </w:rPr>
        <w:t>8、</w:t>
      </w:r>
      <w:r>
        <w:rPr>
          <w:rFonts w:hint="eastAsia" w:ascii="仿宋" w:hAnsi="仿宋" w:eastAsia="仿宋" w:cs="仿宋"/>
          <w:b/>
          <w:bCs/>
          <w:color w:val="auto"/>
          <w:highlight w:val="none"/>
          <w:lang w:eastAsia="zh-CN"/>
        </w:rPr>
        <w:t>投标人是否提供202</w:t>
      </w:r>
      <w:r>
        <w:rPr>
          <w:rFonts w:hint="eastAsia" w:ascii="仿宋" w:hAnsi="仿宋" w:eastAsia="仿宋" w:cs="仿宋"/>
          <w:b/>
          <w:bCs/>
          <w:color w:val="auto"/>
          <w:highlight w:val="none"/>
          <w:lang w:val="en-US" w:eastAsia="zh-CN"/>
        </w:rPr>
        <w:t>4</w:t>
      </w:r>
      <w:r>
        <w:rPr>
          <w:rFonts w:hint="eastAsia" w:ascii="仿宋" w:hAnsi="仿宋" w:eastAsia="仿宋" w:cs="仿宋"/>
          <w:b/>
          <w:bCs/>
          <w:color w:val="auto"/>
          <w:highlight w:val="none"/>
          <w:lang w:eastAsia="zh-CN"/>
        </w:rPr>
        <w:t>年度经审计的财务报告（包括审计报告、资产负债表和利润表（成立时间至投标截止时间不足一年的可提供成立后任意时段的资产负债表）；成立时间至投标截止时间不足一年的可提供成立后任意时段的资产负债表）；或其开标前三个月内基本存款账户开户银行出具的资信证明及基本存款账户开户许可证（或基本存款账户信息相关证明文件）；或信用担保机构出具的投标担保函；</w:t>
      </w:r>
    </w:p>
    <w:p w14:paraId="0D2F2AFC">
      <w:pPr>
        <w:pStyle w:val="33"/>
        <w:numPr>
          <w:ilvl w:val="0"/>
          <w:numId w:val="0"/>
        </w:numPr>
        <w:ind w:leftChars="0"/>
        <w:rPr>
          <w:rFonts w:hint="eastAsia" w:ascii="仿宋" w:hAnsi="仿宋" w:eastAsia="仿宋" w:cs="仿宋"/>
          <w:b/>
          <w:bCs/>
          <w:color w:val="auto"/>
          <w:sz w:val="24"/>
          <w:szCs w:val="24"/>
          <w:highlight w:val="none"/>
          <w:lang w:val="en-US" w:eastAsia="zh-CN" w:bidi="en-US"/>
        </w:rPr>
      </w:pPr>
      <w:r>
        <w:rPr>
          <w:rFonts w:hint="eastAsia" w:ascii="仿宋" w:hAnsi="仿宋" w:eastAsia="仿宋" w:cs="仿宋"/>
          <w:b/>
          <w:bCs/>
          <w:color w:val="auto"/>
          <w:highlight w:val="none"/>
          <w:lang w:val="en-US" w:eastAsia="zh-CN"/>
        </w:rPr>
        <w:t>9、参加政府采购活动前三年内，在经营活动中没有重大违法记录；未被“信用中国”（www.creditchina.gov.cn）、中国政府采购网（www.ccgp.gov.cn）列入失信被执行</w:t>
      </w:r>
      <w:r>
        <w:rPr>
          <w:rFonts w:hint="eastAsia" w:ascii="仿宋" w:hAnsi="仿宋" w:eastAsia="仿宋" w:cs="仿宋"/>
          <w:b/>
          <w:bCs/>
          <w:color w:val="auto"/>
          <w:sz w:val="24"/>
          <w:szCs w:val="24"/>
          <w:highlight w:val="none"/>
          <w:lang w:val="en-US" w:eastAsia="zh-CN" w:bidi="en-US"/>
        </w:rPr>
        <w:t>人、税收违法黑名单、政府采购严重违法失信行为记录名单。</w:t>
      </w:r>
    </w:p>
    <w:p w14:paraId="022D89F8">
      <w:pPr>
        <w:pStyle w:val="33"/>
        <w:numPr>
          <w:ilvl w:val="0"/>
          <w:numId w:val="0"/>
        </w:numPr>
        <w:ind w:leftChars="0"/>
        <w:rPr>
          <w:rFonts w:hint="default" w:ascii="仿宋" w:hAnsi="仿宋" w:eastAsia="仿宋" w:cs="仿宋"/>
          <w:b/>
          <w:bCs/>
          <w:color w:val="auto"/>
          <w:sz w:val="24"/>
          <w:szCs w:val="24"/>
          <w:highlight w:val="none"/>
          <w:lang w:val="en-US" w:eastAsia="zh-CN" w:bidi="en-US"/>
        </w:rPr>
      </w:pPr>
      <w:r>
        <w:rPr>
          <w:rFonts w:hint="eastAsia" w:ascii="仿宋" w:hAnsi="仿宋" w:eastAsia="仿宋" w:cs="仿宋"/>
          <w:b/>
          <w:bCs/>
          <w:color w:val="auto"/>
          <w:sz w:val="24"/>
          <w:szCs w:val="24"/>
          <w:highlight w:val="none"/>
          <w:lang w:val="en-US" w:eastAsia="zh-CN" w:bidi="en-US"/>
        </w:rPr>
        <w:t>10、具有履行合同所必需的设备和专业技术能力的承诺函；</w:t>
      </w:r>
    </w:p>
    <w:p w14:paraId="4D27D630">
      <w:pPr>
        <w:pStyle w:val="33"/>
        <w:numPr>
          <w:ilvl w:val="0"/>
          <w:numId w:val="0"/>
        </w:numPr>
        <w:ind w:leftChars="0"/>
        <w:rPr>
          <w:rFonts w:hint="eastAsia" w:ascii="仿宋" w:hAnsi="仿宋" w:eastAsia="仿宋" w:cs="仿宋"/>
          <w:b/>
          <w:bCs/>
          <w:color w:val="auto"/>
          <w:sz w:val="24"/>
          <w:szCs w:val="24"/>
          <w:highlight w:val="none"/>
          <w:lang w:val="en-US" w:eastAsia="zh-CN" w:bidi="en-US"/>
        </w:rPr>
      </w:pPr>
    </w:p>
    <w:p w14:paraId="33C514EC">
      <w:pPr>
        <w:pStyle w:val="3"/>
        <w:spacing w:before="40" w:after="40" w:line="579" w:lineRule="auto"/>
        <w:jc w:val="both"/>
        <w:rPr>
          <w:rFonts w:hint="eastAsia" w:ascii="仿宋" w:hAnsi="仿宋" w:eastAsia="仿宋" w:cs="仿宋"/>
          <w:color w:val="auto"/>
          <w:sz w:val="32"/>
          <w:szCs w:val="32"/>
          <w:highlight w:val="none"/>
          <w:lang w:eastAsia="zh-CN"/>
        </w:rPr>
      </w:pPr>
      <w:bookmarkStart w:id="63" w:name="_Toc515647816"/>
      <w:bookmarkStart w:id="64" w:name="_Toc22967"/>
      <w:bookmarkStart w:id="65" w:name="_Toc11180"/>
      <w:bookmarkStart w:id="66" w:name="_Toc5695"/>
    </w:p>
    <w:p w14:paraId="68658364">
      <w:pPr>
        <w:rPr>
          <w:rFonts w:hint="eastAsia" w:ascii="仿宋" w:hAnsi="仿宋" w:eastAsia="仿宋" w:cs="仿宋"/>
          <w:color w:val="auto"/>
          <w:sz w:val="32"/>
          <w:szCs w:val="32"/>
          <w:highlight w:val="none"/>
          <w:lang w:eastAsia="zh-CN"/>
        </w:rPr>
      </w:pPr>
    </w:p>
    <w:p w14:paraId="1E81B8A2">
      <w:pPr>
        <w:pStyle w:val="4"/>
        <w:rPr>
          <w:rFonts w:hint="eastAsia" w:ascii="仿宋" w:hAnsi="仿宋" w:eastAsia="仿宋" w:cs="仿宋"/>
          <w:color w:val="auto"/>
          <w:sz w:val="32"/>
          <w:szCs w:val="32"/>
          <w:highlight w:val="none"/>
          <w:lang w:eastAsia="zh-CN"/>
        </w:rPr>
      </w:pPr>
    </w:p>
    <w:p w14:paraId="44485772">
      <w:pPr>
        <w:rPr>
          <w:rFonts w:hint="eastAsia"/>
          <w:color w:val="auto"/>
          <w:highlight w:val="none"/>
          <w:lang w:eastAsia="zh-CN"/>
        </w:rPr>
      </w:pPr>
    </w:p>
    <w:p w14:paraId="1FEFF81B">
      <w:pPr>
        <w:pStyle w:val="3"/>
        <w:spacing w:before="40" w:after="40" w:line="579" w:lineRule="auto"/>
        <w:jc w:val="center"/>
        <w:rPr>
          <w:rFonts w:hint="eastAsia" w:ascii="仿宋" w:hAnsi="仿宋" w:eastAsia="仿宋" w:cs="仿宋"/>
          <w:color w:val="auto"/>
          <w:sz w:val="32"/>
          <w:szCs w:val="32"/>
          <w:highlight w:val="none"/>
          <w:lang w:eastAsia="zh-CN"/>
        </w:rPr>
      </w:pPr>
    </w:p>
    <w:p w14:paraId="4D1F6B5F">
      <w:pPr>
        <w:rPr>
          <w:rFonts w:hint="eastAsia"/>
          <w:color w:val="auto"/>
          <w:highlight w:val="none"/>
          <w:lang w:eastAsia="zh-CN"/>
        </w:rPr>
      </w:pPr>
    </w:p>
    <w:p w14:paraId="6D148C5A">
      <w:pPr>
        <w:rPr>
          <w:rFonts w:hint="eastAsia"/>
          <w:color w:val="auto"/>
          <w:highlight w:val="none"/>
          <w:lang w:eastAsia="zh-CN"/>
        </w:rPr>
      </w:pPr>
    </w:p>
    <w:p w14:paraId="5AC604BA">
      <w:pPr>
        <w:pStyle w:val="8"/>
        <w:numPr>
          <w:ilvl w:val="0"/>
          <w:numId w:val="0"/>
        </w:numPr>
        <w:ind w:leftChars="0"/>
        <w:rPr>
          <w:rFonts w:hint="eastAsia"/>
          <w:color w:val="auto"/>
          <w:highlight w:val="none"/>
          <w:lang w:eastAsia="zh-CN"/>
        </w:rPr>
      </w:pPr>
    </w:p>
    <w:p w14:paraId="374D028E">
      <w:pPr>
        <w:rPr>
          <w:rFonts w:hint="eastAsia"/>
          <w:color w:val="auto"/>
          <w:highlight w:val="none"/>
          <w:lang w:eastAsia="zh-CN"/>
        </w:rPr>
      </w:pPr>
    </w:p>
    <w:p w14:paraId="7C0F8FBA">
      <w:pPr>
        <w:pStyle w:val="2"/>
        <w:rPr>
          <w:rFonts w:hint="eastAsia"/>
          <w:color w:val="auto"/>
          <w:highlight w:val="none"/>
          <w:lang w:eastAsia="zh-CN"/>
        </w:rPr>
      </w:pPr>
    </w:p>
    <w:p w14:paraId="1C02242F">
      <w:pPr>
        <w:rPr>
          <w:rFonts w:hint="eastAsia"/>
          <w:color w:val="auto"/>
          <w:highlight w:val="none"/>
          <w:lang w:eastAsia="zh-CN"/>
        </w:rPr>
      </w:pPr>
    </w:p>
    <w:p w14:paraId="480F6B1A">
      <w:pPr>
        <w:pStyle w:val="6"/>
        <w:rPr>
          <w:rFonts w:hint="eastAsia"/>
          <w:color w:val="auto"/>
          <w:highlight w:val="none"/>
          <w:lang w:eastAsia="zh-CN"/>
        </w:rPr>
      </w:pPr>
    </w:p>
    <w:p w14:paraId="6E90EFB1">
      <w:pPr>
        <w:pStyle w:val="3"/>
        <w:spacing w:before="40" w:after="40" w:line="579" w:lineRule="auto"/>
        <w:jc w:val="center"/>
        <w:rPr>
          <w:rFonts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第二部分  商务及技术文件</w:t>
      </w:r>
      <w:bookmarkEnd w:id="63"/>
      <w:bookmarkEnd w:id="64"/>
      <w:bookmarkEnd w:id="65"/>
      <w:bookmarkEnd w:id="66"/>
    </w:p>
    <w:p w14:paraId="6AC76F78">
      <w:pPr>
        <w:pStyle w:val="10"/>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1、投标函</w:t>
      </w:r>
    </w:p>
    <w:p w14:paraId="0596B824">
      <w:pPr>
        <w:pStyle w:val="10"/>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2、开标一览表</w:t>
      </w:r>
    </w:p>
    <w:p w14:paraId="222534B7">
      <w:pPr>
        <w:pStyle w:val="10"/>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3、货物说明一览表</w:t>
      </w:r>
    </w:p>
    <w:p w14:paraId="4DEE2665">
      <w:pPr>
        <w:pStyle w:val="10"/>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4、投标分项报价表</w:t>
      </w:r>
    </w:p>
    <w:p w14:paraId="085A016D">
      <w:pPr>
        <w:pStyle w:val="10"/>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5、技术</w:t>
      </w:r>
      <w:r>
        <w:rPr>
          <w:rFonts w:hint="eastAsia" w:ascii="仿宋" w:hAnsi="仿宋" w:eastAsia="仿宋" w:cs="仿宋"/>
          <w:color w:val="auto"/>
          <w:highlight w:val="none"/>
          <w:lang w:val="en-US" w:eastAsia="zh-CN"/>
        </w:rPr>
        <w:t>条款</w:t>
      </w:r>
      <w:r>
        <w:rPr>
          <w:rFonts w:hint="eastAsia" w:ascii="仿宋" w:hAnsi="仿宋" w:eastAsia="仿宋" w:cs="仿宋"/>
          <w:color w:val="auto"/>
          <w:highlight w:val="none"/>
          <w:lang w:eastAsia="zh-CN"/>
        </w:rPr>
        <w:t>偏离表</w:t>
      </w:r>
    </w:p>
    <w:p w14:paraId="1FC27951">
      <w:pPr>
        <w:pStyle w:val="10"/>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6、商务条款偏离表</w:t>
      </w:r>
    </w:p>
    <w:p w14:paraId="7F4203EC">
      <w:pPr>
        <w:pStyle w:val="10"/>
        <w:spacing w:line="400" w:lineRule="exact"/>
        <w:ind w:left="1169"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7、供应商基本情况表</w:t>
      </w:r>
    </w:p>
    <w:p w14:paraId="15278AEE">
      <w:pPr>
        <w:pStyle w:val="10"/>
        <w:spacing w:line="400" w:lineRule="exact"/>
        <w:ind w:left="362" w:leftChars="148" w:firstLine="22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、中小企业声明函(货物)</w:t>
      </w:r>
    </w:p>
    <w:p w14:paraId="3CEA4ADC">
      <w:pPr>
        <w:pStyle w:val="10"/>
        <w:spacing w:line="400" w:lineRule="exact"/>
        <w:ind w:left="362" w:leftChars="148" w:firstLine="22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、《残疾人福利性单位声明函》</w:t>
      </w:r>
    </w:p>
    <w:p w14:paraId="67117C4B">
      <w:pPr>
        <w:pStyle w:val="10"/>
        <w:spacing w:line="400" w:lineRule="exact"/>
        <w:ind w:left="362" w:leftChars="148" w:firstLine="22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商务</w:t>
      </w:r>
      <w:r>
        <w:rPr>
          <w:rFonts w:hint="eastAsia" w:ascii="仿宋" w:hAnsi="仿宋" w:eastAsia="仿宋" w:cs="仿宋"/>
          <w:color w:val="auto"/>
          <w:highlight w:val="none"/>
          <w:lang w:eastAsia="zh-CN"/>
        </w:rPr>
        <w:t>标准和细则中技术部分证明材料</w:t>
      </w:r>
    </w:p>
    <w:p w14:paraId="59E0B05D">
      <w:pPr>
        <w:pStyle w:val="10"/>
        <w:spacing w:line="400" w:lineRule="exact"/>
        <w:ind w:left="362" w:leftChars="148" w:firstLine="228"/>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、评分标准和细则中技术部分证明材料（格式自拟）</w:t>
      </w:r>
    </w:p>
    <w:p w14:paraId="76164AC2">
      <w:pPr>
        <w:pStyle w:val="10"/>
        <w:spacing w:line="400" w:lineRule="exact"/>
        <w:ind w:left="362" w:leftChars="148" w:firstLine="228"/>
        <w:rPr>
          <w:rFonts w:ascii="仿宋" w:hAnsi="仿宋" w:eastAsia="仿宋" w:cs="仿宋"/>
          <w:color w:val="auto"/>
          <w:highlight w:val="none"/>
          <w:lang w:eastAsia="zh-CN"/>
        </w:rPr>
      </w:pP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lang w:eastAsia="zh-CN"/>
        </w:rPr>
        <w:t>、供应商认为有必要提供的其他证明材料（格式自拟）</w:t>
      </w:r>
    </w:p>
    <w:p w14:paraId="4DFECE2F">
      <w:pPr>
        <w:pStyle w:val="10"/>
        <w:tabs>
          <w:tab w:val="left" w:pos="5580"/>
        </w:tabs>
        <w:spacing w:line="400" w:lineRule="exact"/>
        <w:ind w:left="654" w:leftChars="267"/>
        <w:rPr>
          <w:rFonts w:ascii="仿宋" w:hAnsi="仿宋" w:eastAsia="仿宋" w:cs="仿宋"/>
          <w:color w:val="auto"/>
          <w:sz w:val="21"/>
          <w:szCs w:val="21"/>
          <w:highlight w:val="none"/>
          <w:lang w:eastAsia="zh-CN"/>
        </w:rPr>
      </w:pPr>
      <w:r>
        <w:rPr>
          <w:rFonts w:hint="eastAsia" w:ascii="仿宋" w:hAnsi="仿宋" w:eastAsia="仿宋" w:cs="仿宋"/>
          <w:color w:val="auto"/>
          <w:highlight w:val="none"/>
          <w:lang w:eastAsia="zh-CN"/>
        </w:rPr>
        <w:br w:type="page"/>
      </w:r>
    </w:p>
    <w:p w14:paraId="3772AE18">
      <w:pPr>
        <w:pStyle w:val="8"/>
        <w:numPr>
          <w:ilvl w:val="0"/>
          <w:numId w:val="0"/>
        </w:numPr>
        <w:kinsoku w:val="0"/>
        <w:overflowPunct w:val="0"/>
        <w:spacing w:before="130" w:line="355" w:lineRule="auto"/>
        <w:ind w:left="480" w:right="7"/>
        <w:jc w:val="center"/>
        <w:rPr>
          <w:rFonts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1、投标函</w:t>
      </w:r>
    </w:p>
    <w:p w14:paraId="0084BCBE">
      <w:pPr>
        <w:spacing w:line="440" w:lineRule="exact"/>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p>
    <w:p w14:paraId="517EDA7A">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为响应你方组织的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项目的招标[项目编号为：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，我方愿参与投标。</w:t>
      </w:r>
    </w:p>
    <w:p w14:paraId="11AD96D2">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我方确认收到贵方提供的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招标文件的全部内容。</w:t>
      </w:r>
    </w:p>
    <w:p w14:paraId="46C62344">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我方在参与投标前已详细研究了招标文件的所有内容，包括澄清、修改文件（如果有）和所有已提供的参考资料以及有关附件，我方完全明白并认为此招标文件没有倾向性，也不存在排斥潜在报价供应商的内容，我方同意招标文件的相关条款，放弃对招标文件提出误解和质疑的一切权力。</w:t>
      </w:r>
    </w:p>
    <w:p w14:paraId="1DF59A82">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      (供应商名称)      </w:t>
      </w:r>
      <w:r>
        <w:rPr>
          <w:rFonts w:hint="eastAsia" w:ascii="仿宋" w:hAnsi="仿宋" w:eastAsia="仿宋" w:cs="仿宋"/>
          <w:color w:val="auto"/>
          <w:highlight w:val="none"/>
          <w:lang w:eastAsia="zh-CN"/>
        </w:rPr>
        <w:t>作为供应商正式授权</w:t>
      </w:r>
      <w:r>
        <w:rPr>
          <w:rFonts w:hint="eastAsia" w:ascii="仿宋" w:hAnsi="仿宋" w:eastAsia="仿宋" w:cs="仿宋"/>
          <w:color w:val="auto"/>
          <w:highlight w:val="none"/>
          <w:u w:val="single"/>
          <w:lang w:eastAsia="zh-CN"/>
        </w:rPr>
        <w:t xml:space="preserve">  (授权代表全名, 职务)  </w:t>
      </w:r>
      <w:r>
        <w:rPr>
          <w:rFonts w:hint="eastAsia" w:ascii="仿宋" w:hAnsi="仿宋" w:eastAsia="仿宋" w:cs="仿宋"/>
          <w:color w:val="auto"/>
          <w:highlight w:val="none"/>
          <w:lang w:eastAsia="zh-CN"/>
        </w:rPr>
        <w:t>代表我方全权处理有关本报价的一切事宜。</w:t>
      </w:r>
    </w:p>
    <w:p w14:paraId="3985390B">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我方已完全明白招标文件的所有条款要求，并申明如下：</w:t>
      </w:r>
    </w:p>
    <w:p w14:paraId="0B462CBA">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（一）按招标文件提供的全部货物与相关服务的投标总价详见《报价一览表》。</w:t>
      </w:r>
    </w:p>
    <w:p w14:paraId="47CA029C">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（二）本投标文件的有效期为投标截止时间起</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3F6B0953">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（三）我方同意按照贵方可能提出的要求而提供与投标有关的任何其它数据、信息或资料。</w:t>
      </w:r>
    </w:p>
    <w:p w14:paraId="34E9BFE7">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（四）我方理解贵方不一定接受最低投标价或任何贵方可能收到的投标。</w:t>
      </w:r>
    </w:p>
    <w:p w14:paraId="5BD01FFA">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（五）我方如果中标，将保证履行招标文件及其澄清、修改文件（如果有）中的全部责任和义务，按质、按量、按期完成《招标内容》及《合同书》中的全部任务。</w:t>
      </w:r>
    </w:p>
    <w:p w14:paraId="4FCF6C25">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（六）如我方被授予合同，我方承诺支付就本次招标应支付或将支付的中标服务费（详见按招标文件要求格式填写的《中标服务费支付承诺书》）。</w:t>
      </w:r>
    </w:p>
    <w:p w14:paraId="49D3D558">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（七）我方作为在法律、财务和运作上独立于采购人、招标代理机构的供应商，在此保证所提交的所有文件和全部说明是真实的和正确的。</w:t>
      </w:r>
    </w:p>
    <w:p w14:paraId="229D4E6D">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（八）我方投标报价已包含应向知识产权所有权人支付的所有相关税费，并保证采购人在中国使用我方提供的货物时，如有第三方提出侵犯其知识产权主张的，责任由我方承担。</w:t>
      </w:r>
    </w:p>
    <w:p w14:paraId="2212C6BB">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（九）我方与其他供应商不存在单位负责人为同一人或者存在直接控股、管理关系。</w:t>
      </w:r>
    </w:p>
    <w:p w14:paraId="2E2D186C">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（十）我方承诺未为本项目提供整体设计、规范编制或者项目管理、监理、检测等服务。</w:t>
      </w:r>
    </w:p>
    <w:p w14:paraId="7E4A1A09">
      <w:pPr>
        <w:spacing w:line="48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（十一）我方具备《政府采购法》第二十二条规定的条件，承诺如下：</w:t>
      </w:r>
    </w:p>
    <w:p w14:paraId="6B39E72E">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（1）我方已依法缴纳了各项税费及社会保险费用，如有需要，可随时向采购人提供近三个月内的相关缴费证明，以便核查。</w:t>
      </w:r>
    </w:p>
    <w:p w14:paraId="5884CF6C">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（2）我方已依法建立健全的财务会计制度，如有需要，可随时向采购人提供相关的证明材料，以便核查。</w:t>
      </w:r>
    </w:p>
    <w:p w14:paraId="19D6ED48">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（3）我方参加本项目政府采购活动前3年内在经营活动中没有重大违法记录。</w:t>
      </w:r>
    </w:p>
    <w:p w14:paraId="213B18BD">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（4）我方具备履行合同所必需的设备和专业技术能力。</w:t>
      </w:r>
    </w:p>
    <w:p w14:paraId="5E8B18C5">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（5）我方符合法律、行政法规规定的其他条件。</w:t>
      </w:r>
    </w:p>
    <w:p w14:paraId="11BA6795">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以上内容如有虚假或与事实不符的，评审委员会可将我方</w:t>
      </w:r>
      <w:r>
        <w:rPr>
          <w:rFonts w:hint="eastAsia" w:ascii="仿宋" w:hAnsi="仿宋" w:eastAsia="仿宋" w:cs="仿宋"/>
          <w:color w:val="auto"/>
          <w:highlight w:val="none"/>
          <w:lang w:val="en-US" w:eastAsia="zh-CN"/>
        </w:rPr>
        <w:t>作</w:t>
      </w:r>
      <w:r>
        <w:rPr>
          <w:rFonts w:hint="eastAsia" w:ascii="仿宋" w:hAnsi="仿宋" w:eastAsia="仿宋" w:cs="仿宋"/>
          <w:color w:val="auto"/>
          <w:highlight w:val="none"/>
          <w:lang w:eastAsia="zh-CN"/>
        </w:rPr>
        <w:t>无效投标处理，我方愿意承担相应的法律责任。</w:t>
      </w:r>
    </w:p>
    <w:p w14:paraId="195FDBD5">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（十</w:t>
      </w: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lang w:eastAsia="zh-CN"/>
        </w:rPr>
        <w:t>）我方对在本函及投标文件中所作的所有承诺承担法律责任。</w:t>
      </w:r>
    </w:p>
    <w:p w14:paraId="151794B4">
      <w:pPr>
        <w:spacing w:line="440" w:lineRule="exac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（十</w:t>
      </w:r>
      <w:r>
        <w:rPr>
          <w:rFonts w:hint="eastAsia" w:ascii="仿宋" w:hAnsi="仿宋" w:eastAsia="仿宋" w:cs="仿宋"/>
          <w:color w:val="auto"/>
          <w:highlight w:val="none"/>
          <w:lang w:val="en-US" w:eastAsia="zh-CN"/>
        </w:rPr>
        <w:t>三</w:t>
      </w:r>
      <w:r>
        <w:rPr>
          <w:rFonts w:hint="eastAsia" w:ascii="仿宋" w:hAnsi="仿宋" w:eastAsia="仿宋" w:cs="仿宋"/>
          <w:color w:val="auto"/>
          <w:highlight w:val="none"/>
          <w:lang w:eastAsia="zh-CN"/>
        </w:rPr>
        <w:t>）所有与本招标有关的函件请发往下列地址：</w:t>
      </w:r>
    </w:p>
    <w:p w14:paraId="1E7486AC">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    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2B14D7A">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    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868D2AE">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传    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00D5245">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代表姓名：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.职    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A9CA436">
      <w:pPr>
        <w:spacing w:line="440" w:lineRule="exact"/>
        <w:ind w:right="480"/>
        <w:jc w:val="right"/>
        <w:rPr>
          <w:rFonts w:ascii="仿宋" w:hAnsi="仿宋" w:eastAsia="仿宋" w:cs="仿宋"/>
          <w:color w:val="auto"/>
          <w:highlight w:val="none"/>
          <w:lang w:eastAsia="zh-CN"/>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（公章） </w:t>
      </w:r>
    </w:p>
    <w:p w14:paraId="3DC777F7">
      <w:pPr>
        <w:wordWrap w:val="0"/>
        <w:spacing w:line="440" w:lineRule="exact"/>
        <w:ind w:firstLine="490" w:firstLineChars="200"/>
        <w:jc w:val="right"/>
        <w:rPr>
          <w:rFonts w:ascii="仿宋" w:hAnsi="仿宋" w:eastAsia="仿宋" w:cs="仿宋"/>
          <w:color w:val="auto"/>
          <w:highlight w:val="none"/>
          <w:lang w:eastAsia="zh-CN"/>
        </w:rPr>
      </w:pPr>
      <w:r>
        <w:rPr>
          <w:rFonts w:hint="eastAsia" w:ascii="仿宋" w:hAnsi="仿宋" w:eastAsia="仿宋" w:cs="仿宋"/>
          <w:color w:val="auto"/>
          <w:highlight w:val="none"/>
          <w:lang w:eastAsia="zh-CN"/>
        </w:rPr>
        <w:t>法定代表人或委托人：</w:t>
      </w:r>
      <w:r>
        <w:rPr>
          <w:rFonts w:hint="eastAsia" w:ascii="仿宋" w:hAnsi="仿宋" w:eastAsia="仿宋" w:cs="仿宋"/>
          <w:color w:val="auto"/>
          <w:highlight w:val="none"/>
          <w:lang w:eastAsia="zh-CN"/>
        </w:rPr>
        <w:tab/>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（签章）  </w:t>
      </w:r>
    </w:p>
    <w:p w14:paraId="75F24656">
      <w:pPr>
        <w:wordWrap w:val="0"/>
        <w:spacing w:line="440" w:lineRule="exact"/>
        <w:ind w:firstLine="490" w:firstLineChars="200"/>
        <w:jc w:val="right"/>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17B332A5">
      <w:pPr>
        <w:pStyle w:val="33"/>
        <w:rPr>
          <w:rFonts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14:paraId="6C9AA3B3">
      <w:pPr>
        <w:pStyle w:val="5"/>
        <w:tabs>
          <w:tab w:val="left" w:pos="5580"/>
        </w:tabs>
        <w:spacing w:line="240" w:lineRule="atLeast"/>
        <w:ind w:firstLine="3383" w:firstLineChars="927"/>
        <w:jc w:val="both"/>
        <w:rPr>
          <w:rFonts w:ascii="仿宋" w:hAnsi="仿宋" w:eastAsia="仿宋" w:cs="仿宋"/>
          <w:color w:val="auto"/>
          <w:highlight w:val="none"/>
          <w:lang w:eastAsia="zh-CN"/>
        </w:rPr>
      </w:pPr>
      <w:r>
        <w:rPr>
          <w:rFonts w:hint="eastAsia" w:ascii="仿宋" w:hAnsi="仿宋" w:eastAsia="仿宋" w:cs="仿宋"/>
          <w:b/>
          <w:color w:val="auto"/>
          <w:sz w:val="36"/>
          <w:szCs w:val="24"/>
          <w:highlight w:val="none"/>
          <w:lang w:eastAsia="zh-CN"/>
        </w:rPr>
        <w:t>2、开标一览表</w:t>
      </w:r>
      <w:r>
        <w:rPr>
          <w:rFonts w:hint="eastAsia" w:ascii="仿宋" w:hAnsi="仿宋" w:eastAsia="仿宋" w:cs="仿宋"/>
          <w:b/>
          <w:color w:val="auto"/>
          <w:sz w:val="36"/>
          <w:szCs w:val="24"/>
          <w:highlight w:val="none"/>
          <w:lang w:eastAsia="zh-CN"/>
        </w:rPr>
        <w:cr/>
      </w:r>
    </w:p>
    <w:p w14:paraId="75BA3A5B">
      <w:pPr>
        <w:adjustRightInd w:val="0"/>
        <w:snapToGrid w:val="0"/>
        <w:spacing w:line="500" w:lineRule="exact"/>
        <w:rPr>
          <w:rFonts w:ascii="仿宋" w:hAnsi="仿宋" w:eastAsia="仿宋" w:cs="仿宋"/>
          <w:color w:val="auto"/>
          <w:szCs w:val="21"/>
          <w:highlight w:val="none"/>
          <w:u w:val="single"/>
          <w:lang w:eastAsia="zh-CN"/>
        </w:rPr>
      </w:pPr>
      <w:r>
        <w:rPr>
          <w:rFonts w:hint="eastAsia" w:ascii="仿宋" w:hAnsi="仿宋" w:eastAsia="仿宋" w:cs="仿宋"/>
          <w:color w:val="auto"/>
          <w:szCs w:val="21"/>
          <w:highlight w:val="none"/>
          <w:lang w:eastAsia="zh-CN"/>
        </w:rPr>
        <w:t xml:space="preserve">招标项目名称： </w:t>
      </w:r>
      <w:r>
        <w:rPr>
          <w:rFonts w:hint="eastAsia" w:ascii="仿宋" w:hAnsi="仿宋" w:eastAsia="仿宋" w:cs="仿宋"/>
          <w:color w:val="auto"/>
          <w:szCs w:val="21"/>
          <w:highlight w:val="none"/>
          <w:u w:val="single"/>
          <w:lang w:eastAsia="zh-CN"/>
        </w:rPr>
        <w:t xml:space="preserve">                         </w:t>
      </w:r>
    </w:p>
    <w:p w14:paraId="0F80E5F3">
      <w:pPr>
        <w:adjustRightInd w:val="0"/>
        <w:snapToGrid w:val="0"/>
        <w:spacing w:line="500" w:lineRule="exact"/>
        <w:rPr>
          <w:rFonts w:ascii="仿宋" w:hAnsi="仿宋" w:eastAsia="仿宋" w:cs="仿宋"/>
          <w:i/>
          <w:iCs/>
          <w:color w:val="auto"/>
          <w:szCs w:val="21"/>
          <w:highlight w:val="none"/>
          <w:lang w:eastAsia="zh-CN"/>
        </w:rPr>
      </w:pPr>
      <w:r>
        <w:rPr>
          <w:rFonts w:hint="eastAsia" w:ascii="仿宋" w:hAnsi="仿宋" w:eastAsia="仿宋" w:cs="仿宋"/>
          <w:color w:val="auto"/>
          <w:szCs w:val="21"/>
          <w:highlight w:val="none"/>
          <w:lang w:eastAsia="zh-CN"/>
        </w:rPr>
        <w:t>招标项目编号：</w:t>
      </w:r>
      <w:r>
        <w:rPr>
          <w:rFonts w:hint="eastAsia" w:ascii="仿宋" w:hAnsi="仿宋" w:eastAsia="仿宋" w:cs="仿宋"/>
          <w:i/>
          <w:iCs/>
          <w:color w:val="auto"/>
          <w:szCs w:val="21"/>
          <w:highlight w:val="none"/>
          <w:lang w:eastAsia="zh-CN"/>
        </w:rPr>
        <w:t xml:space="preserve"> </w:t>
      </w:r>
      <w:r>
        <w:rPr>
          <w:rFonts w:hint="eastAsia" w:ascii="仿宋" w:hAnsi="仿宋" w:eastAsia="仿宋" w:cs="仿宋"/>
          <w:color w:val="auto"/>
          <w:szCs w:val="21"/>
          <w:highlight w:val="none"/>
          <w:u w:val="single"/>
          <w:lang w:eastAsia="zh-CN"/>
        </w:rPr>
        <w:t xml:space="preserve">                         </w:t>
      </w:r>
    </w:p>
    <w:p w14:paraId="1759D388">
      <w:pPr>
        <w:spacing w:line="50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单位：元（人民币）</w:t>
      </w:r>
    </w:p>
    <w:tbl>
      <w:tblPr>
        <w:tblStyle w:val="23"/>
        <w:tblW w:w="8780"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799"/>
        <w:gridCol w:w="5360"/>
      </w:tblGrid>
      <w:tr w14:paraId="303C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3420" w:type="dxa"/>
            <w:gridSpan w:val="2"/>
            <w:vAlign w:val="center"/>
          </w:tcPr>
          <w:p w14:paraId="15732DA8">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项目名称</w:t>
            </w:r>
          </w:p>
        </w:tc>
        <w:tc>
          <w:tcPr>
            <w:tcW w:w="5360" w:type="dxa"/>
            <w:vAlign w:val="center"/>
          </w:tcPr>
          <w:p w14:paraId="254E9ACE">
            <w:pPr>
              <w:rPr>
                <w:rFonts w:ascii="仿宋" w:hAnsi="仿宋" w:eastAsia="仿宋" w:cs="仿宋"/>
                <w:color w:val="auto"/>
                <w:szCs w:val="21"/>
                <w:highlight w:val="none"/>
              </w:rPr>
            </w:pPr>
          </w:p>
        </w:tc>
      </w:tr>
      <w:tr w14:paraId="1EBC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3420" w:type="dxa"/>
            <w:gridSpan w:val="2"/>
            <w:vAlign w:val="center"/>
          </w:tcPr>
          <w:p w14:paraId="66643943">
            <w:pPr>
              <w:jc w:val="center"/>
              <w:rPr>
                <w:rFonts w:ascii="仿宋" w:hAnsi="仿宋" w:eastAsia="仿宋" w:cs="仿宋"/>
                <w:color w:val="auto"/>
                <w:szCs w:val="21"/>
                <w:highlight w:val="none"/>
                <w:lang w:eastAsia="zh-CN"/>
              </w:rPr>
            </w:pPr>
            <w:r>
              <w:rPr>
                <w:rFonts w:hint="eastAsia" w:ascii="仿宋" w:hAnsi="仿宋" w:eastAsia="仿宋" w:cs="仿宋"/>
                <w:color w:val="auto"/>
                <w:szCs w:val="21"/>
                <w:highlight w:val="none"/>
              </w:rPr>
              <w:t>供货</w:t>
            </w:r>
            <w:r>
              <w:rPr>
                <w:rFonts w:hint="eastAsia" w:ascii="仿宋" w:hAnsi="仿宋" w:eastAsia="仿宋" w:cs="仿宋"/>
                <w:color w:val="auto"/>
                <w:szCs w:val="21"/>
                <w:highlight w:val="none"/>
                <w:lang w:val="en-US" w:eastAsia="zh-CN"/>
              </w:rPr>
              <w:t>服务</w:t>
            </w:r>
            <w:r>
              <w:rPr>
                <w:rFonts w:hint="eastAsia" w:ascii="仿宋" w:hAnsi="仿宋" w:eastAsia="仿宋" w:cs="仿宋"/>
                <w:color w:val="auto"/>
                <w:szCs w:val="21"/>
                <w:highlight w:val="none"/>
              </w:rPr>
              <w:t>期</w:t>
            </w:r>
          </w:p>
        </w:tc>
        <w:tc>
          <w:tcPr>
            <w:tcW w:w="5360" w:type="dxa"/>
            <w:vAlign w:val="center"/>
          </w:tcPr>
          <w:p w14:paraId="633A8E59">
            <w:pPr>
              <w:jc w:val="center"/>
              <w:rPr>
                <w:rFonts w:ascii="仿宋" w:hAnsi="仿宋" w:eastAsia="仿宋" w:cs="仿宋"/>
                <w:color w:val="auto"/>
                <w:szCs w:val="21"/>
                <w:highlight w:val="none"/>
                <w:lang w:eastAsia="zh-CN"/>
              </w:rPr>
            </w:pPr>
          </w:p>
        </w:tc>
      </w:tr>
      <w:tr w14:paraId="4F5E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3420" w:type="dxa"/>
            <w:gridSpan w:val="2"/>
            <w:tcBorders>
              <w:top w:val="single" w:color="auto" w:sz="4" w:space="0"/>
            </w:tcBorders>
            <w:vAlign w:val="center"/>
          </w:tcPr>
          <w:p w14:paraId="60627476">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投标有效期</w:t>
            </w:r>
          </w:p>
        </w:tc>
        <w:tc>
          <w:tcPr>
            <w:tcW w:w="5360" w:type="dxa"/>
            <w:vAlign w:val="center"/>
          </w:tcPr>
          <w:p w14:paraId="05EA59B8">
            <w:pPr>
              <w:jc w:val="center"/>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天</w:t>
            </w:r>
          </w:p>
        </w:tc>
      </w:tr>
      <w:tr w14:paraId="2AED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1621" w:type="dxa"/>
            <w:vAlign w:val="center"/>
          </w:tcPr>
          <w:p w14:paraId="4CC992FC">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投标报价</w:t>
            </w:r>
          </w:p>
          <w:p w14:paraId="1DB00B1E">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下浮率%</w:t>
            </w:r>
            <w:r>
              <w:rPr>
                <w:rFonts w:hint="eastAsia" w:ascii="仿宋" w:hAnsi="仿宋" w:eastAsia="仿宋" w:cs="仿宋"/>
                <w:color w:val="auto"/>
                <w:szCs w:val="21"/>
                <w:highlight w:val="none"/>
              </w:rPr>
              <w:t>）</w:t>
            </w:r>
          </w:p>
        </w:tc>
        <w:tc>
          <w:tcPr>
            <w:tcW w:w="1799" w:type="dxa"/>
            <w:tcBorders>
              <w:top w:val="single" w:color="auto" w:sz="4" w:space="0"/>
              <w:bottom w:val="single" w:color="auto" w:sz="4" w:space="0"/>
            </w:tcBorders>
            <w:vAlign w:val="center"/>
          </w:tcPr>
          <w:p w14:paraId="7266C9A1">
            <w:pPr>
              <w:widowControl/>
              <w:jc w:val="left"/>
              <w:rPr>
                <w:rFonts w:hint="default" w:ascii="仿宋" w:hAnsi="仿宋" w:eastAsia="仿宋" w:cs="仿宋"/>
                <w:b w:val="0"/>
                <w:bCs w:val="0"/>
                <w:color w:val="auto"/>
                <w:szCs w:val="21"/>
                <w:highlight w:val="none"/>
                <w:lang w:val="en-US"/>
              </w:rPr>
            </w:pPr>
            <w:r>
              <w:rPr>
                <w:rFonts w:hint="eastAsia" w:ascii="仿宋" w:hAnsi="仿宋" w:eastAsia="仿宋" w:cs="仿宋"/>
                <w:b/>
                <w:bCs/>
                <w:color w:val="auto"/>
                <w:sz w:val="21"/>
                <w:szCs w:val="21"/>
                <w:highlight w:val="none"/>
                <w:lang w:val="en-US" w:eastAsia="zh-CN" w:bidi="ar-SA"/>
              </w:rPr>
              <w:t>牛肉、羊肉</w:t>
            </w:r>
          </w:p>
        </w:tc>
        <w:tc>
          <w:tcPr>
            <w:tcW w:w="5360" w:type="dxa"/>
            <w:vAlign w:val="center"/>
          </w:tcPr>
          <w:p w14:paraId="396373E7">
            <w:pPr>
              <w:jc w:val="center"/>
              <w:rPr>
                <w:rFonts w:ascii="仿宋" w:hAnsi="仿宋" w:eastAsia="仿宋" w:cs="仿宋"/>
                <w:color w:val="auto"/>
                <w:szCs w:val="21"/>
                <w:highlight w:val="none"/>
              </w:rPr>
            </w:pPr>
          </w:p>
        </w:tc>
      </w:tr>
      <w:tr w14:paraId="1327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3420" w:type="dxa"/>
            <w:gridSpan w:val="2"/>
            <w:vAlign w:val="center"/>
          </w:tcPr>
          <w:p w14:paraId="2112E9D0">
            <w:pPr>
              <w:widowControl/>
              <w:jc w:val="left"/>
              <w:rPr>
                <w:rFonts w:hint="default" w:ascii="仿宋" w:hAnsi="仿宋" w:eastAsia="仿宋" w:cs="仿宋"/>
                <w:b/>
                <w:bCs/>
                <w:color w:val="auto"/>
                <w:sz w:val="21"/>
                <w:szCs w:val="21"/>
                <w:highlight w:val="none"/>
                <w:lang w:val="en-US" w:eastAsia="zh-CN" w:bidi="ar-SA"/>
              </w:rPr>
            </w:pPr>
            <w:r>
              <w:rPr>
                <w:rFonts w:hint="eastAsia" w:ascii="仿宋" w:hAnsi="仿宋" w:eastAsia="仿宋" w:cs="仿宋"/>
                <w:b/>
                <w:bCs/>
                <w:color w:val="auto"/>
                <w:sz w:val="21"/>
                <w:szCs w:val="21"/>
                <w:highlight w:val="none"/>
                <w:lang w:val="en-US" w:eastAsia="zh-CN" w:bidi="ar-SA"/>
              </w:rPr>
              <w:t>备注：</w:t>
            </w:r>
          </w:p>
        </w:tc>
        <w:tc>
          <w:tcPr>
            <w:tcW w:w="5360" w:type="dxa"/>
            <w:vAlign w:val="center"/>
          </w:tcPr>
          <w:p w14:paraId="0E8A1C89">
            <w:pPr>
              <w:jc w:val="center"/>
              <w:rPr>
                <w:rFonts w:ascii="仿宋" w:hAnsi="仿宋" w:eastAsia="仿宋" w:cs="仿宋"/>
                <w:color w:val="auto"/>
                <w:szCs w:val="21"/>
                <w:highlight w:val="none"/>
              </w:rPr>
            </w:pPr>
          </w:p>
        </w:tc>
      </w:tr>
    </w:tbl>
    <w:p w14:paraId="4972F47E">
      <w:pPr>
        <w:spacing w:line="500" w:lineRule="exact"/>
        <w:ind w:firstLine="479" w:firstLineChars="196"/>
        <w:rPr>
          <w:rFonts w:ascii="仿宋" w:hAnsi="仿宋" w:eastAsia="仿宋" w:cs="仿宋"/>
          <w:color w:val="auto"/>
          <w:szCs w:val="21"/>
          <w:highlight w:val="none"/>
        </w:rPr>
      </w:pPr>
      <w:r>
        <w:rPr>
          <w:rFonts w:hint="eastAsia" w:ascii="仿宋" w:hAnsi="仿宋" w:eastAsia="仿宋" w:cs="仿宋"/>
          <w:color w:val="auto"/>
          <w:szCs w:val="21"/>
          <w:highlight w:val="none"/>
        </w:rPr>
        <w:t>填写说明：</w:t>
      </w:r>
    </w:p>
    <w:p w14:paraId="30AA0407">
      <w:pPr>
        <w:spacing w:line="500" w:lineRule="exact"/>
        <w:ind w:firstLine="49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开标时，本表中的内容与投标文件中的投标函、货物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14:paraId="6A526146">
      <w:pPr>
        <w:spacing w:line="500" w:lineRule="exact"/>
        <w:ind w:firstLine="49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.投标总价为招标范围所列全部招标项目的报价总和，并应与投标报价明细表及分项价格表保持一致。</w:t>
      </w:r>
    </w:p>
    <w:p w14:paraId="448514C0">
      <w:pPr>
        <w:spacing w:line="500" w:lineRule="exact"/>
        <w:ind w:firstLine="49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lang w:eastAsia="zh-CN"/>
        </w:rPr>
        <w:t>.必须在投标文件中装订。</w:t>
      </w:r>
    </w:p>
    <w:p w14:paraId="74F212C7">
      <w:pPr>
        <w:spacing w:line="500" w:lineRule="exact"/>
        <w:ind w:firstLine="49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lang w:eastAsia="zh-CN"/>
        </w:rPr>
        <w:t>.投标报价不得填报选择性报价。</w:t>
      </w:r>
    </w:p>
    <w:p w14:paraId="67A85609">
      <w:pPr>
        <w:spacing w:line="500" w:lineRule="exact"/>
        <w:ind w:firstLine="49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供应商名称：</w:t>
      </w:r>
      <w:r>
        <w:rPr>
          <w:rFonts w:hint="eastAsia" w:ascii="仿宋" w:hAnsi="仿宋" w:eastAsia="仿宋" w:cs="仿宋"/>
          <w:color w:val="auto"/>
          <w:szCs w:val="21"/>
          <w:highlight w:val="none"/>
          <w:u w:val="single"/>
          <w:lang w:eastAsia="zh-CN"/>
        </w:rPr>
        <w:t xml:space="preserve">    （加盖公章）     </w:t>
      </w:r>
      <w:r>
        <w:rPr>
          <w:rFonts w:hint="eastAsia" w:ascii="仿宋" w:hAnsi="仿宋" w:eastAsia="仿宋" w:cs="仿宋"/>
          <w:color w:val="auto"/>
          <w:szCs w:val="21"/>
          <w:highlight w:val="none"/>
          <w:lang w:eastAsia="zh-CN"/>
        </w:rPr>
        <w:t xml:space="preserve">       </w:t>
      </w:r>
    </w:p>
    <w:p w14:paraId="5ECDE4B4">
      <w:pPr>
        <w:spacing w:line="500" w:lineRule="exact"/>
        <w:ind w:firstLine="49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法定代表人签字或盖章：</w:t>
      </w:r>
      <w:r>
        <w:rPr>
          <w:rFonts w:hint="eastAsia" w:ascii="仿宋" w:hAnsi="仿宋" w:eastAsia="仿宋" w:cs="仿宋"/>
          <w:color w:val="auto"/>
          <w:szCs w:val="21"/>
          <w:highlight w:val="none"/>
          <w:u w:val="single"/>
          <w:lang w:eastAsia="zh-CN"/>
        </w:rPr>
        <w:t xml:space="preserve">           </w:t>
      </w:r>
      <w:r>
        <w:rPr>
          <w:rFonts w:hint="eastAsia" w:ascii="仿宋" w:hAnsi="仿宋" w:eastAsia="仿宋" w:cs="仿宋"/>
          <w:color w:val="auto"/>
          <w:szCs w:val="21"/>
          <w:highlight w:val="none"/>
          <w:lang w:eastAsia="zh-CN"/>
        </w:rPr>
        <w:t xml:space="preserve"> </w:t>
      </w:r>
    </w:p>
    <w:p w14:paraId="6851E68C">
      <w:pPr>
        <w:spacing w:line="500" w:lineRule="exact"/>
        <w:ind w:firstLine="49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授权代表签字或盖章：</w:t>
      </w:r>
      <w:r>
        <w:rPr>
          <w:rFonts w:hint="eastAsia" w:ascii="仿宋" w:hAnsi="仿宋" w:eastAsia="仿宋" w:cs="仿宋"/>
          <w:color w:val="auto"/>
          <w:szCs w:val="21"/>
          <w:highlight w:val="none"/>
          <w:u w:val="single"/>
          <w:lang w:eastAsia="zh-CN"/>
        </w:rPr>
        <w:t xml:space="preserve">               </w:t>
      </w:r>
      <w:r>
        <w:rPr>
          <w:rFonts w:hint="eastAsia" w:ascii="仿宋" w:hAnsi="仿宋" w:eastAsia="仿宋" w:cs="仿宋"/>
          <w:color w:val="auto"/>
          <w:szCs w:val="21"/>
          <w:highlight w:val="none"/>
          <w:lang w:eastAsia="zh-CN"/>
        </w:rPr>
        <w:t xml:space="preserve">  </w:t>
      </w:r>
    </w:p>
    <w:p w14:paraId="30522949">
      <w:pPr>
        <w:spacing w:line="500" w:lineRule="exact"/>
        <w:ind w:firstLine="49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签署日期：</w:t>
      </w:r>
      <w:r>
        <w:rPr>
          <w:rFonts w:hint="eastAsia" w:ascii="仿宋" w:hAnsi="仿宋" w:eastAsia="仿宋" w:cs="仿宋"/>
          <w:color w:val="auto"/>
          <w:szCs w:val="21"/>
          <w:highlight w:val="none"/>
          <w:u w:val="single"/>
          <w:lang w:eastAsia="zh-CN"/>
        </w:rPr>
        <w:t xml:space="preserve">       </w:t>
      </w:r>
      <w:r>
        <w:rPr>
          <w:rFonts w:hint="eastAsia" w:ascii="仿宋" w:hAnsi="仿宋" w:eastAsia="仿宋" w:cs="仿宋"/>
          <w:color w:val="auto"/>
          <w:szCs w:val="21"/>
          <w:highlight w:val="none"/>
          <w:lang w:eastAsia="zh-CN"/>
        </w:rPr>
        <w:t xml:space="preserve"> 年</w:t>
      </w:r>
      <w:r>
        <w:rPr>
          <w:rFonts w:hint="eastAsia" w:ascii="仿宋" w:hAnsi="仿宋" w:eastAsia="仿宋" w:cs="仿宋"/>
          <w:color w:val="auto"/>
          <w:szCs w:val="21"/>
          <w:highlight w:val="none"/>
          <w:u w:val="single"/>
          <w:lang w:eastAsia="zh-CN"/>
        </w:rPr>
        <w:t xml:space="preserve">     </w:t>
      </w:r>
      <w:r>
        <w:rPr>
          <w:rFonts w:hint="eastAsia" w:ascii="仿宋" w:hAnsi="仿宋" w:eastAsia="仿宋" w:cs="仿宋"/>
          <w:color w:val="auto"/>
          <w:szCs w:val="21"/>
          <w:highlight w:val="none"/>
          <w:lang w:eastAsia="zh-CN"/>
        </w:rPr>
        <w:t xml:space="preserve">月 </w:t>
      </w:r>
      <w:r>
        <w:rPr>
          <w:rFonts w:hint="eastAsia" w:ascii="仿宋" w:hAnsi="仿宋" w:eastAsia="仿宋" w:cs="仿宋"/>
          <w:color w:val="auto"/>
          <w:szCs w:val="21"/>
          <w:highlight w:val="none"/>
          <w:u w:val="single"/>
          <w:lang w:eastAsia="zh-CN"/>
        </w:rPr>
        <w:t xml:space="preserve">    </w:t>
      </w:r>
      <w:r>
        <w:rPr>
          <w:rFonts w:hint="eastAsia" w:ascii="仿宋" w:hAnsi="仿宋" w:eastAsia="仿宋" w:cs="仿宋"/>
          <w:color w:val="auto"/>
          <w:szCs w:val="21"/>
          <w:highlight w:val="none"/>
          <w:lang w:eastAsia="zh-CN"/>
        </w:rPr>
        <w:t>日</w:t>
      </w:r>
    </w:p>
    <w:p w14:paraId="7DAD86D4">
      <w:pPr>
        <w:pStyle w:val="2"/>
        <w:spacing w:line="240" w:lineRule="atLeast"/>
        <w:rPr>
          <w:rFonts w:ascii="宋体" w:hAnsi="宋体" w:eastAsia="宋体" w:cs="宋体"/>
          <w:bCs/>
          <w:color w:val="auto"/>
          <w:sz w:val="24"/>
          <w:highlight w:val="none"/>
          <w:lang w:eastAsia="zh-CN"/>
        </w:rPr>
      </w:pPr>
    </w:p>
    <w:p w14:paraId="0F0CFD73">
      <w:pPr>
        <w:rPr>
          <w:color w:val="auto"/>
          <w:highlight w:val="none"/>
          <w:lang w:eastAsia="zh-CN"/>
        </w:rPr>
      </w:pPr>
    </w:p>
    <w:p w14:paraId="7C5F6FEA">
      <w:pPr>
        <w:rPr>
          <w:rFonts w:hint="eastAsia"/>
          <w:color w:val="auto"/>
          <w:highlight w:val="none"/>
          <w:lang w:val="en-US" w:eastAsia="zh-CN"/>
        </w:rPr>
      </w:pPr>
    </w:p>
    <w:p w14:paraId="4F0538FE">
      <w:pPr>
        <w:rPr>
          <w:rFonts w:hint="eastAsia"/>
          <w:color w:val="auto"/>
          <w:highlight w:val="none"/>
          <w:lang w:val="en-US" w:eastAsia="zh-CN"/>
        </w:rPr>
      </w:pPr>
    </w:p>
    <w:p w14:paraId="29F7C6B8">
      <w:pPr>
        <w:pStyle w:val="2"/>
        <w:jc w:val="both"/>
        <w:rPr>
          <w:color w:val="auto"/>
          <w:highlight w:val="none"/>
          <w:lang w:eastAsia="zh-CN"/>
        </w:rPr>
      </w:pPr>
    </w:p>
    <w:p w14:paraId="6AA34602">
      <w:pPr>
        <w:rPr>
          <w:color w:val="auto"/>
          <w:highlight w:val="none"/>
          <w:lang w:eastAsia="zh-CN"/>
        </w:rPr>
      </w:pPr>
    </w:p>
    <w:p w14:paraId="02AAEC18">
      <w:pPr>
        <w:spacing w:line="360" w:lineRule="auto"/>
        <w:jc w:val="center"/>
        <w:rPr>
          <w:rFonts w:ascii="仿宋" w:hAnsi="仿宋" w:eastAsia="仿宋" w:cs="仿宋"/>
          <w:b/>
          <w:bCs/>
          <w:color w:val="auto"/>
          <w:sz w:val="32"/>
          <w:szCs w:val="32"/>
          <w:highlight w:val="none"/>
          <w:lang w:eastAsia="zh-CN"/>
        </w:rPr>
      </w:pPr>
      <w:r>
        <w:rPr>
          <w:rFonts w:hint="eastAsia" w:ascii="仿宋" w:hAnsi="仿宋" w:eastAsia="仿宋" w:cs="仿宋"/>
          <w:b/>
          <w:color w:val="auto"/>
          <w:sz w:val="36"/>
          <w:szCs w:val="36"/>
          <w:highlight w:val="none"/>
          <w:lang w:val="en-US" w:eastAsia="zh-CN"/>
        </w:rPr>
        <w:t>4</w:t>
      </w:r>
      <w:r>
        <w:rPr>
          <w:rFonts w:hint="eastAsia" w:ascii="仿宋" w:hAnsi="仿宋" w:eastAsia="仿宋" w:cs="仿宋"/>
          <w:b/>
          <w:color w:val="auto"/>
          <w:sz w:val="36"/>
          <w:szCs w:val="36"/>
          <w:highlight w:val="none"/>
          <w:lang w:eastAsia="zh-CN"/>
        </w:rPr>
        <w:t>、</w:t>
      </w:r>
      <w:r>
        <w:rPr>
          <w:rFonts w:hint="eastAsia" w:ascii="仿宋" w:hAnsi="仿宋" w:eastAsia="仿宋" w:cs="仿宋"/>
          <w:b/>
          <w:bCs/>
          <w:color w:val="auto"/>
          <w:sz w:val="32"/>
          <w:szCs w:val="32"/>
          <w:highlight w:val="none"/>
          <w:lang w:eastAsia="zh-CN"/>
        </w:rPr>
        <w:t>技术条款偏离表</w:t>
      </w:r>
    </w:p>
    <w:tbl>
      <w:tblPr>
        <w:tblStyle w:val="23"/>
        <w:tblW w:w="83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1617"/>
        <w:gridCol w:w="1326"/>
        <w:gridCol w:w="1326"/>
        <w:gridCol w:w="1327"/>
        <w:gridCol w:w="1848"/>
      </w:tblGrid>
      <w:tr w14:paraId="7BECC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5" w:type="dxa"/>
            <w:vAlign w:val="center"/>
          </w:tcPr>
          <w:p w14:paraId="5638599D">
            <w:pPr>
              <w:jc w:val="center"/>
              <w:rPr>
                <w:rFonts w:ascii="仿宋" w:hAnsi="仿宋" w:eastAsia="仿宋" w:cs="仿宋"/>
                <w:bCs/>
                <w:color w:val="auto"/>
                <w:highlight w:val="none"/>
              </w:rPr>
            </w:pPr>
            <w:r>
              <w:rPr>
                <w:rFonts w:hint="eastAsia" w:ascii="仿宋" w:hAnsi="仿宋" w:eastAsia="仿宋" w:cs="仿宋"/>
                <w:bCs/>
                <w:color w:val="auto"/>
                <w:highlight w:val="none"/>
              </w:rPr>
              <w:t>序号</w:t>
            </w:r>
          </w:p>
        </w:tc>
        <w:tc>
          <w:tcPr>
            <w:tcW w:w="1617" w:type="dxa"/>
            <w:vAlign w:val="center"/>
          </w:tcPr>
          <w:p w14:paraId="3B21226A">
            <w:pPr>
              <w:jc w:val="center"/>
              <w:rPr>
                <w:rFonts w:ascii="仿宋" w:hAnsi="仿宋" w:eastAsia="仿宋" w:cs="仿宋"/>
                <w:bCs/>
                <w:color w:val="auto"/>
                <w:highlight w:val="none"/>
              </w:rPr>
            </w:pPr>
            <w:r>
              <w:rPr>
                <w:rFonts w:hint="eastAsia" w:ascii="仿宋" w:hAnsi="仿宋" w:eastAsia="仿宋" w:cs="仿宋"/>
                <w:bCs/>
                <w:color w:val="auto"/>
                <w:highlight w:val="none"/>
              </w:rPr>
              <w:t>货物名称</w:t>
            </w:r>
          </w:p>
        </w:tc>
        <w:tc>
          <w:tcPr>
            <w:tcW w:w="1326" w:type="dxa"/>
            <w:vAlign w:val="center"/>
          </w:tcPr>
          <w:p w14:paraId="1716FA8C">
            <w:pPr>
              <w:jc w:val="center"/>
              <w:rPr>
                <w:rFonts w:ascii="仿宋" w:hAnsi="仿宋" w:eastAsia="仿宋" w:cs="仿宋"/>
                <w:bCs/>
                <w:color w:val="auto"/>
                <w:highlight w:val="none"/>
              </w:rPr>
            </w:pPr>
            <w:r>
              <w:rPr>
                <w:rFonts w:hint="eastAsia" w:ascii="仿宋" w:hAnsi="仿宋" w:eastAsia="仿宋" w:cs="仿宋"/>
                <w:bCs/>
                <w:color w:val="auto"/>
                <w:highlight w:val="none"/>
              </w:rPr>
              <w:t>招标文件要求规格</w:t>
            </w:r>
          </w:p>
        </w:tc>
        <w:tc>
          <w:tcPr>
            <w:tcW w:w="1326" w:type="dxa"/>
            <w:vAlign w:val="center"/>
          </w:tcPr>
          <w:p w14:paraId="73A7BBD7">
            <w:pPr>
              <w:jc w:val="center"/>
              <w:rPr>
                <w:rFonts w:ascii="仿宋" w:hAnsi="仿宋" w:eastAsia="仿宋" w:cs="仿宋"/>
                <w:bCs/>
                <w:color w:val="auto"/>
                <w:highlight w:val="none"/>
              </w:rPr>
            </w:pPr>
            <w:r>
              <w:rPr>
                <w:rFonts w:hint="eastAsia" w:ascii="仿宋" w:hAnsi="仿宋" w:eastAsia="仿宋" w:cs="仿宋"/>
                <w:bCs/>
                <w:color w:val="auto"/>
                <w:highlight w:val="none"/>
              </w:rPr>
              <w:t>投标规格</w:t>
            </w:r>
          </w:p>
        </w:tc>
        <w:tc>
          <w:tcPr>
            <w:tcW w:w="1327" w:type="dxa"/>
            <w:vAlign w:val="center"/>
          </w:tcPr>
          <w:p w14:paraId="3156CDE6">
            <w:pPr>
              <w:jc w:val="center"/>
              <w:rPr>
                <w:rFonts w:ascii="仿宋" w:hAnsi="仿宋" w:eastAsia="仿宋" w:cs="仿宋"/>
                <w:bCs/>
                <w:color w:val="auto"/>
                <w:highlight w:val="none"/>
              </w:rPr>
            </w:pPr>
            <w:r>
              <w:rPr>
                <w:rFonts w:hint="eastAsia" w:ascii="仿宋" w:hAnsi="仿宋" w:eastAsia="仿宋" w:cs="仿宋"/>
                <w:bCs/>
                <w:color w:val="auto"/>
                <w:highlight w:val="none"/>
              </w:rPr>
              <w:t>偏离</w:t>
            </w:r>
          </w:p>
        </w:tc>
        <w:tc>
          <w:tcPr>
            <w:tcW w:w="1848" w:type="dxa"/>
            <w:vAlign w:val="center"/>
          </w:tcPr>
          <w:p w14:paraId="7B0C9024">
            <w:pPr>
              <w:jc w:val="center"/>
              <w:rPr>
                <w:rFonts w:ascii="仿宋" w:hAnsi="仿宋" w:eastAsia="仿宋" w:cs="仿宋"/>
                <w:bCs/>
                <w:color w:val="auto"/>
                <w:highlight w:val="none"/>
              </w:rPr>
            </w:pPr>
            <w:r>
              <w:rPr>
                <w:rFonts w:hint="eastAsia" w:ascii="仿宋" w:hAnsi="仿宋" w:eastAsia="仿宋" w:cs="仿宋"/>
                <w:bCs/>
                <w:color w:val="auto"/>
                <w:highlight w:val="none"/>
              </w:rPr>
              <w:t>说明</w:t>
            </w:r>
          </w:p>
        </w:tc>
      </w:tr>
      <w:tr w14:paraId="6678C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5" w:type="dxa"/>
          </w:tcPr>
          <w:p w14:paraId="7695EA2F">
            <w:pPr>
              <w:jc w:val="center"/>
              <w:rPr>
                <w:rFonts w:ascii="仿宋" w:hAnsi="仿宋" w:eastAsia="仿宋" w:cs="仿宋"/>
                <w:b/>
                <w:bCs/>
                <w:color w:val="auto"/>
                <w:highlight w:val="none"/>
              </w:rPr>
            </w:pPr>
          </w:p>
        </w:tc>
        <w:tc>
          <w:tcPr>
            <w:tcW w:w="1617" w:type="dxa"/>
          </w:tcPr>
          <w:p w14:paraId="16D16AE8">
            <w:pPr>
              <w:jc w:val="center"/>
              <w:rPr>
                <w:rFonts w:ascii="仿宋" w:hAnsi="仿宋" w:eastAsia="仿宋" w:cs="仿宋"/>
                <w:b/>
                <w:bCs/>
                <w:color w:val="auto"/>
                <w:highlight w:val="none"/>
              </w:rPr>
            </w:pPr>
          </w:p>
        </w:tc>
        <w:tc>
          <w:tcPr>
            <w:tcW w:w="1326" w:type="dxa"/>
          </w:tcPr>
          <w:p w14:paraId="764C8FE3">
            <w:pPr>
              <w:jc w:val="center"/>
              <w:rPr>
                <w:rFonts w:ascii="仿宋" w:hAnsi="仿宋" w:eastAsia="仿宋" w:cs="仿宋"/>
                <w:b/>
                <w:bCs/>
                <w:color w:val="auto"/>
                <w:highlight w:val="none"/>
              </w:rPr>
            </w:pPr>
          </w:p>
        </w:tc>
        <w:tc>
          <w:tcPr>
            <w:tcW w:w="1326" w:type="dxa"/>
          </w:tcPr>
          <w:p w14:paraId="40C76991">
            <w:pPr>
              <w:jc w:val="center"/>
              <w:rPr>
                <w:rFonts w:ascii="仿宋" w:hAnsi="仿宋" w:eastAsia="仿宋" w:cs="仿宋"/>
                <w:b/>
                <w:bCs/>
                <w:color w:val="auto"/>
                <w:highlight w:val="none"/>
              </w:rPr>
            </w:pPr>
          </w:p>
        </w:tc>
        <w:tc>
          <w:tcPr>
            <w:tcW w:w="1327" w:type="dxa"/>
          </w:tcPr>
          <w:p w14:paraId="1ACAD367">
            <w:pPr>
              <w:jc w:val="center"/>
              <w:rPr>
                <w:rFonts w:ascii="仿宋" w:hAnsi="仿宋" w:eastAsia="仿宋" w:cs="仿宋"/>
                <w:b/>
                <w:bCs/>
                <w:color w:val="auto"/>
                <w:highlight w:val="none"/>
                <w:lang w:eastAsia="zh-CN"/>
              </w:rPr>
            </w:pPr>
            <w:r>
              <w:rPr>
                <w:rFonts w:hint="eastAsia" w:ascii="仿宋" w:hAnsi="仿宋" w:eastAsia="仿宋" w:cs="仿宋"/>
                <w:bCs/>
                <w:color w:val="auto"/>
                <w:highlight w:val="none"/>
                <w:lang w:eastAsia="zh-CN"/>
              </w:rPr>
              <w:t>如有正偏离需提供证明材料，证明材料附后(并注明页码)</w:t>
            </w:r>
          </w:p>
        </w:tc>
        <w:tc>
          <w:tcPr>
            <w:tcW w:w="1848" w:type="dxa"/>
          </w:tcPr>
          <w:p w14:paraId="6354ED94">
            <w:pPr>
              <w:jc w:val="center"/>
              <w:rPr>
                <w:rFonts w:ascii="仿宋" w:hAnsi="仿宋" w:eastAsia="仿宋" w:cs="仿宋"/>
                <w:b/>
                <w:bCs/>
                <w:color w:val="auto"/>
                <w:highlight w:val="none"/>
                <w:lang w:eastAsia="zh-CN"/>
              </w:rPr>
            </w:pPr>
          </w:p>
        </w:tc>
      </w:tr>
      <w:tr w14:paraId="3C12D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5" w:type="dxa"/>
          </w:tcPr>
          <w:p w14:paraId="5FA228AE">
            <w:pPr>
              <w:jc w:val="center"/>
              <w:rPr>
                <w:rFonts w:ascii="仿宋" w:hAnsi="仿宋" w:eastAsia="仿宋" w:cs="仿宋"/>
                <w:b/>
                <w:bCs/>
                <w:color w:val="auto"/>
                <w:highlight w:val="none"/>
                <w:lang w:eastAsia="zh-CN"/>
              </w:rPr>
            </w:pPr>
          </w:p>
        </w:tc>
        <w:tc>
          <w:tcPr>
            <w:tcW w:w="1617" w:type="dxa"/>
          </w:tcPr>
          <w:p w14:paraId="0A87C272">
            <w:pPr>
              <w:jc w:val="center"/>
              <w:rPr>
                <w:rFonts w:ascii="仿宋" w:hAnsi="仿宋" w:eastAsia="仿宋" w:cs="仿宋"/>
                <w:b/>
                <w:bCs/>
                <w:color w:val="auto"/>
                <w:highlight w:val="none"/>
                <w:lang w:eastAsia="zh-CN"/>
              </w:rPr>
            </w:pPr>
          </w:p>
        </w:tc>
        <w:tc>
          <w:tcPr>
            <w:tcW w:w="1326" w:type="dxa"/>
          </w:tcPr>
          <w:p w14:paraId="7271E497">
            <w:pPr>
              <w:jc w:val="center"/>
              <w:rPr>
                <w:rFonts w:ascii="仿宋" w:hAnsi="仿宋" w:eastAsia="仿宋" w:cs="仿宋"/>
                <w:b/>
                <w:bCs/>
                <w:color w:val="auto"/>
                <w:highlight w:val="none"/>
                <w:lang w:eastAsia="zh-CN"/>
              </w:rPr>
            </w:pPr>
          </w:p>
        </w:tc>
        <w:tc>
          <w:tcPr>
            <w:tcW w:w="1326" w:type="dxa"/>
          </w:tcPr>
          <w:p w14:paraId="192F3FD0">
            <w:pPr>
              <w:jc w:val="center"/>
              <w:rPr>
                <w:rFonts w:ascii="仿宋" w:hAnsi="仿宋" w:eastAsia="仿宋" w:cs="仿宋"/>
                <w:b/>
                <w:bCs/>
                <w:color w:val="auto"/>
                <w:highlight w:val="none"/>
                <w:lang w:eastAsia="zh-CN"/>
              </w:rPr>
            </w:pPr>
          </w:p>
        </w:tc>
        <w:tc>
          <w:tcPr>
            <w:tcW w:w="1327" w:type="dxa"/>
          </w:tcPr>
          <w:p w14:paraId="43C89FA9">
            <w:pPr>
              <w:jc w:val="center"/>
              <w:rPr>
                <w:rFonts w:ascii="仿宋" w:hAnsi="仿宋" w:eastAsia="仿宋" w:cs="仿宋"/>
                <w:b/>
                <w:bCs/>
                <w:color w:val="auto"/>
                <w:highlight w:val="none"/>
                <w:lang w:eastAsia="zh-CN"/>
              </w:rPr>
            </w:pPr>
          </w:p>
        </w:tc>
        <w:tc>
          <w:tcPr>
            <w:tcW w:w="1848" w:type="dxa"/>
          </w:tcPr>
          <w:p w14:paraId="4FFD6581">
            <w:pPr>
              <w:jc w:val="center"/>
              <w:rPr>
                <w:rFonts w:ascii="仿宋" w:hAnsi="仿宋" w:eastAsia="仿宋" w:cs="仿宋"/>
                <w:b/>
                <w:bCs/>
                <w:color w:val="auto"/>
                <w:highlight w:val="none"/>
                <w:lang w:eastAsia="zh-CN"/>
              </w:rPr>
            </w:pPr>
          </w:p>
        </w:tc>
      </w:tr>
      <w:tr w14:paraId="5B364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5" w:type="dxa"/>
          </w:tcPr>
          <w:p w14:paraId="2A0634A9">
            <w:pPr>
              <w:jc w:val="center"/>
              <w:rPr>
                <w:rFonts w:ascii="仿宋" w:hAnsi="仿宋" w:eastAsia="仿宋" w:cs="仿宋"/>
                <w:b/>
                <w:bCs/>
                <w:color w:val="auto"/>
                <w:highlight w:val="none"/>
                <w:lang w:eastAsia="zh-CN"/>
              </w:rPr>
            </w:pPr>
          </w:p>
        </w:tc>
        <w:tc>
          <w:tcPr>
            <w:tcW w:w="1617" w:type="dxa"/>
          </w:tcPr>
          <w:p w14:paraId="2D6CF06A">
            <w:pPr>
              <w:jc w:val="center"/>
              <w:rPr>
                <w:rFonts w:ascii="仿宋" w:hAnsi="仿宋" w:eastAsia="仿宋" w:cs="仿宋"/>
                <w:b/>
                <w:bCs/>
                <w:color w:val="auto"/>
                <w:highlight w:val="none"/>
                <w:lang w:eastAsia="zh-CN"/>
              </w:rPr>
            </w:pPr>
          </w:p>
        </w:tc>
        <w:tc>
          <w:tcPr>
            <w:tcW w:w="1326" w:type="dxa"/>
          </w:tcPr>
          <w:p w14:paraId="1F0000E9">
            <w:pPr>
              <w:jc w:val="center"/>
              <w:rPr>
                <w:rFonts w:ascii="仿宋" w:hAnsi="仿宋" w:eastAsia="仿宋" w:cs="仿宋"/>
                <w:b/>
                <w:bCs/>
                <w:color w:val="auto"/>
                <w:highlight w:val="none"/>
                <w:lang w:eastAsia="zh-CN"/>
              </w:rPr>
            </w:pPr>
          </w:p>
        </w:tc>
        <w:tc>
          <w:tcPr>
            <w:tcW w:w="1326" w:type="dxa"/>
          </w:tcPr>
          <w:p w14:paraId="318A5993">
            <w:pPr>
              <w:jc w:val="center"/>
              <w:rPr>
                <w:rFonts w:ascii="仿宋" w:hAnsi="仿宋" w:eastAsia="仿宋" w:cs="仿宋"/>
                <w:b/>
                <w:bCs/>
                <w:color w:val="auto"/>
                <w:highlight w:val="none"/>
                <w:lang w:eastAsia="zh-CN"/>
              </w:rPr>
            </w:pPr>
          </w:p>
        </w:tc>
        <w:tc>
          <w:tcPr>
            <w:tcW w:w="1327" w:type="dxa"/>
          </w:tcPr>
          <w:p w14:paraId="7C9CC863">
            <w:pPr>
              <w:jc w:val="center"/>
              <w:rPr>
                <w:rFonts w:ascii="仿宋" w:hAnsi="仿宋" w:eastAsia="仿宋" w:cs="仿宋"/>
                <w:b/>
                <w:bCs/>
                <w:color w:val="auto"/>
                <w:highlight w:val="none"/>
                <w:lang w:eastAsia="zh-CN"/>
              </w:rPr>
            </w:pPr>
          </w:p>
        </w:tc>
        <w:tc>
          <w:tcPr>
            <w:tcW w:w="1848" w:type="dxa"/>
          </w:tcPr>
          <w:p w14:paraId="420D2331">
            <w:pPr>
              <w:jc w:val="center"/>
              <w:rPr>
                <w:rFonts w:ascii="仿宋" w:hAnsi="仿宋" w:eastAsia="仿宋" w:cs="仿宋"/>
                <w:b/>
                <w:bCs/>
                <w:color w:val="auto"/>
                <w:highlight w:val="none"/>
                <w:lang w:eastAsia="zh-CN"/>
              </w:rPr>
            </w:pPr>
          </w:p>
        </w:tc>
      </w:tr>
      <w:tr w14:paraId="275F2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5" w:type="dxa"/>
          </w:tcPr>
          <w:p w14:paraId="7DF9C8FD">
            <w:pPr>
              <w:jc w:val="center"/>
              <w:rPr>
                <w:rFonts w:ascii="仿宋" w:hAnsi="仿宋" w:eastAsia="仿宋" w:cs="仿宋"/>
                <w:b/>
                <w:bCs/>
                <w:color w:val="auto"/>
                <w:highlight w:val="none"/>
                <w:lang w:eastAsia="zh-CN"/>
              </w:rPr>
            </w:pPr>
          </w:p>
        </w:tc>
        <w:tc>
          <w:tcPr>
            <w:tcW w:w="1617" w:type="dxa"/>
          </w:tcPr>
          <w:p w14:paraId="7E29D6CB">
            <w:pPr>
              <w:jc w:val="center"/>
              <w:rPr>
                <w:rFonts w:ascii="仿宋" w:hAnsi="仿宋" w:eastAsia="仿宋" w:cs="仿宋"/>
                <w:b/>
                <w:bCs/>
                <w:color w:val="auto"/>
                <w:highlight w:val="none"/>
                <w:lang w:eastAsia="zh-CN"/>
              </w:rPr>
            </w:pPr>
          </w:p>
        </w:tc>
        <w:tc>
          <w:tcPr>
            <w:tcW w:w="1326" w:type="dxa"/>
          </w:tcPr>
          <w:p w14:paraId="187758E6">
            <w:pPr>
              <w:jc w:val="center"/>
              <w:rPr>
                <w:rFonts w:ascii="仿宋" w:hAnsi="仿宋" w:eastAsia="仿宋" w:cs="仿宋"/>
                <w:b/>
                <w:bCs/>
                <w:color w:val="auto"/>
                <w:highlight w:val="none"/>
                <w:lang w:eastAsia="zh-CN"/>
              </w:rPr>
            </w:pPr>
          </w:p>
        </w:tc>
        <w:tc>
          <w:tcPr>
            <w:tcW w:w="1326" w:type="dxa"/>
          </w:tcPr>
          <w:p w14:paraId="50CCE6B8">
            <w:pPr>
              <w:jc w:val="center"/>
              <w:rPr>
                <w:rFonts w:ascii="仿宋" w:hAnsi="仿宋" w:eastAsia="仿宋" w:cs="仿宋"/>
                <w:b/>
                <w:bCs/>
                <w:color w:val="auto"/>
                <w:highlight w:val="none"/>
                <w:lang w:eastAsia="zh-CN"/>
              </w:rPr>
            </w:pPr>
          </w:p>
        </w:tc>
        <w:tc>
          <w:tcPr>
            <w:tcW w:w="1327" w:type="dxa"/>
          </w:tcPr>
          <w:p w14:paraId="733E5128">
            <w:pPr>
              <w:jc w:val="center"/>
              <w:rPr>
                <w:rFonts w:ascii="仿宋" w:hAnsi="仿宋" w:eastAsia="仿宋" w:cs="仿宋"/>
                <w:b/>
                <w:bCs/>
                <w:color w:val="auto"/>
                <w:highlight w:val="none"/>
                <w:lang w:eastAsia="zh-CN"/>
              </w:rPr>
            </w:pPr>
          </w:p>
        </w:tc>
        <w:tc>
          <w:tcPr>
            <w:tcW w:w="1848" w:type="dxa"/>
          </w:tcPr>
          <w:p w14:paraId="3339C7C3">
            <w:pPr>
              <w:jc w:val="center"/>
              <w:rPr>
                <w:rFonts w:ascii="仿宋" w:hAnsi="仿宋" w:eastAsia="仿宋" w:cs="仿宋"/>
                <w:b/>
                <w:bCs/>
                <w:color w:val="auto"/>
                <w:highlight w:val="none"/>
                <w:lang w:eastAsia="zh-CN"/>
              </w:rPr>
            </w:pPr>
          </w:p>
        </w:tc>
      </w:tr>
      <w:tr w14:paraId="4E614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5" w:type="dxa"/>
          </w:tcPr>
          <w:p w14:paraId="74877585">
            <w:pPr>
              <w:jc w:val="center"/>
              <w:rPr>
                <w:rFonts w:ascii="仿宋" w:hAnsi="仿宋" w:eastAsia="仿宋" w:cs="仿宋"/>
                <w:b/>
                <w:bCs/>
                <w:color w:val="auto"/>
                <w:highlight w:val="none"/>
                <w:lang w:eastAsia="zh-CN"/>
              </w:rPr>
            </w:pPr>
          </w:p>
        </w:tc>
        <w:tc>
          <w:tcPr>
            <w:tcW w:w="1617" w:type="dxa"/>
          </w:tcPr>
          <w:p w14:paraId="0B158F0A">
            <w:pPr>
              <w:jc w:val="center"/>
              <w:rPr>
                <w:rFonts w:ascii="仿宋" w:hAnsi="仿宋" w:eastAsia="仿宋" w:cs="仿宋"/>
                <w:b/>
                <w:bCs/>
                <w:color w:val="auto"/>
                <w:highlight w:val="none"/>
                <w:lang w:eastAsia="zh-CN"/>
              </w:rPr>
            </w:pPr>
          </w:p>
        </w:tc>
        <w:tc>
          <w:tcPr>
            <w:tcW w:w="1326" w:type="dxa"/>
          </w:tcPr>
          <w:p w14:paraId="716B79C1">
            <w:pPr>
              <w:jc w:val="center"/>
              <w:rPr>
                <w:rFonts w:ascii="仿宋" w:hAnsi="仿宋" w:eastAsia="仿宋" w:cs="仿宋"/>
                <w:b/>
                <w:bCs/>
                <w:color w:val="auto"/>
                <w:highlight w:val="none"/>
                <w:lang w:eastAsia="zh-CN"/>
              </w:rPr>
            </w:pPr>
          </w:p>
        </w:tc>
        <w:tc>
          <w:tcPr>
            <w:tcW w:w="1326" w:type="dxa"/>
          </w:tcPr>
          <w:p w14:paraId="5E54F44F">
            <w:pPr>
              <w:jc w:val="center"/>
              <w:rPr>
                <w:rFonts w:ascii="仿宋" w:hAnsi="仿宋" w:eastAsia="仿宋" w:cs="仿宋"/>
                <w:b/>
                <w:bCs/>
                <w:color w:val="auto"/>
                <w:highlight w:val="none"/>
                <w:lang w:eastAsia="zh-CN"/>
              </w:rPr>
            </w:pPr>
          </w:p>
        </w:tc>
        <w:tc>
          <w:tcPr>
            <w:tcW w:w="1327" w:type="dxa"/>
          </w:tcPr>
          <w:p w14:paraId="7A51247E">
            <w:pPr>
              <w:jc w:val="center"/>
              <w:rPr>
                <w:rFonts w:ascii="仿宋" w:hAnsi="仿宋" w:eastAsia="仿宋" w:cs="仿宋"/>
                <w:b/>
                <w:bCs/>
                <w:color w:val="auto"/>
                <w:highlight w:val="none"/>
                <w:lang w:eastAsia="zh-CN"/>
              </w:rPr>
            </w:pPr>
          </w:p>
        </w:tc>
        <w:tc>
          <w:tcPr>
            <w:tcW w:w="1848" w:type="dxa"/>
          </w:tcPr>
          <w:p w14:paraId="5F9CE313">
            <w:pPr>
              <w:jc w:val="center"/>
              <w:rPr>
                <w:rFonts w:ascii="仿宋" w:hAnsi="仿宋" w:eastAsia="仿宋" w:cs="仿宋"/>
                <w:b/>
                <w:bCs/>
                <w:color w:val="auto"/>
                <w:highlight w:val="none"/>
                <w:lang w:eastAsia="zh-CN"/>
              </w:rPr>
            </w:pPr>
          </w:p>
        </w:tc>
      </w:tr>
    </w:tbl>
    <w:p w14:paraId="332C0F54">
      <w:pPr>
        <w:spacing w:line="360" w:lineRule="auto"/>
        <w:ind w:firstLine="484" w:firstLineChars="198"/>
        <w:rPr>
          <w:rFonts w:ascii="仿宋" w:hAnsi="仿宋" w:eastAsia="仿宋" w:cs="仿宋"/>
          <w:color w:val="auto"/>
          <w:highlight w:val="none"/>
          <w:lang w:eastAsia="zh-CN"/>
        </w:rPr>
      </w:pPr>
      <w:r>
        <w:rPr>
          <w:rFonts w:hint="eastAsia" w:ascii="仿宋" w:hAnsi="仿宋" w:eastAsia="仿宋" w:cs="仿宋"/>
          <w:color w:val="auto"/>
          <w:highlight w:val="none"/>
          <w:lang w:eastAsia="zh-CN"/>
        </w:rPr>
        <w:t>备注：供应商应根据其提供的货物，对照招标文件第四章“技术标准和要求”中的要求，有差异的，则在此表中列明实际响应的内容提要并加以说明，以便查对。本表包括所有的技术响应及差异。无差异说明表示完全响应。</w:t>
      </w:r>
    </w:p>
    <w:p w14:paraId="2531CA3D">
      <w:pPr>
        <w:pStyle w:val="10"/>
        <w:tabs>
          <w:tab w:val="left" w:pos="5580"/>
        </w:tabs>
        <w:spacing w:line="360" w:lineRule="auto"/>
        <w:ind w:firstLine="3185" w:firstLineChars="1300"/>
        <w:rPr>
          <w:rFonts w:ascii="仿宋" w:hAnsi="仿宋" w:eastAsia="仿宋" w:cs="仿宋"/>
          <w:color w:val="auto"/>
          <w:highlight w:val="none"/>
          <w:lang w:eastAsia="zh-CN"/>
        </w:rPr>
      </w:pPr>
    </w:p>
    <w:p w14:paraId="68C2C9BE">
      <w:pPr>
        <w:pStyle w:val="10"/>
        <w:tabs>
          <w:tab w:val="left" w:pos="5580"/>
        </w:tabs>
        <w:spacing w:line="360" w:lineRule="auto"/>
        <w:ind w:firstLine="3185" w:firstLineChars="1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供应商（盖章）：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6DF8AFE">
      <w:pPr>
        <w:pStyle w:val="10"/>
        <w:tabs>
          <w:tab w:val="left" w:pos="5580"/>
        </w:tabs>
        <w:spacing w:line="360" w:lineRule="auto"/>
        <w:ind w:firstLine="3185" w:firstLineChars="1300"/>
        <w:rPr>
          <w:rFonts w:ascii="仿宋" w:hAnsi="仿宋" w:eastAsia="仿宋" w:cs="仿宋"/>
          <w:color w:val="auto"/>
          <w:szCs w:val="24"/>
          <w:highlight w:val="none"/>
          <w:u w:val="single"/>
          <w:lang w:eastAsia="zh-CN"/>
        </w:rPr>
      </w:pPr>
      <w:r>
        <w:rPr>
          <w:rFonts w:hint="eastAsia" w:ascii="仿宋" w:hAnsi="仿宋" w:eastAsia="仿宋" w:cs="仿宋"/>
          <w:color w:val="auto"/>
          <w:highlight w:val="none"/>
          <w:lang w:eastAsia="zh-CN"/>
        </w:rPr>
        <w:t>法定代表人或</w:t>
      </w:r>
      <w:r>
        <w:rPr>
          <w:rFonts w:hint="eastAsia" w:ascii="仿宋" w:hAnsi="仿宋" w:eastAsia="仿宋" w:cs="仿宋"/>
          <w:color w:val="auto"/>
          <w:szCs w:val="24"/>
          <w:highlight w:val="none"/>
          <w:lang w:eastAsia="zh-CN"/>
        </w:rPr>
        <w:t>委托代理人</w:t>
      </w:r>
      <w:r>
        <w:rPr>
          <w:rFonts w:hint="eastAsia" w:ascii="仿宋" w:hAnsi="仿宋" w:eastAsia="仿宋" w:cs="仿宋"/>
          <w:color w:val="auto"/>
          <w:highlight w:val="none"/>
          <w:lang w:eastAsia="zh-CN"/>
        </w:rPr>
        <w:t>（签章）</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u w:val="single"/>
          <w:lang w:eastAsia="zh-CN"/>
        </w:rPr>
        <w:t xml:space="preserve">             </w:t>
      </w:r>
    </w:p>
    <w:p w14:paraId="1B2961E9">
      <w:pPr>
        <w:spacing w:line="360" w:lineRule="auto"/>
        <w:ind w:firstLine="3185" w:firstLineChars="1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日期：       年   月   日</w:t>
      </w:r>
    </w:p>
    <w:p w14:paraId="0066ED1E">
      <w:pPr>
        <w:pStyle w:val="4"/>
        <w:rPr>
          <w:rFonts w:ascii="仿宋" w:hAnsi="仿宋" w:eastAsia="仿宋" w:cs="仿宋"/>
          <w:color w:val="auto"/>
          <w:sz w:val="36"/>
          <w:szCs w:val="36"/>
          <w:highlight w:val="none"/>
          <w:lang w:eastAsia="zh-CN"/>
        </w:rPr>
      </w:pPr>
    </w:p>
    <w:p w14:paraId="777B8699">
      <w:pPr>
        <w:rPr>
          <w:rFonts w:ascii="仿宋" w:hAnsi="仿宋" w:eastAsia="仿宋" w:cs="仿宋"/>
          <w:color w:val="auto"/>
          <w:highlight w:val="none"/>
          <w:lang w:eastAsia="zh-CN"/>
        </w:rPr>
      </w:pPr>
    </w:p>
    <w:p w14:paraId="37F69F76">
      <w:pPr>
        <w:pStyle w:val="37"/>
        <w:spacing w:after="0"/>
        <w:ind w:firstLine="420"/>
        <w:jc w:val="center"/>
        <w:rPr>
          <w:rFonts w:ascii="仿宋" w:hAnsi="仿宋" w:eastAsia="仿宋" w:cs="仿宋"/>
          <w:color w:val="auto"/>
          <w:sz w:val="36"/>
          <w:szCs w:val="36"/>
          <w:highlight w:val="none"/>
          <w:lang w:eastAsia="zh-CN"/>
        </w:rPr>
      </w:pPr>
    </w:p>
    <w:p w14:paraId="6A79FE70">
      <w:pPr>
        <w:pStyle w:val="37"/>
        <w:spacing w:after="0"/>
        <w:ind w:firstLine="420"/>
        <w:jc w:val="center"/>
        <w:rPr>
          <w:rFonts w:ascii="仿宋" w:hAnsi="仿宋" w:eastAsia="仿宋" w:cs="仿宋"/>
          <w:color w:val="auto"/>
          <w:sz w:val="36"/>
          <w:szCs w:val="36"/>
          <w:highlight w:val="none"/>
          <w:lang w:eastAsia="zh-CN"/>
        </w:rPr>
      </w:pPr>
    </w:p>
    <w:p w14:paraId="2BB6B97E">
      <w:pPr>
        <w:pStyle w:val="37"/>
        <w:spacing w:after="0"/>
        <w:ind w:firstLine="420"/>
        <w:jc w:val="center"/>
        <w:rPr>
          <w:rFonts w:ascii="仿宋" w:hAnsi="仿宋" w:eastAsia="仿宋" w:cs="仿宋"/>
          <w:color w:val="auto"/>
          <w:sz w:val="36"/>
          <w:szCs w:val="36"/>
          <w:highlight w:val="none"/>
          <w:lang w:eastAsia="zh-CN"/>
        </w:rPr>
      </w:pPr>
    </w:p>
    <w:p w14:paraId="06101E52">
      <w:pPr>
        <w:pStyle w:val="37"/>
        <w:spacing w:after="0"/>
        <w:ind w:firstLine="420"/>
        <w:jc w:val="center"/>
        <w:rPr>
          <w:rFonts w:ascii="仿宋" w:hAnsi="仿宋" w:eastAsia="仿宋" w:cs="仿宋"/>
          <w:color w:val="auto"/>
          <w:sz w:val="36"/>
          <w:szCs w:val="36"/>
          <w:highlight w:val="none"/>
          <w:lang w:eastAsia="zh-CN"/>
        </w:rPr>
      </w:pPr>
    </w:p>
    <w:p w14:paraId="78D503A4">
      <w:pPr>
        <w:pStyle w:val="37"/>
        <w:spacing w:after="0"/>
        <w:ind w:firstLine="420"/>
        <w:jc w:val="center"/>
        <w:rPr>
          <w:rFonts w:ascii="仿宋" w:hAnsi="仿宋" w:eastAsia="仿宋" w:cs="仿宋"/>
          <w:color w:val="auto"/>
          <w:sz w:val="36"/>
          <w:szCs w:val="36"/>
          <w:highlight w:val="none"/>
          <w:lang w:eastAsia="zh-CN"/>
        </w:rPr>
      </w:pPr>
    </w:p>
    <w:p w14:paraId="20C61A84">
      <w:pPr>
        <w:pStyle w:val="37"/>
        <w:spacing w:after="0"/>
        <w:ind w:firstLine="420"/>
        <w:jc w:val="center"/>
        <w:rPr>
          <w:rFonts w:ascii="仿宋" w:hAnsi="仿宋" w:eastAsia="仿宋" w:cs="仿宋"/>
          <w:color w:val="auto"/>
          <w:sz w:val="36"/>
          <w:szCs w:val="36"/>
          <w:highlight w:val="none"/>
          <w:lang w:eastAsia="zh-CN"/>
        </w:rPr>
      </w:pPr>
    </w:p>
    <w:p w14:paraId="1F7AFF19">
      <w:pPr>
        <w:pStyle w:val="37"/>
        <w:spacing w:after="0"/>
        <w:ind w:firstLine="420"/>
        <w:jc w:val="center"/>
        <w:rPr>
          <w:rFonts w:ascii="仿宋" w:hAnsi="仿宋" w:eastAsia="仿宋" w:cs="仿宋"/>
          <w:color w:val="auto"/>
          <w:sz w:val="36"/>
          <w:szCs w:val="36"/>
          <w:highlight w:val="none"/>
          <w:lang w:eastAsia="zh-CN"/>
        </w:rPr>
      </w:pPr>
    </w:p>
    <w:p w14:paraId="676856CF">
      <w:pPr>
        <w:jc w:val="center"/>
        <w:rPr>
          <w:rFonts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val="en-US" w:eastAsia="zh-CN"/>
        </w:rPr>
        <w:t>5</w:t>
      </w:r>
      <w:r>
        <w:rPr>
          <w:rFonts w:hint="eastAsia" w:ascii="仿宋" w:hAnsi="仿宋" w:eastAsia="仿宋" w:cs="仿宋"/>
          <w:b/>
          <w:bCs/>
          <w:color w:val="auto"/>
          <w:sz w:val="30"/>
          <w:szCs w:val="30"/>
          <w:highlight w:val="none"/>
          <w:lang w:eastAsia="zh-CN"/>
        </w:rPr>
        <w:t>、商务条款偏离表</w:t>
      </w:r>
    </w:p>
    <w:tbl>
      <w:tblPr>
        <w:tblStyle w:val="23"/>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477"/>
        <w:gridCol w:w="2454"/>
        <w:gridCol w:w="1130"/>
      </w:tblGrid>
      <w:tr w14:paraId="097B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56BC0108">
            <w:pPr>
              <w:rPr>
                <w:rFonts w:ascii="仿宋" w:hAnsi="仿宋" w:eastAsia="仿宋" w:cs="仿宋"/>
                <w:color w:val="auto"/>
                <w:spacing w:val="-1"/>
                <w:highlight w:val="none"/>
              </w:rPr>
            </w:pPr>
            <w:r>
              <w:rPr>
                <w:rFonts w:hint="eastAsia" w:ascii="仿宋" w:hAnsi="仿宋" w:eastAsia="仿宋" w:cs="仿宋"/>
                <w:color w:val="auto"/>
                <w:spacing w:val="-1"/>
                <w:highlight w:val="none"/>
              </w:rPr>
              <w:t>序号</w:t>
            </w:r>
          </w:p>
        </w:tc>
        <w:tc>
          <w:tcPr>
            <w:tcW w:w="2154" w:type="dxa"/>
          </w:tcPr>
          <w:p w14:paraId="1785449C">
            <w:pPr>
              <w:pStyle w:val="10"/>
              <w:spacing w:line="240" w:lineRule="atLeast"/>
              <w:jc w:val="center"/>
              <w:rPr>
                <w:rFonts w:ascii="仿宋" w:hAnsi="仿宋" w:eastAsia="仿宋" w:cs="仿宋"/>
                <w:color w:val="auto"/>
                <w:spacing w:val="-1"/>
                <w:highlight w:val="none"/>
              </w:rPr>
            </w:pPr>
            <w:r>
              <w:rPr>
                <w:rFonts w:hint="eastAsia" w:ascii="仿宋" w:hAnsi="仿宋" w:eastAsia="仿宋" w:cs="仿宋"/>
                <w:color w:val="auto"/>
                <w:highlight w:val="none"/>
                <w:lang w:eastAsia="zh-CN"/>
              </w:rPr>
              <w:t>招标文件条款号</w:t>
            </w:r>
          </w:p>
        </w:tc>
        <w:tc>
          <w:tcPr>
            <w:tcW w:w="2477" w:type="dxa"/>
          </w:tcPr>
          <w:p w14:paraId="293D08F6">
            <w:pPr>
              <w:pStyle w:val="10"/>
              <w:spacing w:line="240" w:lineRule="atLeast"/>
              <w:jc w:val="center"/>
              <w:rPr>
                <w:rFonts w:ascii="仿宋" w:hAnsi="仿宋" w:eastAsia="仿宋" w:cs="仿宋"/>
                <w:color w:val="auto"/>
                <w:spacing w:val="-1"/>
                <w:highlight w:val="none"/>
              </w:rPr>
            </w:pPr>
            <w:r>
              <w:rPr>
                <w:rFonts w:hint="eastAsia" w:ascii="仿宋" w:hAnsi="仿宋" w:eastAsia="仿宋" w:cs="仿宋"/>
                <w:color w:val="auto"/>
                <w:highlight w:val="none"/>
                <w:lang w:eastAsia="zh-CN"/>
              </w:rPr>
              <w:t>招标文件的商务条款</w:t>
            </w:r>
          </w:p>
        </w:tc>
        <w:tc>
          <w:tcPr>
            <w:tcW w:w="2454" w:type="dxa"/>
          </w:tcPr>
          <w:p w14:paraId="28515D13">
            <w:pPr>
              <w:pStyle w:val="10"/>
              <w:spacing w:line="240" w:lineRule="atLeast"/>
              <w:jc w:val="center"/>
              <w:rPr>
                <w:rFonts w:ascii="仿宋" w:hAnsi="仿宋" w:eastAsia="仿宋" w:cs="仿宋"/>
                <w:color w:val="auto"/>
                <w:spacing w:val="-1"/>
                <w:highlight w:val="none"/>
              </w:rPr>
            </w:pPr>
            <w:r>
              <w:rPr>
                <w:rFonts w:hint="eastAsia" w:ascii="仿宋" w:hAnsi="仿宋" w:eastAsia="仿宋" w:cs="仿宋"/>
                <w:color w:val="auto"/>
                <w:highlight w:val="none"/>
                <w:lang w:eastAsia="zh-CN"/>
              </w:rPr>
              <w:t>投标文件的商务条款</w:t>
            </w:r>
          </w:p>
        </w:tc>
        <w:tc>
          <w:tcPr>
            <w:tcW w:w="1130" w:type="dxa"/>
          </w:tcPr>
          <w:p w14:paraId="707A28DC">
            <w:pPr>
              <w:pStyle w:val="10"/>
              <w:spacing w:line="240" w:lineRule="atLeast"/>
              <w:jc w:val="center"/>
              <w:rPr>
                <w:rFonts w:ascii="仿宋" w:hAnsi="仿宋" w:eastAsia="仿宋" w:cs="仿宋"/>
                <w:color w:val="auto"/>
                <w:spacing w:val="-1"/>
                <w:highlight w:val="none"/>
              </w:rPr>
            </w:pPr>
            <w:r>
              <w:rPr>
                <w:rFonts w:hint="eastAsia" w:ascii="仿宋" w:hAnsi="仿宋" w:eastAsia="仿宋" w:cs="仿宋"/>
                <w:color w:val="auto"/>
                <w:highlight w:val="none"/>
                <w:lang w:eastAsia="zh-CN"/>
              </w:rPr>
              <w:t>说明</w:t>
            </w:r>
          </w:p>
        </w:tc>
      </w:tr>
      <w:tr w14:paraId="561C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73CFE335">
            <w:pPr>
              <w:rPr>
                <w:rFonts w:ascii="仿宋" w:hAnsi="仿宋" w:eastAsia="仿宋" w:cs="仿宋"/>
                <w:color w:val="auto"/>
                <w:spacing w:val="-1"/>
                <w:highlight w:val="none"/>
              </w:rPr>
            </w:pPr>
            <w:r>
              <w:rPr>
                <w:rFonts w:hint="eastAsia" w:ascii="仿宋" w:hAnsi="仿宋" w:eastAsia="仿宋" w:cs="仿宋"/>
                <w:color w:val="auto"/>
                <w:spacing w:val="-1"/>
                <w:highlight w:val="none"/>
              </w:rPr>
              <w:t>1</w:t>
            </w:r>
          </w:p>
        </w:tc>
        <w:tc>
          <w:tcPr>
            <w:tcW w:w="2154" w:type="dxa"/>
            <w:vAlign w:val="center"/>
          </w:tcPr>
          <w:p w14:paraId="3CF64A33">
            <w:pPr>
              <w:rPr>
                <w:rFonts w:ascii="仿宋" w:hAnsi="仿宋" w:eastAsia="仿宋" w:cs="仿宋"/>
                <w:color w:val="auto"/>
                <w:spacing w:val="-1"/>
                <w:highlight w:val="none"/>
              </w:rPr>
            </w:pPr>
          </w:p>
        </w:tc>
        <w:tc>
          <w:tcPr>
            <w:tcW w:w="2477" w:type="dxa"/>
            <w:vAlign w:val="center"/>
          </w:tcPr>
          <w:p w14:paraId="15CD8214">
            <w:pPr>
              <w:rPr>
                <w:rFonts w:ascii="仿宋" w:hAnsi="仿宋" w:eastAsia="仿宋" w:cs="仿宋"/>
                <w:color w:val="auto"/>
                <w:spacing w:val="-1"/>
                <w:highlight w:val="none"/>
              </w:rPr>
            </w:pPr>
          </w:p>
        </w:tc>
        <w:tc>
          <w:tcPr>
            <w:tcW w:w="2454" w:type="dxa"/>
            <w:vAlign w:val="center"/>
          </w:tcPr>
          <w:p w14:paraId="3C0B07D0">
            <w:pPr>
              <w:rPr>
                <w:rFonts w:ascii="仿宋" w:hAnsi="仿宋" w:eastAsia="仿宋" w:cs="仿宋"/>
                <w:color w:val="auto"/>
                <w:spacing w:val="-1"/>
                <w:highlight w:val="none"/>
              </w:rPr>
            </w:pPr>
          </w:p>
        </w:tc>
        <w:tc>
          <w:tcPr>
            <w:tcW w:w="1130" w:type="dxa"/>
            <w:vAlign w:val="center"/>
          </w:tcPr>
          <w:p w14:paraId="3C799B9E">
            <w:pPr>
              <w:rPr>
                <w:rFonts w:ascii="仿宋" w:hAnsi="仿宋" w:eastAsia="仿宋" w:cs="仿宋"/>
                <w:color w:val="auto"/>
                <w:spacing w:val="-1"/>
                <w:highlight w:val="none"/>
              </w:rPr>
            </w:pPr>
          </w:p>
        </w:tc>
      </w:tr>
      <w:tr w14:paraId="0B31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09ECB1C">
            <w:pPr>
              <w:rPr>
                <w:rFonts w:ascii="仿宋" w:hAnsi="仿宋" w:eastAsia="仿宋" w:cs="仿宋"/>
                <w:color w:val="auto"/>
                <w:spacing w:val="-1"/>
                <w:highlight w:val="none"/>
              </w:rPr>
            </w:pPr>
            <w:r>
              <w:rPr>
                <w:rFonts w:hint="eastAsia" w:ascii="仿宋" w:hAnsi="仿宋" w:eastAsia="仿宋" w:cs="仿宋"/>
                <w:color w:val="auto"/>
                <w:spacing w:val="-1"/>
                <w:highlight w:val="none"/>
              </w:rPr>
              <w:t>2</w:t>
            </w:r>
          </w:p>
        </w:tc>
        <w:tc>
          <w:tcPr>
            <w:tcW w:w="2154" w:type="dxa"/>
            <w:vAlign w:val="center"/>
          </w:tcPr>
          <w:p w14:paraId="3D049BF5">
            <w:pPr>
              <w:rPr>
                <w:rFonts w:ascii="仿宋" w:hAnsi="仿宋" w:eastAsia="仿宋" w:cs="仿宋"/>
                <w:color w:val="auto"/>
                <w:spacing w:val="-1"/>
                <w:highlight w:val="none"/>
              </w:rPr>
            </w:pPr>
          </w:p>
        </w:tc>
        <w:tc>
          <w:tcPr>
            <w:tcW w:w="2477" w:type="dxa"/>
            <w:vAlign w:val="center"/>
          </w:tcPr>
          <w:p w14:paraId="19CC1A00">
            <w:pPr>
              <w:rPr>
                <w:rFonts w:ascii="仿宋" w:hAnsi="仿宋" w:eastAsia="仿宋" w:cs="仿宋"/>
                <w:color w:val="auto"/>
                <w:spacing w:val="-1"/>
                <w:highlight w:val="none"/>
              </w:rPr>
            </w:pPr>
          </w:p>
        </w:tc>
        <w:tc>
          <w:tcPr>
            <w:tcW w:w="2454" w:type="dxa"/>
            <w:vAlign w:val="center"/>
          </w:tcPr>
          <w:p w14:paraId="21664904">
            <w:pPr>
              <w:rPr>
                <w:rFonts w:ascii="仿宋" w:hAnsi="仿宋" w:eastAsia="仿宋" w:cs="仿宋"/>
                <w:color w:val="auto"/>
                <w:spacing w:val="-1"/>
                <w:highlight w:val="none"/>
              </w:rPr>
            </w:pPr>
          </w:p>
        </w:tc>
        <w:tc>
          <w:tcPr>
            <w:tcW w:w="1130" w:type="dxa"/>
            <w:vAlign w:val="center"/>
          </w:tcPr>
          <w:p w14:paraId="1CD87FDF">
            <w:pPr>
              <w:rPr>
                <w:rFonts w:ascii="仿宋" w:hAnsi="仿宋" w:eastAsia="仿宋" w:cs="仿宋"/>
                <w:color w:val="auto"/>
                <w:spacing w:val="-1"/>
                <w:highlight w:val="none"/>
              </w:rPr>
            </w:pPr>
          </w:p>
        </w:tc>
      </w:tr>
      <w:tr w14:paraId="0909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2F8BE2DC">
            <w:pPr>
              <w:rPr>
                <w:rFonts w:ascii="仿宋" w:hAnsi="仿宋" w:eastAsia="仿宋" w:cs="仿宋"/>
                <w:color w:val="auto"/>
                <w:spacing w:val="-1"/>
                <w:highlight w:val="none"/>
              </w:rPr>
            </w:pPr>
            <w:r>
              <w:rPr>
                <w:rFonts w:hint="eastAsia" w:ascii="仿宋" w:hAnsi="仿宋" w:eastAsia="仿宋" w:cs="仿宋"/>
                <w:color w:val="auto"/>
                <w:spacing w:val="-1"/>
                <w:highlight w:val="none"/>
              </w:rPr>
              <w:t>3</w:t>
            </w:r>
          </w:p>
        </w:tc>
        <w:tc>
          <w:tcPr>
            <w:tcW w:w="2154" w:type="dxa"/>
            <w:vAlign w:val="center"/>
          </w:tcPr>
          <w:p w14:paraId="7DC01F6E">
            <w:pPr>
              <w:rPr>
                <w:rFonts w:ascii="仿宋" w:hAnsi="仿宋" w:eastAsia="仿宋" w:cs="仿宋"/>
                <w:color w:val="auto"/>
                <w:spacing w:val="-1"/>
                <w:highlight w:val="none"/>
              </w:rPr>
            </w:pPr>
          </w:p>
        </w:tc>
        <w:tc>
          <w:tcPr>
            <w:tcW w:w="2477" w:type="dxa"/>
            <w:vAlign w:val="center"/>
          </w:tcPr>
          <w:p w14:paraId="5BB7712C">
            <w:pPr>
              <w:rPr>
                <w:rFonts w:ascii="仿宋" w:hAnsi="仿宋" w:eastAsia="仿宋" w:cs="仿宋"/>
                <w:color w:val="auto"/>
                <w:spacing w:val="-1"/>
                <w:highlight w:val="none"/>
              </w:rPr>
            </w:pPr>
          </w:p>
        </w:tc>
        <w:tc>
          <w:tcPr>
            <w:tcW w:w="2454" w:type="dxa"/>
            <w:vAlign w:val="center"/>
          </w:tcPr>
          <w:p w14:paraId="5761B397">
            <w:pPr>
              <w:rPr>
                <w:rFonts w:ascii="仿宋" w:hAnsi="仿宋" w:eastAsia="仿宋" w:cs="仿宋"/>
                <w:color w:val="auto"/>
                <w:spacing w:val="-1"/>
                <w:highlight w:val="none"/>
              </w:rPr>
            </w:pPr>
          </w:p>
        </w:tc>
        <w:tc>
          <w:tcPr>
            <w:tcW w:w="1130" w:type="dxa"/>
            <w:vAlign w:val="center"/>
          </w:tcPr>
          <w:p w14:paraId="1ED86B28">
            <w:pPr>
              <w:rPr>
                <w:rFonts w:ascii="仿宋" w:hAnsi="仿宋" w:eastAsia="仿宋" w:cs="仿宋"/>
                <w:color w:val="auto"/>
                <w:spacing w:val="-1"/>
                <w:highlight w:val="none"/>
              </w:rPr>
            </w:pPr>
          </w:p>
        </w:tc>
      </w:tr>
      <w:tr w14:paraId="3525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4945B877">
            <w:pPr>
              <w:rPr>
                <w:rFonts w:ascii="仿宋" w:hAnsi="仿宋" w:eastAsia="仿宋" w:cs="仿宋"/>
                <w:color w:val="auto"/>
                <w:spacing w:val="-1"/>
                <w:highlight w:val="none"/>
              </w:rPr>
            </w:pPr>
            <w:r>
              <w:rPr>
                <w:rFonts w:hint="eastAsia" w:ascii="仿宋" w:hAnsi="仿宋" w:eastAsia="仿宋" w:cs="仿宋"/>
                <w:color w:val="auto"/>
                <w:spacing w:val="-1"/>
                <w:highlight w:val="none"/>
              </w:rPr>
              <w:t>4</w:t>
            </w:r>
          </w:p>
        </w:tc>
        <w:tc>
          <w:tcPr>
            <w:tcW w:w="2154" w:type="dxa"/>
            <w:vAlign w:val="center"/>
          </w:tcPr>
          <w:p w14:paraId="35E16B7B">
            <w:pPr>
              <w:rPr>
                <w:rFonts w:ascii="仿宋" w:hAnsi="仿宋" w:eastAsia="仿宋" w:cs="仿宋"/>
                <w:color w:val="auto"/>
                <w:spacing w:val="-1"/>
                <w:highlight w:val="none"/>
              </w:rPr>
            </w:pPr>
          </w:p>
        </w:tc>
        <w:tc>
          <w:tcPr>
            <w:tcW w:w="2477" w:type="dxa"/>
            <w:vAlign w:val="center"/>
          </w:tcPr>
          <w:p w14:paraId="0B83C228">
            <w:pPr>
              <w:rPr>
                <w:rFonts w:ascii="仿宋" w:hAnsi="仿宋" w:eastAsia="仿宋" w:cs="仿宋"/>
                <w:color w:val="auto"/>
                <w:spacing w:val="-1"/>
                <w:highlight w:val="none"/>
              </w:rPr>
            </w:pPr>
          </w:p>
        </w:tc>
        <w:tc>
          <w:tcPr>
            <w:tcW w:w="2454" w:type="dxa"/>
            <w:vAlign w:val="center"/>
          </w:tcPr>
          <w:p w14:paraId="63113B72">
            <w:pPr>
              <w:rPr>
                <w:rFonts w:ascii="仿宋" w:hAnsi="仿宋" w:eastAsia="仿宋" w:cs="仿宋"/>
                <w:color w:val="auto"/>
                <w:spacing w:val="-1"/>
                <w:highlight w:val="none"/>
              </w:rPr>
            </w:pPr>
          </w:p>
        </w:tc>
        <w:tc>
          <w:tcPr>
            <w:tcW w:w="1130" w:type="dxa"/>
            <w:vAlign w:val="center"/>
          </w:tcPr>
          <w:p w14:paraId="305284CF">
            <w:pPr>
              <w:rPr>
                <w:rFonts w:ascii="仿宋" w:hAnsi="仿宋" w:eastAsia="仿宋" w:cs="仿宋"/>
                <w:color w:val="auto"/>
                <w:spacing w:val="-1"/>
                <w:highlight w:val="none"/>
              </w:rPr>
            </w:pPr>
          </w:p>
        </w:tc>
      </w:tr>
      <w:tr w14:paraId="39D6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357C3157">
            <w:pPr>
              <w:rPr>
                <w:rFonts w:ascii="仿宋" w:hAnsi="仿宋" w:eastAsia="仿宋" w:cs="仿宋"/>
                <w:color w:val="auto"/>
                <w:spacing w:val="-1"/>
                <w:highlight w:val="none"/>
              </w:rPr>
            </w:pPr>
            <w:r>
              <w:rPr>
                <w:rFonts w:hint="eastAsia" w:ascii="仿宋" w:hAnsi="仿宋" w:eastAsia="仿宋" w:cs="仿宋"/>
                <w:color w:val="auto"/>
                <w:spacing w:val="-1"/>
                <w:highlight w:val="none"/>
              </w:rPr>
              <w:t>5</w:t>
            </w:r>
          </w:p>
        </w:tc>
        <w:tc>
          <w:tcPr>
            <w:tcW w:w="2154" w:type="dxa"/>
            <w:vAlign w:val="center"/>
          </w:tcPr>
          <w:p w14:paraId="4C9F52C8">
            <w:pPr>
              <w:rPr>
                <w:rFonts w:ascii="仿宋" w:hAnsi="仿宋" w:eastAsia="仿宋" w:cs="仿宋"/>
                <w:color w:val="auto"/>
                <w:spacing w:val="-1"/>
                <w:highlight w:val="none"/>
              </w:rPr>
            </w:pPr>
          </w:p>
        </w:tc>
        <w:tc>
          <w:tcPr>
            <w:tcW w:w="2477" w:type="dxa"/>
            <w:vAlign w:val="center"/>
          </w:tcPr>
          <w:p w14:paraId="073DC941">
            <w:pPr>
              <w:rPr>
                <w:rFonts w:ascii="仿宋" w:hAnsi="仿宋" w:eastAsia="仿宋" w:cs="仿宋"/>
                <w:color w:val="auto"/>
                <w:spacing w:val="-1"/>
                <w:highlight w:val="none"/>
              </w:rPr>
            </w:pPr>
          </w:p>
        </w:tc>
        <w:tc>
          <w:tcPr>
            <w:tcW w:w="2454" w:type="dxa"/>
            <w:vAlign w:val="center"/>
          </w:tcPr>
          <w:p w14:paraId="569CC20F">
            <w:pPr>
              <w:rPr>
                <w:rFonts w:ascii="仿宋" w:hAnsi="仿宋" w:eastAsia="仿宋" w:cs="仿宋"/>
                <w:color w:val="auto"/>
                <w:spacing w:val="-1"/>
                <w:highlight w:val="none"/>
              </w:rPr>
            </w:pPr>
          </w:p>
        </w:tc>
        <w:tc>
          <w:tcPr>
            <w:tcW w:w="1130" w:type="dxa"/>
            <w:vAlign w:val="center"/>
          </w:tcPr>
          <w:p w14:paraId="042EE883">
            <w:pPr>
              <w:rPr>
                <w:rFonts w:ascii="仿宋" w:hAnsi="仿宋" w:eastAsia="仿宋" w:cs="仿宋"/>
                <w:color w:val="auto"/>
                <w:spacing w:val="-1"/>
                <w:highlight w:val="none"/>
              </w:rPr>
            </w:pPr>
          </w:p>
        </w:tc>
      </w:tr>
      <w:tr w14:paraId="0F5E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012862A">
            <w:pPr>
              <w:rPr>
                <w:rFonts w:ascii="仿宋" w:hAnsi="仿宋" w:eastAsia="仿宋" w:cs="仿宋"/>
                <w:color w:val="auto"/>
                <w:spacing w:val="-1"/>
                <w:highlight w:val="none"/>
              </w:rPr>
            </w:pPr>
            <w:r>
              <w:rPr>
                <w:rFonts w:hint="eastAsia" w:ascii="仿宋" w:hAnsi="仿宋" w:eastAsia="仿宋" w:cs="仿宋"/>
                <w:color w:val="auto"/>
                <w:spacing w:val="-1"/>
                <w:highlight w:val="none"/>
              </w:rPr>
              <w:t>6</w:t>
            </w:r>
          </w:p>
        </w:tc>
        <w:tc>
          <w:tcPr>
            <w:tcW w:w="2154" w:type="dxa"/>
            <w:vAlign w:val="center"/>
          </w:tcPr>
          <w:p w14:paraId="1E171E5C">
            <w:pPr>
              <w:rPr>
                <w:rFonts w:ascii="仿宋" w:hAnsi="仿宋" w:eastAsia="仿宋" w:cs="仿宋"/>
                <w:color w:val="auto"/>
                <w:spacing w:val="-1"/>
                <w:highlight w:val="none"/>
              </w:rPr>
            </w:pPr>
          </w:p>
        </w:tc>
        <w:tc>
          <w:tcPr>
            <w:tcW w:w="2477" w:type="dxa"/>
            <w:vAlign w:val="center"/>
          </w:tcPr>
          <w:p w14:paraId="06649EA3">
            <w:pPr>
              <w:rPr>
                <w:rFonts w:ascii="仿宋" w:hAnsi="仿宋" w:eastAsia="仿宋" w:cs="仿宋"/>
                <w:color w:val="auto"/>
                <w:spacing w:val="-1"/>
                <w:highlight w:val="none"/>
              </w:rPr>
            </w:pPr>
          </w:p>
        </w:tc>
        <w:tc>
          <w:tcPr>
            <w:tcW w:w="2454" w:type="dxa"/>
            <w:vAlign w:val="center"/>
          </w:tcPr>
          <w:p w14:paraId="38B6F864">
            <w:pPr>
              <w:rPr>
                <w:rFonts w:ascii="仿宋" w:hAnsi="仿宋" w:eastAsia="仿宋" w:cs="仿宋"/>
                <w:color w:val="auto"/>
                <w:spacing w:val="-1"/>
                <w:highlight w:val="none"/>
              </w:rPr>
            </w:pPr>
          </w:p>
        </w:tc>
        <w:tc>
          <w:tcPr>
            <w:tcW w:w="1130" w:type="dxa"/>
            <w:vAlign w:val="center"/>
          </w:tcPr>
          <w:p w14:paraId="40C57350">
            <w:pPr>
              <w:rPr>
                <w:rFonts w:ascii="仿宋" w:hAnsi="仿宋" w:eastAsia="仿宋" w:cs="仿宋"/>
                <w:color w:val="auto"/>
                <w:spacing w:val="-1"/>
                <w:highlight w:val="none"/>
              </w:rPr>
            </w:pPr>
          </w:p>
        </w:tc>
      </w:tr>
      <w:tr w14:paraId="0B4C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77D115E4">
            <w:pPr>
              <w:rPr>
                <w:rFonts w:ascii="仿宋" w:hAnsi="仿宋" w:eastAsia="仿宋" w:cs="仿宋"/>
                <w:color w:val="auto"/>
                <w:spacing w:val="-1"/>
                <w:highlight w:val="none"/>
              </w:rPr>
            </w:pPr>
            <w:r>
              <w:rPr>
                <w:rFonts w:hint="eastAsia" w:ascii="仿宋" w:hAnsi="仿宋" w:eastAsia="仿宋" w:cs="仿宋"/>
                <w:color w:val="auto"/>
                <w:spacing w:val="-1"/>
                <w:highlight w:val="none"/>
              </w:rPr>
              <w:t>7</w:t>
            </w:r>
          </w:p>
        </w:tc>
        <w:tc>
          <w:tcPr>
            <w:tcW w:w="2154" w:type="dxa"/>
            <w:vAlign w:val="center"/>
          </w:tcPr>
          <w:p w14:paraId="3FE9607A">
            <w:pPr>
              <w:rPr>
                <w:rFonts w:ascii="仿宋" w:hAnsi="仿宋" w:eastAsia="仿宋" w:cs="仿宋"/>
                <w:color w:val="auto"/>
                <w:spacing w:val="-1"/>
                <w:highlight w:val="none"/>
              </w:rPr>
            </w:pPr>
          </w:p>
        </w:tc>
        <w:tc>
          <w:tcPr>
            <w:tcW w:w="2477" w:type="dxa"/>
            <w:vAlign w:val="center"/>
          </w:tcPr>
          <w:p w14:paraId="36966109">
            <w:pPr>
              <w:rPr>
                <w:rFonts w:ascii="仿宋" w:hAnsi="仿宋" w:eastAsia="仿宋" w:cs="仿宋"/>
                <w:color w:val="auto"/>
                <w:spacing w:val="-1"/>
                <w:highlight w:val="none"/>
              </w:rPr>
            </w:pPr>
          </w:p>
        </w:tc>
        <w:tc>
          <w:tcPr>
            <w:tcW w:w="2454" w:type="dxa"/>
            <w:vAlign w:val="center"/>
          </w:tcPr>
          <w:p w14:paraId="667317AB">
            <w:pPr>
              <w:rPr>
                <w:rFonts w:ascii="仿宋" w:hAnsi="仿宋" w:eastAsia="仿宋" w:cs="仿宋"/>
                <w:color w:val="auto"/>
                <w:spacing w:val="-1"/>
                <w:highlight w:val="none"/>
              </w:rPr>
            </w:pPr>
          </w:p>
        </w:tc>
        <w:tc>
          <w:tcPr>
            <w:tcW w:w="1130" w:type="dxa"/>
            <w:vAlign w:val="center"/>
          </w:tcPr>
          <w:p w14:paraId="417C2C98">
            <w:pPr>
              <w:rPr>
                <w:rFonts w:ascii="仿宋" w:hAnsi="仿宋" w:eastAsia="仿宋" w:cs="仿宋"/>
                <w:color w:val="auto"/>
                <w:spacing w:val="-1"/>
                <w:highlight w:val="none"/>
              </w:rPr>
            </w:pPr>
          </w:p>
        </w:tc>
      </w:tr>
      <w:tr w14:paraId="4AFD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224A221">
            <w:pPr>
              <w:rPr>
                <w:rFonts w:ascii="仿宋" w:hAnsi="仿宋" w:eastAsia="仿宋" w:cs="仿宋"/>
                <w:color w:val="auto"/>
                <w:spacing w:val="-1"/>
                <w:highlight w:val="none"/>
              </w:rPr>
            </w:pPr>
            <w:r>
              <w:rPr>
                <w:rFonts w:hint="eastAsia" w:ascii="仿宋" w:hAnsi="仿宋" w:eastAsia="仿宋" w:cs="仿宋"/>
                <w:color w:val="auto"/>
                <w:spacing w:val="-1"/>
                <w:highlight w:val="none"/>
              </w:rPr>
              <w:t>8</w:t>
            </w:r>
          </w:p>
        </w:tc>
        <w:tc>
          <w:tcPr>
            <w:tcW w:w="2154" w:type="dxa"/>
            <w:vAlign w:val="center"/>
          </w:tcPr>
          <w:p w14:paraId="3356701B">
            <w:pPr>
              <w:rPr>
                <w:rFonts w:ascii="仿宋" w:hAnsi="仿宋" w:eastAsia="仿宋" w:cs="仿宋"/>
                <w:color w:val="auto"/>
                <w:spacing w:val="-1"/>
                <w:highlight w:val="none"/>
              </w:rPr>
            </w:pPr>
          </w:p>
        </w:tc>
        <w:tc>
          <w:tcPr>
            <w:tcW w:w="2477" w:type="dxa"/>
            <w:vAlign w:val="center"/>
          </w:tcPr>
          <w:p w14:paraId="47EC04B1">
            <w:pPr>
              <w:rPr>
                <w:rFonts w:ascii="仿宋" w:hAnsi="仿宋" w:eastAsia="仿宋" w:cs="仿宋"/>
                <w:color w:val="auto"/>
                <w:spacing w:val="-1"/>
                <w:highlight w:val="none"/>
              </w:rPr>
            </w:pPr>
          </w:p>
        </w:tc>
        <w:tc>
          <w:tcPr>
            <w:tcW w:w="2454" w:type="dxa"/>
            <w:vAlign w:val="center"/>
          </w:tcPr>
          <w:p w14:paraId="293C3FC3">
            <w:pPr>
              <w:rPr>
                <w:rFonts w:ascii="仿宋" w:hAnsi="仿宋" w:eastAsia="仿宋" w:cs="仿宋"/>
                <w:color w:val="auto"/>
                <w:spacing w:val="-1"/>
                <w:highlight w:val="none"/>
              </w:rPr>
            </w:pPr>
          </w:p>
        </w:tc>
        <w:tc>
          <w:tcPr>
            <w:tcW w:w="1130" w:type="dxa"/>
            <w:vAlign w:val="center"/>
          </w:tcPr>
          <w:p w14:paraId="0E362441">
            <w:pPr>
              <w:rPr>
                <w:rFonts w:ascii="仿宋" w:hAnsi="仿宋" w:eastAsia="仿宋" w:cs="仿宋"/>
                <w:color w:val="auto"/>
                <w:spacing w:val="-1"/>
                <w:highlight w:val="none"/>
              </w:rPr>
            </w:pPr>
          </w:p>
        </w:tc>
      </w:tr>
      <w:tr w14:paraId="3F9B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7C8A4B7A">
            <w:pPr>
              <w:rPr>
                <w:rFonts w:ascii="仿宋" w:hAnsi="仿宋" w:eastAsia="仿宋" w:cs="仿宋"/>
                <w:color w:val="auto"/>
                <w:spacing w:val="-1"/>
                <w:highlight w:val="none"/>
              </w:rPr>
            </w:pPr>
            <w:r>
              <w:rPr>
                <w:rFonts w:hint="eastAsia" w:ascii="仿宋" w:hAnsi="仿宋" w:eastAsia="仿宋" w:cs="仿宋"/>
                <w:color w:val="auto"/>
                <w:spacing w:val="-1"/>
                <w:highlight w:val="none"/>
              </w:rPr>
              <w:t>9</w:t>
            </w:r>
          </w:p>
        </w:tc>
        <w:tc>
          <w:tcPr>
            <w:tcW w:w="2154" w:type="dxa"/>
            <w:vAlign w:val="center"/>
          </w:tcPr>
          <w:p w14:paraId="2CC4A6D4">
            <w:pPr>
              <w:rPr>
                <w:rFonts w:ascii="仿宋" w:hAnsi="仿宋" w:eastAsia="仿宋" w:cs="仿宋"/>
                <w:color w:val="auto"/>
                <w:spacing w:val="-1"/>
                <w:highlight w:val="none"/>
              </w:rPr>
            </w:pPr>
          </w:p>
        </w:tc>
        <w:tc>
          <w:tcPr>
            <w:tcW w:w="2477" w:type="dxa"/>
            <w:vAlign w:val="center"/>
          </w:tcPr>
          <w:p w14:paraId="2BE5FEA8">
            <w:pPr>
              <w:rPr>
                <w:rFonts w:ascii="仿宋" w:hAnsi="仿宋" w:eastAsia="仿宋" w:cs="仿宋"/>
                <w:color w:val="auto"/>
                <w:spacing w:val="-1"/>
                <w:highlight w:val="none"/>
              </w:rPr>
            </w:pPr>
          </w:p>
        </w:tc>
        <w:tc>
          <w:tcPr>
            <w:tcW w:w="2454" w:type="dxa"/>
            <w:vAlign w:val="center"/>
          </w:tcPr>
          <w:p w14:paraId="3373C3B9">
            <w:pPr>
              <w:rPr>
                <w:rFonts w:ascii="仿宋" w:hAnsi="仿宋" w:eastAsia="仿宋" w:cs="仿宋"/>
                <w:color w:val="auto"/>
                <w:spacing w:val="-1"/>
                <w:highlight w:val="none"/>
              </w:rPr>
            </w:pPr>
          </w:p>
        </w:tc>
        <w:tc>
          <w:tcPr>
            <w:tcW w:w="1130" w:type="dxa"/>
            <w:vAlign w:val="center"/>
          </w:tcPr>
          <w:p w14:paraId="0993E7D7">
            <w:pPr>
              <w:rPr>
                <w:rFonts w:ascii="仿宋" w:hAnsi="仿宋" w:eastAsia="仿宋" w:cs="仿宋"/>
                <w:color w:val="auto"/>
                <w:spacing w:val="-1"/>
                <w:highlight w:val="none"/>
              </w:rPr>
            </w:pPr>
          </w:p>
        </w:tc>
      </w:tr>
      <w:tr w14:paraId="7630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552725F">
            <w:pPr>
              <w:rPr>
                <w:rFonts w:ascii="仿宋" w:hAnsi="仿宋" w:eastAsia="仿宋" w:cs="仿宋"/>
                <w:color w:val="auto"/>
                <w:spacing w:val="-1"/>
                <w:highlight w:val="none"/>
              </w:rPr>
            </w:pPr>
            <w:r>
              <w:rPr>
                <w:rFonts w:hint="eastAsia" w:ascii="仿宋" w:hAnsi="仿宋" w:eastAsia="仿宋" w:cs="仿宋"/>
                <w:color w:val="auto"/>
                <w:spacing w:val="-1"/>
                <w:highlight w:val="none"/>
              </w:rPr>
              <w:t>10</w:t>
            </w:r>
          </w:p>
        </w:tc>
        <w:tc>
          <w:tcPr>
            <w:tcW w:w="2154" w:type="dxa"/>
            <w:vAlign w:val="center"/>
          </w:tcPr>
          <w:p w14:paraId="1984FB6E">
            <w:pPr>
              <w:rPr>
                <w:rFonts w:ascii="仿宋" w:hAnsi="仿宋" w:eastAsia="仿宋" w:cs="仿宋"/>
                <w:color w:val="auto"/>
                <w:spacing w:val="-1"/>
                <w:highlight w:val="none"/>
              </w:rPr>
            </w:pPr>
          </w:p>
        </w:tc>
        <w:tc>
          <w:tcPr>
            <w:tcW w:w="2477" w:type="dxa"/>
            <w:vAlign w:val="center"/>
          </w:tcPr>
          <w:p w14:paraId="36CDCA51">
            <w:pPr>
              <w:rPr>
                <w:rFonts w:ascii="仿宋" w:hAnsi="仿宋" w:eastAsia="仿宋" w:cs="仿宋"/>
                <w:color w:val="auto"/>
                <w:spacing w:val="-1"/>
                <w:highlight w:val="none"/>
              </w:rPr>
            </w:pPr>
          </w:p>
        </w:tc>
        <w:tc>
          <w:tcPr>
            <w:tcW w:w="2454" w:type="dxa"/>
            <w:vAlign w:val="center"/>
          </w:tcPr>
          <w:p w14:paraId="12552C7C">
            <w:pPr>
              <w:rPr>
                <w:rFonts w:ascii="仿宋" w:hAnsi="仿宋" w:eastAsia="仿宋" w:cs="仿宋"/>
                <w:color w:val="auto"/>
                <w:spacing w:val="-1"/>
                <w:highlight w:val="none"/>
              </w:rPr>
            </w:pPr>
          </w:p>
        </w:tc>
        <w:tc>
          <w:tcPr>
            <w:tcW w:w="1130" w:type="dxa"/>
            <w:vAlign w:val="center"/>
          </w:tcPr>
          <w:p w14:paraId="59C50F10">
            <w:pPr>
              <w:rPr>
                <w:rFonts w:ascii="仿宋" w:hAnsi="仿宋" w:eastAsia="仿宋" w:cs="仿宋"/>
                <w:color w:val="auto"/>
                <w:spacing w:val="-1"/>
                <w:highlight w:val="none"/>
              </w:rPr>
            </w:pPr>
          </w:p>
        </w:tc>
      </w:tr>
      <w:tr w14:paraId="0B32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4F953E27">
            <w:pPr>
              <w:rPr>
                <w:rFonts w:ascii="仿宋" w:hAnsi="仿宋" w:eastAsia="仿宋" w:cs="仿宋"/>
                <w:color w:val="auto"/>
                <w:spacing w:val="-1"/>
                <w:highlight w:val="none"/>
              </w:rPr>
            </w:pPr>
            <w:r>
              <w:rPr>
                <w:rFonts w:hint="eastAsia" w:ascii="仿宋" w:hAnsi="仿宋" w:eastAsia="仿宋" w:cs="仿宋"/>
                <w:color w:val="auto"/>
                <w:spacing w:val="-1"/>
                <w:highlight w:val="none"/>
              </w:rPr>
              <w:t>11</w:t>
            </w:r>
          </w:p>
        </w:tc>
        <w:tc>
          <w:tcPr>
            <w:tcW w:w="2154" w:type="dxa"/>
            <w:vAlign w:val="center"/>
          </w:tcPr>
          <w:p w14:paraId="5C0D5D6C">
            <w:pPr>
              <w:rPr>
                <w:rFonts w:ascii="仿宋" w:hAnsi="仿宋" w:eastAsia="仿宋" w:cs="仿宋"/>
                <w:color w:val="auto"/>
                <w:spacing w:val="-1"/>
                <w:highlight w:val="none"/>
              </w:rPr>
            </w:pPr>
          </w:p>
        </w:tc>
        <w:tc>
          <w:tcPr>
            <w:tcW w:w="2477" w:type="dxa"/>
            <w:vAlign w:val="center"/>
          </w:tcPr>
          <w:p w14:paraId="752C67B9">
            <w:pPr>
              <w:rPr>
                <w:rFonts w:ascii="仿宋" w:hAnsi="仿宋" w:eastAsia="仿宋" w:cs="仿宋"/>
                <w:color w:val="auto"/>
                <w:spacing w:val="-1"/>
                <w:highlight w:val="none"/>
              </w:rPr>
            </w:pPr>
          </w:p>
        </w:tc>
        <w:tc>
          <w:tcPr>
            <w:tcW w:w="2454" w:type="dxa"/>
            <w:vAlign w:val="center"/>
          </w:tcPr>
          <w:p w14:paraId="0B2946A6">
            <w:pPr>
              <w:rPr>
                <w:rFonts w:ascii="仿宋" w:hAnsi="仿宋" w:eastAsia="仿宋" w:cs="仿宋"/>
                <w:color w:val="auto"/>
                <w:spacing w:val="-1"/>
                <w:highlight w:val="none"/>
              </w:rPr>
            </w:pPr>
          </w:p>
        </w:tc>
        <w:tc>
          <w:tcPr>
            <w:tcW w:w="1130" w:type="dxa"/>
            <w:vAlign w:val="center"/>
          </w:tcPr>
          <w:p w14:paraId="464C67FC">
            <w:pPr>
              <w:rPr>
                <w:rFonts w:ascii="仿宋" w:hAnsi="仿宋" w:eastAsia="仿宋" w:cs="仿宋"/>
                <w:color w:val="auto"/>
                <w:spacing w:val="-1"/>
                <w:highlight w:val="none"/>
              </w:rPr>
            </w:pPr>
          </w:p>
        </w:tc>
      </w:tr>
      <w:tr w14:paraId="33D3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635D3B2B">
            <w:pPr>
              <w:rPr>
                <w:rFonts w:ascii="仿宋" w:hAnsi="仿宋" w:eastAsia="仿宋" w:cs="仿宋"/>
                <w:color w:val="auto"/>
                <w:spacing w:val="-1"/>
                <w:highlight w:val="none"/>
              </w:rPr>
            </w:pPr>
            <w:r>
              <w:rPr>
                <w:rFonts w:hint="eastAsia" w:ascii="仿宋" w:hAnsi="仿宋" w:eastAsia="仿宋" w:cs="仿宋"/>
                <w:color w:val="auto"/>
                <w:spacing w:val="-1"/>
                <w:highlight w:val="none"/>
              </w:rPr>
              <w:t>12</w:t>
            </w:r>
          </w:p>
        </w:tc>
        <w:tc>
          <w:tcPr>
            <w:tcW w:w="2154" w:type="dxa"/>
            <w:vAlign w:val="center"/>
          </w:tcPr>
          <w:p w14:paraId="277E34A8">
            <w:pPr>
              <w:rPr>
                <w:rFonts w:ascii="仿宋" w:hAnsi="仿宋" w:eastAsia="仿宋" w:cs="仿宋"/>
                <w:color w:val="auto"/>
                <w:spacing w:val="-1"/>
                <w:highlight w:val="none"/>
              </w:rPr>
            </w:pPr>
          </w:p>
        </w:tc>
        <w:tc>
          <w:tcPr>
            <w:tcW w:w="2477" w:type="dxa"/>
            <w:vAlign w:val="center"/>
          </w:tcPr>
          <w:p w14:paraId="627E36DC">
            <w:pPr>
              <w:rPr>
                <w:rFonts w:ascii="仿宋" w:hAnsi="仿宋" w:eastAsia="仿宋" w:cs="仿宋"/>
                <w:color w:val="auto"/>
                <w:spacing w:val="-1"/>
                <w:highlight w:val="none"/>
              </w:rPr>
            </w:pPr>
          </w:p>
        </w:tc>
        <w:tc>
          <w:tcPr>
            <w:tcW w:w="2454" w:type="dxa"/>
            <w:vAlign w:val="center"/>
          </w:tcPr>
          <w:p w14:paraId="30A68C6A">
            <w:pPr>
              <w:rPr>
                <w:rFonts w:ascii="仿宋" w:hAnsi="仿宋" w:eastAsia="仿宋" w:cs="仿宋"/>
                <w:color w:val="auto"/>
                <w:spacing w:val="-1"/>
                <w:highlight w:val="none"/>
              </w:rPr>
            </w:pPr>
          </w:p>
        </w:tc>
        <w:tc>
          <w:tcPr>
            <w:tcW w:w="1130" w:type="dxa"/>
            <w:vAlign w:val="center"/>
          </w:tcPr>
          <w:p w14:paraId="5FFC7CA5">
            <w:pPr>
              <w:rPr>
                <w:rFonts w:ascii="仿宋" w:hAnsi="仿宋" w:eastAsia="仿宋" w:cs="仿宋"/>
                <w:color w:val="auto"/>
                <w:spacing w:val="-1"/>
                <w:highlight w:val="none"/>
              </w:rPr>
            </w:pPr>
          </w:p>
        </w:tc>
      </w:tr>
      <w:tr w14:paraId="7B1C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7133EB96">
            <w:pPr>
              <w:rPr>
                <w:rFonts w:ascii="仿宋" w:hAnsi="仿宋" w:eastAsia="仿宋" w:cs="仿宋"/>
                <w:color w:val="auto"/>
                <w:spacing w:val="-1"/>
                <w:highlight w:val="none"/>
              </w:rPr>
            </w:pPr>
            <w:r>
              <w:rPr>
                <w:rFonts w:hint="eastAsia" w:ascii="仿宋" w:hAnsi="仿宋" w:eastAsia="仿宋" w:cs="仿宋"/>
                <w:color w:val="auto"/>
                <w:spacing w:val="-1"/>
                <w:highlight w:val="none"/>
              </w:rPr>
              <w:t>13</w:t>
            </w:r>
          </w:p>
        </w:tc>
        <w:tc>
          <w:tcPr>
            <w:tcW w:w="2154" w:type="dxa"/>
            <w:vAlign w:val="center"/>
          </w:tcPr>
          <w:p w14:paraId="365CDB96">
            <w:pPr>
              <w:rPr>
                <w:rFonts w:ascii="仿宋" w:hAnsi="仿宋" w:eastAsia="仿宋" w:cs="仿宋"/>
                <w:color w:val="auto"/>
                <w:spacing w:val="-1"/>
                <w:highlight w:val="none"/>
              </w:rPr>
            </w:pPr>
          </w:p>
        </w:tc>
        <w:tc>
          <w:tcPr>
            <w:tcW w:w="2477" w:type="dxa"/>
            <w:vAlign w:val="center"/>
          </w:tcPr>
          <w:p w14:paraId="75A31E63">
            <w:pPr>
              <w:rPr>
                <w:rFonts w:ascii="仿宋" w:hAnsi="仿宋" w:eastAsia="仿宋" w:cs="仿宋"/>
                <w:color w:val="auto"/>
                <w:spacing w:val="-1"/>
                <w:highlight w:val="none"/>
              </w:rPr>
            </w:pPr>
          </w:p>
        </w:tc>
        <w:tc>
          <w:tcPr>
            <w:tcW w:w="2454" w:type="dxa"/>
            <w:vAlign w:val="center"/>
          </w:tcPr>
          <w:p w14:paraId="7415DC54">
            <w:pPr>
              <w:rPr>
                <w:rFonts w:ascii="仿宋" w:hAnsi="仿宋" w:eastAsia="仿宋" w:cs="仿宋"/>
                <w:color w:val="auto"/>
                <w:spacing w:val="-1"/>
                <w:highlight w:val="none"/>
              </w:rPr>
            </w:pPr>
          </w:p>
        </w:tc>
        <w:tc>
          <w:tcPr>
            <w:tcW w:w="1130" w:type="dxa"/>
            <w:vAlign w:val="center"/>
          </w:tcPr>
          <w:p w14:paraId="06FDFE60">
            <w:pPr>
              <w:rPr>
                <w:rFonts w:ascii="仿宋" w:hAnsi="仿宋" w:eastAsia="仿宋" w:cs="仿宋"/>
                <w:color w:val="auto"/>
                <w:spacing w:val="-1"/>
                <w:highlight w:val="none"/>
              </w:rPr>
            </w:pPr>
          </w:p>
        </w:tc>
      </w:tr>
      <w:tr w14:paraId="04E6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79CEA8AC">
            <w:pPr>
              <w:rPr>
                <w:rFonts w:ascii="仿宋" w:hAnsi="仿宋" w:eastAsia="仿宋" w:cs="仿宋"/>
                <w:color w:val="auto"/>
                <w:spacing w:val="-1"/>
                <w:highlight w:val="none"/>
              </w:rPr>
            </w:pPr>
            <w:r>
              <w:rPr>
                <w:rFonts w:hint="eastAsia" w:ascii="仿宋" w:hAnsi="仿宋" w:eastAsia="仿宋" w:cs="仿宋"/>
                <w:color w:val="auto"/>
                <w:spacing w:val="-1"/>
                <w:highlight w:val="none"/>
              </w:rPr>
              <w:t>14</w:t>
            </w:r>
          </w:p>
        </w:tc>
        <w:tc>
          <w:tcPr>
            <w:tcW w:w="2154" w:type="dxa"/>
            <w:vAlign w:val="center"/>
          </w:tcPr>
          <w:p w14:paraId="66028FB4">
            <w:pPr>
              <w:rPr>
                <w:rFonts w:ascii="仿宋" w:hAnsi="仿宋" w:eastAsia="仿宋" w:cs="仿宋"/>
                <w:color w:val="auto"/>
                <w:spacing w:val="-1"/>
                <w:highlight w:val="none"/>
              </w:rPr>
            </w:pPr>
          </w:p>
        </w:tc>
        <w:tc>
          <w:tcPr>
            <w:tcW w:w="2477" w:type="dxa"/>
            <w:vAlign w:val="center"/>
          </w:tcPr>
          <w:p w14:paraId="113DE6D6">
            <w:pPr>
              <w:rPr>
                <w:rFonts w:ascii="仿宋" w:hAnsi="仿宋" w:eastAsia="仿宋" w:cs="仿宋"/>
                <w:color w:val="auto"/>
                <w:spacing w:val="-1"/>
                <w:highlight w:val="none"/>
              </w:rPr>
            </w:pPr>
          </w:p>
        </w:tc>
        <w:tc>
          <w:tcPr>
            <w:tcW w:w="2454" w:type="dxa"/>
            <w:vAlign w:val="center"/>
          </w:tcPr>
          <w:p w14:paraId="1F1D2AE5">
            <w:pPr>
              <w:rPr>
                <w:rFonts w:ascii="仿宋" w:hAnsi="仿宋" w:eastAsia="仿宋" w:cs="仿宋"/>
                <w:color w:val="auto"/>
                <w:spacing w:val="-1"/>
                <w:highlight w:val="none"/>
              </w:rPr>
            </w:pPr>
          </w:p>
        </w:tc>
        <w:tc>
          <w:tcPr>
            <w:tcW w:w="1130" w:type="dxa"/>
            <w:vAlign w:val="center"/>
          </w:tcPr>
          <w:p w14:paraId="0975AA57">
            <w:pPr>
              <w:rPr>
                <w:rFonts w:ascii="仿宋" w:hAnsi="仿宋" w:eastAsia="仿宋" w:cs="仿宋"/>
                <w:color w:val="auto"/>
                <w:spacing w:val="-1"/>
                <w:highlight w:val="none"/>
              </w:rPr>
            </w:pPr>
          </w:p>
        </w:tc>
      </w:tr>
      <w:tr w14:paraId="4DE0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14:paraId="18866887">
            <w:pPr>
              <w:rPr>
                <w:rFonts w:ascii="仿宋" w:hAnsi="仿宋" w:eastAsia="仿宋" w:cs="仿宋"/>
                <w:color w:val="auto"/>
                <w:spacing w:val="-1"/>
                <w:highlight w:val="none"/>
              </w:rPr>
            </w:pPr>
            <w:r>
              <w:rPr>
                <w:rFonts w:hint="eastAsia" w:ascii="仿宋" w:hAnsi="仿宋" w:eastAsia="仿宋" w:cs="仿宋"/>
                <w:color w:val="auto"/>
                <w:spacing w:val="-1"/>
                <w:highlight w:val="none"/>
              </w:rPr>
              <w:t>15</w:t>
            </w:r>
          </w:p>
        </w:tc>
        <w:tc>
          <w:tcPr>
            <w:tcW w:w="2154" w:type="dxa"/>
            <w:vAlign w:val="center"/>
          </w:tcPr>
          <w:p w14:paraId="2CB3699C">
            <w:pPr>
              <w:rPr>
                <w:rFonts w:ascii="仿宋" w:hAnsi="仿宋" w:eastAsia="仿宋" w:cs="仿宋"/>
                <w:color w:val="auto"/>
                <w:spacing w:val="-1"/>
                <w:highlight w:val="none"/>
              </w:rPr>
            </w:pPr>
          </w:p>
        </w:tc>
        <w:tc>
          <w:tcPr>
            <w:tcW w:w="2477" w:type="dxa"/>
            <w:vAlign w:val="center"/>
          </w:tcPr>
          <w:p w14:paraId="33088A3A">
            <w:pPr>
              <w:rPr>
                <w:rFonts w:ascii="仿宋" w:hAnsi="仿宋" w:eastAsia="仿宋" w:cs="仿宋"/>
                <w:color w:val="auto"/>
                <w:spacing w:val="-1"/>
                <w:highlight w:val="none"/>
              </w:rPr>
            </w:pPr>
          </w:p>
        </w:tc>
        <w:tc>
          <w:tcPr>
            <w:tcW w:w="2454" w:type="dxa"/>
            <w:vAlign w:val="center"/>
          </w:tcPr>
          <w:p w14:paraId="158649B8">
            <w:pPr>
              <w:rPr>
                <w:rFonts w:ascii="仿宋" w:hAnsi="仿宋" w:eastAsia="仿宋" w:cs="仿宋"/>
                <w:color w:val="auto"/>
                <w:spacing w:val="-1"/>
                <w:highlight w:val="none"/>
              </w:rPr>
            </w:pPr>
          </w:p>
        </w:tc>
        <w:tc>
          <w:tcPr>
            <w:tcW w:w="1130" w:type="dxa"/>
            <w:vAlign w:val="center"/>
          </w:tcPr>
          <w:p w14:paraId="416AAEB3">
            <w:pPr>
              <w:rPr>
                <w:rFonts w:ascii="仿宋" w:hAnsi="仿宋" w:eastAsia="仿宋" w:cs="仿宋"/>
                <w:color w:val="auto"/>
                <w:spacing w:val="-1"/>
                <w:highlight w:val="none"/>
              </w:rPr>
            </w:pPr>
          </w:p>
        </w:tc>
      </w:tr>
    </w:tbl>
    <w:p w14:paraId="412E9D37">
      <w:pPr>
        <w:rPr>
          <w:rFonts w:ascii="仿宋" w:hAnsi="仿宋" w:eastAsia="仿宋" w:cs="仿宋"/>
          <w:color w:val="auto"/>
          <w:spacing w:val="-1"/>
          <w:highlight w:val="none"/>
          <w:lang w:eastAsia="zh-CN"/>
        </w:rPr>
      </w:pPr>
      <w:r>
        <w:rPr>
          <w:rFonts w:hint="eastAsia" w:ascii="仿宋" w:hAnsi="仿宋" w:eastAsia="仿宋" w:cs="仿宋"/>
          <w:color w:val="auto"/>
          <w:spacing w:val="-1"/>
          <w:highlight w:val="none"/>
          <w:lang w:eastAsia="zh-CN"/>
        </w:rPr>
        <w:t>注：请在“偏离说明”栏内扼要说明偏离情况，如无偏离则不需列明。</w:t>
      </w:r>
    </w:p>
    <w:p w14:paraId="0C4E3F45">
      <w:pPr>
        <w:pStyle w:val="8"/>
        <w:numPr>
          <w:ilvl w:val="0"/>
          <w:numId w:val="0"/>
        </w:numPr>
        <w:tabs>
          <w:tab w:val="left" w:pos="8227"/>
        </w:tabs>
        <w:kinsoku w:val="0"/>
        <w:overflowPunct w:val="0"/>
        <w:spacing w:line="381" w:lineRule="auto"/>
        <w:ind w:left="1680" w:right="118"/>
        <w:rPr>
          <w:rFonts w:ascii="仿宋" w:hAnsi="仿宋" w:eastAsia="仿宋" w:cs="仿宋"/>
          <w:color w:val="auto"/>
          <w:highlight w:val="none"/>
          <w:lang w:eastAsia="zh-CN"/>
        </w:rPr>
      </w:pPr>
    </w:p>
    <w:p w14:paraId="164408F6">
      <w:pPr>
        <w:pStyle w:val="8"/>
        <w:numPr>
          <w:ilvl w:val="0"/>
          <w:numId w:val="0"/>
        </w:numPr>
        <w:tabs>
          <w:tab w:val="left" w:pos="8227"/>
        </w:tabs>
        <w:kinsoku w:val="0"/>
        <w:overflowPunct w:val="0"/>
        <w:spacing w:line="381" w:lineRule="auto"/>
        <w:ind w:left="1680" w:right="118"/>
        <w:rPr>
          <w:rFonts w:ascii="仿宋" w:hAnsi="仿宋" w:eastAsia="仿宋" w:cs="仿宋"/>
          <w:color w:val="auto"/>
          <w:highlight w:val="none"/>
          <w:lang w:eastAsia="zh-CN"/>
        </w:rPr>
      </w:pPr>
    </w:p>
    <w:p w14:paraId="6C5CF32D">
      <w:pPr>
        <w:pStyle w:val="8"/>
        <w:numPr>
          <w:ilvl w:val="0"/>
          <w:numId w:val="0"/>
        </w:numPr>
        <w:tabs>
          <w:tab w:val="left" w:pos="8227"/>
        </w:tabs>
        <w:kinsoku w:val="0"/>
        <w:overflowPunct w:val="0"/>
        <w:spacing w:line="381" w:lineRule="auto"/>
        <w:ind w:left="1680" w:right="118"/>
        <w:rPr>
          <w:rFonts w:ascii="仿宋" w:hAnsi="仿宋" w:eastAsia="仿宋" w:cs="仿宋"/>
          <w:color w:val="auto"/>
          <w:sz w:val="24"/>
          <w:highlight w:val="none"/>
          <w:lang w:eastAsia="zh-CN"/>
        </w:rPr>
      </w:pPr>
    </w:p>
    <w:p w14:paraId="7761A48A">
      <w:pPr>
        <w:pStyle w:val="8"/>
        <w:numPr>
          <w:ilvl w:val="0"/>
          <w:numId w:val="0"/>
        </w:numPr>
        <w:tabs>
          <w:tab w:val="left" w:pos="8227"/>
        </w:tabs>
        <w:kinsoku w:val="0"/>
        <w:overflowPunct w:val="0"/>
        <w:spacing w:line="381" w:lineRule="auto"/>
        <w:ind w:left="1680" w:right="118"/>
        <w:jc w:val="right"/>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w w:val="95"/>
          <w:sz w:val="24"/>
          <w:highlight w:val="none"/>
          <w:lang w:eastAsia="zh-CN"/>
        </w:rPr>
        <w:t>（盖章）</w:t>
      </w:r>
      <w:r>
        <w:rPr>
          <w:rFonts w:hint="eastAsia" w:ascii="仿宋" w:hAnsi="仿宋" w:eastAsia="仿宋" w:cs="仿宋"/>
          <w:color w:val="auto"/>
          <w:sz w:val="24"/>
          <w:highlight w:val="none"/>
          <w:lang w:eastAsia="zh-CN"/>
        </w:rPr>
        <w:t xml:space="preserve"> </w:t>
      </w:r>
    </w:p>
    <w:p w14:paraId="665DF399">
      <w:pPr>
        <w:pStyle w:val="8"/>
        <w:numPr>
          <w:ilvl w:val="0"/>
          <w:numId w:val="0"/>
        </w:numPr>
        <w:tabs>
          <w:tab w:val="left" w:pos="8227"/>
        </w:tabs>
        <w:kinsoku w:val="0"/>
        <w:overflowPunct w:val="0"/>
        <w:spacing w:line="381" w:lineRule="auto"/>
        <w:ind w:left="1680" w:right="118"/>
        <w:jc w:val="right"/>
        <w:rPr>
          <w:rFonts w:ascii="仿宋" w:hAnsi="仿宋" w:eastAsia="仿宋" w:cs="仿宋"/>
          <w:color w:val="auto"/>
          <w:w w:val="95"/>
          <w:sz w:val="24"/>
          <w:highlight w:val="none"/>
          <w:lang w:eastAsia="zh-CN"/>
        </w:rPr>
      </w:pPr>
      <w:r>
        <w:rPr>
          <w:rFonts w:hint="eastAsia" w:ascii="仿宋" w:hAnsi="仿宋" w:eastAsia="仿宋" w:cs="仿宋"/>
          <w:color w:val="auto"/>
          <w:sz w:val="24"/>
          <w:highlight w:val="none"/>
          <w:lang w:eastAsia="zh-CN"/>
        </w:rPr>
        <w:t>法定代表人或被授权人：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w w:val="95"/>
          <w:sz w:val="24"/>
          <w:highlight w:val="none"/>
          <w:lang w:eastAsia="zh-CN"/>
        </w:rPr>
        <w:t>（签章）</w:t>
      </w:r>
    </w:p>
    <w:p w14:paraId="7B689466">
      <w:pPr>
        <w:pStyle w:val="37"/>
        <w:spacing w:after="0"/>
        <w:ind w:firstLine="420"/>
        <w:jc w:val="right"/>
        <w:rPr>
          <w:rFonts w:ascii="仿宋" w:hAnsi="仿宋" w:eastAsia="仿宋" w:cs="仿宋"/>
          <w:color w:val="auto"/>
          <w:sz w:val="36"/>
          <w:szCs w:val="36"/>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日</w:t>
      </w:r>
    </w:p>
    <w:p w14:paraId="37346B89">
      <w:pPr>
        <w:pStyle w:val="37"/>
        <w:spacing w:after="0"/>
        <w:ind w:firstLine="420"/>
        <w:jc w:val="center"/>
        <w:rPr>
          <w:rFonts w:ascii="仿宋" w:hAnsi="仿宋" w:eastAsia="仿宋" w:cs="仿宋"/>
          <w:color w:val="auto"/>
          <w:sz w:val="36"/>
          <w:szCs w:val="36"/>
          <w:highlight w:val="none"/>
        </w:rPr>
      </w:pPr>
    </w:p>
    <w:p w14:paraId="2796B452">
      <w:pPr>
        <w:pStyle w:val="38"/>
        <w:tabs>
          <w:tab w:val="left" w:pos="826"/>
        </w:tabs>
        <w:spacing w:line="470" w:lineRule="exact"/>
        <w:ind w:firstLine="0"/>
        <w:jc w:val="center"/>
        <w:rPr>
          <w:rFonts w:ascii="仿宋" w:hAnsi="仿宋" w:eastAsia="仿宋" w:cs="仿宋"/>
          <w:color w:val="auto"/>
          <w:sz w:val="21"/>
          <w:szCs w:val="21"/>
          <w:highlight w:val="none"/>
        </w:rPr>
      </w:pPr>
    </w:p>
    <w:p w14:paraId="69852B37">
      <w:pPr>
        <w:pStyle w:val="38"/>
        <w:tabs>
          <w:tab w:val="left" w:pos="826"/>
        </w:tabs>
        <w:spacing w:line="470" w:lineRule="exact"/>
        <w:ind w:firstLine="0"/>
        <w:jc w:val="center"/>
        <w:rPr>
          <w:rFonts w:ascii="仿宋" w:hAnsi="仿宋" w:eastAsia="仿宋" w:cs="仿宋"/>
          <w:color w:val="auto"/>
          <w:sz w:val="21"/>
          <w:szCs w:val="21"/>
          <w:highlight w:val="none"/>
        </w:rPr>
      </w:pPr>
    </w:p>
    <w:p w14:paraId="66A2DD01">
      <w:pPr>
        <w:pStyle w:val="38"/>
        <w:tabs>
          <w:tab w:val="left" w:pos="826"/>
        </w:tabs>
        <w:spacing w:line="470" w:lineRule="exact"/>
        <w:ind w:firstLine="0"/>
        <w:jc w:val="center"/>
        <w:rPr>
          <w:rFonts w:ascii="仿宋" w:hAnsi="仿宋" w:eastAsia="仿宋" w:cs="仿宋"/>
          <w:color w:val="auto"/>
          <w:sz w:val="21"/>
          <w:szCs w:val="21"/>
          <w:highlight w:val="none"/>
        </w:rPr>
      </w:pPr>
    </w:p>
    <w:p w14:paraId="63FF7B34">
      <w:pPr>
        <w:pStyle w:val="38"/>
        <w:tabs>
          <w:tab w:val="left" w:pos="826"/>
        </w:tabs>
        <w:spacing w:line="470" w:lineRule="exact"/>
        <w:ind w:firstLine="0"/>
        <w:jc w:val="center"/>
        <w:rPr>
          <w:rFonts w:ascii="仿宋" w:hAnsi="仿宋" w:eastAsia="仿宋" w:cs="仿宋"/>
          <w:color w:val="auto"/>
          <w:sz w:val="21"/>
          <w:szCs w:val="21"/>
          <w:highlight w:val="none"/>
        </w:rPr>
      </w:pPr>
    </w:p>
    <w:p w14:paraId="01C8601B">
      <w:pPr>
        <w:jc w:val="center"/>
        <w:rPr>
          <w:rFonts w:ascii="仿宋" w:hAnsi="仿宋" w:eastAsia="仿宋" w:cs="仿宋"/>
          <w:color w:val="auto"/>
          <w:sz w:val="30"/>
          <w:szCs w:val="30"/>
          <w:highlight w:val="none"/>
          <w:lang w:eastAsia="zh-CN"/>
        </w:rPr>
      </w:pPr>
      <w:r>
        <w:rPr>
          <w:rFonts w:hint="eastAsia" w:ascii="仿宋" w:hAnsi="仿宋" w:eastAsia="仿宋" w:cs="仿宋"/>
          <w:b/>
          <w:bCs/>
          <w:color w:val="auto"/>
          <w:sz w:val="30"/>
          <w:szCs w:val="30"/>
          <w:highlight w:val="none"/>
          <w:lang w:val="en-US" w:eastAsia="zh-CN"/>
        </w:rPr>
        <w:t>6</w:t>
      </w:r>
      <w:r>
        <w:rPr>
          <w:rFonts w:hint="eastAsia" w:ascii="仿宋" w:hAnsi="仿宋" w:eastAsia="仿宋" w:cs="仿宋"/>
          <w:b/>
          <w:bCs/>
          <w:color w:val="auto"/>
          <w:sz w:val="30"/>
          <w:szCs w:val="30"/>
          <w:highlight w:val="none"/>
          <w:lang w:eastAsia="zh-CN"/>
        </w:rPr>
        <w:t>、供应商基本情况表</w:t>
      </w:r>
    </w:p>
    <w:p w14:paraId="05F16D33">
      <w:pPr>
        <w:pStyle w:val="8"/>
        <w:numPr>
          <w:ilvl w:val="0"/>
          <w:numId w:val="0"/>
        </w:numPr>
        <w:kinsoku w:val="0"/>
        <w:overflowPunct w:val="0"/>
        <w:spacing w:before="5"/>
        <w:rPr>
          <w:rFonts w:ascii="仿宋" w:hAnsi="仿宋" w:eastAsia="仿宋" w:cs="仿宋"/>
          <w:b/>
          <w:bCs/>
          <w:color w:val="auto"/>
          <w:sz w:val="6"/>
          <w:szCs w:val="6"/>
          <w:highlight w:val="none"/>
          <w:lang w:eastAsia="zh-CN"/>
        </w:rPr>
      </w:pPr>
    </w:p>
    <w:tbl>
      <w:tblPr>
        <w:tblStyle w:val="23"/>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14:paraId="55F28352">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738AE87C">
            <w:pPr>
              <w:pStyle w:val="41"/>
              <w:kinsoku w:val="0"/>
              <w:overflowPunct w:val="0"/>
              <w:spacing w:before="145"/>
              <w:ind w:left="137"/>
              <w:rPr>
                <w:rFonts w:ascii="仿宋" w:hAnsi="仿宋" w:eastAsia="仿宋" w:cs="仿宋"/>
                <w:color w:val="auto"/>
                <w:highlight w:val="none"/>
              </w:rPr>
            </w:pPr>
            <w:r>
              <w:rPr>
                <w:rFonts w:hint="eastAsia" w:ascii="仿宋" w:hAnsi="仿宋" w:eastAsia="仿宋" w:cs="仿宋"/>
                <w:color w:val="auto"/>
                <w:highlight w:val="none"/>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14:paraId="09DB11A7">
            <w:pPr>
              <w:rPr>
                <w:rFonts w:ascii="仿宋" w:hAnsi="仿宋" w:eastAsia="仿宋" w:cs="仿宋"/>
                <w:color w:val="auto"/>
                <w:highlight w:val="none"/>
              </w:rPr>
            </w:pPr>
          </w:p>
        </w:tc>
      </w:tr>
      <w:tr w14:paraId="7C5E34E2">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1C0692FA">
            <w:pPr>
              <w:pStyle w:val="41"/>
              <w:kinsoku w:val="0"/>
              <w:overflowPunct w:val="0"/>
              <w:spacing w:before="145"/>
              <w:ind w:left="137"/>
              <w:rPr>
                <w:rFonts w:ascii="仿宋" w:hAnsi="仿宋" w:eastAsia="仿宋" w:cs="仿宋"/>
                <w:color w:val="auto"/>
                <w:highlight w:val="none"/>
              </w:rPr>
            </w:pPr>
            <w:r>
              <w:rPr>
                <w:rFonts w:hint="eastAsia" w:ascii="仿宋" w:hAnsi="仿宋" w:eastAsia="仿宋" w:cs="仿宋"/>
                <w:color w:val="auto"/>
                <w:highlight w:val="none"/>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14:paraId="703D8170">
            <w:pPr>
              <w:rPr>
                <w:rFonts w:ascii="仿宋" w:hAnsi="仿宋" w:eastAsia="仿宋" w:cs="仿宋"/>
                <w:color w:val="auto"/>
                <w:highlight w:val="none"/>
              </w:rPr>
            </w:pPr>
          </w:p>
        </w:tc>
      </w:tr>
      <w:tr w14:paraId="5EFF9D5E">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6CE11E28">
            <w:pPr>
              <w:pStyle w:val="41"/>
              <w:kinsoku w:val="0"/>
              <w:overflowPunct w:val="0"/>
              <w:spacing w:before="145"/>
              <w:ind w:left="137"/>
              <w:rPr>
                <w:rFonts w:ascii="仿宋" w:hAnsi="仿宋" w:eastAsia="仿宋" w:cs="仿宋"/>
                <w:color w:val="auto"/>
                <w:highlight w:val="none"/>
              </w:rPr>
            </w:pPr>
            <w:r>
              <w:rPr>
                <w:rFonts w:hint="eastAsia" w:ascii="仿宋" w:hAnsi="仿宋" w:eastAsia="仿宋" w:cs="仿宋"/>
                <w:color w:val="auto"/>
                <w:highlight w:val="none"/>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14:paraId="0440D332">
            <w:pPr>
              <w:rPr>
                <w:rFonts w:ascii="仿宋" w:hAnsi="仿宋" w:eastAsia="仿宋" w:cs="仿宋"/>
                <w:color w:val="auto"/>
                <w:highlight w:val="none"/>
              </w:rPr>
            </w:pPr>
          </w:p>
        </w:tc>
      </w:tr>
      <w:tr w14:paraId="4A67CF1F">
        <w:tblPrEx>
          <w:tblCellMar>
            <w:top w:w="0" w:type="dxa"/>
            <w:left w:w="0" w:type="dxa"/>
            <w:bottom w:w="0" w:type="dxa"/>
            <w:right w:w="0" w:type="dxa"/>
          </w:tblCellMar>
        </w:tblPrEx>
        <w:trPr>
          <w:trHeight w:val="70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356267B4">
            <w:pPr>
              <w:pStyle w:val="41"/>
              <w:kinsoku w:val="0"/>
              <w:overflowPunct w:val="0"/>
              <w:spacing w:before="145"/>
              <w:ind w:left="137"/>
              <w:rPr>
                <w:rFonts w:ascii="仿宋" w:hAnsi="仿宋" w:eastAsia="仿宋" w:cs="仿宋"/>
                <w:color w:val="auto"/>
                <w:highlight w:val="none"/>
              </w:rPr>
            </w:pPr>
            <w:r>
              <w:rPr>
                <w:rFonts w:hint="eastAsia" w:ascii="仿宋" w:hAnsi="仿宋" w:eastAsia="仿宋" w:cs="仿宋"/>
                <w:color w:val="auto"/>
                <w:highlight w:val="none"/>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14:paraId="0FD56459">
            <w:pPr>
              <w:rPr>
                <w:rFonts w:ascii="仿宋" w:hAnsi="仿宋" w:eastAsia="仿宋" w:cs="仿宋"/>
                <w:color w:val="auto"/>
                <w:highlight w:val="none"/>
              </w:rPr>
            </w:pPr>
          </w:p>
        </w:tc>
        <w:tc>
          <w:tcPr>
            <w:tcW w:w="2294" w:type="dxa"/>
            <w:gridSpan w:val="4"/>
            <w:tcBorders>
              <w:top w:val="single" w:color="000000" w:sz="4" w:space="0"/>
              <w:left w:val="single" w:color="000000" w:sz="4" w:space="0"/>
              <w:bottom w:val="single" w:color="000000" w:sz="4" w:space="0"/>
              <w:right w:val="single" w:color="000000" w:sz="4" w:space="0"/>
            </w:tcBorders>
          </w:tcPr>
          <w:p w14:paraId="770A30C7">
            <w:pPr>
              <w:pStyle w:val="41"/>
              <w:kinsoku w:val="0"/>
              <w:overflowPunct w:val="0"/>
              <w:spacing w:before="145"/>
              <w:ind w:left="181"/>
              <w:rPr>
                <w:rFonts w:ascii="仿宋" w:hAnsi="仿宋" w:eastAsia="仿宋" w:cs="仿宋"/>
                <w:color w:val="auto"/>
                <w:highlight w:val="none"/>
              </w:rPr>
            </w:pPr>
            <w:r>
              <w:rPr>
                <w:rFonts w:hint="eastAsia" w:ascii="仿宋" w:hAnsi="仿宋" w:eastAsia="仿宋" w:cs="仿宋"/>
                <w:color w:val="auto"/>
                <w:highlight w:val="none"/>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14:paraId="0AE8207B">
            <w:pPr>
              <w:rPr>
                <w:rFonts w:ascii="仿宋" w:hAnsi="仿宋" w:eastAsia="仿宋" w:cs="仿宋"/>
                <w:color w:val="auto"/>
                <w:highlight w:val="none"/>
              </w:rPr>
            </w:pPr>
          </w:p>
        </w:tc>
      </w:tr>
      <w:tr w14:paraId="4396244D">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14:paraId="6860062F">
            <w:pPr>
              <w:pStyle w:val="41"/>
              <w:kinsoku w:val="0"/>
              <w:overflowPunct w:val="0"/>
              <w:spacing w:before="146"/>
              <w:ind w:left="137"/>
              <w:rPr>
                <w:rFonts w:ascii="仿宋" w:hAnsi="仿宋" w:eastAsia="仿宋" w:cs="仿宋"/>
                <w:color w:val="auto"/>
                <w:highlight w:val="none"/>
              </w:rPr>
            </w:pPr>
            <w:r>
              <w:rPr>
                <w:rFonts w:hint="eastAsia" w:ascii="仿宋" w:hAnsi="仿宋" w:eastAsia="仿宋" w:cs="仿宋"/>
                <w:color w:val="auto"/>
                <w:highlight w:val="none"/>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14:paraId="7DCE3FAC">
            <w:pPr>
              <w:rPr>
                <w:rFonts w:ascii="仿宋" w:hAnsi="仿宋" w:eastAsia="仿宋" w:cs="仿宋"/>
                <w:color w:val="auto"/>
                <w:highlight w:val="none"/>
              </w:rPr>
            </w:pPr>
          </w:p>
        </w:tc>
      </w:tr>
      <w:tr w14:paraId="311EF1E1">
        <w:tblPrEx>
          <w:tblCellMar>
            <w:top w:w="0" w:type="dxa"/>
            <w:left w:w="0" w:type="dxa"/>
            <w:bottom w:w="0" w:type="dxa"/>
            <w:right w:w="0" w:type="dxa"/>
          </w:tblCellMar>
        </w:tblPrEx>
        <w:trPr>
          <w:trHeight w:val="1483" w:hRule="exact"/>
          <w:jc w:val="center"/>
        </w:trPr>
        <w:tc>
          <w:tcPr>
            <w:tcW w:w="1242" w:type="dxa"/>
            <w:tcBorders>
              <w:top w:val="single" w:color="000000" w:sz="4" w:space="0"/>
              <w:left w:val="single" w:color="000000" w:sz="4" w:space="0"/>
              <w:bottom w:val="single" w:color="000000" w:sz="4" w:space="0"/>
              <w:right w:val="single" w:color="000000" w:sz="4" w:space="0"/>
            </w:tcBorders>
          </w:tcPr>
          <w:p w14:paraId="211D8A91">
            <w:pPr>
              <w:pStyle w:val="41"/>
              <w:kinsoku w:val="0"/>
              <w:overflowPunct w:val="0"/>
              <w:spacing w:before="141" w:line="312" w:lineRule="exact"/>
              <w:ind w:left="257" w:right="133" w:hanging="120"/>
              <w:rPr>
                <w:rFonts w:ascii="仿宋" w:hAnsi="仿宋" w:eastAsia="仿宋" w:cs="仿宋"/>
                <w:color w:val="auto"/>
                <w:highlight w:val="none"/>
              </w:rPr>
            </w:pPr>
            <w:r>
              <w:rPr>
                <w:rFonts w:hint="eastAsia" w:ascii="仿宋" w:hAnsi="仿宋" w:eastAsia="仿宋" w:cs="仿宋"/>
                <w:color w:val="auto"/>
                <w:highlight w:val="none"/>
              </w:rPr>
              <w:t>投标期间 联系人</w:t>
            </w:r>
          </w:p>
        </w:tc>
        <w:tc>
          <w:tcPr>
            <w:tcW w:w="1445" w:type="dxa"/>
            <w:tcBorders>
              <w:top w:val="single" w:color="000000" w:sz="4" w:space="0"/>
              <w:left w:val="single" w:color="000000" w:sz="4" w:space="0"/>
              <w:bottom w:val="single" w:color="000000" w:sz="4" w:space="0"/>
              <w:right w:val="single" w:color="000000" w:sz="4" w:space="0"/>
            </w:tcBorders>
          </w:tcPr>
          <w:p w14:paraId="53CAE431">
            <w:pPr>
              <w:rPr>
                <w:rFonts w:ascii="仿宋" w:hAnsi="仿宋" w:eastAsia="仿宋" w:cs="仿宋"/>
                <w:color w:val="auto"/>
                <w:highlight w:val="none"/>
              </w:rPr>
            </w:pPr>
          </w:p>
        </w:tc>
        <w:tc>
          <w:tcPr>
            <w:tcW w:w="1342" w:type="dxa"/>
            <w:gridSpan w:val="2"/>
            <w:tcBorders>
              <w:top w:val="single" w:color="000000" w:sz="4" w:space="0"/>
              <w:left w:val="single" w:color="000000" w:sz="4" w:space="0"/>
              <w:bottom w:val="single" w:color="000000" w:sz="4" w:space="0"/>
              <w:right w:val="single" w:color="000000" w:sz="4" w:space="0"/>
            </w:tcBorders>
          </w:tcPr>
          <w:p w14:paraId="46EA5FCC">
            <w:pPr>
              <w:pStyle w:val="41"/>
              <w:kinsoku w:val="0"/>
              <w:overflowPunct w:val="0"/>
              <w:spacing w:before="4"/>
              <w:rPr>
                <w:rFonts w:ascii="仿宋" w:hAnsi="仿宋" w:eastAsia="仿宋" w:cs="仿宋"/>
                <w:b/>
                <w:bCs/>
                <w:color w:val="auto"/>
                <w:sz w:val="20"/>
                <w:szCs w:val="20"/>
                <w:highlight w:val="none"/>
              </w:rPr>
            </w:pPr>
          </w:p>
          <w:p w14:paraId="71AB2705">
            <w:pPr>
              <w:pStyle w:val="41"/>
              <w:kinsoku w:val="0"/>
              <w:overflowPunct w:val="0"/>
              <w:ind w:left="366"/>
              <w:rPr>
                <w:rFonts w:ascii="仿宋" w:hAnsi="仿宋" w:eastAsia="仿宋" w:cs="仿宋"/>
                <w:color w:val="auto"/>
                <w:highlight w:val="none"/>
              </w:rPr>
            </w:pPr>
            <w:r>
              <w:rPr>
                <w:rFonts w:hint="eastAsia" w:ascii="仿宋" w:hAnsi="仿宋" w:eastAsia="仿宋" w:cs="仿宋"/>
                <w:color w:val="auto"/>
                <w:highlight w:val="none"/>
              </w:rPr>
              <w:t>电 话</w:t>
            </w:r>
          </w:p>
        </w:tc>
        <w:tc>
          <w:tcPr>
            <w:tcW w:w="1343" w:type="dxa"/>
            <w:gridSpan w:val="2"/>
            <w:tcBorders>
              <w:top w:val="single" w:color="000000" w:sz="4" w:space="0"/>
              <w:left w:val="single" w:color="000000" w:sz="4" w:space="0"/>
              <w:bottom w:val="single" w:color="000000" w:sz="4" w:space="0"/>
              <w:right w:val="single" w:color="000000" w:sz="4" w:space="0"/>
            </w:tcBorders>
          </w:tcPr>
          <w:p w14:paraId="26A009E1">
            <w:pPr>
              <w:rPr>
                <w:rFonts w:ascii="仿宋" w:hAnsi="仿宋" w:eastAsia="仿宋" w:cs="仿宋"/>
                <w:color w:val="auto"/>
                <w:highlight w:val="none"/>
              </w:rPr>
            </w:pPr>
          </w:p>
        </w:tc>
        <w:tc>
          <w:tcPr>
            <w:tcW w:w="1377" w:type="dxa"/>
            <w:gridSpan w:val="3"/>
            <w:tcBorders>
              <w:top w:val="single" w:color="000000" w:sz="4" w:space="0"/>
              <w:left w:val="single" w:color="000000" w:sz="4" w:space="0"/>
              <w:bottom w:val="single" w:color="000000" w:sz="4" w:space="0"/>
              <w:right w:val="single" w:color="000000" w:sz="4" w:space="0"/>
            </w:tcBorders>
          </w:tcPr>
          <w:p w14:paraId="3C5EB401">
            <w:pPr>
              <w:pStyle w:val="41"/>
              <w:kinsoku w:val="0"/>
              <w:overflowPunct w:val="0"/>
              <w:spacing w:before="4"/>
              <w:rPr>
                <w:rFonts w:ascii="仿宋" w:hAnsi="仿宋" w:eastAsia="仿宋" w:cs="仿宋"/>
                <w:b/>
                <w:bCs/>
                <w:color w:val="auto"/>
                <w:sz w:val="20"/>
                <w:szCs w:val="20"/>
                <w:highlight w:val="none"/>
              </w:rPr>
            </w:pPr>
          </w:p>
          <w:p w14:paraId="0FD5C06A">
            <w:pPr>
              <w:pStyle w:val="41"/>
              <w:kinsoku w:val="0"/>
              <w:overflowPunct w:val="0"/>
              <w:ind w:left="383"/>
              <w:rPr>
                <w:rFonts w:ascii="仿宋" w:hAnsi="仿宋" w:eastAsia="仿宋" w:cs="仿宋"/>
                <w:color w:val="auto"/>
                <w:highlight w:val="none"/>
              </w:rPr>
            </w:pPr>
            <w:r>
              <w:rPr>
                <w:rFonts w:hint="eastAsia" w:ascii="仿宋" w:hAnsi="仿宋" w:eastAsia="仿宋" w:cs="仿宋"/>
                <w:color w:val="auto"/>
                <w:highlight w:val="none"/>
              </w:rPr>
              <w:t>传 真</w:t>
            </w:r>
          </w:p>
        </w:tc>
        <w:tc>
          <w:tcPr>
            <w:tcW w:w="1965" w:type="dxa"/>
            <w:tcBorders>
              <w:top w:val="single" w:color="000000" w:sz="4" w:space="0"/>
              <w:left w:val="single" w:color="000000" w:sz="4" w:space="0"/>
              <w:bottom w:val="single" w:color="000000" w:sz="4" w:space="0"/>
              <w:right w:val="single" w:color="000000" w:sz="4" w:space="0"/>
            </w:tcBorders>
          </w:tcPr>
          <w:p w14:paraId="1AE0B4F5">
            <w:pPr>
              <w:rPr>
                <w:rFonts w:ascii="仿宋" w:hAnsi="仿宋" w:eastAsia="仿宋" w:cs="仿宋"/>
                <w:color w:val="auto"/>
                <w:highlight w:val="none"/>
              </w:rPr>
            </w:pPr>
          </w:p>
        </w:tc>
      </w:tr>
      <w:tr w14:paraId="3565BF5F">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14:paraId="6A064843">
            <w:pPr>
              <w:pStyle w:val="41"/>
              <w:kinsoku w:val="0"/>
              <w:overflowPunct w:val="0"/>
              <w:rPr>
                <w:rFonts w:ascii="仿宋" w:hAnsi="仿宋" w:eastAsia="仿宋" w:cs="仿宋"/>
                <w:b/>
                <w:bCs/>
                <w:color w:val="auto"/>
                <w:highlight w:val="none"/>
              </w:rPr>
            </w:pPr>
          </w:p>
          <w:p w14:paraId="53A65EE9">
            <w:pPr>
              <w:pStyle w:val="41"/>
              <w:kinsoku w:val="0"/>
              <w:overflowPunct w:val="0"/>
              <w:rPr>
                <w:rFonts w:ascii="仿宋" w:hAnsi="仿宋" w:eastAsia="仿宋" w:cs="仿宋"/>
                <w:b/>
                <w:bCs/>
                <w:color w:val="auto"/>
                <w:highlight w:val="none"/>
              </w:rPr>
            </w:pPr>
          </w:p>
          <w:p w14:paraId="735E1773">
            <w:pPr>
              <w:pStyle w:val="41"/>
              <w:kinsoku w:val="0"/>
              <w:overflowPunct w:val="0"/>
              <w:rPr>
                <w:rFonts w:ascii="仿宋" w:hAnsi="仿宋" w:eastAsia="仿宋" w:cs="仿宋"/>
                <w:b/>
                <w:bCs/>
                <w:color w:val="auto"/>
                <w:highlight w:val="none"/>
              </w:rPr>
            </w:pPr>
          </w:p>
          <w:p w14:paraId="587639C2">
            <w:pPr>
              <w:pStyle w:val="41"/>
              <w:kinsoku w:val="0"/>
              <w:overflowPunct w:val="0"/>
              <w:spacing w:line="475" w:lineRule="auto"/>
              <w:ind w:left="497" w:right="493"/>
              <w:jc w:val="both"/>
              <w:rPr>
                <w:rFonts w:ascii="仿宋" w:hAnsi="仿宋" w:eastAsia="仿宋" w:cs="仿宋"/>
                <w:color w:val="auto"/>
                <w:highlight w:val="none"/>
              </w:rPr>
            </w:pPr>
            <w:r>
              <w:rPr>
                <w:rFonts w:hint="eastAsia" w:ascii="仿宋" w:hAnsi="仿宋" w:eastAsia="仿宋" w:cs="仿宋"/>
                <w:color w:val="auto"/>
                <w:highlight w:val="none"/>
              </w:rPr>
              <w:t>职 工 概 况</w:t>
            </w:r>
          </w:p>
        </w:tc>
        <w:tc>
          <w:tcPr>
            <w:tcW w:w="1445" w:type="dxa"/>
            <w:tcBorders>
              <w:top w:val="single" w:color="000000" w:sz="4" w:space="0"/>
              <w:left w:val="single" w:color="000000" w:sz="4" w:space="0"/>
              <w:bottom w:val="single" w:color="000000" w:sz="4" w:space="0"/>
              <w:right w:val="single" w:color="000000" w:sz="4" w:space="0"/>
            </w:tcBorders>
          </w:tcPr>
          <w:p w14:paraId="3D4C1F74">
            <w:pPr>
              <w:pStyle w:val="41"/>
              <w:kinsoku w:val="0"/>
              <w:overflowPunct w:val="0"/>
              <w:spacing w:before="144"/>
              <w:ind w:left="236"/>
              <w:rPr>
                <w:rFonts w:ascii="仿宋" w:hAnsi="仿宋" w:eastAsia="仿宋" w:cs="仿宋"/>
                <w:color w:val="auto"/>
                <w:highlight w:val="none"/>
              </w:rPr>
            </w:pPr>
            <w:r>
              <w:rPr>
                <w:rFonts w:hint="eastAsia" w:ascii="仿宋" w:hAnsi="仿宋" w:eastAsia="仿宋" w:cs="仿宋"/>
                <w:color w:val="auto"/>
                <w:highlight w:val="none"/>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14:paraId="3C5D158B">
            <w:pPr>
              <w:rPr>
                <w:rFonts w:ascii="仿宋" w:hAnsi="仿宋" w:eastAsia="仿宋" w:cs="仿宋"/>
                <w:color w:val="auto"/>
                <w:highlight w:val="none"/>
              </w:rPr>
            </w:pPr>
          </w:p>
        </w:tc>
        <w:tc>
          <w:tcPr>
            <w:tcW w:w="2168" w:type="dxa"/>
            <w:gridSpan w:val="4"/>
            <w:tcBorders>
              <w:top w:val="single" w:color="000000" w:sz="4" w:space="0"/>
              <w:left w:val="single" w:color="000000" w:sz="4" w:space="0"/>
              <w:bottom w:val="single" w:color="000000" w:sz="4" w:space="0"/>
              <w:right w:val="single" w:color="000000" w:sz="4" w:space="0"/>
            </w:tcBorders>
          </w:tcPr>
          <w:p w14:paraId="27C72E29">
            <w:pPr>
              <w:pStyle w:val="41"/>
              <w:kinsoku w:val="0"/>
              <w:overflowPunct w:val="0"/>
              <w:spacing w:before="144"/>
              <w:ind w:left="118"/>
              <w:rPr>
                <w:rFonts w:ascii="仿宋" w:hAnsi="仿宋" w:eastAsia="仿宋" w:cs="仿宋"/>
                <w:color w:val="auto"/>
                <w:highlight w:val="none"/>
              </w:rPr>
            </w:pPr>
            <w:r>
              <w:rPr>
                <w:rFonts w:hint="eastAsia" w:ascii="仿宋" w:hAnsi="仿宋" w:eastAsia="仿宋" w:cs="仿宋"/>
                <w:color w:val="auto"/>
                <w:highlight w:val="none"/>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14:paraId="6EAB1CA1">
            <w:pPr>
              <w:rPr>
                <w:rFonts w:ascii="仿宋" w:hAnsi="仿宋" w:eastAsia="仿宋" w:cs="仿宋"/>
                <w:color w:val="auto"/>
                <w:highlight w:val="none"/>
              </w:rPr>
            </w:pPr>
          </w:p>
        </w:tc>
      </w:tr>
      <w:tr w14:paraId="7C7C5C54">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77A76FA8">
            <w:pPr>
              <w:rPr>
                <w:rFonts w:ascii="仿宋" w:hAnsi="仿宋" w:eastAsia="仿宋" w:cs="仿宋"/>
                <w:color w:val="auto"/>
                <w:highlight w:val="none"/>
              </w:rPr>
            </w:pPr>
          </w:p>
        </w:tc>
        <w:tc>
          <w:tcPr>
            <w:tcW w:w="7472" w:type="dxa"/>
            <w:gridSpan w:val="9"/>
            <w:tcBorders>
              <w:top w:val="single" w:color="000000" w:sz="4" w:space="0"/>
              <w:left w:val="single" w:color="000000" w:sz="4" w:space="0"/>
              <w:bottom w:val="single" w:color="000000" w:sz="4" w:space="0"/>
              <w:right w:val="single" w:color="000000" w:sz="4" w:space="0"/>
            </w:tcBorders>
          </w:tcPr>
          <w:p w14:paraId="40F0C29E">
            <w:pPr>
              <w:pStyle w:val="41"/>
              <w:kinsoku w:val="0"/>
              <w:overflowPunct w:val="0"/>
              <w:spacing w:before="145"/>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单位行政和技术负责人</w:t>
            </w:r>
          </w:p>
        </w:tc>
      </w:tr>
      <w:tr w14:paraId="3D922ED8">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0D612D0B">
            <w:pPr>
              <w:pStyle w:val="41"/>
              <w:kinsoku w:val="0"/>
              <w:overflowPunct w:val="0"/>
              <w:spacing w:before="145"/>
              <w:jc w:val="center"/>
              <w:rPr>
                <w:rFonts w:ascii="仿宋" w:hAnsi="仿宋" w:eastAsia="仿宋" w:cs="仿宋"/>
                <w:color w:val="auto"/>
                <w:highlight w:val="none"/>
                <w:lang w:eastAsia="zh-CN"/>
              </w:rPr>
            </w:pPr>
          </w:p>
        </w:tc>
        <w:tc>
          <w:tcPr>
            <w:tcW w:w="1445" w:type="dxa"/>
            <w:tcBorders>
              <w:top w:val="single" w:color="000000" w:sz="4" w:space="0"/>
              <w:left w:val="single" w:color="000000" w:sz="4" w:space="0"/>
              <w:bottom w:val="single" w:color="000000" w:sz="4" w:space="0"/>
              <w:right w:val="single" w:color="000000" w:sz="4" w:space="0"/>
            </w:tcBorders>
          </w:tcPr>
          <w:p w14:paraId="4FA78FAA">
            <w:pPr>
              <w:pStyle w:val="41"/>
              <w:kinsoku w:val="0"/>
              <w:overflowPunct w:val="0"/>
              <w:spacing w:before="145"/>
              <w:ind w:left="416"/>
              <w:rPr>
                <w:rFonts w:ascii="仿宋" w:hAnsi="仿宋" w:eastAsia="仿宋" w:cs="仿宋"/>
                <w:color w:val="auto"/>
                <w:highlight w:val="none"/>
              </w:rPr>
            </w:pPr>
            <w:r>
              <w:rPr>
                <w:rFonts w:hint="eastAsia" w:ascii="仿宋" w:hAnsi="仿宋" w:eastAsia="仿宋" w:cs="仿宋"/>
                <w:color w:val="auto"/>
                <w:highlight w:val="none"/>
              </w:rPr>
              <w:t>姓 名</w:t>
            </w:r>
          </w:p>
        </w:tc>
        <w:tc>
          <w:tcPr>
            <w:tcW w:w="1997" w:type="dxa"/>
            <w:gridSpan w:val="3"/>
            <w:tcBorders>
              <w:top w:val="single" w:color="000000" w:sz="4" w:space="0"/>
              <w:left w:val="single" w:color="000000" w:sz="4" w:space="0"/>
              <w:bottom w:val="single" w:color="000000" w:sz="4" w:space="0"/>
              <w:right w:val="single" w:color="000000" w:sz="4" w:space="0"/>
            </w:tcBorders>
          </w:tcPr>
          <w:p w14:paraId="51E1A47E">
            <w:pPr>
              <w:pStyle w:val="41"/>
              <w:kinsoku w:val="0"/>
              <w:overflowPunct w:val="0"/>
              <w:spacing w:before="145"/>
              <w:ind w:left="452"/>
              <w:rPr>
                <w:rFonts w:ascii="仿宋" w:hAnsi="仿宋" w:eastAsia="仿宋" w:cs="仿宋"/>
                <w:color w:val="auto"/>
                <w:highlight w:val="none"/>
              </w:rPr>
            </w:pPr>
            <w:r>
              <w:rPr>
                <w:rFonts w:hint="eastAsia" w:ascii="仿宋" w:hAnsi="仿宋" w:eastAsia="仿宋" w:cs="仿宋"/>
                <w:color w:val="auto"/>
                <w:highlight w:val="none"/>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14:paraId="2CCADF27">
            <w:pPr>
              <w:pStyle w:val="41"/>
              <w:kinsoku w:val="0"/>
              <w:overflowPunct w:val="0"/>
              <w:spacing w:before="145"/>
              <w:ind w:left="450"/>
              <w:rPr>
                <w:rFonts w:ascii="仿宋" w:hAnsi="仿宋" w:eastAsia="仿宋" w:cs="仿宋"/>
                <w:color w:val="auto"/>
                <w:highlight w:val="none"/>
              </w:rPr>
            </w:pPr>
            <w:r>
              <w:rPr>
                <w:rFonts w:hint="eastAsia" w:ascii="仿宋" w:hAnsi="仿宋" w:eastAsia="仿宋" w:cs="仿宋"/>
                <w:color w:val="auto"/>
                <w:highlight w:val="none"/>
              </w:rPr>
              <w:t>年 龄</w:t>
            </w:r>
          </w:p>
        </w:tc>
        <w:tc>
          <w:tcPr>
            <w:tcW w:w="2517" w:type="dxa"/>
            <w:gridSpan w:val="2"/>
            <w:tcBorders>
              <w:top w:val="single" w:color="000000" w:sz="4" w:space="0"/>
              <w:left w:val="single" w:color="000000" w:sz="4" w:space="0"/>
              <w:bottom w:val="single" w:color="000000" w:sz="4" w:space="0"/>
              <w:right w:val="single" w:color="000000" w:sz="4" w:space="0"/>
            </w:tcBorders>
          </w:tcPr>
          <w:p w14:paraId="7D824F46">
            <w:pPr>
              <w:pStyle w:val="41"/>
              <w:tabs>
                <w:tab w:val="left" w:pos="479"/>
              </w:tabs>
              <w:kinsoku w:val="0"/>
              <w:overflowPunct w:val="0"/>
              <w:spacing w:before="145"/>
              <w:ind w:right="1"/>
              <w:jc w:val="center"/>
              <w:rPr>
                <w:rFonts w:ascii="仿宋" w:hAnsi="仿宋" w:eastAsia="仿宋" w:cs="仿宋"/>
                <w:color w:val="auto"/>
                <w:highlight w:val="none"/>
              </w:rPr>
            </w:pPr>
            <w:r>
              <w:rPr>
                <w:rFonts w:hint="eastAsia" w:ascii="仿宋" w:hAnsi="仿宋" w:eastAsia="仿宋" w:cs="仿宋"/>
                <w:color w:val="auto"/>
                <w:highlight w:val="none"/>
              </w:rPr>
              <w:t>专</w:t>
            </w:r>
            <w:r>
              <w:rPr>
                <w:rFonts w:hint="eastAsia" w:ascii="仿宋" w:hAnsi="仿宋" w:eastAsia="仿宋" w:cs="仿宋"/>
                <w:color w:val="auto"/>
                <w:highlight w:val="none"/>
              </w:rPr>
              <w:tab/>
            </w:r>
            <w:r>
              <w:rPr>
                <w:rFonts w:hint="eastAsia" w:ascii="仿宋" w:hAnsi="仿宋" w:eastAsia="仿宋" w:cs="仿宋"/>
                <w:color w:val="auto"/>
                <w:highlight w:val="none"/>
              </w:rPr>
              <w:t>业</w:t>
            </w:r>
          </w:p>
        </w:tc>
      </w:tr>
      <w:tr w14:paraId="3A44B509">
        <w:tblPrEx>
          <w:tblCellMar>
            <w:top w:w="0" w:type="dxa"/>
            <w:left w:w="0" w:type="dxa"/>
            <w:bottom w:w="0" w:type="dxa"/>
            <w:right w:w="0" w:type="dxa"/>
          </w:tblCellMar>
        </w:tblPrEx>
        <w:trPr>
          <w:trHeight w:val="425"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02EA78B1">
            <w:pPr>
              <w:pStyle w:val="41"/>
              <w:tabs>
                <w:tab w:val="left" w:pos="479"/>
              </w:tabs>
              <w:kinsoku w:val="0"/>
              <w:overflowPunct w:val="0"/>
              <w:spacing w:before="145"/>
              <w:ind w:right="1"/>
              <w:jc w:val="center"/>
              <w:rPr>
                <w:rFonts w:ascii="仿宋" w:hAnsi="仿宋" w:eastAsia="仿宋" w:cs="仿宋"/>
                <w:color w:val="auto"/>
                <w:highlight w:val="none"/>
              </w:rPr>
            </w:pPr>
          </w:p>
        </w:tc>
        <w:tc>
          <w:tcPr>
            <w:tcW w:w="1445" w:type="dxa"/>
            <w:tcBorders>
              <w:top w:val="single" w:color="000000" w:sz="4" w:space="0"/>
              <w:left w:val="single" w:color="000000" w:sz="4" w:space="0"/>
              <w:bottom w:val="single" w:color="000000" w:sz="4" w:space="0"/>
              <w:right w:val="single" w:color="000000" w:sz="4" w:space="0"/>
            </w:tcBorders>
          </w:tcPr>
          <w:p w14:paraId="7CB08A4A">
            <w:pPr>
              <w:rPr>
                <w:rFonts w:ascii="仿宋" w:hAnsi="仿宋" w:eastAsia="仿宋" w:cs="仿宋"/>
                <w:color w:val="auto"/>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14:paraId="22261069">
            <w:pPr>
              <w:rPr>
                <w:rFonts w:ascii="仿宋" w:hAnsi="仿宋" w:eastAsia="仿宋" w:cs="仿宋"/>
                <w:color w:val="auto"/>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14:paraId="70E4EDEF">
            <w:pPr>
              <w:rPr>
                <w:rFonts w:ascii="仿宋" w:hAnsi="仿宋" w:eastAsia="仿宋" w:cs="仿宋"/>
                <w:color w:val="auto"/>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14:paraId="753D0C0D">
            <w:pPr>
              <w:rPr>
                <w:rFonts w:ascii="仿宋" w:hAnsi="仿宋" w:eastAsia="仿宋" w:cs="仿宋"/>
                <w:color w:val="auto"/>
                <w:highlight w:val="none"/>
              </w:rPr>
            </w:pPr>
          </w:p>
        </w:tc>
      </w:tr>
      <w:tr w14:paraId="387FCB9A">
        <w:tblPrEx>
          <w:tblCellMar>
            <w:top w:w="0" w:type="dxa"/>
            <w:left w:w="0" w:type="dxa"/>
            <w:bottom w:w="0" w:type="dxa"/>
            <w:right w:w="0" w:type="dxa"/>
          </w:tblCellMar>
        </w:tblPrEx>
        <w:trPr>
          <w:trHeight w:val="37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3C819034">
            <w:pPr>
              <w:rPr>
                <w:rFonts w:ascii="仿宋" w:hAnsi="仿宋" w:eastAsia="仿宋" w:cs="仿宋"/>
                <w:color w:val="auto"/>
                <w:highlight w:val="none"/>
              </w:rPr>
            </w:pPr>
          </w:p>
        </w:tc>
        <w:tc>
          <w:tcPr>
            <w:tcW w:w="1445" w:type="dxa"/>
            <w:tcBorders>
              <w:top w:val="single" w:color="000000" w:sz="4" w:space="0"/>
              <w:left w:val="single" w:color="000000" w:sz="4" w:space="0"/>
              <w:bottom w:val="single" w:color="000000" w:sz="4" w:space="0"/>
              <w:right w:val="single" w:color="000000" w:sz="4" w:space="0"/>
            </w:tcBorders>
          </w:tcPr>
          <w:p w14:paraId="5E7F591A">
            <w:pPr>
              <w:rPr>
                <w:rFonts w:ascii="仿宋" w:hAnsi="仿宋" w:eastAsia="仿宋" w:cs="仿宋"/>
                <w:color w:val="auto"/>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14:paraId="2AFA1FA1">
            <w:pPr>
              <w:rPr>
                <w:rFonts w:ascii="仿宋" w:hAnsi="仿宋" w:eastAsia="仿宋" w:cs="仿宋"/>
                <w:color w:val="auto"/>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14:paraId="7F90F064">
            <w:pPr>
              <w:rPr>
                <w:rFonts w:ascii="仿宋" w:hAnsi="仿宋" w:eastAsia="仿宋" w:cs="仿宋"/>
                <w:color w:val="auto"/>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14:paraId="134EAA13">
            <w:pPr>
              <w:rPr>
                <w:rFonts w:ascii="仿宋" w:hAnsi="仿宋" w:eastAsia="仿宋" w:cs="仿宋"/>
                <w:color w:val="auto"/>
                <w:highlight w:val="none"/>
              </w:rPr>
            </w:pPr>
          </w:p>
        </w:tc>
      </w:tr>
      <w:tr w14:paraId="468CAAD8">
        <w:tblPrEx>
          <w:tblCellMar>
            <w:top w:w="0" w:type="dxa"/>
            <w:left w:w="0" w:type="dxa"/>
            <w:bottom w:w="0" w:type="dxa"/>
            <w:right w:w="0" w:type="dxa"/>
          </w:tblCellMar>
        </w:tblPrEx>
        <w:trPr>
          <w:trHeight w:val="439"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14:paraId="4C39D0FC">
            <w:pPr>
              <w:rPr>
                <w:rFonts w:ascii="仿宋" w:hAnsi="仿宋" w:eastAsia="仿宋" w:cs="仿宋"/>
                <w:color w:val="auto"/>
                <w:highlight w:val="none"/>
              </w:rPr>
            </w:pPr>
          </w:p>
        </w:tc>
        <w:tc>
          <w:tcPr>
            <w:tcW w:w="1445" w:type="dxa"/>
            <w:tcBorders>
              <w:top w:val="single" w:color="000000" w:sz="4" w:space="0"/>
              <w:left w:val="single" w:color="000000" w:sz="4" w:space="0"/>
              <w:bottom w:val="single" w:color="000000" w:sz="4" w:space="0"/>
              <w:right w:val="single" w:color="000000" w:sz="4" w:space="0"/>
            </w:tcBorders>
          </w:tcPr>
          <w:p w14:paraId="28A213B8">
            <w:pPr>
              <w:rPr>
                <w:rFonts w:ascii="仿宋" w:hAnsi="仿宋" w:eastAsia="仿宋" w:cs="仿宋"/>
                <w:color w:val="auto"/>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14:paraId="2ECE045B">
            <w:pPr>
              <w:rPr>
                <w:rFonts w:ascii="仿宋" w:hAnsi="仿宋" w:eastAsia="仿宋" w:cs="仿宋"/>
                <w:color w:val="auto"/>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14:paraId="69179E87">
            <w:pPr>
              <w:rPr>
                <w:rFonts w:ascii="仿宋" w:hAnsi="仿宋" w:eastAsia="仿宋" w:cs="仿宋"/>
                <w:color w:val="auto"/>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14:paraId="1946927D">
            <w:pPr>
              <w:rPr>
                <w:rFonts w:ascii="仿宋" w:hAnsi="仿宋" w:eastAsia="仿宋" w:cs="仿宋"/>
                <w:color w:val="auto"/>
                <w:highlight w:val="none"/>
              </w:rPr>
            </w:pPr>
          </w:p>
        </w:tc>
      </w:tr>
      <w:tr w14:paraId="58986A98">
        <w:tblPrEx>
          <w:tblCellMar>
            <w:top w:w="0" w:type="dxa"/>
            <w:left w:w="0" w:type="dxa"/>
            <w:bottom w:w="0" w:type="dxa"/>
            <w:right w:w="0" w:type="dxa"/>
          </w:tblCellMar>
        </w:tblPrEx>
        <w:trPr>
          <w:trHeight w:val="1620" w:hRule="exact"/>
          <w:jc w:val="center"/>
        </w:trPr>
        <w:tc>
          <w:tcPr>
            <w:tcW w:w="1242" w:type="dxa"/>
            <w:tcBorders>
              <w:top w:val="single" w:color="000000" w:sz="4" w:space="0"/>
              <w:left w:val="single" w:color="000000" w:sz="4" w:space="0"/>
              <w:bottom w:val="single" w:color="000000" w:sz="4" w:space="0"/>
              <w:right w:val="single" w:color="000000" w:sz="4" w:space="0"/>
            </w:tcBorders>
          </w:tcPr>
          <w:p w14:paraId="3C4CB968">
            <w:pPr>
              <w:pStyle w:val="41"/>
              <w:kinsoku w:val="0"/>
              <w:overflowPunct w:val="0"/>
              <w:spacing w:before="1"/>
              <w:rPr>
                <w:rFonts w:ascii="仿宋" w:hAnsi="仿宋" w:eastAsia="仿宋" w:cs="仿宋"/>
                <w:b/>
                <w:bCs/>
                <w:color w:val="auto"/>
                <w:sz w:val="23"/>
                <w:szCs w:val="23"/>
                <w:highlight w:val="none"/>
              </w:rPr>
            </w:pPr>
          </w:p>
          <w:p w14:paraId="75453063">
            <w:pPr>
              <w:pStyle w:val="41"/>
              <w:kinsoku w:val="0"/>
              <w:overflowPunct w:val="0"/>
              <w:spacing w:line="237" w:lineRule="auto"/>
              <w:ind w:left="497" w:right="493"/>
              <w:jc w:val="both"/>
              <w:rPr>
                <w:rFonts w:ascii="仿宋" w:hAnsi="仿宋" w:eastAsia="仿宋" w:cs="仿宋"/>
                <w:color w:val="auto"/>
                <w:highlight w:val="none"/>
              </w:rPr>
            </w:pPr>
            <w:r>
              <w:rPr>
                <w:rFonts w:hint="eastAsia" w:ascii="仿宋" w:hAnsi="仿宋" w:eastAsia="仿宋" w:cs="仿宋"/>
                <w:color w:val="auto"/>
                <w:highlight w:val="none"/>
              </w:rPr>
              <w:t>单 位 概 况</w:t>
            </w:r>
          </w:p>
        </w:tc>
        <w:tc>
          <w:tcPr>
            <w:tcW w:w="7472" w:type="dxa"/>
            <w:gridSpan w:val="9"/>
            <w:tcBorders>
              <w:top w:val="single" w:color="000000" w:sz="4" w:space="0"/>
              <w:left w:val="single" w:color="000000" w:sz="4" w:space="0"/>
              <w:bottom w:val="single" w:color="000000" w:sz="4" w:space="0"/>
              <w:right w:val="single" w:color="000000" w:sz="4" w:space="0"/>
            </w:tcBorders>
          </w:tcPr>
          <w:p w14:paraId="38F705A5">
            <w:pPr>
              <w:rPr>
                <w:rFonts w:ascii="仿宋" w:hAnsi="仿宋" w:eastAsia="仿宋" w:cs="仿宋"/>
                <w:color w:val="auto"/>
                <w:highlight w:val="none"/>
              </w:rPr>
            </w:pPr>
          </w:p>
        </w:tc>
      </w:tr>
    </w:tbl>
    <w:p w14:paraId="01BDC749">
      <w:pPr>
        <w:pStyle w:val="38"/>
        <w:spacing w:line="440" w:lineRule="exact"/>
        <w:ind w:firstLine="0"/>
        <w:jc w:val="both"/>
        <w:rPr>
          <w:rFonts w:ascii="仿宋" w:hAnsi="仿宋" w:eastAsia="仿宋" w:cs="仿宋"/>
          <w:b/>
          <w:color w:val="auto"/>
          <w:sz w:val="30"/>
          <w:szCs w:val="30"/>
          <w:highlight w:val="none"/>
        </w:rPr>
      </w:pPr>
    </w:p>
    <w:p w14:paraId="22A5DA8B">
      <w:pPr>
        <w:pStyle w:val="38"/>
        <w:spacing w:line="440" w:lineRule="exact"/>
        <w:ind w:firstLine="0"/>
        <w:jc w:val="both"/>
        <w:rPr>
          <w:rFonts w:ascii="仿宋" w:hAnsi="仿宋" w:eastAsia="仿宋" w:cs="仿宋"/>
          <w:b/>
          <w:color w:val="auto"/>
          <w:sz w:val="30"/>
          <w:szCs w:val="30"/>
          <w:highlight w:val="none"/>
        </w:rPr>
      </w:pPr>
    </w:p>
    <w:p w14:paraId="7AFA778E">
      <w:pPr>
        <w:pStyle w:val="38"/>
        <w:spacing w:line="440" w:lineRule="exact"/>
        <w:ind w:firstLine="0"/>
        <w:jc w:val="both"/>
        <w:rPr>
          <w:rFonts w:ascii="仿宋" w:hAnsi="仿宋" w:eastAsia="仿宋" w:cs="仿宋"/>
          <w:b/>
          <w:color w:val="auto"/>
          <w:sz w:val="30"/>
          <w:szCs w:val="30"/>
          <w:highlight w:val="none"/>
        </w:rPr>
      </w:pPr>
    </w:p>
    <w:p w14:paraId="71500166">
      <w:pPr>
        <w:pStyle w:val="38"/>
        <w:spacing w:line="440" w:lineRule="exact"/>
        <w:ind w:firstLine="0"/>
        <w:jc w:val="both"/>
        <w:rPr>
          <w:rFonts w:ascii="仿宋" w:hAnsi="仿宋" w:eastAsia="仿宋" w:cs="仿宋"/>
          <w:b/>
          <w:color w:val="auto"/>
          <w:sz w:val="30"/>
          <w:szCs w:val="30"/>
          <w:highlight w:val="none"/>
        </w:rPr>
      </w:pPr>
    </w:p>
    <w:p w14:paraId="3352847C">
      <w:pPr>
        <w:pStyle w:val="38"/>
        <w:spacing w:line="440" w:lineRule="exact"/>
        <w:ind w:firstLine="0"/>
        <w:jc w:val="both"/>
        <w:rPr>
          <w:rFonts w:ascii="仿宋" w:hAnsi="仿宋" w:eastAsia="仿宋" w:cs="仿宋"/>
          <w:b/>
          <w:color w:val="auto"/>
          <w:sz w:val="30"/>
          <w:szCs w:val="30"/>
          <w:highlight w:val="none"/>
        </w:rPr>
      </w:pPr>
    </w:p>
    <w:p w14:paraId="2249D701">
      <w:pPr>
        <w:pStyle w:val="38"/>
        <w:spacing w:line="440" w:lineRule="exact"/>
        <w:ind w:firstLine="0"/>
        <w:jc w:val="both"/>
        <w:rPr>
          <w:rFonts w:ascii="仿宋" w:hAnsi="仿宋" w:eastAsia="仿宋" w:cs="仿宋"/>
          <w:b/>
          <w:color w:val="auto"/>
          <w:sz w:val="30"/>
          <w:szCs w:val="30"/>
          <w:highlight w:val="none"/>
        </w:rPr>
      </w:pPr>
    </w:p>
    <w:p w14:paraId="5AF83725">
      <w:pPr>
        <w:pStyle w:val="16"/>
        <w:rPr>
          <w:color w:val="auto"/>
          <w:highlight w:val="none"/>
          <w:lang w:eastAsia="zh-CN"/>
        </w:rPr>
      </w:pPr>
    </w:p>
    <w:p w14:paraId="19E317C6">
      <w:pPr>
        <w:spacing w:line="360" w:lineRule="auto"/>
        <w:jc w:val="center"/>
        <w:rPr>
          <w:rFonts w:ascii="仿宋" w:hAnsi="仿宋" w:eastAsia="仿宋" w:cs="仿宋"/>
          <w:b/>
          <w:color w:val="auto"/>
          <w:sz w:val="32"/>
          <w:szCs w:val="32"/>
          <w:highlight w:val="none"/>
          <w:lang w:eastAsia="zh-CN"/>
        </w:rPr>
      </w:pPr>
      <w:r>
        <w:rPr>
          <w:rFonts w:hint="eastAsia" w:ascii="仿宋" w:hAnsi="仿宋" w:eastAsia="仿宋" w:cs="仿宋"/>
          <w:b/>
          <w:color w:val="auto"/>
          <w:sz w:val="36"/>
          <w:szCs w:val="36"/>
          <w:highlight w:val="none"/>
          <w:lang w:val="en-US" w:eastAsia="zh-CN"/>
        </w:rPr>
        <w:t>7</w:t>
      </w:r>
      <w:r>
        <w:rPr>
          <w:rFonts w:hint="eastAsia" w:ascii="仿宋" w:hAnsi="仿宋" w:eastAsia="仿宋" w:cs="仿宋"/>
          <w:b/>
          <w:color w:val="auto"/>
          <w:sz w:val="36"/>
          <w:szCs w:val="36"/>
          <w:highlight w:val="none"/>
          <w:lang w:eastAsia="zh-CN"/>
        </w:rPr>
        <w:t>、中小企业声明函(货物)</w:t>
      </w:r>
    </w:p>
    <w:p w14:paraId="3E712C8F">
      <w:pPr>
        <w:spacing w:line="360" w:lineRule="auto"/>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32DF137D">
      <w:pPr>
        <w:numPr>
          <w:ilvl w:val="0"/>
          <w:numId w:val="9"/>
        </w:numPr>
        <w:spacing w:line="360" w:lineRule="auto"/>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    （标的名称）</w:t>
      </w:r>
      <w:r>
        <w:rPr>
          <w:rFonts w:hint="eastAsia" w:ascii="仿宋" w:hAnsi="仿宋" w:eastAsia="仿宋" w:cs="仿宋"/>
          <w:color w:val="auto"/>
          <w:highlight w:val="none"/>
          <w:lang w:eastAsia="zh-CN"/>
        </w:rPr>
        <w:t>，属于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（采购文件中明确的所属行业）</w:t>
      </w:r>
      <w:r>
        <w:rPr>
          <w:rFonts w:hint="eastAsia" w:ascii="仿宋" w:hAnsi="仿宋" w:eastAsia="仿宋" w:cs="仿宋"/>
          <w:color w:val="auto"/>
          <w:highlight w:val="none"/>
          <w:lang w:eastAsia="zh-CN"/>
        </w:rPr>
        <w:t>；制造商为</w:t>
      </w:r>
      <w:r>
        <w:rPr>
          <w:rFonts w:hint="eastAsia" w:ascii="仿宋" w:hAnsi="仿宋" w:eastAsia="仿宋" w:cs="仿宋"/>
          <w:color w:val="auto"/>
          <w:highlight w:val="none"/>
          <w:u w:val="single"/>
          <w:lang w:eastAsia="zh-CN"/>
        </w:rPr>
        <w:t xml:space="preserve">   （企业名称）</w:t>
      </w:r>
      <w:r>
        <w:rPr>
          <w:rFonts w:hint="eastAsia" w:ascii="仿宋" w:hAnsi="仿宋" w:eastAsia="仿宋" w:cs="仿宋"/>
          <w:color w:val="auto"/>
          <w:highlight w:val="none"/>
          <w:lang w:eastAsia="zh-CN"/>
        </w:rPr>
        <w:t>，从业人员</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人，营业收入为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万元，资产总额为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万元，属于</w:t>
      </w:r>
      <w:r>
        <w:rPr>
          <w:rFonts w:hint="eastAsia" w:ascii="仿宋" w:hAnsi="仿宋" w:eastAsia="仿宋" w:cs="仿宋"/>
          <w:color w:val="auto"/>
          <w:highlight w:val="none"/>
          <w:u w:val="single"/>
          <w:lang w:eastAsia="zh-CN"/>
        </w:rPr>
        <w:t>（中型企业、小型企业、微型企业</w:t>
      </w:r>
      <w:r>
        <w:rPr>
          <w:rFonts w:hint="eastAsia" w:ascii="仿宋" w:hAnsi="仿宋" w:eastAsia="仿宋" w:cs="仿宋"/>
          <w:color w:val="auto"/>
          <w:highlight w:val="none"/>
          <w:lang w:eastAsia="zh-CN"/>
        </w:rPr>
        <w:t>）；</w:t>
      </w:r>
    </w:p>
    <w:p w14:paraId="5247D3FD">
      <w:pPr>
        <w:spacing w:line="360" w:lineRule="auto"/>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 </w:t>
      </w:r>
      <w:r>
        <w:rPr>
          <w:rFonts w:hint="eastAsia" w:ascii="仿宋" w:hAnsi="仿宋" w:eastAsia="仿宋" w:cs="仿宋"/>
          <w:color w:val="auto"/>
          <w:highlight w:val="none"/>
          <w:u w:val="single"/>
          <w:lang w:eastAsia="zh-CN"/>
        </w:rPr>
        <w:t xml:space="preserve">     （标的名称）</w:t>
      </w:r>
      <w:r>
        <w:rPr>
          <w:rFonts w:hint="eastAsia" w:ascii="仿宋" w:hAnsi="仿宋" w:eastAsia="仿宋" w:cs="仿宋"/>
          <w:color w:val="auto"/>
          <w:highlight w:val="none"/>
          <w:lang w:eastAsia="zh-CN"/>
        </w:rPr>
        <w:t>，属于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（采购文件</w:t>
      </w:r>
      <w:r>
        <w:rPr>
          <w:rFonts w:hint="eastAsia" w:ascii="仿宋" w:hAnsi="仿宋" w:eastAsia="仿宋" w:cs="仿宋"/>
          <w:color w:val="auto"/>
          <w:highlight w:val="none"/>
          <w:u w:val="single"/>
          <w:lang w:val="en-US" w:eastAsia="zh-CN"/>
        </w:rPr>
        <w:t>中</w:t>
      </w:r>
      <w:r>
        <w:rPr>
          <w:rFonts w:hint="eastAsia" w:ascii="仿宋" w:hAnsi="仿宋" w:eastAsia="仿宋" w:cs="仿宋"/>
          <w:color w:val="auto"/>
          <w:highlight w:val="none"/>
          <w:u w:val="single"/>
          <w:lang w:eastAsia="zh-CN"/>
        </w:rPr>
        <w:t xml:space="preserve">明确的所属行业） </w:t>
      </w:r>
      <w:r>
        <w:rPr>
          <w:rFonts w:hint="eastAsia" w:ascii="仿宋" w:hAnsi="仿宋" w:eastAsia="仿宋" w:cs="仿宋"/>
          <w:color w:val="auto"/>
          <w:highlight w:val="none"/>
          <w:lang w:eastAsia="zh-CN"/>
        </w:rPr>
        <w:t>；制造商为</w:t>
      </w:r>
      <w:r>
        <w:rPr>
          <w:rFonts w:hint="eastAsia" w:ascii="仿宋" w:hAnsi="仿宋" w:eastAsia="仿宋" w:cs="仿宋"/>
          <w:color w:val="auto"/>
          <w:highlight w:val="none"/>
          <w:u w:val="single"/>
          <w:lang w:eastAsia="zh-CN"/>
        </w:rPr>
        <w:t xml:space="preserve">    （企业名称）</w:t>
      </w:r>
      <w:r>
        <w:rPr>
          <w:rFonts w:hint="eastAsia" w:ascii="仿宋" w:hAnsi="仿宋" w:eastAsia="仿宋" w:cs="仿宋"/>
          <w:color w:val="auto"/>
          <w:highlight w:val="none"/>
          <w:lang w:eastAsia="zh-CN"/>
        </w:rPr>
        <w:t>，从业人员</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人，营业收入为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万元，资产总额为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万元，属于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（中型企业、小型企业、微型企业）</w:t>
      </w:r>
      <w:r>
        <w:rPr>
          <w:rFonts w:hint="eastAsia" w:ascii="仿宋" w:hAnsi="仿宋" w:eastAsia="仿宋" w:cs="仿宋"/>
          <w:color w:val="auto"/>
          <w:highlight w:val="none"/>
          <w:lang w:eastAsia="zh-CN"/>
        </w:rPr>
        <w:t>；</w:t>
      </w:r>
    </w:p>
    <w:p w14:paraId="2D466FC3">
      <w:pPr>
        <w:spacing w:line="360" w:lineRule="auto"/>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p>
    <w:p w14:paraId="31D6260B">
      <w:pPr>
        <w:spacing w:line="360" w:lineRule="auto"/>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以上企业，不属于大企业的分支机构，不存在控股股东为大企业的情形，也不存在与大企业的负责人为同一人的情形。</w:t>
      </w:r>
    </w:p>
    <w:p w14:paraId="63B8DA99">
      <w:pPr>
        <w:spacing w:line="360" w:lineRule="auto"/>
        <w:ind w:firstLine="490" w:firstLineChars="200"/>
        <w:rPr>
          <w:rFonts w:ascii="仿宋" w:hAnsi="仿宋" w:eastAsia="仿宋" w:cs="仿宋"/>
          <w:color w:val="auto"/>
          <w:highlight w:val="none"/>
          <w:lang w:eastAsia="zh-CN"/>
        </w:rPr>
      </w:pPr>
    </w:p>
    <w:p w14:paraId="3D836798">
      <w:pPr>
        <w:spacing w:line="360" w:lineRule="auto"/>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本企业对上述声明内容的真实性负责。如有虚假，将依法承担相应责任。</w:t>
      </w:r>
    </w:p>
    <w:p w14:paraId="2F6F2CE0">
      <w:pPr>
        <w:spacing w:line="360" w:lineRule="auto"/>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14:paraId="01ECFEE3">
      <w:pPr>
        <w:spacing w:line="360" w:lineRule="auto"/>
        <w:ind w:firstLine="490" w:firstLineChars="200"/>
        <w:rPr>
          <w:rFonts w:ascii="仿宋" w:hAnsi="仿宋" w:eastAsia="仿宋" w:cs="仿宋"/>
          <w:color w:val="auto"/>
          <w:highlight w:val="none"/>
          <w:lang w:eastAsia="zh-CN"/>
        </w:rPr>
      </w:pPr>
    </w:p>
    <w:p w14:paraId="24D0A451">
      <w:pPr>
        <w:spacing w:line="360" w:lineRule="auto"/>
        <w:ind w:firstLine="4655" w:firstLineChars="19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企业名称（盖章）：</w:t>
      </w:r>
    </w:p>
    <w:p w14:paraId="53664E15">
      <w:pPr>
        <w:spacing w:line="360" w:lineRule="auto"/>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日期：</w:t>
      </w:r>
    </w:p>
    <w:p w14:paraId="0748E357">
      <w:pPr>
        <w:tabs>
          <w:tab w:val="left" w:pos="3600"/>
        </w:tabs>
        <w:adjustRightInd w:val="0"/>
        <w:snapToGrid w:val="0"/>
        <w:spacing w:line="440" w:lineRule="exact"/>
        <w:jc w:val="center"/>
        <w:rPr>
          <w:rFonts w:ascii="仿宋" w:hAnsi="仿宋" w:eastAsia="仿宋" w:cs="仿宋"/>
          <w:color w:val="auto"/>
          <w:sz w:val="36"/>
          <w:szCs w:val="36"/>
          <w:highlight w:val="none"/>
          <w:lang w:eastAsia="zh-CN"/>
        </w:rPr>
      </w:pPr>
    </w:p>
    <w:p w14:paraId="7053E69D">
      <w:pPr>
        <w:tabs>
          <w:tab w:val="left" w:pos="3600"/>
        </w:tabs>
        <w:adjustRightInd w:val="0"/>
        <w:snapToGrid w:val="0"/>
        <w:spacing w:line="440" w:lineRule="exact"/>
        <w:jc w:val="center"/>
        <w:rPr>
          <w:rFonts w:hint="eastAsia" w:ascii="仿宋" w:hAnsi="仿宋" w:eastAsia="仿宋" w:cs="仿宋"/>
          <w:color w:val="auto"/>
          <w:sz w:val="36"/>
          <w:szCs w:val="36"/>
          <w:highlight w:val="none"/>
          <w:lang w:val="en-US" w:eastAsia="zh-CN"/>
        </w:rPr>
      </w:pPr>
    </w:p>
    <w:p w14:paraId="530AB72B">
      <w:pPr>
        <w:tabs>
          <w:tab w:val="left" w:pos="3600"/>
        </w:tabs>
        <w:adjustRightInd w:val="0"/>
        <w:snapToGrid w:val="0"/>
        <w:spacing w:line="440" w:lineRule="exact"/>
        <w:jc w:val="center"/>
        <w:rPr>
          <w:rFonts w:hint="eastAsia" w:ascii="仿宋" w:hAnsi="仿宋" w:eastAsia="仿宋" w:cs="仿宋"/>
          <w:color w:val="auto"/>
          <w:sz w:val="36"/>
          <w:szCs w:val="36"/>
          <w:highlight w:val="none"/>
          <w:lang w:val="en-US" w:eastAsia="zh-CN"/>
        </w:rPr>
      </w:pPr>
    </w:p>
    <w:p w14:paraId="71861706">
      <w:pPr>
        <w:tabs>
          <w:tab w:val="left" w:pos="3600"/>
        </w:tabs>
        <w:adjustRightInd w:val="0"/>
        <w:snapToGrid w:val="0"/>
        <w:spacing w:line="440" w:lineRule="exact"/>
        <w:jc w:val="center"/>
        <w:rPr>
          <w:rFonts w:hint="eastAsia" w:ascii="仿宋" w:hAnsi="仿宋" w:eastAsia="仿宋" w:cs="仿宋"/>
          <w:color w:val="auto"/>
          <w:sz w:val="36"/>
          <w:szCs w:val="36"/>
          <w:highlight w:val="none"/>
          <w:lang w:val="en-US" w:eastAsia="zh-CN"/>
        </w:rPr>
      </w:pPr>
    </w:p>
    <w:p w14:paraId="6EF2CA20">
      <w:pPr>
        <w:tabs>
          <w:tab w:val="left" w:pos="3600"/>
        </w:tabs>
        <w:adjustRightInd w:val="0"/>
        <w:snapToGrid w:val="0"/>
        <w:spacing w:line="440" w:lineRule="exact"/>
        <w:jc w:val="center"/>
        <w:rPr>
          <w:rFonts w:hint="eastAsia" w:ascii="仿宋" w:hAnsi="仿宋" w:eastAsia="仿宋" w:cs="仿宋"/>
          <w:color w:val="auto"/>
          <w:sz w:val="36"/>
          <w:szCs w:val="36"/>
          <w:highlight w:val="none"/>
          <w:lang w:val="en-US" w:eastAsia="zh-CN"/>
        </w:rPr>
      </w:pPr>
    </w:p>
    <w:p w14:paraId="5C035DD8">
      <w:pPr>
        <w:tabs>
          <w:tab w:val="left" w:pos="3600"/>
        </w:tabs>
        <w:adjustRightInd w:val="0"/>
        <w:snapToGrid w:val="0"/>
        <w:spacing w:line="440" w:lineRule="exact"/>
        <w:jc w:val="center"/>
        <w:rPr>
          <w:rFonts w:hint="eastAsia" w:ascii="仿宋" w:hAnsi="仿宋" w:eastAsia="仿宋" w:cs="仿宋"/>
          <w:color w:val="auto"/>
          <w:sz w:val="36"/>
          <w:szCs w:val="36"/>
          <w:highlight w:val="none"/>
          <w:lang w:val="en-US" w:eastAsia="zh-CN"/>
        </w:rPr>
      </w:pPr>
    </w:p>
    <w:p w14:paraId="2A6E0243">
      <w:pPr>
        <w:tabs>
          <w:tab w:val="left" w:pos="3600"/>
        </w:tabs>
        <w:adjustRightInd w:val="0"/>
        <w:snapToGrid w:val="0"/>
        <w:spacing w:line="440" w:lineRule="exact"/>
        <w:jc w:val="center"/>
        <w:rPr>
          <w:rFonts w:hint="eastAsia" w:ascii="仿宋" w:hAnsi="仿宋" w:eastAsia="仿宋" w:cs="仿宋"/>
          <w:color w:val="auto"/>
          <w:sz w:val="36"/>
          <w:szCs w:val="36"/>
          <w:highlight w:val="none"/>
          <w:lang w:val="en-US" w:eastAsia="zh-CN"/>
        </w:rPr>
      </w:pPr>
    </w:p>
    <w:p w14:paraId="6A53C4FA">
      <w:pPr>
        <w:tabs>
          <w:tab w:val="left" w:pos="3600"/>
        </w:tabs>
        <w:adjustRightInd w:val="0"/>
        <w:snapToGrid w:val="0"/>
        <w:spacing w:line="440" w:lineRule="exact"/>
        <w:jc w:val="center"/>
        <w:rPr>
          <w:rFonts w:hint="eastAsia" w:ascii="仿宋" w:hAnsi="仿宋" w:eastAsia="仿宋" w:cs="仿宋"/>
          <w:color w:val="auto"/>
          <w:sz w:val="36"/>
          <w:szCs w:val="36"/>
          <w:highlight w:val="none"/>
          <w:lang w:val="en-US" w:eastAsia="zh-CN"/>
        </w:rPr>
      </w:pPr>
    </w:p>
    <w:p w14:paraId="033C5EF6">
      <w:pPr>
        <w:tabs>
          <w:tab w:val="left" w:pos="3600"/>
        </w:tabs>
        <w:adjustRightInd w:val="0"/>
        <w:snapToGrid w:val="0"/>
        <w:spacing w:line="440" w:lineRule="exact"/>
        <w:jc w:val="center"/>
        <w:rPr>
          <w:rFonts w:ascii="仿宋" w:hAnsi="仿宋" w:eastAsia="仿宋" w:cs="仿宋"/>
          <w:b/>
          <w:bCs/>
          <w:color w:val="auto"/>
          <w:spacing w:val="6"/>
          <w:sz w:val="36"/>
          <w:szCs w:val="36"/>
          <w:highlight w:val="none"/>
          <w:lang w:eastAsia="zh-CN"/>
        </w:rPr>
      </w:pPr>
      <w:r>
        <w:rPr>
          <w:rFonts w:hint="eastAsia" w:ascii="仿宋" w:hAnsi="仿宋" w:eastAsia="仿宋" w:cs="仿宋"/>
          <w:color w:val="auto"/>
          <w:sz w:val="36"/>
          <w:szCs w:val="36"/>
          <w:highlight w:val="none"/>
          <w:lang w:val="en-US" w:eastAsia="zh-CN"/>
        </w:rPr>
        <w:t>8</w:t>
      </w:r>
      <w:r>
        <w:rPr>
          <w:rFonts w:hint="eastAsia" w:ascii="仿宋" w:hAnsi="仿宋" w:eastAsia="仿宋" w:cs="仿宋"/>
          <w:color w:val="auto"/>
          <w:sz w:val="36"/>
          <w:szCs w:val="36"/>
          <w:highlight w:val="none"/>
          <w:lang w:eastAsia="zh-CN"/>
        </w:rPr>
        <w:t>、</w:t>
      </w:r>
      <w:r>
        <w:rPr>
          <w:rFonts w:hint="eastAsia" w:ascii="仿宋" w:hAnsi="仿宋" w:eastAsia="仿宋" w:cs="仿宋"/>
          <w:b/>
          <w:bCs/>
          <w:color w:val="auto"/>
          <w:spacing w:val="6"/>
          <w:sz w:val="36"/>
          <w:szCs w:val="36"/>
          <w:highlight w:val="none"/>
          <w:lang w:eastAsia="zh-CN"/>
        </w:rPr>
        <w:t>残疾人福利性单位声明函</w:t>
      </w:r>
    </w:p>
    <w:p w14:paraId="186783CA">
      <w:pPr>
        <w:widowControl/>
        <w:adjustRightInd w:val="0"/>
        <w:snapToGrid w:val="0"/>
        <w:spacing w:line="440" w:lineRule="exact"/>
        <w:ind w:firstLine="514" w:firstLineChars="200"/>
        <w:rPr>
          <w:rFonts w:ascii="仿宋" w:hAnsi="仿宋" w:eastAsia="仿宋" w:cs="仿宋"/>
          <w:color w:val="auto"/>
          <w:spacing w:val="6"/>
          <w:highlight w:val="none"/>
          <w:lang w:eastAsia="zh-CN"/>
        </w:rPr>
      </w:pPr>
    </w:p>
    <w:p w14:paraId="166AC16E">
      <w:pPr>
        <w:widowControl/>
        <w:adjustRightInd w:val="0"/>
        <w:snapToGrid w:val="0"/>
        <w:spacing w:line="440" w:lineRule="exact"/>
        <w:ind w:firstLine="514" w:firstLineChars="200"/>
        <w:rPr>
          <w:rFonts w:ascii="仿宋" w:hAnsi="仿宋" w:eastAsia="仿宋" w:cs="仿宋"/>
          <w:color w:val="auto"/>
          <w:spacing w:val="6"/>
          <w:highlight w:val="none"/>
          <w:lang w:eastAsia="zh-CN"/>
        </w:rPr>
      </w:pPr>
      <w:r>
        <w:rPr>
          <w:rFonts w:hint="eastAsia" w:ascii="仿宋" w:hAnsi="仿宋" w:eastAsia="仿宋" w:cs="仿宋"/>
          <w:color w:val="auto"/>
          <w:spacing w:val="6"/>
          <w:highlight w:val="none"/>
          <w:lang w:eastAsia="zh-CN"/>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auto"/>
          <w:spacing w:val="6"/>
          <w:highlight w:val="none"/>
          <w:u w:val="single"/>
          <w:lang w:eastAsia="zh-CN"/>
        </w:rPr>
        <w:t xml:space="preserve">     </w:t>
      </w:r>
      <w:r>
        <w:rPr>
          <w:rFonts w:hint="eastAsia" w:ascii="仿宋" w:hAnsi="仿宋" w:eastAsia="仿宋" w:cs="仿宋"/>
          <w:color w:val="auto"/>
          <w:spacing w:val="6"/>
          <w:highlight w:val="none"/>
          <w:lang w:eastAsia="zh-CN"/>
        </w:rPr>
        <w:t>单位的</w:t>
      </w:r>
      <w:r>
        <w:rPr>
          <w:rFonts w:hint="eastAsia" w:ascii="仿宋" w:hAnsi="仿宋" w:eastAsia="仿宋" w:cs="仿宋"/>
          <w:color w:val="auto"/>
          <w:spacing w:val="6"/>
          <w:highlight w:val="none"/>
          <w:u w:val="single"/>
          <w:lang w:eastAsia="zh-CN"/>
        </w:rPr>
        <w:t xml:space="preserve">     </w:t>
      </w:r>
      <w:r>
        <w:rPr>
          <w:rFonts w:hint="eastAsia" w:ascii="仿宋" w:hAnsi="仿宋" w:eastAsia="仿宋" w:cs="仿宋"/>
          <w:color w:val="auto"/>
          <w:spacing w:val="6"/>
          <w:highlight w:val="none"/>
          <w:lang w:eastAsia="zh-CN"/>
        </w:rPr>
        <w:t>项目采购活动提供本单位制造的货物（由本单位承担工程/提供服务），或者提供其他残疾人福利性单位制造的货物（不包括使用非残疾人福利性单位注册商标的货物）。</w:t>
      </w:r>
    </w:p>
    <w:p w14:paraId="117C6C96">
      <w:pPr>
        <w:widowControl/>
        <w:adjustRightInd w:val="0"/>
        <w:snapToGrid w:val="0"/>
        <w:spacing w:line="440" w:lineRule="exact"/>
        <w:ind w:firstLine="514" w:firstLineChars="200"/>
        <w:rPr>
          <w:rFonts w:ascii="仿宋" w:hAnsi="仿宋" w:eastAsia="仿宋" w:cs="仿宋"/>
          <w:color w:val="auto"/>
          <w:spacing w:val="6"/>
          <w:highlight w:val="none"/>
          <w:lang w:eastAsia="zh-CN"/>
        </w:rPr>
      </w:pPr>
      <w:r>
        <w:rPr>
          <w:rFonts w:hint="eastAsia" w:ascii="仿宋" w:hAnsi="仿宋" w:eastAsia="仿宋" w:cs="仿宋"/>
          <w:color w:val="auto"/>
          <w:spacing w:val="6"/>
          <w:highlight w:val="none"/>
          <w:lang w:eastAsia="zh-CN"/>
        </w:rPr>
        <w:t>本单位对上述声明的真实性负责。如有虚假，将依法承担相应责任。</w:t>
      </w:r>
    </w:p>
    <w:p w14:paraId="4E9FF20D">
      <w:pPr>
        <w:widowControl/>
        <w:adjustRightInd w:val="0"/>
        <w:snapToGrid w:val="0"/>
        <w:spacing w:line="440" w:lineRule="exact"/>
        <w:ind w:firstLine="514" w:firstLineChars="200"/>
        <w:rPr>
          <w:rFonts w:ascii="仿宋" w:hAnsi="仿宋" w:eastAsia="仿宋" w:cs="仿宋"/>
          <w:color w:val="auto"/>
          <w:spacing w:val="6"/>
          <w:highlight w:val="none"/>
          <w:lang w:eastAsia="zh-CN"/>
        </w:rPr>
      </w:pPr>
      <w:r>
        <w:rPr>
          <w:rFonts w:hint="eastAsia" w:ascii="仿宋" w:hAnsi="仿宋" w:eastAsia="仿宋" w:cs="仿宋"/>
          <w:color w:val="auto"/>
          <w:spacing w:val="6"/>
          <w:highlight w:val="none"/>
          <w:lang w:eastAsia="zh-CN"/>
        </w:rPr>
        <w:t xml:space="preserve">                                     </w:t>
      </w:r>
    </w:p>
    <w:p w14:paraId="7C777654">
      <w:pPr>
        <w:widowControl/>
        <w:adjustRightInd w:val="0"/>
        <w:snapToGrid w:val="0"/>
        <w:spacing w:line="440" w:lineRule="exact"/>
        <w:ind w:firstLine="5654" w:firstLineChars="2200"/>
        <w:rPr>
          <w:rFonts w:ascii="仿宋" w:hAnsi="仿宋" w:eastAsia="仿宋" w:cs="仿宋"/>
          <w:color w:val="auto"/>
          <w:spacing w:val="6"/>
          <w:highlight w:val="none"/>
          <w:lang w:eastAsia="zh-CN"/>
        </w:rPr>
      </w:pPr>
      <w:r>
        <w:rPr>
          <w:rFonts w:hint="eastAsia" w:ascii="仿宋" w:hAnsi="仿宋" w:eastAsia="仿宋" w:cs="仿宋"/>
          <w:color w:val="auto"/>
          <w:spacing w:val="6"/>
          <w:highlight w:val="none"/>
          <w:lang w:eastAsia="zh-CN"/>
        </w:rPr>
        <w:t>单位名称（盖章）：</w:t>
      </w:r>
    </w:p>
    <w:p w14:paraId="7B2F04C4">
      <w:pPr>
        <w:widowControl/>
        <w:adjustRightInd w:val="0"/>
        <w:snapToGrid w:val="0"/>
        <w:spacing w:line="440" w:lineRule="exact"/>
        <w:ind w:firstLine="514" w:firstLineChars="200"/>
        <w:rPr>
          <w:rFonts w:ascii="仿宋" w:hAnsi="仿宋" w:eastAsia="仿宋" w:cs="仿宋"/>
          <w:color w:val="auto"/>
          <w:spacing w:val="6"/>
          <w:highlight w:val="none"/>
          <w:lang w:eastAsia="zh-CN"/>
        </w:rPr>
      </w:pPr>
      <w:r>
        <w:rPr>
          <w:rFonts w:hint="eastAsia" w:ascii="仿宋" w:hAnsi="仿宋" w:eastAsia="仿宋" w:cs="仿宋"/>
          <w:color w:val="auto"/>
          <w:spacing w:val="6"/>
          <w:highlight w:val="none"/>
          <w:lang w:eastAsia="zh-CN"/>
        </w:rPr>
        <w:t xml:space="preserve">                                      日  期：</w:t>
      </w:r>
    </w:p>
    <w:p w14:paraId="2F53A7F0">
      <w:pPr>
        <w:pStyle w:val="2"/>
        <w:numPr>
          <w:ilvl w:val="1"/>
          <w:numId w:val="0"/>
        </w:numPr>
        <w:spacing w:line="240" w:lineRule="atLeast"/>
        <w:jc w:val="left"/>
        <w:rPr>
          <w:rFonts w:ascii="仿宋" w:hAnsi="仿宋" w:eastAsia="仿宋" w:cs="仿宋"/>
          <w:bCs/>
          <w:color w:val="auto"/>
          <w:sz w:val="24"/>
          <w:highlight w:val="none"/>
          <w:lang w:eastAsia="zh-CN"/>
        </w:rPr>
      </w:pPr>
    </w:p>
    <w:p w14:paraId="3A5A9410">
      <w:pPr>
        <w:pStyle w:val="2"/>
        <w:numPr>
          <w:ilvl w:val="1"/>
          <w:numId w:val="0"/>
        </w:numPr>
        <w:spacing w:line="240" w:lineRule="atLeast"/>
        <w:jc w:val="left"/>
        <w:rPr>
          <w:rFonts w:ascii="仿宋" w:hAnsi="仿宋" w:eastAsia="仿宋" w:cs="仿宋"/>
          <w:bCs/>
          <w:color w:val="auto"/>
          <w:sz w:val="24"/>
          <w:highlight w:val="none"/>
          <w:lang w:eastAsia="zh-CN"/>
        </w:rPr>
      </w:pPr>
    </w:p>
    <w:p w14:paraId="6AE4B9F1">
      <w:pPr>
        <w:pStyle w:val="2"/>
        <w:numPr>
          <w:ilvl w:val="1"/>
          <w:numId w:val="0"/>
        </w:numPr>
        <w:spacing w:line="240" w:lineRule="atLeast"/>
        <w:jc w:val="left"/>
        <w:rPr>
          <w:rFonts w:ascii="仿宋" w:hAnsi="仿宋" w:eastAsia="仿宋" w:cs="仿宋"/>
          <w:bCs/>
          <w:color w:val="auto"/>
          <w:sz w:val="24"/>
          <w:highlight w:val="none"/>
          <w:lang w:eastAsia="zh-CN"/>
        </w:rPr>
      </w:pPr>
    </w:p>
    <w:p w14:paraId="06CA009D">
      <w:pPr>
        <w:rPr>
          <w:rFonts w:ascii="仿宋" w:hAnsi="仿宋" w:eastAsia="仿宋" w:cs="仿宋"/>
          <w:b/>
          <w:bCs/>
          <w:color w:val="auto"/>
          <w:highlight w:val="none"/>
          <w:lang w:eastAsia="zh-CN"/>
        </w:rPr>
      </w:pPr>
    </w:p>
    <w:p w14:paraId="04A15FBD">
      <w:pPr>
        <w:pStyle w:val="33"/>
        <w:rPr>
          <w:rFonts w:ascii="仿宋" w:hAnsi="仿宋" w:eastAsia="仿宋" w:cs="仿宋"/>
          <w:b/>
          <w:bCs/>
          <w:color w:val="auto"/>
          <w:highlight w:val="none"/>
          <w:lang w:eastAsia="zh-CN"/>
        </w:rPr>
      </w:pPr>
    </w:p>
    <w:p w14:paraId="6C50A3B1">
      <w:pPr>
        <w:pStyle w:val="33"/>
        <w:rPr>
          <w:rFonts w:ascii="仿宋" w:hAnsi="仿宋" w:eastAsia="仿宋" w:cs="仿宋"/>
          <w:b/>
          <w:bCs/>
          <w:color w:val="auto"/>
          <w:highlight w:val="none"/>
          <w:lang w:eastAsia="zh-CN"/>
        </w:rPr>
      </w:pPr>
    </w:p>
    <w:p w14:paraId="6E766043">
      <w:pPr>
        <w:pStyle w:val="33"/>
        <w:rPr>
          <w:rFonts w:ascii="仿宋" w:hAnsi="仿宋" w:eastAsia="仿宋" w:cs="仿宋"/>
          <w:b/>
          <w:bCs/>
          <w:color w:val="auto"/>
          <w:highlight w:val="none"/>
          <w:lang w:eastAsia="zh-CN"/>
        </w:rPr>
      </w:pPr>
    </w:p>
    <w:p w14:paraId="360566AB">
      <w:pPr>
        <w:pStyle w:val="33"/>
        <w:rPr>
          <w:rFonts w:ascii="仿宋" w:hAnsi="仿宋" w:eastAsia="仿宋" w:cs="仿宋"/>
          <w:b/>
          <w:bCs/>
          <w:color w:val="auto"/>
          <w:highlight w:val="none"/>
          <w:lang w:eastAsia="zh-CN"/>
        </w:rPr>
      </w:pPr>
    </w:p>
    <w:p w14:paraId="373E01F7">
      <w:pPr>
        <w:pStyle w:val="33"/>
        <w:rPr>
          <w:rFonts w:ascii="仿宋" w:hAnsi="仿宋" w:eastAsia="仿宋" w:cs="仿宋"/>
          <w:b/>
          <w:bCs/>
          <w:color w:val="auto"/>
          <w:highlight w:val="none"/>
          <w:lang w:eastAsia="zh-CN"/>
        </w:rPr>
      </w:pPr>
    </w:p>
    <w:p w14:paraId="3BCCFED8">
      <w:pPr>
        <w:pStyle w:val="33"/>
        <w:rPr>
          <w:rFonts w:ascii="仿宋" w:hAnsi="仿宋" w:eastAsia="仿宋" w:cs="仿宋"/>
          <w:b/>
          <w:bCs/>
          <w:color w:val="auto"/>
          <w:highlight w:val="none"/>
          <w:lang w:eastAsia="zh-CN"/>
        </w:rPr>
      </w:pPr>
    </w:p>
    <w:p w14:paraId="1A98B274">
      <w:pPr>
        <w:pStyle w:val="33"/>
        <w:rPr>
          <w:rFonts w:ascii="仿宋" w:hAnsi="仿宋" w:eastAsia="仿宋" w:cs="仿宋"/>
          <w:b/>
          <w:bCs/>
          <w:color w:val="auto"/>
          <w:highlight w:val="none"/>
          <w:lang w:eastAsia="zh-CN"/>
        </w:rPr>
      </w:pPr>
    </w:p>
    <w:p w14:paraId="749831FF">
      <w:pPr>
        <w:pStyle w:val="33"/>
        <w:rPr>
          <w:rFonts w:ascii="仿宋" w:hAnsi="仿宋" w:eastAsia="仿宋" w:cs="仿宋"/>
          <w:b/>
          <w:bCs/>
          <w:color w:val="auto"/>
          <w:highlight w:val="none"/>
          <w:lang w:eastAsia="zh-CN"/>
        </w:rPr>
      </w:pPr>
    </w:p>
    <w:p w14:paraId="3AC22670">
      <w:pPr>
        <w:pStyle w:val="33"/>
        <w:rPr>
          <w:rFonts w:ascii="仿宋" w:hAnsi="仿宋" w:eastAsia="仿宋" w:cs="仿宋"/>
          <w:b/>
          <w:bCs/>
          <w:color w:val="auto"/>
          <w:highlight w:val="none"/>
          <w:lang w:eastAsia="zh-CN"/>
        </w:rPr>
      </w:pPr>
    </w:p>
    <w:p w14:paraId="437347BD">
      <w:pPr>
        <w:pStyle w:val="33"/>
        <w:rPr>
          <w:rFonts w:ascii="仿宋" w:hAnsi="仿宋" w:eastAsia="仿宋" w:cs="仿宋"/>
          <w:b/>
          <w:bCs/>
          <w:color w:val="auto"/>
          <w:highlight w:val="none"/>
          <w:lang w:eastAsia="zh-CN"/>
        </w:rPr>
      </w:pPr>
    </w:p>
    <w:p w14:paraId="1047E28B">
      <w:pPr>
        <w:pStyle w:val="33"/>
        <w:rPr>
          <w:rFonts w:ascii="仿宋" w:hAnsi="仿宋" w:eastAsia="仿宋" w:cs="仿宋"/>
          <w:b/>
          <w:bCs/>
          <w:color w:val="auto"/>
          <w:highlight w:val="none"/>
          <w:lang w:eastAsia="zh-CN"/>
        </w:rPr>
      </w:pPr>
    </w:p>
    <w:p w14:paraId="3D15C74C">
      <w:pPr>
        <w:pStyle w:val="33"/>
        <w:rPr>
          <w:rFonts w:ascii="仿宋" w:hAnsi="仿宋" w:eastAsia="仿宋" w:cs="仿宋"/>
          <w:b/>
          <w:bCs/>
          <w:color w:val="auto"/>
          <w:highlight w:val="none"/>
          <w:lang w:eastAsia="zh-CN"/>
        </w:rPr>
      </w:pPr>
    </w:p>
    <w:p w14:paraId="36E4DF03">
      <w:pPr>
        <w:pStyle w:val="33"/>
        <w:rPr>
          <w:rFonts w:ascii="仿宋" w:hAnsi="仿宋" w:eastAsia="仿宋" w:cs="仿宋"/>
          <w:b/>
          <w:bCs/>
          <w:color w:val="auto"/>
          <w:highlight w:val="none"/>
          <w:lang w:eastAsia="zh-CN"/>
        </w:rPr>
      </w:pPr>
    </w:p>
    <w:p w14:paraId="4D6C6F68">
      <w:pPr>
        <w:pStyle w:val="33"/>
        <w:rPr>
          <w:rFonts w:ascii="仿宋" w:hAnsi="仿宋" w:eastAsia="仿宋" w:cs="仿宋"/>
          <w:b/>
          <w:bCs/>
          <w:color w:val="auto"/>
          <w:highlight w:val="none"/>
          <w:lang w:eastAsia="zh-CN"/>
        </w:rPr>
      </w:pPr>
    </w:p>
    <w:p w14:paraId="662A44A8">
      <w:pPr>
        <w:pStyle w:val="33"/>
        <w:rPr>
          <w:rFonts w:ascii="仿宋" w:hAnsi="仿宋" w:eastAsia="仿宋" w:cs="仿宋"/>
          <w:b/>
          <w:bCs/>
          <w:color w:val="auto"/>
          <w:highlight w:val="none"/>
          <w:lang w:eastAsia="zh-CN"/>
        </w:rPr>
      </w:pPr>
    </w:p>
    <w:p w14:paraId="576335E3">
      <w:pPr>
        <w:pStyle w:val="33"/>
        <w:rPr>
          <w:rFonts w:ascii="仿宋" w:hAnsi="仿宋" w:eastAsia="仿宋" w:cs="仿宋"/>
          <w:b/>
          <w:bCs/>
          <w:color w:val="auto"/>
          <w:highlight w:val="none"/>
          <w:lang w:eastAsia="zh-CN"/>
        </w:rPr>
      </w:pPr>
    </w:p>
    <w:p w14:paraId="0A0C4A65">
      <w:pPr>
        <w:pStyle w:val="33"/>
        <w:rPr>
          <w:rFonts w:ascii="仿宋" w:hAnsi="仿宋" w:eastAsia="仿宋" w:cs="仿宋"/>
          <w:b/>
          <w:bCs/>
          <w:color w:val="auto"/>
          <w:highlight w:val="none"/>
          <w:lang w:eastAsia="zh-CN"/>
        </w:rPr>
      </w:pPr>
    </w:p>
    <w:p w14:paraId="1B1FC40C">
      <w:pPr>
        <w:pStyle w:val="33"/>
        <w:rPr>
          <w:rFonts w:ascii="仿宋" w:hAnsi="仿宋" w:eastAsia="仿宋" w:cs="仿宋"/>
          <w:b/>
          <w:bCs/>
          <w:color w:val="auto"/>
          <w:highlight w:val="none"/>
          <w:lang w:eastAsia="zh-CN"/>
        </w:rPr>
      </w:pPr>
    </w:p>
    <w:p w14:paraId="3482E497">
      <w:pPr>
        <w:pStyle w:val="2"/>
        <w:numPr>
          <w:ilvl w:val="1"/>
          <w:numId w:val="0"/>
        </w:numPr>
        <w:spacing w:line="240" w:lineRule="atLeast"/>
        <w:jc w:val="left"/>
        <w:rPr>
          <w:rFonts w:ascii="仿宋" w:hAnsi="仿宋" w:eastAsia="仿宋" w:cs="仿宋"/>
          <w:bCs/>
          <w:color w:val="auto"/>
          <w:sz w:val="24"/>
          <w:highlight w:val="none"/>
          <w:lang w:eastAsia="zh-CN"/>
        </w:rPr>
      </w:pPr>
    </w:p>
    <w:p w14:paraId="09EA7A7E">
      <w:pPr>
        <w:tabs>
          <w:tab w:val="left" w:pos="3600"/>
        </w:tabs>
        <w:adjustRightInd w:val="0"/>
        <w:snapToGrid w:val="0"/>
        <w:spacing w:line="440" w:lineRule="exact"/>
        <w:jc w:val="center"/>
        <w:rPr>
          <w:rFonts w:ascii="仿宋" w:hAnsi="仿宋" w:eastAsia="仿宋" w:cs="仿宋"/>
          <w:color w:val="auto"/>
          <w:sz w:val="36"/>
          <w:szCs w:val="36"/>
          <w:highlight w:val="none"/>
          <w:lang w:eastAsia="zh-CN"/>
        </w:rPr>
      </w:pPr>
      <w:r>
        <w:rPr>
          <w:rFonts w:hint="eastAsia" w:ascii="仿宋" w:hAnsi="仿宋" w:eastAsia="仿宋" w:cs="仿宋"/>
          <w:b/>
          <w:bCs/>
          <w:color w:val="auto"/>
          <w:sz w:val="36"/>
          <w:szCs w:val="36"/>
          <w:highlight w:val="none"/>
          <w:lang w:val="en-US" w:eastAsia="zh-CN"/>
        </w:rPr>
        <w:t>9</w:t>
      </w:r>
      <w:r>
        <w:rPr>
          <w:rFonts w:hint="eastAsia" w:ascii="仿宋" w:hAnsi="仿宋" w:eastAsia="仿宋" w:cs="仿宋"/>
          <w:b/>
          <w:bCs/>
          <w:color w:val="auto"/>
          <w:sz w:val="36"/>
          <w:szCs w:val="36"/>
          <w:highlight w:val="none"/>
          <w:lang w:eastAsia="zh-CN"/>
        </w:rPr>
        <w:t>、评分标准和细则中技术部分证明材料（格式自拟</w:t>
      </w:r>
      <w:r>
        <w:rPr>
          <w:rFonts w:hint="eastAsia" w:ascii="仿宋" w:hAnsi="仿宋" w:eastAsia="仿宋" w:cs="仿宋"/>
          <w:color w:val="auto"/>
          <w:sz w:val="36"/>
          <w:szCs w:val="36"/>
          <w:highlight w:val="none"/>
          <w:lang w:eastAsia="zh-CN"/>
        </w:rPr>
        <w:t>）</w:t>
      </w:r>
    </w:p>
    <w:p w14:paraId="388CD4D7">
      <w:pPr>
        <w:pStyle w:val="2"/>
        <w:numPr>
          <w:ilvl w:val="1"/>
          <w:numId w:val="0"/>
        </w:numPr>
        <w:spacing w:line="240" w:lineRule="atLeast"/>
        <w:ind w:left="629" w:leftChars="257"/>
        <w:rPr>
          <w:rFonts w:ascii="仿宋" w:hAnsi="仿宋" w:eastAsia="仿宋" w:cs="仿宋"/>
          <w:color w:val="auto"/>
          <w:sz w:val="24"/>
          <w:highlight w:val="none"/>
          <w:lang w:eastAsia="zh-CN"/>
        </w:rPr>
      </w:pPr>
    </w:p>
    <w:p w14:paraId="52D494DF">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说明：1.应提供</w:t>
      </w:r>
      <w:r>
        <w:rPr>
          <w:rFonts w:hint="eastAsia" w:ascii="仿宋" w:hAnsi="仿宋" w:eastAsia="仿宋" w:cs="仿宋"/>
          <w:color w:val="auto"/>
          <w:highlight w:val="none"/>
          <w:u w:val="single"/>
          <w:lang w:val="en-US" w:eastAsia="zh-CN"/>
        </w:rPr>
        <w:t>商务</w:t>
      </w:r>
      <w:r>
        <w:rPr>
          <w:rFonts w:hint="eastAsia" w:ascii="仿宋" w:hAnsi="仿宋" w:eastAsia="仿宋" w:cs="仿宋"/>
          <w:color w:val="auto"/>
          <w:highlight w:val="none"/>
          <w:u w:val="single"/>
          <w:lang w:eastAsia="zh-CN"/>
        </w:rPr>
        <w:t>标准和细则中技术部分</w:t>
      </w:r>
      <w:r>
        <w:rPr>
          <w:rFonts w:hint="eastAsia" w:ascii="仿宋" w:hAnsi="仿宋" w:eastAsia="仿宋" w:cs="仿宋"/>
          <w:color w:val="auto"/>
          <w:highlight w:val="none"/>
          <w:lang w:eastAsia="zh-CN"/>
        </w:rPr>
        <w:t>要求的其他资格证明文件（主要包括：技术指标参数</w:t>
      </w:r>
      <w:r>
        <w:rPr>
          <w:rFonts w:hint="eastAsia" w:ascii="仿宋" w:hAnsi="仿宋" w:eastAsia="仿宋" w:cs="仿宋"/>
          <w:color w:val="auto"/>
          <w:highlight w:val="none"/>
          <w:lang w:val="en-US" w:eastAsia="zh-CN"/>
        </w:rPr>
        <w:t>响应情况</w:t>
      </w:r>
      <w:r>
        <w:rPr>
          <w:rFonts w:hint="eastAsia" w:ascii="仿宋" w:hAnsi="仿宋" w:eastAsia="仿宋" w:cs="仿宋"/>
          <w:color w:val="auto"/>
          <w:szCs w:val="21"/>
          <w:highlight w:val="none"/>
          <w:lang w:eastAsia="zh-CN" w:bidi="ar-SA"/>
        </w:rPr>
        <w:t>等</w:t>
      </w:r>
      <w:r>
        <w:rPr>
          <w:rFonts w:hint="eastAsia" w:ascii="仿宋" w:hAnsi="仿宋" w:eastAsia="仿宋" w:cs="仿宋"/>
          <w:color w:val="auto"/>
          <w:highlight w:val="none"/>
          <w:lang w:eastAsia="zh-CN"/>
        </w:rPr>
        <w:t>）。</w:t>
      </w:r>
    </w:p>
    <w:p w14:paraId="29BDF16A">
      <w:pPr>
        <w:pStyle w:val="10"/>
        <w:tabs>
          <w:tab w:val="left" w:pos="5580"/>
        </w:tabs>
        <w:spacing w:line="240" w:lineRule="atLeas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2.复印件上应加盖本单位章（自然人投标的无需盖章，需要签字）。</w:t>
      </w:r>
    </w:p>
    <w:p w14:paraId="2E2C5A38">
      <w:pPr>
        <w:pStyle w:val="4"/>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   </w:t>
      </w:r>
    </w:p>
    <w:p w14:paraId="5C8C6DD4">
      <w:pPr>
        <w:rPr>
          <w:rFonts w:ascii="仿宋" w:hAnsi="仿宋" w:eastAsia="仿宋" w:cs="仿宋"/>
          <w:color w:val="auto"/>
          <w:highlight w:val="none"/>
          <w:lang w:eastAsia="zh-CN"/>
        </w:rPr>
      </w:pPr>
    </w:p>
    <w:p w14:paraId="24F907EF">
      <w:pPr>
        <w:pStyle w:val="2"/>
        <w:numPr>
          <w:ilvl w:val="1"/>
          <w:numId w:val="0"/>
        </w:numPr>
        <w:spacing w:line="240" w:lineRule="atLeast"/>
        <w:ind w:left="629" w:leftChars="257"/>
        <w:rPr>
          <w:rFonts w:ascii="仿宋" w:hAnsi="仿宋" w:eastAsia="仿宋" w:cs="仿宋"/>
          <w:color w:val="auto"/>
          <w:sz w:val="24"/>
          <w:highlight w:val="none"/>
          <w:lang w:eastAsia="zh-CN"/>
        </w:rPr>
      </w:pPr>
    </w:p>
    <w:p w14:paraId="23CEC21E">
      <w:pPr>
        <w:tabs>
          <w:tab w:val="left" w:pos="3600"/>
        </w:tabs>
        <w:adjustRightInd w:val="0"/>
        <w:snapToGrid w:val="0"/>
        <w:spacing w:line="440" w:lineRule="exact"/>
        <w:jc w:val="center"/>
        <w:rPr>
          <w:rFonts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1</w:t>
      </w:r>
      <w:r>
        <w:rPr>
          <w:rFonts w:hint="eastAsia" w:ascii="仿宋" w:hAnsi="仿宋" w:eastAsia="仿宋" w:cs="仿宋"/>
          <w:b/>
          <w:bCs/>
          <w:color w:val="auto"/>
          <w:sz w:val="36"/>
          <w:szCs w:val="36"/>
          <w:highlight w:val="none"/>
          <w:lang w:val="en-US" w:eastAsia="zh-CN"/>
        </w:rPr>
        <w:t>0</w:t>
      </w:r>
      <w:r>
        <w:rPr>
          <w:rFonts w:hint="eastAsia" w:ascii="仿宋" w:hAnsi="仿宋" w:eastAsia="仿宋" w:cs="仿宋"/>
          <w:b/>
          <w:bCs/>
          <w:color w:val="auto"/>
          <w:sz w:val="36"/>
          <w:szCs w:val="36"/>
          <w:highlight w:val="none"/>
          <w:lang w:eastAsia="zh-CN"/>
        </w:rPr>
        <w:t>、评分标准和细则中商务部分证明材料（格式自拟）</w:t>
      </w:r>
    </w:p>
    <w:p w14:paraId="4ED7EF14">
      <w:pPr>
        <w:pStyle w:val="10"/>
        <w:tabs>
          <w:tab w:val="left" w:pos="5580"/>
        </w:tabs>
        <w:spacing w:line="240" w:lineRule="atLeast"/>
        <w:rPr>
          <w:rFonts w:ascii="仿宋" w:hAnsi="仿宋" w:eastAsia="仿宋" w:cs="仿宋"/>
          <w:color w:val="auto"/>
          <w:highlight w:val="none"/>
          <w:lang w:eastAsia="zh-CN"/>
        </w:rPr>
      </w:pPr>
    </w:p>
    <w:p w14:paraId="79F40D19">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说明：1.应提供</w:t>
      </w:r>
      <w:r>
        <w:rPr>
          <w:rFonts w:hint="eastAsia" w:ascii="仿宋" w:hAnsi="仿宋" w:eastAsia="仿宋" w:cs="仿宋"/>
          <w:color w:val="auto"/>
          <w:highlight w:val="none"/>
          <w:u w:val="single"/>
          <w:lang w:eastAsia="zh-CN"/>
        </w:rPr>
        <w:t>评分标准和细则中商务部分</w:t>
      </w:r>
      <w:r>
        <w:rPr>
          <w:rFonts w:hint="eastAsia" w:ascii="仿宋" w:hAnsi="仿宋" w:eastAsia="仿宋" w:cs="仿宋"/>
          <w:color w:val="auto"/>
          <w:highlight w:val="none"/>
          <w:lang w:eastAsia="zh-CN"/>
        </w:rPr>
        <w:t>要求的其他资格证明文件（主要包括：</w:t>
      </w:r>
      <w:r>
        <w:rPr>
          <w:rFonts w:hint="eastAsia" w:ascii="仿宋" w:hAnsi="仿宋" w:eastAsia="仿宋" w:cs="仿宋"/>
          <w:color w:val="auto"/>
          <w:highlight w:val="none"/>
          <w:lang w:val="en-US" w:eastAsia="zh-CN"/>
        </w:rPr>
        <w:t>商务要求响应情况等</w:t>
      </w:r>
      <w:r>
        <w:rPr>
          <w:rFonts w:hint="eastAsia" w:ascii="仿宋" w:hAnsi="仿宋" w:eastAsia="仿宋" w:cs="仿宋"/>
          <w:color w:val="auto"/>
          <w:highlight w:val="none"/>
          <w:lang w:eastAsia="zh-CN"/>
        </w:rPr>
        <w:t>）。</w:t>
      </w:r>
    </w:p>
    <w:p w14:paraId="4CC7ECC8">
      <w:pPr>
        <w:pStyle w:val="10"/>
        <w:tabs>
          <w:tab w:val="left" w:pos="5580"/>
        </w:tabs>
        <w:spacing w:line="240" w:lineRule="atLeast"/>
        <w:ind w:firstLine="735"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2.复印件上应加盖本单位章（自然人投标的无需盖章，需要签字）。</w:t>
      </w:r>
    </w:p>
    <w:p w14:paraId="0AB0319D">
      <w:pPr>
        <w:pStyle w:val="2"/>
        <w:numPr>
          <w:ilvl w:val="1"/>
          <w:numId w:val="0"/>
        </w:numPr>
        <w:spacing w:line="240" w:lineRule="atLeast"/>
        <w:jc w:val="left"/>
        <w:rPr>
          <w:rFonts w:ascii="仿宋" w:hAnsi="仿宋" w:eastAsia="仿宋" w:cs="仿宋"/>
          <w:bCs/>
          <w:color w:val="auto"/>
          <w:sz w:val="24"/>
          <w:highlight w:val="none"/>
          <w:lang w:eastAsia="zh-CN"/>
        </w:rPr>
      </w:pPr>
      <w:r>
        <w:rPr>
          <w:rFonts w:hint="eastAsia" w:ascii="仿宋" w:hAnsi="仿宋" w:eastAsia="仿宋" w:cs="仿宋"/>
          <w:color w:val="auto"/>
          <w:sz w:val="24"/>
          <w:highlight w:val="none"/>
          <w:lang w:eastAsia="zh-CN"/>
        </w:rPr>
        <w:t xml:space="preserve">    </w:t>
      </w:r>
    </w:p>
    <w:p w14:paraId="1AB8507D">
      <w:pPr>
        <w:pStyle w:val="2"/>
        <w:numPr>
          <w:ilvl w:val="1"/>
          <w:numId w:val="0"/>
        </w:numPr>
        <w:spacing w:line="240" w:lineRule="atLeast"/>
        <w:jc w:val="left"/>
        <w:rPr>
          <w:rFonts w:ascii="仿宋" w:hAnsi="仿宋" w:eastAsia="仿宋" w:cs="仿宋"/>
          <w:bCs/>
          <w:color w:val="auto"/>
          <w:sz w:val="24"/>
          <w:highlight w:val="none"/>
          <w:lang w:eastAsia="zh-CN"/>
        </w:rPr>
      </w:pPr>
    </w:p>
    <w:p w14:paraId="1CE6BBC0">
      <w:pPr>
        <w:pStyle w:val="2"/>
        <w:numPr>
          <w:ilvl w:val="1"/>
          <w:numId w:val="0"/>
        </w:numPr>
        <w:spacing w:line="240" w:lineRule="atLeast"/>
        <w:jc w:val="left"/>
        <w:rPr>
          <w:rFonts w:ascii="仿宋" w:hAnsi="仿宋" w:eastAsia="仿宋" w:cs="仿宋"/>
          <w:bCs/>
          <w:color w:val="auto"/>
          <w:sz w:val="24"/>
          <w:highlight w:val="none"/>
          <w:lang w:eastAsia="zh-CN"/>
        </w:rPr>
      </w:pPr>
    </w:p>
    <w:p w14:paraId="2FD6380D">
      <w:pPr>
        <w:rPr>
          <w:rFonts w:ascii="仿宋" w:hAnsi="仿宋" w:eastAsia="仿宋" w:cs="仿宋"/>
          <w:color w:val="auto"/>
          <w:highlight w:val="none"/>
          <w:lang w:eastAsia="zh-CN"/>
        </w:rPr>
      </w:pPr>
    </w:p>
    <w:p w14:paraId="24002F71">
      <w:pPr>
        <w:pStyle w:val="2"/>
        <w:numPr>
          <w:ilvl w:val="1"/>
          <w:numId w:val="0"/>
        </w:numPr>
        <w:spacing w:line="240" w:lineRule="atLeast"/>
        <w:jc w:val="left"/>
        <w:rPr>
          <w:rFonts w:ascii="仿宋" w:hAnsi="仿宋" w:eastAsia="仿宋" w:cs="仿宋"/>
          <w:bCs/>
          <w:color w:val="auto"/>
          <w:sz w:val="24"/>
          <w:highlight w:val="none"/>
          <w:lang w:eastAsia="zh-CN"/>
        </w:rPr>
      </w:pPr>
    </w:p>
    <w:p w14:paraId="03532C65">
      <w:pPr>
        <w:pStyle w:val="2"/>
        <w:numPr>
          <w:ilvl w:val="1"/>
          <w:numId w:val="0"/>
        </w:numPr>
        <w:spacing w:line="240" w:lineRule="atLeast"/>
        <w:jc w:val="left"/>
        <w:rPr>
          <w:rFonts w:ascii="仿宋" w:hAnsi="仿宋" w:eastAsia="仿宋" w:cs="仿宋"/>
          <w:bCs/>
          <w:color w:val="auto"/>
          <w:sz w:val="24"/>
          <w:highlight w:val="none"/>
          <w:lang w:eastAsia="zh-CN"/>
        </w:rPr>
      </w:pPr>
    </w:p>
    <w:p w14:paraId="77F4204B">
      <w:pPr>
        <w:tabs>
          <w:tab w:val="left" w:pos="3600"/>
        </w:tabs>
        <w:adjustRightInd w:val="0"/>
        <w:snapToGrid w:val="0"/>
        <w:spacing w:line="440" w:lineRule="exact"/>
        <w:jc w:val="center"/>
        <w:rPr>
          <w:rFonts w:ascii="仿宋" w:hAnsi="仿宋" w:eastAsia="仿宋" w:cs="仿宋"/>
          <w:b/>
          <w:bCs/>
          <w:color w:val="auto"/>
          <w:w w:val="90"/>
          <w:sz w:val="36"/>
          <w:szCs w:val="36"/>
          <w:highlight w:val="none"/>
          <w:lang w:eastAsia="zh-CN"/>
        </w:rPr>
      </w:pPr>
      <w:r>
        <w:rPr>
          <w:rFonts w:hint="eastAsia" w:ascii="仿宋" w:hAnsi="仿宋" w:eastAsia="仿宋" w:cs="仿宋"/>
          <w:b/>
          <w:bCs/>
          <w:color w:val="auto"/>
          <w:sz w:val="36"/>
          <w:szCs w:val="36"/>
          <w:highlight w:val="none"/>
          <w:lang w:eastAsia="zh-CN"/>
        </w:rPr>
        <w:t>1</w:t>
      </w:r>
      <w:r>
        <w:rPr>
          <w:rFonts w:hint="eastAsia" w:ascii="仿宋" w:hAnsi="仿宋" w:eastAsia="仿宋" w:cs="仿宋"/>
          <w:b/>
          <w:bCs/>
          <w:color w:val="auto"/>
          <w:sz w:val="36"/>
          <w:szCs w:val="36"/>
          <w:highlight w:val="none"/>
          <w:lang w:val="en-US" w:eastAsia="zh-CN"/>
        </w:rPr>
        <w:t>1</w:t>
      </w:r>
      <w:r>
        <w:rPr>
          <w:rFonts w:hint="eastAsia" w:ascii="仿宋" w:hAnsi="仿宋" w:eastAsia="仿宋" w:cs="仿宋"/>
          <w:b/>
          <w:bCs/>
          <w:color w:val="auto"/>
          <w:sz w:val="36"/>
          <w:szCs w:val="36"/>
          <w:highlight w:val="none"/>
          <w:lang w:eastAsia="zh-CN"/>
        </w:rPr>
        <w:t>、</w:t>
      </w:r>
      <w:r>
        <w:rPr>
          <w:rFonts w:hint="eastAsia" w:ascii="仿宋" w:hAnsi="仿宋" w:eastAsia="仿宋" w:cs="仿宋"/>
          <w:b/>
          <w:bCs/>
          <w:color w:val="auto"/>
          <w:w w:val="90"/>
          <w:sz w:val="36"/>
          <w:szCs w:val="36"/>
          <w:highlight w:val="none"/>
          <w:lang w:eastAsia="zh-CN"/>
        </w:rPr>
        <w:t>供应商认为有必要提供的其他证明材料（格式自拟）</w:t>
      </w:r>
    </w:p>
    <w:p w14:paraId="29355DAB">
      <w:pPr>
        <w:pStyle w:val="10"/>
        <w:tabs>
          <w:tab w:val="left" w:pos="5580"/>
        </w:tabs>
        <w:spacing w:line="240" w:lineRule="atLeast"/>
        <w:ind w:firstLine="490" w:firstLineChars="200"/>
        <w:rPr>
          <w:rFonts w:ascii="仿宋" w:hAnsi="仿宋" w:eastAsia="仿宋" w:cs="仿宋"/>
          <w:color w:val="auto"/>
          <w:highlight w:val="none"/>
          <w:lang w:eastAsia="zh-CN"/>
        </w:rPr>
      </w:pPr>
    </w:p>
    <w:p w14:paraId="6C8CD1E5">
      <w:pPr>
        <w:pStyle w:val="10"/>
        <w:tabs>
          <w:tab w:val="left" w:pos="5580"/>
        </w:tabs>
        <w:spacing w:line="240" w:lineRule="atLeast"/>
        <w:ind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说明：复印件上应加盖本单位章（自然人投标的无需盖章，需要签字）。</w:t>
      </w:r>
    </w:p>
    <w:p w14:paraId="0CEDDA04">
      <w:pPr>
        <w:pStyle w:val="11"/>
        <w:ind w:left="2880"/>
        <w:rPr>
          <w:color w:val="auto"/>
          <w:highlight w:val="none"/>
          <w:lang w:eastAsia="zh-CN"/>
        </w:rPr>
      </w:pPr>
    </w:p>
    <w:sectPr>
      <w:headerReference r:id="rId21" w:type="default"/>
      <w:footerReference r:id="rId22" w:type="default"/>
      <w:pgSz w:w="11905" w:h="16838"/>
      <w:pgMar w:top="1440" w:right="1417" w:bottom="1440" w:left="1417" w:header="850" w:footer="992" w:gutter="0"/>
      <w:pgNumType w:fmt="decimal"/>
      <w:cols w:space="0" w:num="1"/>
      <w:rtlGutter w:val="0"/>
      <w:docGrid w:type="linesAndChars" w:linePitch="332" w:charSpace="105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62962E0-16EA-470B-824D-5214981506F8}"/>
  </w:font>
  <w:font w:name="黑体">
    <w:panose1 w:val="02010609060101010101"/>
    <w:charset w:val="86"/>
    <w:family w:val="auto"/>
    <w:pitch w:val="default"/>
    <w:sig w:usb0="800002BF" w:usb1="38CF7CFA" w:usb2="00000016" w:usb3="00000000" w:csb0="00040001" w:csb1="00000000"/>
    <w:embedRegular r:id="rId2" w:fontKey="{ABA498CA-21E6-4752-9141-C16D3D09DD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32D81B61-A77D-4002-9326-D21571047824}"/>
  </w:font>
  <w:font w:name="_x000B__x000C_">
    <w:altName w:val="Courier New"/>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仿宋_GBK">
    <w:panose1 w:val="02000000000000000000"/>
    <w:charset w:val="86"/>
    <w:family w:val="auto"/>
    <w:pitch w:val="default"/>
    <w:sig w:usb0="A00002BF" w:usb1="38CF7CFA" w:usb2="00082016" w:usb3="00000000" w:csb0="00040001" w:csb1="00000000"/>
    <w:embedRegular r:id="rId4" w:fontKey="{9657AC0C-1D69-410A-842B-B43FBE732E7D}"/>
  </w:font>
  <w:font w:name="仿宋">
    <w:panose1 w:val="02010609060101010101"/>
    <w:charset w:val="86"/>
    <w:family w:val="auto"/>
    <w:pitch w:val="default"/>
    <w:sig w:usb0="800002BF" w:usb1="38CF7CFA" w:usb2="00000016" w:usb3="00000000" w:csb0="00040001" w:csb1="00000000"/>
    <w:embedRegular r:id="rId5" w:fontKey="{706E4408-808D-4EB3-9B37-1FBFD1B910AB}"/>
  </w:font>
  <w:font w:name="方正仿宋_GB2312">
    <w:panose1 w:val="02000000000000000000"/>
    <w:charset w:val="86"/>
    <w:family w:val="auto"/>
    <w:pitch w:val="default"/>
    <w:sig w:usb0="A00002BF" w:usb1="184F6CFA" w:usb2="00000012" w:usb3="00000000" w:csb0="00040001" w:csb1="00000000"/>
    <w:embedRegular r:id="rId6" w:fontKey="{9B6B6F94-AF24-4924-9356-F84B650DA3B4}"/>
  </w:font>
  <w:font w:name="楷体">
    <w:panose1 w:val="02010609060101010101"/>
    <w:charset w:val="86"/>
    <w:family w:val="auto"/>
    <w:pitch w:val="default"/>
    <w:sig w:usb0="800002BF" w:usb1="38CF7CFA" w:usb2="00000016" w:usb3="00000000" w:csb0="00040001" w:csb1="00000000"/>
    <w:embedRegular r:id="rId7" w:fontKey="{14BFE1CB-7EF8-4D80-9DBC-14023A20C827}"/>
  </w:font>
  <w:font w:name="微软雅黑">
    <w:panose1 w:val="020B0503020204020204"/>
    <w:charset w:val="86"/>
    <w:family w:val="swiss"/>
    <w:pitch w:val="default"/>
    <w:sig w:usb0="80000287" w:usb1="2ACF3C50" w:usb2="00000016" w:usb3="00000000" w:csb0="0004001F" w:csb1="00000000"/>
    <w:embedRegular r:id="rId8" w:fontKey="{C3080802-2B5D-49DB-942F-582CF274B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98CF9">
    <w:pPr>
      <w:pStyle w:val="14"/>
      <w:ind w:right="360"/>
      <w:jc w:val="both"/>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BD079">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67BD079">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sz w:val="16"/>
        <w:lang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6872739"/>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UHjVccBAACdAwAADgAAAAAAAAABACAAAAAeAQAAZHJzL2Uyb0RvYy54&#10;bWxQSwUGAAAAAAYABgBZAQAAVwUAAAAA&#10;">
              <v:fill on="f" focussize="0,0"/>
              <v:stroke on="f"/>
              <v:imagedata o:title=""/>
              <o:lock v:ext="edit" aspectratio="f"/>
              <v:textbox inset="0mm,0mm,0mm,0mm" style="mso-fit-shape-to-text:t;">
                <w:txbxContent>
                  <w:p w14:paraId="56872739"/>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40779">
    <w:pPr>
      <w:spacing w:before="1" w:line="176" w:lineRule="auto"/>
      <w:ind w:left="7514"/>
      <w:rPr>
        <w:rFonts w:ascii="宋体" w:hAnsi="宋体" w:eastAsia="宋体" w:cs="宋体"/>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2D449">
                          <w:pPr>
                            <w:pStyle w:val="1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AF2D449">
                    <w:pPr>
                      <w:pStyle w:val="1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1E89C">
    <w:pPr>
      <w:spacing w:before="1" w:line="176" w:lineRule="auto"/>
      <w:ind w:left="211"/>
      <w:rPr>
        <w:rFonts w:ascii="宋体" w:hAnsi="宋体" w:eastAsia="宋体" w:cs="宋体"/>
        <w:sz w:val="28"/>
        <w:szCs w:val="28"/>
      </w:rPr>
    </w:pPr>
    <w:r>
      <w:rPr>
        <w:sz w:val="2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196EC">
                          <w:pPr>
                            <w:pStyle w:val="1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17196EC">
                    <w:pPr>
                      <w:pStyle w:val="1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8B4F8">
    <w:pPr>
      <w:spacing w:before="1" w:line="176" w:lineRule="auto"/>
      <w:ind w:left="7514"/>
      <w:rPr>
        <w:rFonts w:ascii="宋体" w:hAnsi="宋体" w:eastAsia="宋体" w:cs="宋体"/>
        <w:sz w:val="28"/>
        <w:szCs w:val="28"/>
      </w:rPr>
    </w:pPr>
    <w:r>
      <w:rPr>
        <w:sz w:val="2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A2B9E">
                          <w:pPr>
                            <w:pStyle w:val="1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A4A2B9E">
                    <w:pPr>
                      <w:pStyle w:val="1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97CB">
    <w:pPr>
      <w:spacing w:before="1" w:line="176" w:lineRule="auto"/>
      <w:ind w:left="210"/>
      <w:rPr>
        <w:rFonts w:ascii="宋体" w:hAnsi="宋体" w:eastAsia="宋体" w:cs="宋体"/>
        <w:sz w:val="28"/>
        <w:szCs w:val="28"/>
      </w:rPr>
    </w:pPr>
    <w:r>
      <w:rPr>
        <w:sz w:val="2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56D95">
                          <w:pPr>
                            <w:pStyle w:val="1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E156D95">
                    <w:pPr>
                      <w:pStyle w:val="1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43592">
    <w:pPr>
      <w:spacing w:before="1" w:line="176" w:lineRule="auto"/>
      <w:ind w:left="7513"/>
      <w:rPr>
        <w:rFonts w:ascii="宋体" w:hAnsi="宋体" w:eastAsia="宋体" w:cs="宋体"/>
        <w:sz w:val="28"/>
        <w:szCs w:val="28"/>
      </w:rPr>
    </w:pPr>
    <w:r>
      <w:rPr>
        <w:sz w:val="2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522F7">
                          <w:pPr>
                            <w:pStyle w:val="1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72522F7">
                    <w:pPr>
                      <w:pStyle w:val="1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295EA">
    <w:pPr>
      <w:spacing w:before="1" w:line="176" w:lineRule="auto"/>
      <w:ind w:left="209"/>
      <w:rPr>
        <w:rFonts w:ascii="宋体" w:hAnsi="宋体" w:eastAsia="宋体" w:cs="宋体"/>
        <w:sz w:val="28"/>
        <w:szCs w:val="28"/>
      </w:rPr>
    </w:pPr>
    <w:r>
      <w:rPr>
        <w:sz w:val="2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BFBF6">
                          <w:pPr>
                            <w:pStyle w:val="1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5ABFBF6">
                    <w:pPr>
                      <w:pStyle w:val="1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6F9DB">
    <w:pPr>
      <w:pStyle w:val="14"/>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EA359">
                          <w:pPr>
                            <w:pStyle w:val="1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19EA359">
                    <w:pPr>
                      <w:pStyle w:val="14"/>
                    </w:pPr>
                    <w:r>
                      <w:fldChar w:fldCharType="begin"/>
                    </w:r>
                    <w:r>
                      <w:instrText xml:space="preserve"> PAGE  \* MERGEFORMAT </w:instrText>
                    </w:r>
                    <w:r>
                      <w:fldChar w:fldCharType="separate"/>
                    </w:r>
                    <w:r>
                      <w:t>64</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C9D28">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E1C9D28">
                    <w:pPr>
                      <w:pStyle w:val="14"/>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D336A">
    <w:pPr>
      <w:pStyle w:val="14"/>
      <w:ind w:right="360"/>
      <w:jc w:val="both"/>
    </w:pPr>
    <w:r>
      <w:rPr>
        <w:sz w:val="1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247A39">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7247A39">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sz w:val="16"/>
        <w:lang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D9EA87F">
                          <w:pPr>
                            <w:pStyle w:val="14"/>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E3McgBAACdAwAADgAAAGRycy9lMm9Eb2MueG1srVPNjtMwEL6vxDtY&#10;vtNkK4G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m5ss3nDlh6cXPP3+cfz2eH74z&#10;ipFAvceK6u48VcbhPQy0NnMcKZh4D22w6UuMGOVJ3tNFXjVEJtOl1XK1KiklKTc7hF88XfcB4wcF&#10;liWj5oHeL8sqjp8wjqVzSerm4FYbk9/QuL8ChDlGVF6C6XZiMk6crDjshoneDpoTsetpEWruaO85&#10;Mx8d6Zx2ZjbCbOwmI3VE/+4QaYw8XUIdoYhVcujVMr9pw9Ja/Onnqqe/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bBNzHIAQAAnQMAAA4AAAAAAAAAAQAgAAAAHgEAAGRycy9lMm9Eb2Mu&#10;eG1sUEsFBgAAAAAGAAYAWQEAAFgFAAAAAA==&#10;">
              <v:fill on="f" focussize="0,0"/>
              <v:stroke on="f"/>
              <v:imagedata o:title=""/>
              <o:lock v:ext="edit" aspectratio="f"/>
              <v:textbox inset="0mm,0mm,0mm,0mm" style="mso-fit-shape-to-text:t;">
                <w:txbxContent>
                  <w:p w14:paraId="4D9EA87F">
                    <w:pPr>
                      <w:pStyle w:val="14"/>
                    </w:pPr>
                  </w:p>
                </w:txbxContent>
              </v:textbox>
            </v:shape>
          </w:pict>
        </mc:Fallback>
      </mc:AlternateContent>
    </w:r>
    <w:r>
      <w:rPr>
        <w:rFonts w:hint="eastAsia"/>
        <w:sz w:val="16"/>
        <w:szCs w:val="16"/>
      </w:rPr>
      <w:t xml:space="preserve"> </w:t>
    </w:r>
    <w:r>
      <w:rPr>
        <w:rFonts w:hint="eastAsia"/>
        <w:color w:val="800000"/>
        <w:sz w:val="16"/>
        <w:szCs w:val="20"/>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A1F5">
    <w:pPr>
      <w:spacing w:before="1" w:line="176" w:lineRule="auto"/>
      <w:ind w:left="7834"/>
      <w:rPr>
        <w:rFonts w:ascii="宋体" w:hAnsi="宋体" w:eastAsia="宋体" w:cs="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C6CE6">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F2C6CE6">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14DB4">
    <w:pPr>
      <w:pStyle w:val="14"/>
      <w:ind w:right="360"/>
      <w:jc w:val="both"/>
    </w:pPr>
    <w:r>
      <w:rPr>
        <w:sz w:val="13"/>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BE574">
                          <w:pPr>
                            <w:pStyle w:val="1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709BE574">
                    <w:pPr>
                      <w:pStyle w:val="14"/>
                    </w:pPr>
                    <w:r>
                      <w:fldChar w:fldCharType="begin"/>
                    </w:r>
                    <w:r>
                      <w:instrText xml:space="preserve"> PAGE  \* MERGEFORMAT </w:instrText>
                    </w:r>
                    <w:r>
                      <w:fldChar w:fldCharType="separate"/>
                    </w:r>
                    <w:r>
                      <w:t>42</w:t>
                    </w:r>
                    <w:r>
                      <w:fldChar w:fldCharType="end"/>
                    </w:r>
                  </w:p>
                </w:txbxContent>
              </v:textbox>
            </v:shape>
          </w:pict>
        </mc:Fallback>
      </mc:AlternateContent>
    </w:r>
    <w:r>
      <w:rPr>
        <w:rFonts w:hint="eastAsia"/>
        <w:sz w:val="13"/>
        <w:szCs w:val="13"/>
      </w:rPr>
      <w:t xml:space="preserve"> </w:t>
    </w:r>
    <w:r>
      <w:rPr>
        <w:rFonts w:hint="eastAsia"/>
      </w:rPr>
      <w:t xml:space="preserve">  </w:t>
    </w:r>
  </w:p>
  <w:p w14:paraId="2E17D309">
    <w:pPr>
      <w:pStyle w:val="14"/>
      <w:tabs>
        <w:tab w:val="center" w:pos="4320"/>
        <w:tab w:val="right" w:pos="8640"/>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1295B">
    <w:pPr>
      <w:spacing w:before="1" w:line="176" w:lineRule="auto"/>
      <w:ind w:left="189"/>
      <w:rPr>
        <w:rFonts w:ascii="宋体" w:hAnsi="宋体" w:eastAsia="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D5333">
                          <w:pPr>
                            <w:pStyle w:val="1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89D5333">
                    <w:pPr>
                      <w:pStyle w:val="1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3C6E8">
    <w:pPr>
      <w:spacing w:before="1" w:line="176" w:lineRule="auto"/>
      <w:ind w:left="7532"/>
      <w:rPr>
        <w:rFonts w:ascii="宋体" w:hAnsi="宋体" w:eastAsia="宋体" w:cs="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F8976">
                          <w:pPr>
                            <w:pStyle w:val="1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E8F8976">
                    <w:pPr>
                      <w:pStyle w:val="1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9A2FE">
    <w:pPr>
      <w:spacing w:before="1" w:line="176" w:lineRule="auto"/>
      <w:ind w:left="210"/>
      <w:rPr>
        <w:rFonts w:ascii="宋体" w:hAnsi="宋体" w:eastAsia="宋体" w:cs="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183BB">
                          <w:pPr>
                            <w:pStyle w:val="1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25183BB">
                    <w:pPr>
                      <w:pStyle w:val="1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57EB7">
    <w:pPr>
      <w:spacing w:line="177" w:lineRule="auto"/>
      <w:ind w:left="7515"/>
      <w:rPr>
        <w:rFonts w:ascii="宋体" w:hAnsi="宋体" w:eastAsia="宋体" w:cs="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1E1AD">
                          <w:pPr>
                            <w:pStyle w:val="1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6C1E1AD">
                    <w:pPr>
                      <w:pStyle w:val="1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C9742">
    <w:pPr>
      <w:spacing w:before="1" w:line="176" w:lineRule="auto"/>
      <w:ind w:left="210"/>
      <w:rPr>
        <w:rFonts w:ascii="宋体" w:hAnsi="宋体" w:eastAsia="宋体" w:cs="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100D7">
                          <w:pPr>
                            <w:pStyle w:val="1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1C100D7">
                    <w:pPr>
                      <w:pStyle w:val="1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E41B0">
    <w:pPr>
      <w:pStyle w:val="15"/>
      <w:pBdr>
        <w:bottom w:val="none" w:color="auto" w:sz="0" w:space="0"/>
      </w:pBdr>
      <w:tabs>
        <w:tab w:val="clear" w:pos="4153"/>
        <w:tab w:val="clear" w:pos="8306"/>
      </w:tabs>
      <w:rPr>
        <w:rFonts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B0F22">
    <w:pPr>
      <w:pStyle w:val="15"/>
      <w:rPr>
        <w:rFonts w:ascii="宋体" w:hAnsi="宋体" w:eastAsia="宋体" w:cs="宋体"/>
        <w:sz w:val="20"/>
        <w:szCs w:val="20"/>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DB8F5">
    <w:pPr>
      <w:pStyle w:val="15"/>
      <w:rPr>
        <w:rFonts w:ascii="宋体" w:hAnsi="宋体" w:eastAsia="宋体" w:cs="宋体"/>
        <w:sz w:val="20"/>
        <w:szCs w:val="20"/>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4FF5">
    <w:pPr>
      <w:pStyle w:val="15"/>
      <w:rPr>
        <w:rFonts w:ascii="宋体" w:hAnsi="宋体" w:eastAsia="宋体" w:cs="宋体"/>
        <w:sz w:val="20"/>
        <w:szCs w:val="2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1DAE7"/>
    <w:multiLevelType w:val="singleLevel"/>
    <w:tmpl w:val="91A1DAE7"/>
    <w:lvl w:ilvl="0" w:tentative="0">
      <w:start w:val="1"/>
      <w:numFmt w:val="chineseCounting"/>
      <w:suff w:val="space"/>
      <w:lvlText w:val="第%1部分"/>
      <w:lvlJc w:val="left"/>
      <w:rPr>
        <w:rFonts w:hint="eastAsia"/>
      </w:rPr>
    </w:lvl>
  </w:abstractNum>
  <w:abstractNum w:abstractNumId="1">
    <w:nsid w:val="CF0DAD01"/>
    <w:multiLevelType w:val="singleLevel"/>
    <w:tmpl w:val="CF0DAD01"/>
    <w:lvl w:ilvl="0" w:tentative="0">
      <w:start w:val="1"/>
      <w:numFmt w:val="decimal"/>
      <w:suff w:val="space"/>
      <w:lvlText w:val="%1."/>
      <w:lvlJc w:val="left"/>
    </w:lvl>
  </w:abstractNum>
  <w:abstractNum w:abstractNumId="2">
    <w:nsid w:val="0000000D"/>
    <w:multiLevelType w:val="multilevel"/>
    <w:tmpl w:val="0000000D"/>
    <w:lvl w:ilvl="0" w:tentative="0">
      <w:start w:val="1"/>
      <w:numFmt w:val="decimal"/>
      <w:pStyle w:val="8"/>
      <w:lvlText w:val="%1."/>
      <w:lvlJc w:val="left"/>
      <w:pPr>
        <w:tabs>
          <w:tab w:val="left" w:pos="780"/>
        </w:tabs>
        <w:ind w:left="790" w:hanging="430"/>
      </w:pPr>
      <w:rPr>
        <w:rFonts w:hint="eastAsia"/>
      </w:rPr>
    </w:lvl>
    <w:lvl w:ilvl="1" w:tentative="0">
      <w:start w:val="1"/>
      <w:numFmt w:val="decimal"/>
      <w:lvlText w:val="%1.%2"/>
      <w:lvlJc w:val="left"/>
      <w:pPr>
        <w:tabs>
          <w:tab w:val="left" w:pos="880"/>
        </w:tabs>
        <w:ind w:left="880" w:hanging="700"/>
      </w:pPr>
      <w:rPr>
        <w:rFonts w:ascii="宋体" w:hAnsi="宋体" w:eastAsia="宋体" w:cs="Times New Roman"/>
        <w:lang w:val="en-US"/>
      </w:rPr>
    </w:lvl>
    <w:lvl w:ilvl="2" w:tentative="0">
      <w:start w:val="1"/>
      <w:numFmt w:val="decimal"/>
      <w:lvlText w:val="%1.%2.%3"/>
      <w:lvlJc w:val="left"/>
      <w:pPr>
        <w:tabs>
          <w:tab w:val="left" w:pos="1360"/>
        </w:tabs>
        <w:ind w:left="1360" w:hanging="1000"/>
      </w:pPr>
      <w:rPr>
        <w:rFonts w:hint="eastAsia"/>
      </w:rPr>
    </w:lvl>
    <w:lvl w:ilvl="3" w:tentative="0">
      <w:start w:val="1"/>
      <w:numFmt w:val="decimal"/>
      <w:lvlText w:val="%1.%2.%3.%4"/>
      <w:lvlJc w:val="left"/>
      <w:pPr>
        <w:tabs>
          <w:tab w:val="left" w:pos="360"/>
        </w:tabs>
        <w:ind w:left="2344" w:hanging="1984"/>
      </w:pPr>
      <w:rPr>
        <w:rFonts w:hint="eastAsia"/>
      </w:rPr>
    </w:lvl>
    <w:lvl w:ilvl="4" w:tentative="0">
      <w:start w:val="1"/>
      <w:numFmt w:val="decimal"/>
      <w:lvlText w:val="%1.%2.%3.%4.%5"/>
      <w:lvlJc w:val="left"/>
      <w:pPr>
        <w:tabs>
          <w:tab w:val="left" w:pos="2911"/>
        </w:tabs>
        <w:ind w:left="2911" w:hanging="850"/>
      </w:pPr>
      <w:rPr>
        <w:rFonts w:hint="eastAsia"/>
      </w:rPr>
    </w:lvl>
    <w:lvl w:ilvl="5" w:tentative="0">
      <w:start w:val="1"/>
      <w:numFmt w:val="decimal"/>
      <w:lvlText w:val="%1.%2.%3.%4.%5.%6"/>
      <w:lvlJc w:val="left"/>
      <w:pPr>
        <w:tabs>
          <w:tab w:val="left" w:pos="3620"/>
        </w:tabs>
        <w:ind w:left="3620" w:hanging="1134"/>
      </w:pPr>
      <w:rPr>
        <w:rFonts w:hint="eastAsia"/>
      </w:rPr>
    </w:lvl>
    <w:lvl w:ilvl="6" w:tentative="0">
      <w:start w:val="1"/>
      <w:numFmt w:val="decimal"/>
      <w:lvlText w:val="%1.%2.%3.%4.%5.%6.%7"/>
      <w:lvlJc w:val="left"/>
      <w:pPr>
        <w:tabs>
          <w:tab w:val="left" w:pos="4187"/>
        </w:tabs>
        <w:ind w:left="4187" w:hanging="1276"/>
      </w:pPr>
      <w:rPr>
        <w:rFonts w:hint="eastAsia"/>
      </w:rPr>
    </w:lvl>
    <w:lvl w:ilvl="7" w:tentative="0">
      <w:start w:val="1"/>
      <w:numFmt w:val="decimal"/>
      <w:lvlText w:val="%1.%2.%3.%4.%5.%6.%7.%8"/>
      <w:lvlJc w:val="left"/>
      <w:pPr>
        <w:tabs>
          <w:tab w:val="left" w:pos="4754"/>
        </w:tabs>
        <w:ind w:left="4754" w:hanging="1418"/>
      </w:pPr>
      <w:rPr>
        <w:rFonts w:hint="eastAsia"/>
      </w:rPr>
    </w:lvl>
    <w:lvl w:ilvl="8" w:tentative="0">
      <w:start w:val="1"/>
      <w:numFmt w:val="decimal"/>
      <w:lvlText w:val="%1.%2.%3.%4.%5.%6.%7.%8.%9"/>
      <w:lvlJc w:val="left"/>
      <w:pPr>
        <w:tabs>
          <w:tab w:val="left" w:pos="5462"/>
        </w:tabs>
        <w:ind w:left="5462" w:hanging="1700"/>
      </w:pPr>
      <w:rPr>
        <w:rFonts w:hint="eastAsia"/>
      </w:rPr>
    </w:lvl>
  </w:abstractNum>
  <w:abstractNum w:abstractNumId="3">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4">
    <w:nsid w:val="21BC14CE"/>
    <w:multiLevelType w:val="singleLevel"/>
    <w:tmpl w:val="21BC14CE"/>
    <w:lvl w:ilvl="0" w:tentative="0">
      <w:start w:val="6"/>
      <w:numFmt w:val="chineseCounting"/>
      <w:suff w:val="nothing"/>
      <w:lvlText w:val="%1、"/>
      <w:lvlJc w:val="left"/>
      <w:rPr>
        <w:rFonts w:hint="eastAsia"/>
      </w:rPr>
    </w:lvl>
  </w:abstractNum>
  <w:abstractNum w:abstractNumId="5">
    <w:nsid w:val="498D00C3"/>
    <w:multiLevelType w:val="singleLevel"/>
    <w:tmpl w:val="498D00C3"/>
    <w:lvl w:ilvl="0" w:tentative="0">
      <w:start w:val="1"/>
      <w:numFmt w:val="decimal"/>
      <w:suff w:val="nothing"/>
      <w:lvlText w:val="%1、"/>
      <w:lvlJc w:val="left"/>
    </w:lvl>
  </w:abstractNum>
  <w:abstractNum w:abstractNumId="6">
    <w:nsid w:val="55CD4C99"/>
    <w:multiLevelType w:val="singleLevel"/>
    <w:tmpl w:val="55CD4C99"/>
    <w:lvl w:ilvl="0" w:tentative="0">
      <w:start w:val="1"/>
      <w:numFmt w:val="chineseCounting"/>
      <w:suff w:val="nothing"/>
      <w:lvlText w:val="%1、"/>
      <w:lvlJc w:val="left"/>
    </w:lvl>
  </w:abstractNum>
  <w:abstractNum w:abstractNumId="7">
    <w:nsid w:val="583C33E9"/>
    <w:multiLevelType w:val="singleLevel"/>
    <w:tmpl w:val="583C33E9"/>
    <w:lvl w:ilvl="0" w:tentative="0">
      <w:start w:val="1"/>
      <w:numFmt w:val="decimal"/>
      <w:suff w:val="nothing"/>
      <w:lvlText w:val="（%1）"/>
      <w:lvlJc w:val="left"/>
    </w:lvl>
  </w:abstractNum>
  <w:abstractNum w:abstractNumId="8">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num w:numId="1">
    <w:abstractNumId w:val="2"/>
  </w:num>
  <w:num w:numId="2">
    <w:abstractNumId w:val="0"/>
  </w:num>
  <w:num w:numId="3">
    <w:abstractNumId w:val="4"/>
  </w:num>
  <w:num w:numId="4">
    <w:abstractNumId w:val="7"/>
  </w:num>
  <w:num w:numId="5">
    <w:abstractNumId w:val="6"/>
  </w:num>
  <w:num w:numId="6">
    <w:abstractNumId w:val="3"/>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23"/>
  <w:drawingGridVerticalSpacing w:val="16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4YzZmYTJhOTU0ZDkxYzIxODhkYTMxNmJkNTZmYmYifQ=="/>
  </w:docVars>
  <w:rsids>
    <w:rsidRoot w:val="430832B2"/>
    <w:rsid w:val="00036274"/>
    <w:rsid w:val="000E7277"/>
    <w:rsid w:val="00153D08"/>
    <w:rsid w:val="001909B2"/>
    <w:rsid w:val="00232484"/>
    <w:rsid w:val="004259D8"/>
    <w:rsid w:val="00461E17"/>
    <w:rsid w:val="00464AB6"/>
    <w:rsid w:val="00471CA4"/>
    <w:rsid w:val="00562077"/>
    <w:rsid w:val="00597163"/>
    <w:rsid w:val="005D4E0B"/>
    <w:rsid w:val="005E0AA6"/>
    <w:rsid w:val="00643BE3"/>
    <w:rsid w:val="006761BB"/>
    <w:rsid w:val="006D00E3"/>
    <w:rsid w:val="0076445C"/>
    <w:rsid w:val="008276FA"/>
    <w:rsid w:val="008849F7"/>
    <w:rsid w:val="008D1783"/>
    <w:rsid w:val="008D4A14"/>
    <w:rsid w:val="009143D6"/>
    <w:rsid w:val="009F4463"/>
    <w:rsid w:val="00A329DF"/>
    <w:rsid w:val="00A75CA8"/>
    <w:rsid w:val="00AA277B"/>
    <w:rsid w:val="00AB0B74"/>
    <w:rsid w:val="00AF420A"/>
    <w:rsid w:val="00BA4013"/>
    <w:rsid w:val="00C26A7F"/>
    <w:rsid w:val="00C377E4"/>
    <w:rsid w:val="00C57AF5"/>
    <w:rsid w:val="00C74FD6"/>
    <w:rsid w:val="00D00791"/>
    <w:rsid w:val="00D00D67"/>
    <w:rsid w:val="00D03DFD"/>
    <w:rsid w:val="00D26D9F"/>
    <w:rsid w:val="00D84377"/>
    <w:rsid w:val="00DE0124"/>
    <w:rsid w:val="00E52F76"/>
    <w:rsid w:val="00E56748"/>
    <w:rsid w:val="00EB29FB"/>
    <w:rsid w:val="00ED05CA"/>
    <w:rsid w:val="00F050C2"/>
    <w:rsid w:val="00F70359"/>
    <w:rsid w:val="00FB6C7A"/>
    <w:rsid w:val="011C441A"/>
    <w:rsid w:val="0123584C"/>
    <w:rsid w:val="014631E4"/>
    <w:rsid w:val="014F6266"/>
    <w:rsid w:val="01527AD7"/>
    <w:rsid w:val="01577813"/>
    <w:rsid w:val="016C709F"/>
    <w:rsid w:val="019F0F2F"/>
    <w:rsid w:val="01BA3FA8"/>
    <w:rsid w:val="01E44B68"/>
    <w:rsid w:val="01EF3980"/>
    <w:rsid w:val="02113BC2"/>
    <w:rsid w:val="021A6F6E"/>
    <w:rsid w:val="02493090"/>
    <w:rsid w:val="02614ACA"/>
    <w:rsid w:val="027D687D"/>
    <w:rsid w:val="0298074F"/>
    <w:rsid w:val="029B6DF8"/>
    <w:rsid w:val="02DE7C7D"/>
    <w:rsid w:val="02E7054D"/>
    <w:rsid w:val="02E96621"/>
    <w:rsid w:val="03120DC1"/>
    <w:rsid w:val="03152839"/>
    <w:rsid w:val="03531E23"/>
    <w:rsid w:val="035508BA"/>
    <w:rsid w:val="03991DF6"/>
    <w:rsid w:val="03D270B5"/>
    <w:rsid w:val="03DF7ECE"/>
    <w:rsid w:val="042A106A"/>
    <w:rsid w:val="04700DA8"/>
    <w:rsid w:val="04770389"/>
    <w:rsid w:val="04A5170B"/>
    <w:rsid w:val="04AE2658"/>
    <w:rsid w:val="04BB3A14"/>
    <w:rsid w:val="04C64537"/>
    <w:rsid w:val="04E11CA6"/>
    <w:rsid w:val="050F221F"/>
    <w:rsid w:val="051E7B81"/>
    <w:rsid w:val="052B11CF"/>
    <w:rsid w:val="058638AE"/>
    <w:rsid w:val="0591547A"/>
    <w:rsid w:val="05B43558"/>
    <w:rsid w:val="05BA5A3D"/>
    <w:rsid w:val="05BD6F2F"/>
    <w:rsid w:val="05CE725F"/>
    <w:rsid w:val="05D26519"/>
    <w:rsid w:val="05E43238"/>
    <w:rsid w:val="06141E47"/>
    <w:rsid w:val="062E44A1"/>
    <w:rsid w:val="06385AA9"/>
    <w:rsid w:val="063B7194"/>
    <w:rsid w:val="066A7A79"/>
    <w:rsid w:val="067376C2"/>
    <w:rsid w:val="068F23C3"/>
    <w:rsid w:val="06A20D46"/>
    <w:rsid w:val="06C96786"/>
    <w:rsid w:val="072C60C0"/>
    <w:rsid w:val="073826E5"/>
    <w:rsid w:val="074F6B51"/>
    <w:rsid w:val="07560E5F"/>
    <w:rsid w:val="076242BA"/>
    <w:rsid w:val="07E21FBD"/>
    <w:rsid w:val="07E54CE8"/>
    <w:rsid w:val="08253C96"/>
    <w:rsid w:val="08323FEC"/>
    <w:rsid w:val="085D5AE7"/>
    <w:rsid w:val="086504F8"/>
    <w:rsid w:val="08892439"/>
    <w:rsid w:val="088C7521"/>
    <w:rsid w:val="08E05248"/>
    <w:rsid w:val="091D420B"/>
    <w:rsid w:val="09231976"/>
    <w:rsid w:val="093F2ABC"/>
    <w:rsid w:val="095073FA"/>
    <w:rsid w:val="098032F7"/>
    <w:rsid w:val="099723FA"/>
    <w:rsid w:val="099B238B"/>
    <w:rsid w:val="09A3752A"/>
    <w:rsid w:val="09B17236"/>
    <w:rsid w:val="09BB7723"/>
    <w:rsid w:val="09E92566"/>
    <w:rsid w:val="0A007485"/>
    <w:rsid w:val="0A226110"/>
    <w:rsid w:val="0A271261"/>
    <w:rsid w:val="0A495E4D"/>
    <w:rsid w:val="0A622E54"/>
    <w:rsid w:val="0A9357F1"/>
    <w:rsid w:val="0A982D0F"/>
    <w:rsid w:val="0AA82B31"/>
    <w:rsid w:val="0AEC1713"/>
    <w:rsid w:val="0AFA33CD"/>
    <w:rsid w:val="0AFE7394"/>
    <w:rsid w:val="0B213EE8"/>
    <w:rsid w:val="0B2428ED"/>
    <w:rsid w:val="0B2F3756"/>
    <w:rsid w:val="0B3D750A"/>
    <w:rsid w:val="0B440899"/>
    <w:rsid w:val="0B472137"/>
    <w:rsid w:val="0B641CFB"/>
    <w:rsid w:val="0B81389B"/>
    <w:rsid w:val="0B941400"/>
    <w:rsid w:val="0B9E39F1"/>
    <w:rsid w:val="0BB54396"/>
    <w:rsid w:val="0BF26C44"/>
    <w:rsid w:val="0C1429D4"/>
    <w:rsid w:val="0C844FE0"/>
    <w:rsid w:val="0CC0289C"/>
    <w:rsid w:val="0CE91D2C"/>
    <w:rsid w:val="0CF364CE"/>
    <w:rsid w:val="0D533015"/>
    <w:rsid w:val="0D625AD8"/>
    <w:rsid w:val="0D9030DE"/>
    <w:rsid w:val="0D9378B6"/>
    <w:rsid w:val="0DC43F13"/>
    <w:rsid w:val="0DCF4D92"/>
    <w:rsid w:val="0DDC300B"/>
    <w:rsid w:val="0DF71E4A"/>
    <w:rsid w:val="0E3E1813"/>
    <w:rsid w:val="0E4E238F"/>
    <w:rsid w:val="0E58693D"/>
    <w:rsid w:val="0E8C1181"/>
    <w:rsid w:val="0EBE2D47"/>
    <w:rsid w:val="0F152C78"/>
    <w:rsid w:val="0F356E0A"/>
    <w:rsid w:val="0F471AD9"/>
    <w:rsid w:val="0F5025E4"/>
    <w:rsid w:val="0F8110A9"/>
    <w:rsid w:val="0FA22205"/>
    <w:rsid w:val="0FDC276E"/>
    <w:rsid w:val="0FFE0D46"/>
    <w:rsid w:val="10015291"/>
    <w:rsid w:val="10685029"/>
    <w:rsid w:val="1084479B"/>
    <w:rsid w:val="108F0808"/>
    <w:rsid w:val="10DF6D44"/>
    <w:rsid w:val="10E30B54"/>
    <w:rsid w:val="10E7628A"/>
    <w:rsid w:val="111821AF"/>
    <w:rsid w:val="11352510"/>
    <w:rsid w:val="114227C7"/>
    <w:rsid w:val="114535BD"/>
    <w:rsid w:val="116457F1"/>
    <w:rsid w:val="116E2B13"/>
    <w:rsid w:val="11790B97"/>
    <w:rsid w:val="11A43746"/>
    <w:rsid w:val="11D566EF"/>
    <w:rsid w:val="11E12A09"/>
    <w:rsid w:val="12326DC2"/>
    <w:rsid w:val="125910CE"/>
    <w:rsid w:val="127D570A"/>
    <w:rsid w:val="12891287"/>
    <w:rsid w:val="1291653A"/>
    <w:rsid w:val="129526FC"/>
    <w:rsid w:val="12E070F9"/>
    <w:rsid w:val="12E23A01"/>
    <w:rsid w:val="13015F66"/>
    <w:rsid w:val="130308CA"/>
    <w:rsid w:val="13086650"/>
    <w:rsid w:val="1312560D"/>
    <w:rsid w:val="1326612C"/>
    <w:rsid w:val="132C218A"/>
    <w:rsid w:val="13651CF4"/>
    <w:rsid w:val="13691C8A"/>
    <w:rsid w:val="13A60FAF"/>
    <w:rsid w:val="13D55805"/>
    <w:rsid w:val="13F84D28"/>
    <w:rsid w:val="1419582D"/>
    <w:rsid w:val="142B46CE"/>
    <w:rsid w:val="14602089"/>
    <w:rsid w:val="14841E5F"/>
    <w:rsid w:val="14953EB8"/>
    <w:rsid w:val="14B46A8F"/>
    <w:rsid w:val="14CD6092"/>
    <w:rsid w:val="14DD6D28"/>
    <w:rsid w:val="15200D24"/>
    <w:rsid w:val="1525173B"/>
    <w:rsid w:val="153C6A85"/>
    <w:rsid w:val="156D1711"/>
    <w:rsid w:val="15715B81"/>
    <w:rsid w:val="159F732A"/>
    <w:rsid w:val="15A00DC2"/>
    <w:rsid w:val="15B8610B"/>
    <w:rsid w:val="15C31338"/>
    <w:rsid w:val="15DE4373"/>
    <w:rsid w:val="15E839EB"/>
    <w:rsid w:val="16010E59"/>
    <w:rsid w:val="16105F47"/>
    <w:rsid w:val="16250E07"/>
    <w:rsid w:val="16490368"/>
    <w:rsid w:val="16533BFB"/>
    <w:rsid w:val="167B61DA"/>
    <w:rsid w:val="1694258C"/>
    <w:rsid w:val="169D2B08"/>
    <w:rsid w:val="16AE5760"/>
    <w:rsid w:val="16C61301"/>
    <w:rsid w:val="16DD57C1"/>
    <w:rsid w:val="16EA2C3C"/>
    <w:rsid w:val="170E4BCF"/>
    <w:rsid w:val="17150407"/>
    <w:rsid w:val="171F0B4E"/>
    <w:rsid w:val="172577D0"/>
    <w:rsid w:val="173C4B1A"/>
    <w:rsid w:val="174A3FF4"/>
    <w:rsid w:val="1756362C"/>
    <w:rsid w:val="177D34DC"/>
    <w:rsid w:val="178317B5"/>
    <w:rsid w:val="178644DD"/>
    <w:rsid w:val="17881C02"/>
    <w:rsid w:val="178E694D"/>
    <w:rsid w:val="17A34B99"/>
    <w:rsid w:val="17E9335B"/>
    <w:rsid w:val="17EB3771"/>
    <w:rsid w:val="17F24A94"/>
    <w:rsid w:val="18890233"/>
    <w:rsid w:val="1890511D"/>
    <w:rsid w:val="18BD5FDF"/>
    <w:rsid w:val="18CC2463"/>
    <w:rsid w:val="18DF7E53"/>
    <w:rsid w:val="18FE29CF"/>
    <w:rsid w:val="1910625E"/>
    <w:rsid w:val="193A152D"/>
    <w:rsid w:val="19445F08"/>
    <w:rsid w:val="19567E2C"/>
    <w:rsid w:val="196D36B1"/>
    <w:rsid w:val="19791440"/>
    <w:rsid w:val="198D3D53"/>
    <w:rsid w:val="19D24BCD"/>
    <w:rsid w:val="19EC2827"/>
    <w:rsid w:val="1A6A7BF0"/>
    <w:rsid w:val="1A6C043C"/>
    <w:rsid w:val="1AA14F3E"/>
    <w:rsid w:val="1ABB2559"/>
    <w:rsid w:val="1ACD57BB"/>
    <w:rsid w:val="1AFF3BAB"/>
    <w:rsid w:val="1B2938B4"/>
    <w:rsid w:val="1B3867B7"/>
    <w:rsid w:val="1B3917D2"/>
    <w:rsid w:val="1B4548E5"/>
    <w:rsid w:val="1B526E30"/>
    <w:rsid w:val="1B5A42F2"/>
    <w:rsid w:val="1B8F4956"/>
    <w:rsid w:val="1B9F4C44"/>
    <w:rsid w:val="1BA46EB4"/>
    <w:rsid w:val="1BE65325"/>
    <w:rsid w:val="1BF54431"/>
    <w:rsid w:val="1C30363D"/>
    <w:rsid w:val="1C770BAC"/>
    <w:rsid w:val="1C8812E8"/>
    <w:rsid w:val="1C8D5583"/>
    <w:rsid w:val="1CAB78D6"/>
    <w:rsid w:val="1CBF4223"/>
    <w:rsid w:val="1CC048D1"/>
    <w:rsid w:val="1CFF3DC8"/>
    <w:rsid w:val="1D28001A"/>
    <w:rsid w:val="1D641DFB"/>
    <w:rsid w:val="1D6F5759"/>
    <w:rsid w:val="1DA74335"/>
    <w:rsid w:val="1DD57824"/>
    <w:rsid w:val="1DDE4B7D"/>
    <w:rsid w:val="1E122A78"/>
    <w:rsid w:val="1E435DE1"/>
    <w:rsid w:val="1E4F61D8"/>
    <w:rsid w:val="1E6813A9"/>
    <w:rsid w:val="1E6D1634"/>
    <w:rsid w:val="1E812ED1"/>
    <w:rsid w:val="1E831280"/>
    <w:rsid w:val="1E8C3AC2"/>
    <w:rsid w:val="1ECE4F82"/>
    <w:rsid w:val="1EE5064C"/>
    <w:rsid w:val="1EFC175F"/>
    <w:rsid w:val="1F0321C6"/>
    <w:rsid w:val="1F0664F1"/>
    <w:rsid w:val="1F0E3240"/>
    <w:rsid w:val="1F106FB8"/>
    <w:rsid w:val="1F253C6E"/>
    <w:rsid w:val="1F5275D0"/>
    <w:rsid w:val="1F5B26D6"/>
    <w:rsid w:val="1F6007D8"/>
    <w:rsid w:val="1F6C3F34"/>
    <w:rsid w:val="1F802FD4"/>
    <w:rsid w:val="1F9C074E"/>
    <w:rsid w:val="1FA922C3"/>
    <w:rsid w:val="1FB748C5"/>
    <w:rsid w:val="1FC3402A"/>
    <w:rsid w:val="1FCE03C0"/>
    <w:rsid w:val="1FE31116"/>
    <w:rsid w:val="202A6722"/>
    <w:rsid w:val="203828DD"/>
    <w:rsid w:val="20497A92"/>
    <w:rsid w:val="205D4216"/>
    <w:rsid w:val="206F5610"/>
    <w:rsid w:val="20746CEC"/>
    <w:rsid w:val="209D4381"/>
    <w:rsid w:val="20A33CCB"/>
    <w:rsid w:val="20BE129F"/>
    <w:rsid w:val="20E00C0C"/>
    <w:rsid w:val="20EE3329"/>
    <w:rsid w:val="211A31D2"/>
    <w:rsid w:val="218454A5"/>
    <w:rsid w:val="21903D8A"/>
    <w:rsid w:val="21F7470F"/>
    <w:rsid w:val="22086693"/>
    <w:rsid w:val="22181233"/>
    <w:rsid w:val="22561186"/>
    <w:rsid w:val="22806203"/>
    <w:rsid w:val="22965E6B"/>
    <w:rsid w:val="22AE28BF"/>
    <w:rsid w:val="22D64075"/>
    <w:rsid w:val="22D700DE"/>
    <w:rsid w:val="22F917C9"/>
    <w:rsid w:val="23226B91"/>
    <w:rsid w:val="23463622"/>
    <w:rsid w:val="235B1AD6"/>
    <w:rsid w:val="235B27CC"/>
    <w:rsid w:val="23866C6B"/>
    <w:rsid w:val="23874BA3"/>
    <w:rsid w:val="238D7E59"/>
    <w:rsid w:val="23A52724"/>
    <w:rsid w:val="23E07E45"/>
    <w:rsid w:val="23F944BF"/>
    <w:rsid w:val="240F7F22"/>
    <w:rsid w:val="24213A15"/>
    <w:rsid w:val="2426737F"/>
    <w:rsid w:val="242C7FB7"/>
    <w:rsid w:val="24420E29"/>
    <w:rsid w:val="24532B5A"/>
    <w:rsid w:val="245B2E54"/>
    <w:rsid w:val="247A599C"/>
    <w:rsid w:val="24862E11"/>
    <w:rsid w:val="24F24E35"/>
    <w:rsid w:val="25002F8D"/>
    <w:rsid w:val="250A091E"/>
    <w:rsid w:val="2524556B"/>
    <w:rsid w:val="25331C52"/>
    <w:rsid w:val="253B4663"/>
    <w:rsid w:val="2548533A"/>
    <w:rsid w:val="25546BA5"/>
    <w:rsid w:val="25550156"/>
    <w:rsid w:val="255F6E8A"/>
    <w:rsid w:val="256D43FD"/>
    <w:rsid w:val="258D4BC1"/>
    <w:rsid w:val="258E522C"/>
    <w:rsid w:val="25FB512C"/>
    <w:rsid w:val="262B2929"/>
    <w:rsid w:val="266B40F4"/>
    <w:rsid w:val="267D2FA7"/>
    <w:rsid w:val="267F67D1"/>
    <w:rsid w:val="268B6833"/>
    <w:rsid w:val="26900A13"/>
    <w:rsid w:val="26A73C77"/>
    <w:rsid w:val="26B733C2"/>
    <w:rsid w:val="26D37563"/>
    <w:rsid w:val="26DC54DA"/>
    <w:rsid w:val="273B6420"/>
    <w:rsid w:val="274B4345"/>
    <w:rsid w:val="2759752E"/>
    <w:rsid w:val="27641FEC"/>
    <w:rsid w:val="27870033"/>
    <w:rsid w:val="280B656E"/>
    <w:rsid w:val="28195D94"/>
    <w:rsid w:val="283D072F"/>
    <w:rsid w:val="283D6877"/>
    <w:rsid w:val="286536CA"/>
    <w:rsid w:val="286B44D3"/>
    <w:rsid w:val="28754330"/>
    <w:rsid w:val="28B5472C"/>
    <w:rsid w:val="290F6532"/>
    <w:rsid w:val="291718D0"/>
    <w:rsid w:val="291C049E"/>
    <w:rsid w:val="291F0973"/>
    <w:rsid w:val="29245DF0"/>
    <w:rsid w:val="29384AB9"/>
    <w:rsid w:val="293A037F"/>
    <w:rsid w:val="293D4896"/>
    <w:rsid w:val="294E1863"/>
    <w:rsid w:val="29556C6B"/>
    <w:rsid w:val="299249BD"/>
    <w:rsid w:val="29DB685D"/>
    <w:rsid w:val="29EC3DAC"/>
    <w:rsid w:val="29F20F87"/>
    <w:rsid w:val="2A015314"/>
    <w:rsid w:val="2A2644A5"/>
    <w:rsid w:val="2A2953D2"/>
    <w:rsid w:val="2A5E151F"/>
    <w:rsid w:val="2A6F2C28"/>
    <w:rsid w:val="2A937A76"/>
    <w:rsid w:val="2AB303AA"/>
    <w:rsid w:val="2ACB6489"/>
    <w:rsid w:val="2ACD0275"/>
    <w:rsid w:val="2ADC5AFD"/>
    <w:rsid w:val="2AE56C24"/>
    <w:rsid w:val="2AF23A16"/>
    <w:rsid w:val="2AF552B4"/>
    <w:rsid w:val="2AF9470D"/>
    <w:rsid w:val="2B22254D"/>
    <w:rsid w:val="2B2A724C"/>
    <w:rsid w:val="2B3330A0"/>
    <w:rsid w:val="2B396545"/>
    <w:rsid w:val="2B482FF6"/>
    <w:rsid w:val="2B4B519A"/>
    <w:rsid w:val="2B762634"/>
    <w:rsid w:val="2B973B3C"/>
    <w:rsid w:val="2B97636B"/>
    <w:rsid w:val="2BC74505"/>
    <w:rsid w:val="2BF043F9"/>
    <w:rsid w:val="2C302A48"/>
    <w:rsid w:val="2C5A5D16"/>
    <w:rsid w:val="2C650DA2"/>
    <w:rsid w:val="2C6A7F5A"/>
    <w:rsid w:val="2CAE3D57"/>
    <w:rsid w:val="2CD70408"/>
    <w:rsid w:val="2CFB5024"/>
    <w:rsid w:val="2D031F0A"/>
    <w:rsid w:val="2D173C07"/>
    <w:rsid w:val="2D1B0C53"/>
    <w:rsid w:val="2D261D28"/>
    <w:rsid w:val="2D380A40"/>
    <w:rsid w:val="2D572256"/>
    <w:rsid w:val="2D7E66F1"/>
    <w:rsid w:val="2D82151D"/>
    <w:rsid w:val="2D95546D"/>
    <w:rsid w:val="2DA570F4"/>
    <w:rsid w:val="2DB43A1E"/>
    <w:rsid w:val="2DB85DC1"/>
    <w:rsid w:val="2DDB2F86"/>
    <w:rsid w:val="2DF1140A"/>
    <w:rsid w:val="2E1B0C2F"/>
    <w:rsid w:val="2E2D19AE"/>
    <w:rsid w:val="2E3662A3"/>
    <w:rsid w:val="2E496547"/>
    <w:rsid w:val="2E4F43FC"/>
    <w:rsid w:val="2E764B34"/>
    <w:rsid w:val="2E835381"/>
    <w:rsid w:val="2EB85F02"/>
    <w:rsid w:val="2EC95AFA"/>
    <w:rsid w:val="2ECB148D"/>
    <w:rsid w:val="2ED0014B"/>
    <w:rsid w:val="2ED161A3"/>
    <w:rsid w:val="2F265E4E"/>
    <w:rsid w:val="2F2820FC"/>
    <w:rsid w:val="2F7B19FE"/>
    <w:rsid w:val="2FA50B1C"/>
    <w:rsid w:val="2FAD33C2"/>
    <w:rsid w:val="2FB86C3C"/>
    <w:rsid w:val="2FC516F9"/>
    <w:rsid w:val="2FD815CC"/>
    <w:rsid w:val="301A16BC"/>
    <w:rsid w:val="301B400C"/>
    <w:rsid w:val="30486A4B"/>
    <w:rsid w:val="309E3029"/>
    <w:rsid w:val="30B013AF"/>
    <w:rsid w:val="310E0297"/>
    <w:rsid w:val="313A1B8F"/>
    <w:rsid w:val="31AA0DEF"/>
    <w:rsid w:val="31AF60BD"/>
    <w:rsid w:val="31C54436"/>
    <w:rsid w:val="31CF685F"/>
    <w:rsid w:val="31DE4CF4"/>
    <w:rsid w:val="32140CAC"/>
    <w:rsid w:val="32387E25"/>
    <w:rsid w:val="325141C6"/>
    <w:rsid w:val="32792DB7"/>
    <w:rsid w:val="32AD108D"/>
    <w:rsid w:val="32B435BE"/>
    <w:rsid w:val="32F67E2E"/>
    <w:rsid w:val="32F819B1"/>
    <w:rsid w:val="335B1D88"/>
    <w:rsid w:val="335C76C1"/>
    <w:rsid w:val="33711F29"/>
    <w:rsid w:val="337B3536"/>
    <w:rsid w:val="33A14E1D"/>
    <w:rsid w:val="3464452F"/>
    <w:rsid w:val="3469771D"/>
    <w:rsid w:val="34755008"/>
    <w:rsid w:val="34976726"/>
    <w:rsid w:val="349A75F8"/>
    <w:rsid w:val="34AC63E7"/>
    <w:rsid w:val="34BB4C2E"/>
    <w:rsid w:val="34F903B8"/>
    <w:rsid w:val="351A6043"/>
    <w:rsid w:val="35414648"/>
    <w:rsid w:val="35427B0F"/>
    <w:rsid w:val="356B5D1D"/>
    <w:rsid w:val="357F49FA"/>
    <w:rsid w:val="3589141A"/>
    <w:rsid w:val="35951B6D"/>
    <w:rsid w:val="36394B26"/>
    <w:rsid w:val="366003CD"/>
    <w:rsid w:val="36A4475E"/>
    <w:rsid w:val="36A56C68"/>
    <w:rsid w:val="36AA5E0A"/>
    <w:rsid w:val="36CA0C5E"/>
    <w:rsid w:val="36D05553"/>
    <w:rsid w:val="36E45212"/>
    <w:rsid w:val="36F91182"/>
    <w:rsid w:val="37066C5A"/>
    <w:rsid w:val="370E607B"/>
    <w:rsid w:val="371C74DF"/>
    <w:rsid w:val="37217B5C"/>
    <w:rsid w:val="372E04CB"/>
    <w:rsid w:val="374E6478"/>
    <w:rsid w:val="37520F41"/>
    <w:rsid w:val="37597C5C"/>
    <w:rsid w:val="3762161D"/>
    <w:rsid w:val="378679C0"/>
    <w:rsid w:val="378F65A8"/>
    <w:rsid w:val="37A05DB8"/>
    <w:rsid w:val="37A12630"/>
    <w:rsid w:val="37AC319E"/>
    <w:rsid w:val="37D44BCF"/>
    <w:rsid w:val="37DE58F5"/>
    <w:rsid w:val="37E405CE"/>
    <w:rsid w:val="38083993"/>
    <w:rsid w:val="384B2A52"/>
    <w:rsid w:val="385B709E"/>
    <w:rsid w:val="386678BC"/>
    <w:rsid w:val="38715716"/>
    <w:rsid w:val="387E0FDF"/>
    <w:rsid w:val="38895400"/>
    <w:rsid w:val="38BD4DB8"/>
    <w:rsid w:val="38C13A06"/>
    <w:rsid w:val="38C56C0D"/>
    <w:rsid w:val="38DE52AC"/>
    <w:rsid w:val="38E3090A"/>
    <w:rsid w:val="38E53BA7"/>
    <w:rsid w:val="390A63CE"/>
    <w:rsid w:val="390C7ED6"/>
    <w:rsid w:val="393042D6"/>
    <w:rsid w:val="396957EB"/>
    <w:rsid w:val="396A1D63"/>
    <w:rsid w:val="396C1D90"/>
    <w:rsid w:val="39825E89"/>
    <w:rsid w:val="39A77BA6"/>
    <w:rsid w:val="39C07B4A"/>
    <w:rsid w:val="3A0473C9"/>
    <w:rsid w:val="3A1273C6"/>
    <w:rsid w:val="3A4F49E1"/>
    <w:rsid w:val="3A5E2E76"/>
    <w:rsid w:val="3A6D6A80"/>
    <w:rsid w:val="3A8A3C6B"/>
    <w:rsid w:val="3ADF67F8"/>
    <w:rsid w:val="3AE06945"/>
    <w:rsid w:val="3AFA401D"/>
    <w:rsid w:val="3AFF2602"/>
    <w:rsid w:val="3B1339F6"/>
    <w:rsid w:val="3B2A146C"/>
    <w:rsid w:val="3B3E1CA2"/>
    <w:rsid w:val="3B701141"/>
    <w:rsid w:val="3B7F7C46"/>
    <w:rsid w:val="3B805D44"/>
    <w:rsid w:val="3B941E1F"/>
    <w:rsid w:val="3B970458"/>
    <w:rsid w:val="3BA119E0"/>
    <w:rsid w:val="3BAB20EB"/>
    <w:rsid w:val="3BB05953"/>
    <w:rsid w:val="3BCC2061"/>
    <w:rsid w:val="3BDE19D1"/>
    <w:rsid w:val="3C5950AB"/>
    <w:rsid w:val="3C664263"/>
    <w:rsid w:val="3C851CFB"/>
    <w:rsid w:val="3C893FAF"/>
    <w:rsid w:val="3C911F9E"/>
    <w:rsid w:val="3C946E63"/>
    <w:rsid w:val="3CA827C1"/>
    <w:rsid w:val="3CAD59EE"/>
    <w:rsid w:val="3CC5567F"/>
    <w:rsid w:val="3CDA4418"/>
    <w:rsid w:val="3D38095E"/>
    <w:rsid w:val="3D643600"/>
    <w:rsid w:val="3D723DD3"/>
    <w:rsid w:val="3D751F42"/>
    <w:rsid w:val="3D801C4E"/>
    <w:rsid w:val="3D820B0E"/>
    <w:rsid w:val="3D992E0C"/>
    <w:rsid w:val="3DA87F4F"/>
    <w:rsid w:val="3DAA59D6"/>
    <w:rsid w:val="3DC2196D"/>
    <w:rsid w:val="3DF71617"/>
    <w:rsid w:val="3DFB02CF"/>
    <w:rsid w:val="3E3300C3"/>
    <w:rsid w:val="3E500D27"/>
    <w:rsid w:val="3E7C7D6E"/>
    <w:rsid w:val="3E80503E"/>
    <w:rsid w:val="3EB70DA6"/>
    <w:rsid w:val="3F385E8A"/>
    <w:rsid w:val="3F6A3151"/>
    <w:rsid w:val="3F874C1D"/>
    <w:rsid w:val="3F973103"/>
    <w:rsid w:val="3F9B2645"/>
    <w:rsid w:val="3FB5571D"/>
    <w:rsid w:val="3FB84DD6"/>
    <w:rsid w:val="3FD64258"/>
    <w:rsid w:val="403F2E01"/>
    <w:rsid w:val="405B3EA5"/>
    <w:rsid w:val="407927B7"/>
    <w:rsid w:val="40814B23"/>
    <w:rsid w:val="408E72C3"/>
    <w:rsid w:val="408E7BCF"/>
    <w:rsid w:val="40AA0BC3"/>
    <w:rsid w:val="40AB15B8"/>
    <w:rsid w:val="40B26236"/>
    <w:rsid w:val="40C14C05"/>
    <w:rsid w:val="40C764D4"/>
    <w:rsid w:val="40D95381"/>
    <w:rsid w:val="41042A54"/>
    <w:rsid w:val="413B181B"/>
    <w:rsid w:val="416359C8"/>
    <w:rsid w:val="41681350"/>
    <w:rsid w:val="416F668A"/>
    <w:rsid w:val="41713E9C"/>
    <w:rsid w:val="419378A9"/>
    <w:rsid w:val="419F6662"/>
    <w:rsid w:val="41A72D03"/>
    <w:rsid w:val="41B63597"/>
    <w:rsid w:val="41BC55E0"/>
    <w:rsid w:val="41BF069E"/>
    <w:rsid w:val="41D248F3"/>
    <w:rsid w:val="41FF6CEC"/>
    <w:rsid w:val="420B7389"/>
    <w:rsid w:val="423563C7"/>
    <w:rsid w:val="42836415"/>
    <w:rsid w:val="428B4394"/>
    <w:rsid w:val="42C57370"/>
    <w:rsid w:val="42C834E5"/>
    <w:rsid w:val="42DD6902"/>
    <w:rsid w:val="42FF450A"/>
    <w:rsid w:val="430832B2"/>
    <w:rsid w:val="43144276"/>
    <w:rsid w:val="43264088"/>
    <w:rsid w:val="43333AFF"/>
    <w:rsid w:val="434966C0"/>
    <w:rsid w:val="43603D96"/>
    <w:rsid w:val="437C4518"/>
    <w:rsid w:val="43900453"/>
    <w:rsid w:val="43A15B81"/>
    <w:rsid w:val="43AA4B1B"/>
    <w:rsid w:val="43AD25D6"/>
    <w:rsid w:val="43B9736F"/>
    <w:rsid w:val="43C42B78"/>
    <w:rsid w:val="43CB7C06"/>
    <w:rsid w:val="43CE514A"/>
    <w:rsid w:val="43D2785E"/>
    <w:rsid w:val="43EB0B8A"/>
    <w:rsid w:val="43F26816"/>
    <w:rsid w:val="441E0010"/>
    <w:rsid w:val="44352E99"/>
    <w:rsid w:val="445769C9"/>
    <w:rsid w:val="44637696"/>
    <w:rsid w:val="44740DA7"/>
    <w:rsid w:val="44881E95"/>
    <w:rsid w:val="44C7578F"/>
    <w:rsid w:val="44D31AB8"/>
    <w:rsid w:val="44D33BE7"/>
    <w:rsid w:val="45111167"/>
    <w:rsid w:val="4517597F"/>
    <w:rsid w:val="45442C68"/>
    <w:rsid w:val="454815E5"/>
    <w:rsid w:val="455D72FE"/>
    <w:rsid w:val="457C2033"/>
    <w:rsid w:val="45CF47E4"/>
    <w:rsid w:val="45F70027"/>
    <w:rsid w:val="46084EB5"/>
    <w:rsid w:val="4609638B"/>
    <w:rsid w:val="466A125B"/>
    <w:rsid w:val="46821C9A"/>
    <w:rsid w:val="46994235"/>
    <w:rsid w:val="46A2549B"/>
    <w:rsid w:val="46A95479"/>
    <w:rsid w:val="46B856BC"/>
    <w:rsid w:val="46F77B89"/>
    <w:rsid w:val="4743767B"/>
    <w:rsid w:val="4757256C"/>
    <w:rsid w:val="478A4765"/>
    <w:rsid w:val="47BD4669"/>
    <w:rsid w:val="47E90CDF"/>
    <w:rsid w:val="47F15329"/>
    <w:rsid w:val="481728B6"/>
    <w:rsid w:val="481D433B"/>
    <w:rsid w:val="482657E1"/>
    <w:rsid w:val="486A0BB4"/>
    <w:rsid w:val="487B3318"/>
    <w:rsid w:val="4883365B"/>
    <w:rsid w:val="48A3643A"/>
    <w:rsid w:val="48B93029"/>
    <w:rsid w:val="48C3022C"/>
    <w:rsid w:val="48DA45E2"/>
    <w:rsid w:val="48DB1915"/>
    <w:rsid w:val="496D1745"/>
    <w:rsid w:val="49726A4B"/>
    <w:rsid w:val="498868D5"/>
    <w:rsid w:val="49895BA7"/>
    <w:rsid w:val="49984EFD"/>
    <w:rsid w:val="49B0569C"/>
    <w:rsid w:val="49C469F4"/>
    <w:rsid w:val="4A076C56"/>
    <w:rsid w:val="4A113A61"/>
    <w:rsid w:val="4A431F7F"/>
    <w:rsid w:val="4A711501"/>
    <w:rsid w:val="4AA659FB"/>
    <w:rsid w:val="4AAF0341"/>
    <w:rsid w:val="4ADB07DF"/>
    <w:rsid w:val="4ADE5F63"/>
    <w:rsid w:val="4AE253FD"/>
    <w:rsid w:val="4B097E96"/>
    <w:rsid w:val="4B105AC6"/>
    <w:rsid w:val="4B140ACE"/>
    <w:rsid w:val="4B1C1308"/>
    <w:rsid w:val="4B54430C"/>
    <w:rsid w:val="4B7B64DF"/>
    <w:rsid w:val="4BA10E14"/>
    <w:rsid w:val="4BB20330"/>
    <w:rsid w:val="4BB73B85"/>
    <w:rsid w:val="4BD411EA"/>
    <w:rsid w:val="4BE24871"/>
    <w:rsid w:val="4BF478AD"/>
    <w:rsid w:val="4C147838"/>
    <w:rsid w:val="4C17384D"/>
    <w:rsid w:val="4C257A37"/>
    <w:rsid w:val="4C4262DB"/>
    <w:rsid w:val="4C552A37"/>
    <w:rsid w:val="4C64712B"/>
    <w:rsid w:val="4C700EF1"/>
    <w:rsid w:val="4C760354"/>
    <w:rsid w:val="4C891B35"/>
    <w:rsid w:val="4CB33459"/>
    <w:rsid w:val="4CD4494E"/>
    <w:rsid w:val="4CE216E4"/>
    <w:rsid w:val="4D20222E"/>
    <w:rsid w:val="4D48432B"/>
    <w:rsid w:val="4D7F6F33"/>
    <w:rsid w:val="4D8712BE"/>
    <w:rsid w:val="4DA62A1D"/>
    <w:rsid w:val="4DDE31B9"/>
    <w:rsid w:val="4DF50B78"/>
    <w:rsid w:val="4E11030D"/>
    <w:rsid w:val="4E6443BB"/>
    <w:rsid w:val="4E6938E7"/>
    <w:rsid w:val="4E6A5759"/>
    <w:rsid w:val="4E6F0D56"/>
    <w:rsid w:val="4E701DC0"/>
    <w:rsid w:val="4E7E543D"/>
    <w:rsid w:val="4E93713A"/>
    <w:rsid w:val="4EA26BC8"/>
    <w:rsid w:val="4EBB21ED"/>
    <w:rsid w:val="4ECA741E"/>
    <w:rsid w:val="4EFE07F8"/>
    <w:rsid w:val="4F006719"/>
    <w:rsid w:val="4F2E489B"/>
    <w:rsid w:val="4F3E3885"/>
    <w:rsid w:val="4F4467E9"/>
    <w:rsid w:val="4F4C72E9"/>
    <w:rsid w:val="4F5166AD"/>
    <w:rsid w:val="4F5D25FD"/>
    <w:rsid w:val="4F643265"/>
    <w:rsid w:val="4F741231"/>
    <w:rsid w:val="4FB41D44"/>
    <w:rsid w:val="4FB93303"/>
    <w:rsid w:val="4FBC32D6"/>
    <w:rsid w:val="4FC03A74"/>
    <w:rsid w:val="4FCE7CFE"/>
    <w:rsid w:val="50101C63"/>
    <w:rsid w:val="50105D76"/>
    <w:rsid w:val="502B5E6D"/>
    <w:rsid w:val="50A576C5"/>
    <w:rsid w:val="50BB3EFC"/>
    <w:rsid w:val="50BF6E81"/>
    <w:rsid w:val="50FF0870"/>
    <w:rsid w:val="51050676"/>
    <w:rsid w:val="511C3DE5"/>
    <w:rsid w:val="51312C3A"/>
    <w:rsid w:val="513D513B"/>
    <w:rsid w:val="513F080C"/>
    <w:rsid w:val="5142015D"/>
    <w:rsid w:val="514452CA"/>
    <w:rsid w:val="518E2B89"/>
    <w:rsid w:val="51A206CC"/>
    <w:rsid w:val="51A86022"/>
    <w:rsid w:val="51FE3FDB"/>
    <w:rsid w:val="5208399B"/>
    <w:rsid w:val="52285DEB"/>
    <w:rsid w:val="52654DCD"/>
    <w:rsid w:val="52741030"/>
    <w:rsid w:val="527E1EAF"/>
    <w:rsid w:val="52A86F2C"/>
    <w:rsid w:val="52AB5579"/>
    <w:rsid w:val="52BA3904"/>
    <w:rsid w:val="52D719EE"/>
    <w:rsid w:val="52DA541F"/>
    <w:rsid w:val="52E23E17"/>
    <w:rsid w:val="5306542C"/>
    <w:rsid w:val="530A15C8"/>
    <w:rsid w:val="533662E6"/>
    <w:rsid w:val="53390376"/>
    <w:rsid w:val="533C1C56"/>
    <w:rsid w:val="534A52A6"/>
    <w:rsid w:val="53796D79"/>
    <w:rsid w:val="53842532"/>
    <w:rsid w:val="53914B2C"/>
    <w:rsid w:val="53DC38BE"/>
    <w:rsid w:val="53F65A75"/>
    <w:rsid w:val="540A24A6"/>
    <w:rsid w:val="541D6439"/>
    <w:rsid w:val="546A09A4"/>
    <w:rsid w:val="549E4143"/>
    <w:rsid w:val="54A77BD0"/>
    <w:rsid w:val="54DE52B7"/>
    <w:rsid w:val="54DF40FA"/>
    <w:rsid w:val="54E87AB4"/>
    <w:rsid w:val="552535BC"/>
    <w:rsid w:val="553813F1"/>
    <w:rsid w:val="557E3F74"/>
    <w:rsid w:val="55821076"/>
    <w:rsid w:val="55A25EB5"/>
    <w:rsid w:val="55AF05D2"/>
    <w:rsid w:val="55EB6513"/>
    <w:rsid w:val="55EB785C"/>
    <w:rsid w:val="55F926AC"/>
    <w:rsid w:val="56020031"/>
    <w:rsid w:val="56156687"/>
    <w:rsid w:val="56292132"/>
    <w:rsid w:val="56493792"/>
    <w:rsid w:val="56562A21"/>
    <w:rsid w:val="56777341"/>
    <w:rsid w:val="56D06A51"/>
    <w:rsid w:val="56D402F0"/>
    <w:rsid w:val="570A3D11"/>
    <w:rsid w:val="572F4B71"/>
    <w:rsid w:val="575329D5"/>
    <w:rsid w:val="57601BE6"/>
    <w:rsid w:val="576959DB"/>
    <w:rsid w:val="57790E97"/>
    <w:rsid w:val="57B12F44"/>
    <w:rsid w:val="57B4461F"/>
    <w:rsid w:val="57B57AC0"/>
    <w:rsid w:val="57C739B1"/>
    <w:rsid w:val="57C74156"/>
    <w:rsid w:val="580746F5"/>
    <w:rsid w:val="5835112D"/>
    <w:rsid w:val="583F5C3D"/>
    <w:rsid w:val="5849381E"/>
    <w:rsid w:val="589A5311"/>
    <w:rsid w:val="589F66DB"/>
    <w:rsid w:val="58C83013"/>
    <w:rsid w:val="590E0796"/>
    <w:rsid w:val="59147ABA"/>
    <w:rsid w:val="5918680C"/>
    <w:rsid w:val="594015B1"/>
    <w:rsid w:val="59554FEC"/>
    <w:rsid w:val="595A0DC1"/>
    <w:rsid w:val="596D4A2C"/>
    <w:rsid w:val="599B0EFC"/>
    <w:rsid w:val="599C2C1B"/>
    <w:rsid w:val="599C7120"/>
    <w:rsid w:val="59BD150F"/>
    <w:rsid w:val="59BD511F"/>
    <w:rsid w:val="59EC3BA2"/>
    <w:rsid w:val="59F2174F"/>
    <w:rsid w:val="5A130C2C"/>
    <w:rsid w:val="5A392A01"/>
    <w:rsid w:val="5A39563D"/>
    <w:rsid w:val="5A44578C"/>
    <w:rsid w:val="5ADF2A17"/>
    <w:rsid w:val="5ADF38F8"/>
    <w:rsid w:val="5AE0581C"/>
    <w:rsid w:val="5AE96334"/>
    <w:rsid w:val="5AF13737"/>
    <w:rsid w:val="5B073D10"/>
    <w:rsid w:val="5B2F3729"/>
    <w:rsid w:val="5B31213F"/>
    <w:rsid w:val="5B5F738D"/>
    <w:rsid w:val="5B735943"/>
    <w:rsid w:val="5B8874CC"/>
    <w:rsid w:val="5B8F6EDB"/>
    <w:rsid w:val="5B9E3940"/>
    <w:rsid w:val="5BA54009"/>
    <w:rsid w:val="5BC11E3D"/>
    <w:rsid w:val="5BC27B41"/>
    <w:rsid w:val="5BE43388"/>
    <w:rsid w:val="5BED3C02"/>
    <w:rsid w:val="5C142F3C"/>
    <w:rsid w:val="5C167E2B"/>
    <w:rsid w:val="5C313040"/>
    <w:rsid w:val="5C643EC4"/>
    <w:rsid w:val="5C857737"/>
    <w:rsid w:val="5CCF1148"/>
    <w:rsid w:val="5CD53D28"/>
    <w:rsid w:val="5CE9389A"/>
    <w:rsid w:val="5CF718B7"/>
    <w:rsid w:val="5D0336DD"/>
    <w:rsid w:val="5D0460DC"/>
    <w:rsid w:val="5D0F3092"/>
    <w:rsid w:val="5D2366CB"/>
    <w:rsid w:val="5D3331A6"/>
    <w:rsid w:val="5D8A153C"/>
    <w:rsid w:val="5D9F2ADA"/>
    <w:rsid w:val="5DDC1EC7"/>
    <w:rsid w:val="5DE1497B"/>
    <w:rsid w:val="5DEE219A"/>
    <w:rsid w:val="5E135BA1"/>
    <w:rsid w:val="5E1D1079"/>
    <w:rsid w:val="5E211941"/>
    <w:rsid w:val="5E6D59C3"/>
    <w:rsid w:val="5E8537C2"/>
    <w:rsid w:val="5E9341CF"/>
    <w:rsid w:val="5E9C0CBE"/>
    <w:rsid w:val="5EA902B4"/>
    <w:rsid w:val="5EDA6373"/>
    <w:rsid w:val="5EF46D8B"/>
    <w:rsid w:val="5EF81E33"/>
    <w:rsid w:val="5F182D44"/>
    <w:rsid w:val="5F1A6ABC"/>
    <w:rsid w:val="5F2666AF"/>
    <w:rsid w:val="5F5A15AE"/>
    <w:rsid w:val="5F8D54E0"/>
    <w:rsid w:val="5F8E57FB"/>
    <w:rsid w:val="5F8F68A5"/>
    <w:rsid w:val="5F9C1BC7"/>
    <w:rsid w:val="5FA16C3A"/>
    <w:rsid w:val="5FC4513D"/>
    <w:rsid w:val="5FFB68ED"/>
    <w:rsid w:val="601F4136"/>
    <w:rsid w:val="6022031E"/>
    <w:rsid w:val="60602BF4"/>
    <w:rsid w:val="60AA69DE"/>
    <w:rsid w:val="60BA6AB1"/>
    <w:rsid w:val="60D5193A"/>
    <w:rsid w:val="60DC7024"/>
    <w:rsid w:val="60E0018A"/>
    <w:rsid w:val="610216C2"/>
    <w:rsid w:val="61183C2B"/>
    <w:rsid w:val="61250DD1"/>
    <w:rsid w:val="614150DB"/>
    <w:rsid w:val="6151078F"/>
    <w:rsid w:val="61695AD8"/>
    <w:rsid w:val="617D1400"/>
    <w:rsid w:val="61903A3C"/>
    <w:rsid w:val="61C24BFD"/>
    <w:rsid w:val="61C3168D"/>
    <w:rsid w:val="61C55405"/>
    <w:rsid w:val="61E3018A"/>
    <w:rsid w:val="620D46B6"/>
    <w:rsid w:val="62145A44"/>
    <w:rsid w:val="623770E9"/>
    <w:rsid w:val="62487DE4"/>
    <w:rsid w:val="626004E0"/>
    <w:rsid w:val="627110E9"/>
    <w:rsid w:val="62F13FD7"/>
    <w:rsid w:val="634A483E"/>
    <w:rsid w:val="63626C83"/>
    <w:rsid w:val="637A3FCD"/>
    <w:rsid w:val="638217A9"/>
    <w:rsid w:val="6386335A"/>
    <w:rsid w:val="63A177AC"/>
    <w:rsid w:val="63A236A6"/>
    <w:rsid w:val="63BB0870"/>
    <w:rsid w:val="63C51B85"/>
    <w:rsid w:val="641C32D6"/>
    <w:rsid w:val="642B45E0"/>
    <w:rsid w:val="64366989"/>
    <w:rsid w:val="64604EAC"/>
    <w:rsid w:val="64740A1C"/>
    <w:rsid w:val="64805FF8"/>
    <w:rsid w:val="64C1262D"/>
    <w:rsid w:val="64C9520C"/>
    <w:rsid w:val="64D7429C"/>
    <w:rsid w:val="650F3891"/>
    <w:rsid w:val="652E63B1"/>
    <w:rsid w:val="65384140"/>
    <w:rsid w:val="653D443F"/>
    <w:rsid w:val="65434447"/>
    <w:rsid w:val="65677A9C"/>
    <w:rsid w:val="656F7113"/>
    <w:rsid w:val="65D200F0"/>
    <w:rsid w:val="65F73581"/>
    <w:rsid w:val="65FA31A3"/>
    <w:rsid w:val="6604604E"/>
    <w:rsid w:val="66457796"/>
    <w:rsid w:val="667E186F"/>
    <w:rsid w:val="66855163"/>
    <w:rsid w:val="66A5387A"/>
    <w:rsid w:val="66AA3C6A"/>
    <w:rsid w:val="66BC5441"/>
    <w:rsid w:val="66C25C39"/>
    <w:rsid w:val="66C2621A"/>
    <w:rsid w:val="66FE060F"/>
    <w:rsid w:val="67327623"/>
    <w:rsid w:val="67450BF8"/>
    <w:rsid w:val="67573E7B"/>
    <w:rsid w:val="6764746E"/>
    <w:rsid w:val="67656B1B"/>
    <w:rsid w:val="679542C8"/>
    <w:rsid w:val="67AE419D"/>
    <w:rsid w:val="67AF209E"/>
    <w:rsid w:val="67B22635"/>
    <w:rsid w:val="67B25503"/>
    <w:rsid w:val="67B60664"/>
    <w:rsid w:val="67BE74C9"/>
    <w:rsid w:val="68227E19"/>
    <w:rsid w:val="683769EB"/>
    <w:rsid w:val="683C6122"/>
    <w:rsid w:val="684F37DE"/>
    <w:rsid w:val="685272C6"/>
    <w:rsid w:val="686D1E60"/>
    <w:rsid w:val="6870620A"/>
    <w:rsid w:val="68745672"/>
    <w:rsid w:val="688A1EA1"/>
    <w:rsid w:val="68957218"/>
    <w:rsid w:val="68AE714D"/>
    <w:rsid w:val="68B2669E"/>
    <w:rsid w:val="68CB6160"/>
    <w:rsid w:val="68D04F89"/>
    <w:rsid w:val="68E22B52"/>
    <w:rsid w:val="68E415E7"/>
    <w:rsid w:val="68EB131E"/>
    <w:rsid w:val="68F3373D"/>
    <w:rsid w:val="690600B1"/>
    <w:rsid w:val="69173045"/>
    <w:rsid w:val="69182A19"/>
    <w:rsid w:val="69277887"/>
    <w:rsid w:val="694D747F"/>
    <w:rsid w:val="69764EE6"/>
    <w:rsid w:val="698C50B9"/>
    <w:rsid w:val="698E1753"/>
    <w:rsid w:val="69B642C0"/>
    <w:rsid w:val="69B95123"/>
    <w:rsid w:val="69D47128"/>
    <w:rsid w:val="69E55F18"/>
    <w:rsid w:val="69F07ED0"/>
    <w:rsid w:val="69FE3890"/>
    <w:rsid w:val="6A0E546F"/>
    <w:rsid w:val="6A10379F"/>
    <w:rsid w:val="6A4F72AA"/>
    <w:rsid w:val="6A636242"/>
    <w:rsid w:val="6A7A0A2B"/>
    <w:rsid w:val="6A7F636D"/>
    <w:rsid w:val="6AB161D5"/>
    <w:rsid w:val="6AC67AF8"/>
    <w:rsid w:val="6ADE7537"/>
    <w:rsid w:val="6AED777A"/>
    <w:rsid w:val="6AF26B3F"/>
    <w:rsid w:val="6B0A0356"/>
    <w:rsid w:val="6B133F99"/>
    <w:rsid w:val="6B171379"/>
    <w:rsid w:val="6B221B0E"/>
    <w:rsid w:val="6B426B13"/>
    <w:rsid w:val="6B9419A4"/>
    <w:rsid w:val="6BC4672D"/>
    <w:rsid w:val="6BDD159D"/>
    <w:rsid w:val="6C122EBF"/>
    <w:rsid w:val="6C163593"/>
    <w:rsid w:val="6C2008E3"/>
    <w:rsid w:val="6C364F34"/>
    <w:rsid w:val="6C3A4520"/>
    <w:rsid w:val="6C6204DD"/>
    <w:rsid w:val="6C6B60B5"/>
    <w:rsid w:val="6C7543E1"/>
    <w:rsid w:val="6C7D42B4"/>
    <w:rsid w:val="6C8A3E98"/>
    <w:rsid w:val="6C963B87"/>
    <w:rsid w:val="6CA96079"/>
    <w:rsid w:val="6CAC1F8A"/>
    <w:rsid w:val="6CAD0F6F"/>
    <w:rsid w:val="6CB05851"/>
    <w:rsid w:val="6CC81EA4"/>
    <w:rsid w:val="6CE17B08"/>
    <w:rsid w:val="6CEB1759"/>
    <w:rsid w:val="6CF42792"/>
    <w:rsid w:val="6D171F4F"/>
    <w:rsid w:val="6D37776E"/>
    <w:rsid w:val="6D69517B"/>
    <w:rsid w:val="6D895E36"/>
    <w:rsid w:val="6D9E3998"/>
    <w:rsid w:val="6DD644F6"/>
    <w:rsid w:val="6E030F65"/>
    <w:rsid w:val="6E1D497B"/>
    <w:rsid w:val="6E9817AB"/>
    <w:rsid w:val="6EC8214A"/>
    <w:rsid w:val="6ECB04B2"/>
    <w:rsid w:val="6EEF2349"/>
    <w:rsid w:val="6F1976C8"/>
    <w:rsid w:val="6F1D055D"/>
    <w:rsid w:val="6F2D6397"/>
    <w:rsid w:val="6F4A0A27"/>
    <w:rsid w:val="6F634051"/>
    <w:rsid w:val="6F7E6BF3"/>
    <w:rsid w:val="6F926779"/>
    <w:rsid w:val="6FCA2D0A"/>
    <w:rsid w:val="6FFC5967"/>
    <w:rsid w:val="70021CEB"/>
    <w:rsid w:val="700E61C9"/>
    <w:rsid w:val="703412AA"/>
    <w:rsid w:val="704838FD"/>
    <w:rsid w:val="7066454C"/>
    <w:rsid w:val="707F6878"/>
    <w:rsid w:val="709119F6"/>
    <w:rsid w:val="70AF7F0C"/>
    <w:rsid w:val="70BC644D"/>
    <w:rsid w:val="70D16063"/>
    <w:rsid w:val="70F562D7"/>
    <w:rsid w:val="713D64DC"/>
    <w:rsid w:val="714A1292"/>
    <w:rsid w:val="71722787"/>
    <w:rsid w:val="718720E0"/>
    <w:rsid w:val="71941D4C"/>
    <w:rsid w:val="71EA6A44"/>
    <w:rsid w:val="71F7318A"/>
    <w:rsid w:val="720634E7"/>
    <w:rsid w:val="72094B9E"/>
    <w:rsid w:val="721A3870"/>
    <w:rsid w:val="722B3B02"/>
    <w:rsid w:val="724A31D9"/>
    <w:rsid w:val="724F3AC4"/>
    <w:rsid w:val="72567E7E"/>
    <w:rsid w:val="726349EC"/>
    <w:rsid w:val="726A37A2"/>
    <w:rsid w:val="72873F22"/>
    <w:rsid w:val="728E35F1"/>
    <w:rsid w:val="729055BB"/>
    <w:rsid w:val="72DB435C"/>
    <w:rsid w:val="731750C1"/>
    <w:rsid w:val="737C6513"/>
    <w:rsid w:val="739641CD"/>
    <w:rsid w:val="73CC79FC"/>
    <w:rsid w:val="73F76C73"/>
    <w:rsid w:val="740C0054"/>
    <w:rsid w:val="74456830"/>
    <w:rsid w:val="746135D3"/>
    <w:rsid w:val="74825670"/>
    <w:rsid w:val="7493410F"/>
    <w:rsid w:val="74C104FD"/>
    <w:rsid w:val="74CC297A"/>
    <w:rsid w:val="74E0380A"/>
    <w:rsid w:val="753541F8"/>
    <w:rsid w:val="7544268D"/>
    <w:rsid w:val="755B467D"/>
    <w:rsid w:val="75781DD0"/>
    <w:rsid w:val="757C3A15"/>
    <w:rsid w:val="75824D9D"/>
    <w:rsid w:val="75866D49"/>
    <w:rsid w:val="75AB1C93"/>
    <w:rsid w:val="75B25848"/>
    <w:rsid w:val="75B258B6"/>
    <w:rsid w:val="75F47C0F"/>
    <w:rsid w:val="761B163F"/>
    <w:rsid w:val="761F3505"/>
    <w:rsid w:val="76486327"/>
    <w:rsid w:val="76695DFA"/>
    <w:rsid w:val="767303DF"/>
    <w:rsid w:val="76766876"/>
    <w:rsid w:val="76810114"/>
    <w:rsid w:val="76C23869"/>
    <w:rsid w:val="76E41762"/>
    <w:rsid w:val="76E46ECE"/>
    <w:rsid w:val="7717316E"/>
    <w:rsid w:val="77603777"/>
    <w:rsid w:val="77786406"/>
    <w:rsid w:val="777C610E"/>
    <w:rsid w:val="77901BB9"/>
    <w:rsid w:val="77925931"/>
    <w:rsid w:val="779B3C6B"/>
    <w:rsid w:val="77AB5706"/>
    <w:rsid w:val="77BD3D54"/>
    <w:rsid w:val="77C7479C"/>
    <w:rsid w:val="786D6438"/>
    <w:rsid w:val="787B3EF7"/>
    <w:rsid w:val="787D26D8"/>
    <w:rsid w:val="788E3223"/>
    <w:rsid w:val="789569D7"/>
    <w:rsid w:val="78994A9D"/>
    <w:rsid w:val="78E06AB0"/>
    <w:rsid w:val="79096869"/>
    <w:rsid w:val="791B54B2"/>
    <w:rsid w:val="792E168A"/>
    <w:rsid w:val="798E0318"/>
    <w:rsid w:val="79AF62F8"/>
    <w:rsid w:val="7A0D2DBC"/>
    <w:rsid w:val="7A1F0FD2"/>
    <w:rsid w:val="7A326EC1"/>
    <w:rsid w:val="7A721678"/>
    <w:rsid w:val="7A752F65"/>
    <w:rsid w:val="7AA3205E"/>
    <w:rsid w:val="7AA8721A"/>
    <w:rsid w:val="7AC415A1"/>
    <w:rsid w:val="7AD93877"/>
    <w:rsid w:val="7ADB3C24"/>
    <w:rsid w:val="7AEA7832"/>
    <w:rsid w:val="7B192E57"/>
    <w:rsid w:val="7B2F7570"/>
    <w:rsid w:val="7B4C229B"/>
    <w:rsid w:val="7B7D62B0"/>
    <w:rsid w:val="7BF30969"/>
    <w:rsid w:val="7BF53DED"/>
    <w:rsid w:val="7BFA6408"/>
    <w:rsid w:val="7BFC0690"/>
    <w:rsid w:val="7C042B76"/>
    <w:rsid w:val="7C10112E"/>
    <w:rsid w:val="7C1D50F5"/>
    <w:rsid w:val="7C251DE6"/>
    <w:rsid w:val="7C4756F7"/>
    <w:rsid w:val="7C6070F8"/>
    <w:rsid w:val="7C6106D5"/>
    <w:rsid w:val="7C6151AF"/>
    <w:rsid w:val="7C867CD4"/>
    <w:rsid w:val="7CBD556F"/>
    <w:rsid w:val="7CC540BD"/>
    <w:rsid w:val="7CE7227B"/>
    <w:rsid w:val="7CF806FC"/>
    <w:rsid w:val="7D1E37C3"/>
    <w:rsid w:val="7D3B0F76"/>
    <w:rsid w:val="7D3B2C58"/>
    <w:rsid w:val="7D423759"/>
    <w:rsid w:val="7D5E4872"/>
    <w:rsid w:val="7D695F1A"/>
    <w:rsid w:val="7D712C70"/>
    <w:rsid w:val="7D816BD7"/>
    <w:rsid w:val="7D925508"/>
    <w:rsid w:val="7DD956AA"/>
    <w:rsid w:val="7E214310"/>
    <w:rsid w:val="7E224C88"/>
    <w:rsid w:val="7E2D5B39"/>
    <w:rsid w:val="7E42351F"/>
    <w:rsid w:val="7E7E6C0F"/>
    <w:rsid w:val="7ED160D1"/>
    <w:rsid w:val="7EDB5E10"/>
    <w:rsid w:val="7EEE3521"/>
    <w:rsid w:val="7F1A34C9"/>
    <w:rsid w:val="7F2B4D67"/>
    <w:rsid w:val="7F9F5AC1"/>
    <w:rsid w:val="7FE5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3">
    <w:name w:val="heading 1"/>
    <w:basedOn w:val="1"/>
    <w:next w:val="1"/>
    <w:qFormat/>
    <w:uiPriority w:val="0"/>
    <w:pPr>
      <w:keepNext/>
      <w:keepLines/>
      <w:spacing w:line="360" w:lineRule="auto"/>
      <w:jc w:val="center"/>
      <w:outlineLvl w:val="0"/>
    </w:pPr>
    <w:rPr>
      <w:b/>
      <w:bCs/>
      <w:kern w:val="44"/>
      <w:sz w:val="44"/>
      <w:szCs w:val="44"/>
    </w:rPr>
  </w:style>
  <w:style w:type="paragraph" w:styleId="2">
    <w:name w:val="heading 2"/>
    <w:basedOn w:val="1"/>
    <w:next w:val="1"/>
    <w:qFormat/>
    <w:uiPriority w:val="0"/>
    <w:pPr>
      <w:tabs>
        <w:tab w:val="left" w:pos="540"/>
      </w:tabs>
      <w:adjustRightInd w:val="0"/>
      <w:snapToGrid w:val="0"/>
      <w:spacing w:line="360" w:lineRule="auto"/>
      <w:jc w:val="center"/>
      <w:outlineLvl w:val="1"/>
    </w:pPr>
    <w:rPr>
      <w:rFonts w:ascii="Arial" w:hAnsi="Arial"/>
      <w:b/>
      <w:sz w:val="28"/>
      <w:szCs w:val="20"/>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autoSpaceDE w:val="0"/>
      <w:autoSpaceDN w:val="0"/>
      <w:adjustRightInd w:val="0"/>
      <w:ind w:firstLine="420"/>
    </w:pPr>
    <w:rPr>
      <w:rFonts w:ascii="宋体"/>
      <w:szCs w:val="20"/>
    </w:rPr>
  </w:style>
  <w:style w:type="paragraph" w:styleId="6">
    <w:name w:val="toa heading"/>
    <w:basedOn w:val="1"/>
    <w:next w:val="1"/>
    <w:qFormat/>
    <w:uiPriority w:val="0"/>
    <w:pPr>
      <w:spacing w:before="120"/>
    </w:pPr>
    <w:rPr>
      <w:rFonts w:ascii="Cambria" w:hAnsi="Cambria"/>
      <w:szCs w:val="20"/>
    </w:rPr>
  </w:style>
  <w:style w:type="paragraph" w:styleId="7">
    <w:name w:val="index 6"/>
    <w:basedOn w:val="1"/>
    <w:next w:val="1"/>
    <w:qFormat/>
    <w:uiPriority w:val="0"/>
    <w:pPr>
      <w:spacing w:line="240" w:lineRule="auto"/>
      <w:ind w:left="1000" w:leftChars="1000" w:firstLine="0" w:firstLineChars="0"/>
      <w:jc w:val="both"/>
    </w:pPr>
    <w:rPr>
      <w:rFonts w:ascii="Times New Roman" w:hAnsi="Times New Roman" w:cs="Times New Roman"/>
      <w:kern w:val="2"/>
    </w:rPr>
  </w:style>
  <w:style w:type="paragraph" w:styleId="8">
    <w:name w:val="Body Text"/>
    <w:basedOn w:val="1"/>
    <w:next w:val="1"/>
    <w:qFormat/>
    <w:uiPriority w:val="99"/>
    <w:pPr>
      <w:numPr>
        <w:ilvl w:val="0"/>
        <w:numId w:val="1"/>
      </w:numPr>
      <w:tabs>
        <w:tab w:val="clear" w:pos="780"/>
      </w:tabs>
      <w:ind w:left="0" w:firstLine="0"/>
    </w:pPr>
    <w:rPr>
      <w:rFonts w:ascii="黑体" w:eastAsia="黑体"/>
      <w:sz w:val="22"/>
    </w:rPr>
  </w:style>
  <w:style w:type="paragraph" w:styleId="9">
    <w:name w:val="Body Text Indent"/>
    <w:basedOn w:val="1"/>
    <w:next w:val="1"/>
    <w:qFormat/>
    <w:uiPriority w:val="0"/>
    <w:pPr>
      <w:spacing w:after="120"/>
      <w:ind w:left="200" w:leftChars="200"/>
    </w:pPr>
  </w:style>
  <w:style w:type="paragraph" w:styleId="10">
    <w:name w:val="Plain Text"/>
    <w:basedOn w:val="1"/>
    <w:next w:val="11"/>
    <w:qFormat/>
    <w:uiPriority w:val="0"/>
    <w:rPr>
      <w:rFonts w:ascii="宋体"/>
      <w:szCs w:val="20"/>
      <w:u w:color="000000"/>
    </w:rPr>
  </w:style>
  <w:style w:type="paragraph" w:styleId="11">
    <w:name w:val="index 7"/>
    <w:basedOn w:val="1"/>
    <w:next w:val="1"/>
    <w:qFormat/>
    <w:uiPriority w:val="0"/>
    <w:pPr>
      <w:ind w:left="1200" w:leftChars="1200"/>
    </w:pPr>
    <w:rPr>
      <w:color w:val="auto"/>
      <w:kern w:val="2"/>
    </w:rPr>
  </w:style>
  <w:style w:type="paragraph" w:styleId="12">
    <w:name w:val="Date"/>
    <w:basedOn w:val="1"/>
    <w:next w:val="1"/>
    <w:qFormat/>
    <w:uiPriority w:val="0"/>
    <w:rPr>
      <w:rFonts w:ascii="Arial" w:hAnsi="Arial" w:eastAsia="仿宋_GB2312"/>
      <w:sz w:val="32"/>
      <w:szCs w:val="20"/>
      <w:u w:color="000000"/>
    </w:rPr>
  </w:style>
  <w:style w:type="paragraph" w:styleId="13">
    <w:name w:val="Balloon Text"/>
    <w:basedOn w:val="1"/>
    <w:qFormat/>
    <w:uiPriority w:val="0"/>
    <w:rPr>
      <w:sz w:val="18"/>
      <w:szCs w:val="1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0"/>
    <w:pPr>
      <w:widowControl/>
      <w:spacing w:after="100" w:line="276" w:lineRule="auto"/>
      <w:jc w:val="left"/>
    </w:pPr>
    <w:rPr>
      <w:kern w:val="0"/>
      <w:sz w:val="22"/>
    </w:rPr>
  </w:style>
  <w:style w:type="paragraph" w:styleId="17">
    <w:name w:val="footnote text"/>
    <w:basedOn w:val="1"/>
    <w:semiHidden/>
    <w:unhideWhenUsed/>
    <w:qFormat/>
    <w:uiPriority w:val="99"/>
    <w:pPr>
      <w:snapToGrid w:val="0"/>
    </w:pPr>
    <w:rPr>
      <w:sz w:val="18"/>
      <w:szCs w:val="18"/>
    </w:rPr>
  </w:style>
  <w:style w:type="paragraph" w:styleId="18">
    <w:name w:val="Body Text 2"/>
    <w:basedOn w:val="1"/>
    <w:qFormat/>
    <w:uiPriority w:val="0"/>
    <w:pPr>
      <w:tabs>
        <w:tab w:val="left" w:pos="0"/>
      </w:tabs>
      <w:spacing w:line="400" w:lineRule="atLeast"/>
    </w:pPr>
    <w:rPr>
      <w:rFonts w:ascii="Arial" w:hAnsi="Arial"/>
    </w:rPr>
  </w:style>
  <w:style w:type="paragraph" w:styleId="19">
    <w:name w:val="Normal (Web)"/>
    <w:basedOn w:val="1"/>
    <w:qFormat/>
    <w:uiPriority w:val="99"/>
    <w:pPr>
      <w:widowControl/>
    </w:pPr>
    <w:rPr>
      <w:rFonts w:ascii="宋体" w:hAnsi="宋体" w:eastAsia="宋体" w:cs="宋体"/>
    </w:rPr>
  </w:style>
  <w:style w:type="paragraph" w:styleId="20">
    <w:name w:val="Title"/>
    <w:basedOn w:val="1"/>
    <w:next w:val="1"/>
    <w:qFormat/>
    <w:uiPriority w:val="0"/>
    <w:pPr>
      <w:spacing w:before="240" w:after="60"/>
      <w:jc w:val="center"/>
      <w:outlineLvl w:val="0"/>
    </w:pPr>
    <w:rPr>
      <w:rFonts w:ascii="Cambria" w:hAnsi="Cambria"/>
      <w:b/>
      <w:bCs/>
      <w:sz w:val="32"/>
      <w:szCs w:val="32"/>
    </w:rPr>
  </w:style>
  <w:style w:type="paragraph" w:styleId="21">
    <w:name w:val="Body Text First Indent"/>
    <w:basedOn w:val="8"/>
    <w:next w:val="7"/>
    <w:qFormat/>
    <w:uiPriority w:val="0"/>
    <w:pPr>
      <w:tabs>
        <w:tab w:val="left" w:pos="780"/>
      </w:tabs>
      <w:spacing w:after="220" w:afterLines="0" w:line="220" w:lineRule="atLeast"/>
      <w:ind w:firstLine="420"/>
    </w:pPr>
    <w:rPr>
      <w:rFonts w:ascii="Times New Roman" w:hAnsi="Times New Roman" w:eastAsia="宋体" w:cs="Times New Roman"/>
      <w:sz w:val="21"/>
      <w:szCs w:val="20"/>
    </w:rPr>
  </w:style>
  <w:style w:type="paragraph" w:styleId="22">
    <w:name w:val="Body Text First Indent 2"/>
    <w:basedOn w:val="9"/>
    <w:next w:val="1"/>
    <w:qFormat/>
    <w:uiPriority w:val="0"/>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bCs/>
    </w:rPr>
  </w:style>
  <w:style w:type="character" w:styleId="27">
    <w:name w:val="Hyperlink"/>
    <w:qFormat/>
    <w:uiPriority w:val="99"/>
    <w:rPr>
      <w:color w:val="0000FF"/>
      <w:u w:val="single"/>
    </w:rPr>
  </w:style>
  <w:style w:type="character" w:styleId="28">
    <w:name w:val="footnote reference"/>
    <w:basedOn w:val="25"/>
    <w:semiHidden/>
    <w:unhideWhenUsed/>
    <w:qFormat/>
    <w:uiPriority w:val="99"/>
    <w:rPr>
      <w:vertAlign w:val="superscript"/>
    </w:rPr>
  </w:style>
  <w:style w:type="paragraph" w:customStyle="1" w:styleId="29">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大标题"/>
    <w:basedOn w:val="1"/>
    <w:next w:val="22"/>
    <w:qFormat/>
    <w:uiPriority w:val="0"/>
    <w:pPr>
      <w:jc w:val="center"/>
    </w:pPr>
    <w:rPr>
      <w:rFonts w:ascii="Arial" w:hAnsi="Arial" w:eastAsia="宋体" w:cs="Times New Roman"/>
      <w:b/>
      <w:sz w:val="28"/>
      <w:szCs w:val="24"/>
    </w:rPr>
  </w:style>
  <w:style w:type="paragraph" w:customStyle="1" w:styleId="31">
    <w:name w:val="样式 样式 左侧:  2 字符 + 左侧:  0.85 厘米 首行缩进:  2 字符1"/>
    <w:basedOn w:val="1"/>
    <w:qFormat/>
    <w:uiPriority w:val="0"/>
    <w:pPr>
      <w:ind w:left="482" w:firstLine="200" w:firstLineChars="200"/>
    </w:pPr>
    <w:rPr>
      <w:rFonts w:cs="宋体"/>
      <w:szCs w:val="20"/>
    </w:rPr>
  </w:style>
  <w:style w:type="paragraph" w:customStyle="1" w:styleId="32">
    <w:name w:val="样式 首行缩进:  2 字符"/>
    <w:basedOn w:val="1"/>
    <w:qFormat/>
    <w:uiPriority w:val="0"/>
    <w:pPr>
      <w:spacing w:line="360" w:lineRule="auto"/>
      <w:ind w:firstLine="480" w:firstLineChars="200"/>
    </w:pPr>
    <w:rPr>
      <w:rFonts w:ascii="宋体" w:hAnsi="宋体" w:cs="宋体"/>
      <w:szCs w:val="20"/>
    </w:rPr>
  </w:style>
  <w:style w:type="paragraph" w:customStyle="1" w:styleId="33">
    <w:name w:val="正文格式"/>
    <w:basedOn w:val="1"/>
    <w:qFormat/>
    <w:uiPriority w:val="99"/>
    <w:pPr>
      <w:widowControl/>
      <w:adjustRightInd w:val="0"/>
      <w:snapToGrid w:val="0"/>
      <w:spacing w:line="400" w:lineRule="atLeast"/>
      <w:ind w:firstLine="482"/>
      <w:textAlignment w:val="baseline"/>
    </w:pPr>
  </w:style>
  <w:style w:type="paragraph" w:customStyle="1" w:styleId="34">
    <w:name w:val="文档正文"/>
    <w:basedOn w:val="5"/>
    <w:qFormat/>
    <w:uiPriority w:val="0"/>
    <w:pPr>
      <w:spacing w:line="360" w:lineRule="auto"/>
    </w:pPr>
    <w:rPr>
      <w:rFonts w:hAnsi="宋体"/>
      <w:b/>
      <w:bCs/>
    </w:rPr>
  </w:style>
  <w:style w:type="paragraph" w:customStyle="1" w:styleId="35">
    <w:name w:val="_Style 2"/>
    <w:basedOn w:val="3"/>
    <w:next w:val="1"/>
    <w:qFormat/>
    <w:uiPriority w:val="39"/>
    <w:pPr>
      <w:widowControl/>
      <w:tabs>
        <w:tab w:val="left" w:pos="715"/>
      </w:tabs>
      <w:spacing w:before="480" w:line="276" w:lineRule="auto"/>
      <w:jc w:val="left"/>
      <w:outlineLvl w:val="9"/>
    </w:pPr>
    <w:rPr>
      <w:rFonts w:ascii="Cambria" w:hAnsi="Cambria" w:eastAsia="宋体"/>
      <w:color w:val="365F91"/>
      <w:kern w:val="0"/>
      <w:sz w:val="28"/>
      <w:szCs w:val="28"/>
    </w:rPr>
  </w:style>
  <w:style w:type="paragraph" w:customStyle="1" w:styleId="36">
    <w:name w:val="Heading #2|1"/>
    <w:basedOn w:val="1"/>
    <w:qFormat/>
    <w:uiPriority w:val="0"/>
    <w:pPr>
      <w:spacing w:before="60" w:after="270"/>
      <w:jc w:val="center"/>
      <w:outlineLvl w:val="1"/>
    </w:pPr>
    <w:rPr>
      <w:rFonts w:ascii="宋体" w:hAnsi="宋体" w:eastAsia="宋体" w:cs="宋体"/>
      <w:sz w:val="36"/>
      <w:szCs w:val="36"/>
      <w:lang w:val="zh-TW" w:eastAsia="zh-TW" w:bidi="zh-TW"/>
    </w:rPr>
  </w:style>
  <w:style w:type="paragraph" w:customStyle="1" w:styleId="37">
    <w:name w:val="Body text|2"/>
    <w:basedOn w:val="1"/>
    <w:qFormat/>
    <w:uiPriority w:val="0"/>
    <w:pPr>
      <w:spacing w:after="260"/>
      <w:ind w:firstLine="140"/>
    </w:pPr>
    <w:rPr>
      <w:rFonts w:ascii="宋体" w:hAnsi="宋体" w:eastAsia="宋体" w:cs="宋体"/>
      <w:sz w:val="30"/>
      <w:szCs w:val="30"/>
      <w:lang w:val="zh-TW" w:eastAsia="zh-TW" w:bidi="zh-TW"/>
    </w:rPr>
  </w:style>
  <w:style w:type="paragraph" w:customStyle="1" w:styleId="38">
    <w:name w:val="Body text|1"/>
    <w:basedOn w:val="1"/>
    <w:qFormat/>
    <w:uiPriority w:val="0"/>
    <w:pPr>
      <w:spacing w:line="454" w:lineRule="auto"/>
      <w:ind w:firstLine="140"/>
    </w:pPr>
    <w:rPr>
      <w:rFonts w:ascii="宋体" w:hAnsi="宋体" w:eastAsia="宋体" w:cs="宋体"/>
      <w:sz w:val="22"/>
      <w:szCs w:val="22"/>
      <w:lang w:val="zh-TW" w:eastAsia="zh-TW" w:bidi="zh-TW"/>
    </w:rPr>
  </w:style>
  <w:style w:type="paragraph" w:customStyle="1" w:styleId="39">
    <w:name w:val="Other|1"/>
    <w:basedOn w:val="1"/>
    <w:qFormat/>
    <w:uiPriority w:val="0"/>
    <w:pPr>
      <w:spacing w:line="454" w:lineRule="auto"/>
      <w:ind w:firstLine="140"/>
    </w:pPr>
    <w:rPr>
      <w:rFonts w:ascii="宋体" w:hAnsi="宋体" w:eastAsia="宋体" w:cs="宋体"/>
      <w:sz w:val="22"/>
      <w:szCs w:val="22"/>
      <w:lang w:val="zh-TW" w:eastAsia="zh-TW" w:bidi="zh-TW"/>
    </w:rPr>
  </w:style>
  <w:style w:type="paragraph" w:customStyle="1" w:styleId="40">
    <w:name w:val="Table caption|1"/>
    <w:basedOn w:val="1"/>
    <w:qFormat/>
    <w:uiPriority w:val="0"/>
    <w:rPr>
      <w:rFonts w:ascii="宋体" w:hAnsi="宋体" w:eastAsia="宋体" w:cs="宋体"/>
      <w:sz w:val="22"/>
      <w:szCs w:val="22"/>
      <w:lang w:val="zh-TW" w:eastAsia="zh-TW" w:bidi="zh-TW"/>
    </w:rPr>
  </w:style>
  <w:style w:type="paragraph" w:customStyle="1" w:styleId="41">
    <w:name w:val="Table Paragraph"/>
    <w:basedOn w:val="1"/>
    <w:qFormat/>
    <w:uiPriority w:val="1"/>
    <w:pPr>
      <w:autoSpaceDE w:val="0"/>
      <w:autoSpaceDN w:val="0"/>
      <w:adjustRightInd w:val="0"/>
    </w:pPr>
    <w:rPr>
      <w:rFonts w:eastAsia="宋体"/>
    </w:rPr>
  </w:style>
  <w:style w:type="paragraph" w:customStyle="1" w:styleId="42">
    <w:name w:val="black1"/>
    <w:basedOn w:val="1"/>
    <w:qFormat/>
    <w:uiPriority w:val="0"/>
    <w:pPr>
      <w:widowControl/>
      <w:spacing w:before="100" w:beforeAutospacing="1" w:after="100" w:afterAutospacing="1" w:line="280" w:lineRule="atLeast"/>
    </w:pPr>
    <w:rPr>
      <w:rFonts w:ascii="_x000B__x000C_" w:hAnsi="_x000B__x000C_"/>
      <w:sz w:val="18"/>
      <w:szCs w:val="18"/>
    </w:rPr>
  </w:style>
  <w:style w:type="paragraph" w:customStyle="1" w:styleId="43">
    <w:name w:val="图例"/>
    <w:basedOn w:val="1"/>
    <w:qFormat/>
    <w:uiPriority w:val="0"/>
    <w:pPr>
      <w:spacing w:before="120" w:after="120" w:line="360" w:lineRule="auto"/>
      <w:jc w:val="center"/>
    </w:pPr>
    <w:rPr>
      <w:rFonts w:eastAsia="仿宋_GB2312"/>
      <w:b/>
    </w:rPr>
  </w:style>
  <w:style w:type="paragraph" w:customStyle="1" w:styleId="44">
    <w:name w:val="WPS Plain"/>
    <w:qFormat/>
    <w:uiPriority w:val="0"/>
    <w:rPr>
      <w:rFonts w:ascii="Times New Roman" w:hAnsi="Times New Roman" w:eastAsia="宋体" w:cs="Times New Roman"/>
      <w:lang w:val="en-US" w:eastAsia="zh-CN" w:bidi="ar-SA"/>
    </w:rPr>
  </w:style>
  <w:style w:type="paragraph" w:customStyle="1" w:styleId="45">
    <w:name w:val="样式 左侧:  0 厘米 悬挂缩进: 2.5 字符"/>
    <w:basedOn w:val="1"/>
    <w:qFormat/>
    <w:uiPriority w:val="0"/>
    <w:pPr>
      <w:ind w:left="525" w:hanging="525" w:hangingChars="250"/>
    </w:pPr>
    <w:rPr>
      <w:szCs w:val="20"/>
    </w:rPr>
  </w:style>
  <w:style w:type="character" w:customStyle="1" w:styleId="46">
    <w:name w:val="font11"/>
    <w:basedOn w:val="25"/>
    <w:qFormat/>
    <w:uiPriority w:val="0"/>
    <w:rPr>
      <w:rFonts w:ascii="Calibri" w:hAnsi="Calibri" w:cs="Calibri"/>
      <w:color w:val="000000"/>
      <w:sz w:val="20"/>
      <w:szCs w:val="20"/>
      <w:u w:val="none"/>
    </w:rPr>
  </w:style>
  <w:style w:type="paragraph" w:styleId="47">
    <w:name w:val="List Paragraph"/>
    <w:basedOn w:val="1"/>
    <w:qFormat/>
    <w:uiPriority w:val="0"/>
    <w:pPr>
      <w:widowControl/>
      <w:ind w:firstLine="420" w:firstLineChars="200"/>
    </w:pPr>
  </w:style>
  <w:style w:type="paragraph" w:customStyle="1" w:styleId="48">
    <w:name w:val="列出段落1"/>
    <w:basedOn w:val="1"/>
    <w:qFormat/>
    <w:uiPriority w:val="34"/>
    <w:pPr>
      <w:ind w:firstLine="420" w:firstLineChars="200"/>
    </w:pPr>
  </w:style>
  <w:style w:type="table" w:customStyle="1" w:styleId="49">
    <w:name w:val="Table Normal"/>
    <w:semiHidden/>
    <w:unhideWhenUsed/>
    <w:qFormat/>
    <w:uiPriority w:val="0"/>
    <w:tblPr>
      <w:tblCellMar>
        <w:top w:w="0" w:type="dxa"/>
        <w:left w:w="0" w:type="dxa"/>
        <w:bottom w:w="0" w:type="dxa"/>
        <w:right w:w="0" w:type="dxa"/>
      </w:tblCellMar>
    </w:tblPr>
  </w:style>
  <w:style w:type="paragraph" w:customStyle="1" w:styleId="50">
    <w:name w:val="p15"/>
    <w:basedOn w:val="1"/>
    <w:qFormat/>
    <w:uiPriority w:val="0"/>
    <w:pPr>
      <w:snapToGrid/>
      <w:spacing w:after="0"/>
    </w:pPr>
    <w:rPr>
      <w:rFonts w:ascii="Arial Unicode MS" w:hAnsi="Arial Unicode MS" w:eastAsia="宋体" w:cs="宋体"/>
      <w:color w:val="000000"/>
      <w:sz w:val="24"/>
      <w:szCs w:val="24"/>
    </w:rPr>
  </w:style>
  <w:style w:type="paragraph" w:customStyle="1" w:styleId="51">
    <w:name w:val="Body text|4"/>
    <w:basedOn w:val="1"/>
    <w:qFormat/>
    <w:uiPriority w:val="0"/>
    <w:pPr>
      <w:spacing w:after="580"/>
    </w:pPr>
    <w:rPr>
      <w:rFonts w:ascii="MingLiU" w:hAnsi="MingLiU" w:eastAsia="MingLiU" w:cs="MingLiU"/>
      <w:color w:val="00005D"/>
      <w:sz w:val="56"/>
      <w:szCs w:val="56"/>
      <w:lang w:val="zh-TW" w:eastAsia="zh-TW" w:bidi="zh-TW"/>
    </w:rPr>
  </w:style>
  <w:style w:type="character" w:customStyle="1" w:styleId="52">
    <w:name w:val="font61"/>
    <w:basedOn w:val="25"/>
    <w:qFormat/>
    <w:uiPriority w:val="0"/>
    <w:rPr>
      <w:rFonts w:hint="default" w:ascii="方正仿宋_GBK" w:hAnsi="方正仿宋_GBK" w:eastAsia="方正仿宋_GBK" w:cs="方正仿宋_GBK"/>
      <w:color w:val="000000"/>
      <w:sz w:val="18"/>
      <w:szCs w:val="18"/>
      <w:u w:val="none"/>
    </w:rPr>
  </w:style>
  <w:style w:type="character" w:customStyle="1" w:styleId="53">
    <w:name w:val="font121"/>
    <w:basedOn w:val="25"/>
    <w:qFormat/>
    <w:uiPriority w:val="0"/>
    <w:rPr>
      <w:rFonts w:hint="eastAsia" w:ascii="宋体" w:hAnsi="宋体" w:eastAsia="宋体" w:cs="宋体"/>
      <w:color w:val="000000"/>
      <w:sz w:val="18"/>
      <w:szCs w:val="18"/>
      <w:u w:val="none"/>
    </w:rPr>
  </w:style>
  <w:style w:type="character" w:customStyle="1" w:styleId="54">
    <w:name w:val="font51"/>
    <w:basedOn w:val="25"/>
    <w:qFormat/>
    <w:uiPriority w:val="0"/>
    <w:rPr>
      <w:rFonts w:hint="default" w:ascii="Arial" w:hAnsi="Arial" w:cs="Arial"/>
      <w:color w:val="000000"/>
      <w:sz w:val="18"/>
      <w:szCs w:val="18"/>
      <w:u w:val="none"/>
    </w:rPr>
  </w:style>
  <w:style w:type="character" w:customStyle="1" w:styleId="55">
    <w:name w:val="font31"/>
    <w:basedOn w:val="25"/>
    <w:qFormat/>
    <w:uiPriority w:val="0"/>
    <w:rPr>
      <w:rFonts w:hint="eastAsia" w:ascii="宋体" w:hAnsi="宋体" w:eastAsia="宋体" w:cs="宋体"/>
      <w:color w:val="000000"/>
      <w:sz w:val="22"/>
      <w:szCs w:val="22"/>
      <w:u w:val="none"/>
    </w:rPr>
  </w:style>
  <w:style w:type="character" w:customStyle="1" w:styleId="56">
    <w:name w:val="font41"/>
    <w:basedOn w:val="25"/>
    <w:qFormat/>
    <w:uiPriority w:val="0"/>
    <w:rPr>
      <w:rFonts w:hint="eastAsia" w:ascii="宋体" w:hAnsi="宋体" w:eastAsia="宋体" w:cs="宋体"/>
      <w:color w:val="000000"/>
      <w:sz w:val="18"/>
      <w:szCs w:val="18"/>
      <w:u w:val="none"/>
    </w:rPr>
  </w:style>
  <w:style w:type="character" w:customStyle="1" w:styleId="57">
    <w:name w:val="font01"/>
    <w:basedOn w:val="25"/>
    <w:qFormat/>
    <w:uiPriority w:val="0"/>
    <w:rPr>
      <w:rFonts w:hint="eastAsia" w:ascii="宋体" w:hAnsi="宋体" w:eastAsia="宋体" w:cs="宋体"/>
      <w:color w:val="000000"/>
      <w:sz w:val="22"/>
      <w:szCs w:val="22"/>
      <w:u w:val="none"/>
    </w:rPr>
  </w:style>
  <w:style w:type="character" w:customStyle="1" w:styleId="58">
    <w:name w:val="font21"/>
    <w:basedOn w:val="25"/>
    <w:qFormat/>
    <w:uiPriority w:val="0"/>
    <w:rPr>
      <w:rFonts w:hint="eastAsia" w:ascii="宋体" w:hAnsi="宋体" w:eastAsia="宋体" w:cs="宋体"/>
      <w:color w:val="00B050"/>
      <w:sz w:val="20"/>
      <w:szCs w:val="20"/>
      <w:u w:val="none"/>
    </w:rPr>
  </w:style>
  <w:style w:type="paragraph" w:customStyle="1" w:styleId="59">
    <w:name w:val="首行缩进"/>
    <w:basedOn w:val="1"/>
    <w:qFormat/>
    <w:uiPriority w:val="0"/>
    <w:pPr>
      <w:ind w:firstLine="480" w:firstLineChars="200"/>
    </w:pPr>
    <w:rPr>
      <w:lang w:val="zh-CN"/>
    </w:rPr>
  </w:style>
  <w:style w:type="paragraph" w:customStyle="1" w:styleId="60">
    <w:name w:val="NormalIndent"/>
    <w:basedOn w:val="1"/>
    <w:qFormat/>
    <w:uiPriority w:val="0"/>
    <w:pPr>
      <w:ind w:firstLine="420"/>
      <w:jc w:val="left"/>
    </w:pPr>
    <w:rPr>
      <w:rFonts w:ascii="宋体" w:hAnsi="Calibri"/>
      <w:kern w:val="0"/>
      <w:sz w:val="24"/>
      <w:szCs w:val="20"/>
    </w:rPr>
  </w:style>
  <w:style w:type="paragraph" w:customStyle="1" w:styleId="61">
    <w:name w:val="null3"/>
    <w:hidden/>
    <w:qFormat/>
    <w:uiPriority w:val="0"/>
    <w:rPr>
      <w:rFonts w:hint="eastAsia" w:asciiTheme="minorHAnsi" w:hAnsiTheme="minorHAnsi" w:eastAsiaTheme="minorEastAsia" w:cstheme="minorBidi"/>
      <w:lang w:val="en-US" w:eastAsia="zh-Hans"/>
    </w:rPr>
  </w:style>
  <w:style w:type="character" w:customStyle="1" w:styleId="62">
    <w:name w:val="font71"/>
    <w:basedOn w:val="25"/>
    <w:qFormat/>
    <w:uiPriority w:val="0"/>
    <w:rPr>
      <w:rFonts w:hint="eastAsia" w:ascii="宋体" w:hAnsi="宋体" w:eastAsia="宋体" w:cs="宋体"/>
      <w:color w:val="000000"/>
      <w:sz w:val="20"/>
      <w:szCs w:val="20"/>
      <w:u w:val="none"/>
    </w:rPr>
  </w:style>
  <w:style w:type="paragraph" w:customStyle="1" w:styleId="63">
    <w:name w:val="正文_1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_Style 3"/>
    <w:basedOn w:val="1"/>
    <w:next w:val="1"/>
    <w:qFormat/>
    <w:uiPriority w:val="0"/>
    <w:pPr>
      <w:ind w:firstLine="420" w:firstLineChars="200"/>
    </w:pPr>
  </w:style>
  <w:style w:type="paragraph" w:customStyle="1" w:styleId="65">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6.xml"/><Relationship Id="rId21" Type="http://schemas.openxmlformats.org/officeDocument/2006/relationships/header" Target="header4.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73</Pages>
  <Words>16782</Words>
  <Characters>17953</Characters>
  <Lines>389</Lines>
  <Paragraphs>109</Paragraphs>
  <TotalTime>7</TotalTime>
  <ScaleCrop>false</ScaleCrop>
  <LinksUpToDate>false</LinksUpToDate>
  <CharactersWithSpaces>18196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2021-12-16T05:31:00Z</dcterms:created>
  <dc:creator>梦花雨   甘安莉</dc:creator>
  <cp:lastModifiedBy>Administrator</cp:lastModifiedBy>
  <cp:lastPrinted>2024-03-15T04:02:00Z</cp:lastPrinted>
  <dcterms:modified xsi:type="dcterms:W3CDTF">2025-07-04T13:33:23Z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E2C7A263E402445199413E391B38C617_13</vt:lpwstr>
  </property>
  <property fmtid="{D5CDD505-2E9C-101B-9397-08002B2CF9AE}" pid="4" name="KSOTemplateDocerSaveRecord">
    <vt:lpwstr>eyJoZGlkIjoiMDZjMzVjM2UwMmNjYWIxMzVjMjQ1ZTBlMjNlMTRmNjAiLCJ1c2VySWQiOiI2MzIyMDk4NzcifQ==</vt:lpwstr>
  </property>
</Properties>
</file>