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FE577">
      <w:pPr>
        <w:spacing w:line="240" w:lineRule="auto"/>
        <w:jc w:val="center"/>
        <w:rPr>
          <w:rFonts w:hint="eastAsia" w:ascii="仿宋" w:hAnsi="仿宋" w:eastAsia="仿宋" w:cs="仿宋"/>
          <w:b/>
          <w:bCs/>
          <w:color w:val="auto"/>
          <w:sz w:val="40"/>
          <w:szCs w:val="40"/>
          <w:highlight w:val="none"/>
          <w:lang w:eastAsia="zh-CN"/>
        </w:rPr>
      </w:pPr>
    </w:p>
    <w:p w14:paraId="2C5742E6">
      <w:pPr>
        <w:spacing w:line="760" w:lineRule="exact"/>
        <w:jc w:val="center"/>
        <w:rPr>
          <w:rFonts w:hint="eastAsia" w:ascii="仿宋" w:hAnsi="仿宋" w:eastAsia="仿宋" w:cs="仿宋"/>
          <w:b/>
          <w:bCs/>
          <w:color w:val="auto"/>
          <w:sz w:val="48"/>
          <w:szCs w:val="48"/>
          <w:highlight w:val="none"/>
          <w:shd w:val="clear" w:color="auto" w:fill="auto"/>
          <w:lang w:val="en-US" w:eastAsia="zh-CN"/>
        </w:rPr>
      </w:pPr>
      <w:r>
        <w:rPr>
          <w:rFonts w:hint="eastAsia" w:ascii="仿宋" w:hAnsi="仿宋" w:eastAsia="仿宋" w:cs="仿宋"/>
          <w:b/>
          <w:bCs/>
          <w:color w:val="auto"/>
          <w:sz w:val="48"/>
          <w:szCs w:val="48"/>
          <w:highlight w:val="none"/>
          <w:shd w:val="clear" w:color="auto" w:fill="auto"/>
          <w:lang w:val="en-US" w:eastAsia="zh-CN"/>
        </w:rPr>
        <w:t>教育系统2025-2026学年大宗食材采购项目（食材包一）</w:t>
      </w:r>
    </w:p>
    <w:p w14:paraId="08CDEE01">
      <w:pPr>
        <w:spacing w:line="760" w:lineRule="exact"/>
        <w:jc w:val="center"/>
        <w:rPr>
          <w:rFonts w:hint="eastAsia" w:ascii="仿宋" w:hAnsi="仿宋" w:eastAsia="仿宋" w:cs="仿宋"/>
          <w:b/>
          <w:bCs/>
          <w:color w:val="auto"/>
          <w:sz w:val="40"/>
          <w:szCs w:val="40"/>
          <w:highlight w:val="none"/>
          <w:shd w:val="clear" w:color="auto" w:fill="auto"/>
          <w:lang w:eastAsia="zh-CN"/>
        </w:rPr>
      </w:pPr>
      <w:r>
        <w:rPr>
          <w:rFonts w:hint="eastAsia" w:ascii="仿宋" w:hAnsi="仿宋" w:eastAsia="仿宋" w:cs="仿宋"/>
          <w:b/>
          <w:bCs/>
          <w:color w:val="auto"/>
          <w:sz w:val="40"/>
          <w:szCs w:val="40"/>
          <w:highlight w:val="none"/>
          <w:shd w:val="clear" w:color="auto" w:fill="auto"/>
          <w:lang w:eastAsia="zh-CN"/>
        </w:rPr>
        <w:t>项目编号：</w:t>
      </w:r>
      <w:r>
        <w:rPr>
          <w:rFonts w:hint="eastAsia" w:ascii="仿宋" w:hAnsi="仿宋" w:eastAsia="仿宋" w:cs="仿宋"/>
          <w:b/>
          <w:bCs/>
          <w:color w:val="auto"/>
          <w:sz w:val="40"/>
          <w:szCs w:val="40"/>
          <w:highlight w:val="none"/>
          <w:shd w:val="clear" w:color="auto" w:fill="auto"/>
          <w:lang w:val="en-US" w:eastAsia="zh-CN"/>
        </w:rPr>
        <w:t>ALTZFCG2025-029</w:t>
      </w:r>
    </w:p>
    <w:p w14:paraId="72D8BB32">
      <w:pPr>
        <w:spacing w:line="760" w:lineRule="exact"/>
        <w:jc w:val="center"/>
        <w:rPr>
          <w:rFonts w:hint="default" w:ascii="仿宋" w:hAnsi="仿宋" w:eastAsia="仿宋" w:cs="仿宋"/>
          <w:b/>
          <w:bCs/>
          <w:color w:val="auto"/>
          <w:sz w:val="40"/>
          <w:szCs w:val="40"/>
          <w:highlight w:val="none"/>
          <w:shd w:val="clear" w:color="auto" w:fill="auto"/>
          <w:lang w:val="en-US" w:eastAsia="zh-CN"/>
        </w:rPr>
      </w:pPr>
    </w:p>
    <w:p w14:paraId="348E21C9">
      <w:pPr>
        <w:pStyle w:val="2"/>
        <w:rPr>
          <w:rFonts w:ascii="仿宋" w:hAnsi="仿宋" w:eastAsia="仿宋" w:cs="仿宋"/>
          <w:color w:val="auto"/>
          <w:sz w:val="21"/>
          <w:szCs w:val="21"/>
          <w:highlight w:val="none"/>
        </w:rPr>
      </w:pPr>
    </w:p>
    <w:p w14:paraId="6934872F">
      <w:pPr>
        <w:pStyle w:val="2"/>
        <w:rPr>
          <w:rFonts w:ascii="仿宋" w:hAnsi="仿宋" w:eastAsia="仿宋" w:cs="仿宋"/>
          <w:color w:val="auto"/>
          <w:highlight w:val="none"/>
        </w:rPr>
      </w:pPr>
    </w:p>
    <w:p w14:paraId="69F2DD15">
      <w:pPr>
        <w:pStyle w:val="2"/>
        <w:rPr>
          <w:rFonts w:ascii="仿宋" w:hAnsi="仿宋" w:eastAsia="仿宋" w:cs="仿宋"/>
          <w:color w:val="auto"/>
          <w:highlight w:val="none"/>
        </w:rPr>
      </w:pPr>
    </w:p>
    <w:p w14:paraId="3A4576F5">
      <w:pPr>
        <w:pStyle w:val="2"/>
        <w:jc w:val="center"/>
        <w:rPr>
          <w:rFonts w:hint="eastAsia" w:ascii="仿宋" w:hAnsi="仿宋" w:eastAsia="仿宋" w:cs="仿宋"/>
          <w:b/>
          <w:bCs/>
          <w:color w:val="auto"/>
          <w:sz w:val="130"/>
          <w:szCs w:val="130"/>
          <w:highlight w:val="none"/>
        </w:rPr>
      </w:pPr>
      <w:r>
        <w:rPr>
          <w:rFonts w:hint="eastAsia" w:ascii="仿宋" w:hAnsi="仿宋" w:eastAsia="仿宋" w:cs="仿宋"/>
          <w:b/>
          <w:color w:val="auto"/>
          <w:sz w:val="130"/>
          <w:szCs w:val="130"/>
          <w:highlight w:val="none"/>
        </w:rPr>
        <w:t>招标</w:t>
      </w:r>
      <w:r>
        <w:rPr>
          <w:rFonts w:hint="eastAsia" w:ascii="仿宋" w:hAnsi="仿宋" w:eastAsia="仿宋" w:cs="仿宋"/>
          <w:b/>
          <w:bCs/>
          <w:color w:val="auto"/>
          <w:sz w:val="130"/>
          <w:szCs w:val="130"/>
          <w:highlight w:val="none"/>
        </w:rPr>
        <w:t>文件</w:t>
      </w:r>
    </w:p>
    <w:p w14:paraId="5DE78957">
      <w:pPr>
        <w:pStyle w:val="30"/>
        <w:rPr>
          <w:color w:val="auto"/>
          <w:highlight w:val="none"/>
        </w:rPr>
      </w:pPr>
    </w:p>
    <w:p w14:paraId="38C9CB45">
      <w:pPr>
        <w:pStyle w:val="23"/>
        <w:rPr>
          <w:color w:val="auto"/>
          <w:highlight w:val="none"/>
        </w:rPr>
      </w:pPr>
    </w:p>
    <w:p w14:paraId="639E5F27">
      <w:pPr>
        <w:rPr>
          <w:color w:val="auto"/>
          <w:highlight w:val="none"/>
        </w:rPr>
      </w:pPr>
    </w:p>
    <w:p w14:paraId="0D7044FA">
      <w:pPr>
        <w:rPr>
          <w:color w:val="auto"/>
          <w:highlight w:val="none"/>
        </w:rPr>
      </w:pPr>
    </w:p>
    <w:p w14:paraId="0273AC20">
      <w:pPr>
        <w:rPr>
          <w:color w:val="auto"/>
          <w:highlight w:val="none"/>
        </w:rPr>
      </w:pPr>
    </w:p>
    <w:p w14:paraId="38A3993E">
      <w:pPr>
        <w:pStyle w:val="2"/>
        <w:rPr>
          <w:rFonts w:ascii="仿宋" w:hAnsi="仿宋" w:eastAsia="仿宋" w:cs="仿宋"/>
          <w:color w:val="auto"/>
          <w:highlight w:val="none"/>
        </w:rPr>
      </w:pPr>
    </w:p>
    <w:p w14:paraId="1ACDF48A">
      <w:pPr>
        <w:pStyle w:val="33"/>
        <w:keepNext w:val="0"/>
        <w:keepLines w:val="0"/>
        <w:pageBreakBefore w:val="0"/>
        <w:widowControl/>
        <w:kinsoku/>
        <w:wordWrap/>
        <w:overflowPunct/>
        <w:topLinePunct w:val="0"/>
        <w:autoSpaceDE/>
        <w:autoSpaceDN/>
        <w:bidi w:val="0"/>
        <w:adjustRightInd w:val="0"/>
        <w:snapToGrid w:val="0"/>
        <w:spacing w:line="560" w:lineRule="atLeast"/>
        <w:ind w:firstLine="482"/>
        <w:textAlignment w:val="baseline"/>
        <w:rPr>
          <w:rFonts w:hint="eastAsia" w:ascii="仿宋" w:hAnsi="仿宋" w:eastAsia="仿宋" w:cs="仿宋"/>
          <w:b w:val="0"/>
          <w:bCs/>
          <w:color w:val="auto"/>
          <w:sz w:val="36"/>
          <w:szCs w:val="36"/>
          <w:highlight w:val="none"/>
          <w:lang w:eastAsia="zh-CN"/>
        </w:rPr>
      </w:pPr>
    </w:p>
    <w:p w14:paraId="3CC86160">
      <w:pPr>
        <w:pStyle w:val="33"/>
        <w:keepNext w:val="0"/>
        <w:keepLines w:val="0"/>
        <w:pageBreakBefore w:val="0"/>
        <w:widowControl/>
        <w:kinsoku/>
        <w:wordWrap/>
        <w:overflowPunct/>
        <w:topLinePunct w:val="0"/>
        <w:autoSpaceDE/>
        <w:autoSpaceDN/>
        <w:bidi w:val="0"/>
        <w:adjustRightInd w:val="0"/>
        <w:snapToGrid w:val="0"/>
        <w:spacing w:line="560" w:lineRule="atLeast"/>
        <w:ind w:firstLine="482"/>
        <w:textAlignment w:val="baseline"/>
        <w:rPr>
          <w:rFonts w:hint="default" w:ascii="仿宋" w:hAnsi="仿宋" w:eastAsia="仿宋" w:cs="仿宋"/>
          <w:b w:val="0"/>
          <w:bCs/>
          <w:color w:val="auto"/>
          <w:sz w:val="36"/>
          <w:szCs w:val="36"/>
          <w:highlight w:val="none"/>
          <w:lang w:val="en-US" w:eastAsia="zh-CN"/>
        </w:rPr>
      </w:pPr>
      <w:r>
        <w:rPr>
          <w:rFonts w:hint="eastAsia" w:ascii="仿宋" w:hAnsi="仿宋" w:eastAsia="仿宋" w:cs="仿宋"/>
          <w:b w:val="0"/>
          <w:bCs/>
          <w:color w:val="auto"/>
          <w:sz w:val="36"/>
          <w:szCs w:val="36"/>
          <w:highlight w:val="none"/>
          <w:lang w:eastAsia="zh-CN"/>
        </w:rPr>
        <w:t>采购单位：</w:t>
      </w:r>
      <w:r>
        <w:rPr>
          <w:rFonts w:hint="eastAsia" w:ascii="仿宋" w:hAnsi="仿宋" w:eastAsia="仿宋" w:cs="仿宋"/>
          <w:b w:val="0"/>
          <w:bCs/>
          <w:color w:val="auto"/>
          <w:sz w:val="36"/>
          <w:szCs w:val="36"/>
          <w:highlight w:val="none"/>
          <w:lang w:val="en-US" w:eastAsia="zh-CN"/>
        </w:rPr>
        <w:t>青河县教育局</w:t>
      </w:r>
    </w:p>
    <w:p w14:paraId="40445E95">
      <w:pPr>
        <w:pStyle w:val="33"/>
        <w:keepNext w:val="0"/>
        <w:keepLines w:val="0"/>
        <w:pageBreakBefore w:val="0"/>
        <w:widowControl/>
        <w:kinsoku/>
        <w:wordWrap/>
        <w:overflowPunct/>
        <w:topLinePunct w:val="0"/>
        <w:autoSpaceDE/>
        <w:autoSpaceDN/>
        <w:bidi w:val="0"/>
        <w:adjustRightInd w:val="0"/>
        <w:snapToGrid w:val="0"/>
        <w:spacing w:line="560" w:lineRule="atLeast"/>
        <w:ind w:firstLine="482"/>
        <w:textAlignment w:val="baseline"/>
        <w:rPr>
          <w:rFonts w:hint="eastAsia" w:ascii="仿宋" w:hAnsi="仿宋" w:eastAsia="仿宋" w:cs="仿宋"/>
          <w:b w:val="0"/>
          <w:bCs/>
          <w:color w:val="auto"/>
          <w:sz w:val="36"/>
          <w:szCs w:val="36"/>
          <w:highlight w:val="none"/>
          <w:lang w:eastAsia="zh-CN"/>
        </w:rPr>
      </w:pPr>
    </w:p>
    <w:p w14:paraId="337B0D08">
      <w:pPr>
        <w:pStyle w:val="33"/>
        <w:keepNext w:val="0"/>
        <w:keepLines w:val="0"/>
        <w:pageBreakBefore w:val="0"/>
        <w:widowControl/>
        <w:kinsoku/>
        <w:wordWrap/>
        <w:overflowPunct/>
        <w:topLinePunct w:val="0"/>
        <w:autoSpaceDE/>
        <w:autoSpaceDN/>
        <w:bidi w:val="0"/>
        <w:adjustRightInd w:val="0"/>
        <w:snapToGrid w:val="0"/>
        <w:spacing w:line="560" w:lineRule="atLeast"/>
        <w:ind w:firstLine="482"/>
        <w:textAlignment w:val="baseline"/>
        <w:rPr>
          <w:rFonts w:hint="eastAsia" w:ascii="仿宋" w:hAnsi="仿宋" w:eastAsia="仿宋" w:cs="仿宋"/>
          <w:b w:val="0"/>
          <w:bCs/>
          <w:color w:val="auto"/>
          <w:sz w:val="36"/>
          <w:szCs w:val="36"/>
          <w:highlight w:val="none"/>
          <w:lang w:val="en-US" w:eastAsia="zh-CN"/>
        </w:rPr>
      </w:pPr>
      <w:r>
        <w:rPr>
          <w:rFonts w:hint="eastAsia" w:ascii="仿宋" w:hAnsi="仿宋" w:eastAsia="仿宋" w:cs="仿宋"/>
          <w:b w:val="0"/>
          <w:bCs/>
          <w:color w:val="auto"/>
          <w:sz w:val="36"/>
          <w:szCs w:val="36"/>
          <w:highlight w:val="none"/>
          <w:lang w:eastAsia="zh-CN"/>
        </w:rPr>
        <w:t>代理机构：</w:t>
      </w:r>
      <w:r>
        <w:rPr>
          <w:rFonts w:hint="eastAsia" w:ascii="仿宋" w:hAnsi="仿宋" w:eastAsia="仿宋" w:cs="仿宋"/>
          <w:b w:val="0"/>
          <w:bCs/>
          <w:color w:val="auto"/>
          <w:sz w:val="36"/>
          <w:szCs w:val="36"/>
          <w:highlight w:val="none"/>
          <w:lang w:val="en-US" w:eastAsia="zh-CN"/>
        </w:rPr>
        <w:t>新疆天壹中山工程咨询有限公司</w:t>
      </w:r>
    </w:p>
    <w:p w14:paraId="75A1BE79">
      <w:pPr>
        <w:pStyle w:val="33"/>
        <w:keepNext w:val="0"/>
        <w:keepLines w:val="0"/>
        <w:pageBreakBefore w:val="0"/>
        <w:widowControl/>
        <w:kinsoku/>
        <w:wordWrap/>
        <w:overflowPunct/>
        <w:topLinePunct w:val="0"/>
        <w:autoSpaceDE/>
        <w:autoSpaceDN/>
        <w:bidi w:val="0"/>
        <w:adjustRightInd w:val="0"/>
        <w:snapToGrid w:val="0"/>
        <w:spacing w:line="560" w:lineRule="atLeast"/>
        <w:jc w:val="center"/>
        <w:textAlignment w:val="baseline"/>
        <w:rPr>
          <w:rFonts w:hint="eastAsia" w:ascii="仿宋" w:hAnsi="仿宋" w:eastAsia="仿宋" w:cs="仿宋"/>
          <w:b w:val="0"/>
          <w:bCs/>
          <w:color w:val="auto"/>
          <w:sz w:val="36"/>
          <w:szCs w:val="36"/>
          <w:highlight w:val="none"/>
          <w:lang w:val="en-US" w:eastAsia="zh-CN"/>
        </w:rPr>
      </w:pPr>
    </w:p>
    <w:p w14:paraId="5C1C455C">
      <w:pPr>
        <w:pStyle w:val="33"/>
        <w:keepNext w:val="0"/>
        <w:keepLines w:val="0"/>
        <w:pageBreakBefore w:val="0"/>
        <w:widowControl/>
        <w:kinsoku/>
        <w:wordWrap/>
        <w:overflowPunct/>
        <w:topLinePunct w:val="0"/>
        <w:autoSpaceDE/>
        <w:autoSpaceDN/>
        <w:bidi w:val="0"/>
        <w:adjustRightInd w:val="0"/>
        <w:snapToGrid w:val="0"/>
        <w:spacing w:line="560" w:lineRule="atLeast"/>
        <w:jc w:val="center"/>
        <w:textAlignment w:val="baseline"/>
        <w:rPr>
          <w:rFonts w:hint="default" w:ascii="仿宋" w:hAnsi="仿宋" w:eastAsia="仿宋" w:cs="仿宋"/>
          <w:b w:val="0"/>
          <w:bCs/>
          <w:color w:val="auto"/>
          <w:sz w:val="36"/>
          <w:szCs w:val="36"/>
          <w:highlight w:val="none"/>
          <w:lang w:val="en-US" w:eastAsia="zh-CN"/>
        </w:rPr>
      </w:pPr>
      <w:r>
        <w:rPr>
          <w:rFonts w:hint="eastAsia" w:ascii="仿宋" w:hAnsi="仿宋" w:eastAsia="仿宋" w:cs="仿宋"/>
          <w:b w:val="0"/>
          <w:bCs/>
          <w:color w:val="auto"/>
          <w:sz w:val="36"/>
          <w:szCs w:val="36"/>
          <w:highlight w:val="none"/>
          <w:lang w:val="en-US" w:eastAsia="zh-CN"/>
        </w:rPr>
        <w:t>2025年7月</w:t>
      </w:r>
    </w:p>
    <w:p w14:paraId="55A68A17">
      <w:pPr>
        <w:pStyle w:val="33"/>
        <w:rPr>
          <w:rFonts w:ascii="仿宋" w:hAnsi="仿宋" w:eastAsia="仿宋" w:cs="仿宋"/>
          <w:b/>
          <w:color w:val="auto"/>
          <w:sz w:val="36"/>
          <w:szCs w:val="36"/>
          <w:highlight w:val="none"/>
          <w:lang w:eastAsia="zh-CN"/>
        </w:rPr>
      </w:pPr>
    </w:p>
    <w:p w14:paraId="5D2F88B0">
      <w:pPr>
        <w:jc w:val="center"/>
        <w:rPr>
          <w:rFonts w:hint="eastAsia" w:ascii="仿宋" w:hAnsi="仿宋" w:eastAsia="仿宋" w:cs="仿宋"/>
          <w:b/>
          <w:color w:val="auto"/>
          <w:sz w:val="44"/>
          <w:szCs w:val="44"/>
          <w:highlight w:val="none"/>
          <w:lang w:eastAsia="zh-CN"/>
        </w:rPr>
      </w:pPr>
    </w:p>
    <w:p w14:paraId="279D443D">
      <w:pPr>
        <w:spacing w:line="240" w:lineRule="auto"/>
        <w:rPr>
          <w:rFonts w:hint="default" w:ascii="仿宋" w:hAnsi="仿宋" w:eastAsia="仿宋" w:cs="仿宋"/>
          <w:color w:val="auto"/>
          <w:sz w:val="44"/>
          <w:szCs w:val="44"/>
          <w:highlight w:val="none"/>
          <w:lang w:val="en-US" w:eastAsia="zh-CN"/>
        </w:rPr>
        <w:sectPr>
          <w:headerReference r:id="rId3" w:type="default"/>
          <w:footerReference r:id="rId4" w:type="default"/>
          <w:pgSz w:w="11905" w:h="16838"/>
          <w:pgMar w:top="1440" w:right="1417" w:bottom="1440" w:left="1417" w:header="850" w:footer="992" w:gutter="0"/>
          <w:pgNumType w:start="1"/>
          <w:cols w:space="0" w:num="1"/>
          <w:rtlGutter w:val="0"/>
          <w:docGrid w:type="linesAndChars" w:linePitch="332" w:charSpace="1057"/>
        </w:sectPr>
      </w:pPr>
    </w:p>
    <w:p w14:paraId="27610325">
      <w:pPr>
        <w:pStyle w:val="35"/>
        <w:spacing w:before="0"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44"/>
          <w:szCs w:val="44"/>
          <w:highlight w:val="none"/>
          <w:lang w:val="zh-CN"/>
        </w:rPr>
        <w:t>目    录</w:t>
      </w:r>
    </w:p>
    <w:p w14:paraId="217060A8">
      <w:pPr>
        <w:numPr>
          <w:ilvl w:val="0"/>
          <w:numId w:val="2"/>
        </w:numPr>
        <w:spacing w:line="600" w:lineRule="auto"/>
        <w:jc w:val="both"/>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 xml:space="preserve">     招标公告</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eastAsia="zh-CN"/>
        </w:rPr>
        <w:t>1</w:t>
      </w:r>
    </w:p>
    <w:p w14:paraId="0BA64E09">
      <w:pPr>
        <w:numPr>
          <w:ilvl w:val="0"/>
          <w:numId w:val="2"/>
        </w:numPr>
        <w:spacing w:line="600" w:lineRule="auto"/>
        <w:jc w:val="both"/>
        <w:rPr>
          <w:rFonts w:ascii="Arial" w:hAnsi="Arial" w:eastAsia="仿宋" w:cs="Arial"/>
          <w:b/>
          <w:color w:val="auto"/>
          <w:sz w:val="30"/>
          <w:szCs w:val="30"/>
          <w:highlight w:val="none"/>
          <w:lang w:eastAsia="zh-CN"/>
        </w:rPr>
      </w:pPr>
      <w:r>
        <w:rPr>
          <w:rFonts w:hint="eastAsia" w:ascii="仿宋" w:hAnsi="仿宋" w:eastAsia="仿宋" w:cs="仿宋"/>
          <w:b/>
          <w:color w:val="auto"/>
          <w:sz w:val="30"/>
          <w:szCs w:val="30"/>
          <w:highlight w:val="none"/>
          <w:lang w:eastAsia="zh-CN"/>
        </w:rPr>
        <w:t xml:space="preserve">     供应商须知</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4</w:t>
      </w:r>
    </w:p>
    <w:p w14:paraId="3F7BEBA6">
      <w:pPr>
        <w:numPr>
          <w:ilvl w:val="0"/>
          <w:numId w:val="2"/>
        </w:numPr>
        <w:spacing w:line="600" w:lineRule="auto"/>
        <w:jc w:val="both"/>
        <w:rPr>
          <w:rFonts w:ascii="Arial" w:hAnsi="Arial" w:eastAsia="仿宋" w:cs="Arial"/>
          <w:b/>
          <w:color w:val="auto"/>
          <w:sz w:val="30"/>
          <w:szCs w:val="30"/>
          <w:highlight w:val="none"/>
          <w:lang w:eastAsia="zh-CN"/>
        </w:rPr>
      </w:pPr>
      <w:r>
        <w:rPr>
          <w:rFonts w:hint="eastAsia" w:ascii="仿宋" w:hAnsi="仿宋" w:eastAsia="仿宋" w:cs="仿宋"/>
          <w:b/>
          <w:color w:val="auto"/>
          <w:sz w:val="30"/>
          <w:szCs w:val="30"/>
          <w:highlight w:val="none"/>
          <w:lang w:eastAsia="zh-CN"/>
        </w:rPr>
        <w:t xml:space="preserve">     评标办法</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38</w:t>
      </w:r>
    </w:p>
    <w:p w14:paraId="09EEC9D2">
      <w:pPr>
        <w:numPr>
          <w:ilvl w:val="0"/>
          <w:numId w:val="2"/>
        </w:numPr>
        <w:spacing w:line="600" w:lineRule="auto"/>
        <w:jc w:val="both"/>
        <w:rPr>
          <w:rFonts w:hint="default" w:ascii="Arial" w:hAnsi="Arial" w:eastAsia="仿宋" w:cs="Arial"/>
          <w:b/>
          <w:color w:val="auto"/>
          <w:sz w:val="30"/>
          <w:szCs w:val="30"/>
          <w:highlight w:val="none"/>
          <w:lang w:val="en-US" w:eastAsia="zh-CN"/>
        </w:rPr>
      </w:pPr>
      <w:r>
        <w:rPr>
          <w:rFonts w:hint="eastAsia" w:ascii="仿宋" w:hAnsi="仿宋" w:eastAsia="仿宋" w:cs="仿宋"/>
          <w:b/>
          <w:color w:val="auto"/>
          <w:sz w:val="30"/>
          <w:szCs w:val="30"/>
          <w:highlight w:val="none"/>
          <w:lang w:eastAsia="zh-CN"/>
        </w:rPr>
        <w:t xml:space="preserve">     技术规格、数量及质量要求</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46</w:t>
      </w:r>
    </w:p>
    <w:p w14:paraId="68AFAB73">
      <w:pPr>
        <w:spacing w:line="600" w:lineRule="auto"/>
        <w:jc w:val="both"/>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eastAsia="zh-CN"/>
        </w:rPr>
        <w:t>第五部分      合同条款及格式</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52</w:t>
      </w:r>
    </w:p>
    <w:p w14:paraId="7B74289B">
      <w:pPr>
        <w:spacing w:line="600" w:lineRule="auto"/>
        <w:jc w:val="both"/>
        <w:rPr>
          <w:rFonts w:hint="default" w:ascii="仿宋" w:hAnsi="仿宋" w:eastAsia="仿宋" w:cs="仿宋"/>
          <w:color w:val="auto"/>
          <w:highlight w:val="none"/>
          <w:lang w:val="en-US" w:eastAsia="zh-CN"/>
        </w:rPr>
      </w:pPr>
      <w:r>
        <w:rPr>
          <w:rFonts w:hint="eastAsia" w:ascii="仿宋" w:hAnsi="仿宋" w:eastAsia="仿宋" w:cs="仿宋"/>
          <w:b/>
          <w:color w:val="auto"/>
          <w:sz w:val="30"/>
          <w:szCs w:val="30"/>
          <w:highlight w:val="none"/>
          <w:lang w:eastAsia="zh-CN"/>
        </w:rPr>
        <w:t>第六部分      投标文件格式</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58</w:t>
      </w:r>
    </w:p>
    <w:p w14:paraId="49C283F2">
      <w:pPr>
        <w:pStyle w:val="9"/>
        <w:numPr>
          <w:ilvl w:val="0"/>
          <w:numId w:val="0"/>
        </w:numPr>
        <w:spacing w:line="480" w:lineRule="auto"/>
        <w:rPr>
          <w:rFonts w:ascii="仿宋" w:hAnsi="仿宋" w:eastAsia="仿宋" w:cs="仿宋"/>
          <w:color w:val="auto"/>
          <w:highlight w:val="none"/>
          <w:lang w:eastAsia="zh-CN"/>
        </w:rPr>
      </w:pPr>
    </w:p>
    <w:p w14:paraId="4FB390A1">
      <w:pPr>
        <w:spacing w:line="480" w:lineRule="auto"/>
        <w:rPr>
          <w:rFonts w:ascii="仿宋" w:hAnsi="仿宋" w:eastAsia="仿宋" w:cs="仿宋"/>
          <w:color w:val="auto"/>
          <w:highlight w:val="none"/>
          <w:lang w:eastAsia="zh-CN"/>
        </w:rPr>
      </w:pPr>
    </w:p>
    <w:p w14:paraId="64EFDE4A">
      <w:pPr>
        <w:pStyle w:val="5"/>
        <w:rPr>
          <w:rFonts w:ascii="仿宋" w:hAnsi="仿宋" w:eastAsia="仿宋" w:cs="仿宋"/>
          <w:color w:val="auto"/>
          <w:highlight w:val="none"/>
          <w:lang w:eastAsia="zh-CN"/>
        </w:rPr>
      </w:pPr>
    </w:p>
    <w:p w14:paraId="1A347B29">
      <w:pPr>
        <w:rPr>
          <w:rFonts w:ascii="仿宋" w:hAnsi="仿宋" w:eastAsia="仿宋" w:cs="仿宋"/>
          <w:color w:val="auto"/>
          <w:highlight w:val="none"/>
          <w:lang w:eastAsia="zh-CN"/>
        </w:rPr>
      </w:pPr>
    </w:p>
    <w:p w14:paraId="2B5E475A">
      <w:pPr>
        <w:pStyle w:val="5"/>
        <w:rPr>
          <w:rFonts w:ascii="仿宋" w:hAnsi="仿宋" w:eastAsia="仿宋" w:cs="仿宋"/>
          <w:color w:val="auto"/>
          <w:highlight w:val="none"/>
          <w:lang w:eastAsia="zh-CN"/>
        </w:rPr>
      </w:pPr>
    </w:p>
    <w:p w14:paraId="1F5AA4E0">
      <w:pPr>
        <w:rPr>
          <w:rFonts w:ascii="仿宋" w:hAnsi="仿宋" w:eastAsia="仿宋" w:cs="仿宋"/>
          <w:color w:val="auto"/>
          <w:highlight w:val="none"/>
          <w:lang w:eastAsia="zh-CN"/>
        </w:rPr>
      </w:pPr>
    </w:p>
    <w:p w14:paraId="12E1AD83">
      <w:pPr>
        <w:pStyle w:val="5"/>
        <w:rPr>
          <w:rFonts w:ascii="仿宋" w:hAnsi="仿宋" w:eastAsia="仿宋" w:cs="仿宋"/>
          <w:color w:val="auto"/>
          <w:highlight w:val="none"/>
          <w:lang w:eastAsia="zh-CN"/>
        </w:rPr>
      </w:pPr>
    </w:p>
    <w:p w14:paraId="60010989">
      <w:pPr>
        <w:rPr>
          <w:rFonts w:ascii="仿宋" w:hAnsi="仿宋" w:eastAsia="仿宋" w:cs="仿宋"/>
          <w:color w:val="auto"/>
          <w:highlight w:val="none"/>
          <w:lang w:eastAsia="zh-CN"/>
        </w:rPr>
      </w:pPr>
    </w:p>
    <w:p w14:paraId="531DF83F">
      <w:pPr>
        <w:pStyle w:val="5"/>
        <w:rPr>
          <w:rFonts w:ascii="仿宋" w:hAnsi="仿宋" w:eastAsia="仿宋" w:cs="仿宋"/>
          <w:color w:val="auto"/>
          <w:highlight w:val="none"/>
          <w:lang w:eastAsia="zh-CN"/>
        </w:rPr>
      </w:pPr>
    </w:p>
    <w:p w14:paraId="24535133">
      <w:pPr>
        <w:pStyle w:val="36"/>
        <w:keepNext/>
        <w:keepLines/>
        <w:spacing w:before="120" w:after="300"/>
        <w:jc w:val="both"/>
        <w:rPr>
          <w:rFonts w:ascii="仿宋" w:hAnsi="仿宋" w:eastAsia="仿宋" w:cs="仿宋"/>
          <w:b/>
          <w:bCs/>
          <w:color w:val="auto"/>
          <w:highlight w:val="none"/>
        </w:rPr>
        <w:sectPr>
          <w:footerReference r:id="rId5" w:type="default"/>
          <w:pgSz w:w="11905" w:h="16838"/>
          <w:pgMar w:top="1440" w:right="1417" w:bottom="1440" w:left="1417" w:header="850" w:footer="992" w:gutter="0"/>
          <w:pgNumType w:start="1"/>
          <w:cols w:space="0" w:num="1"/>
          <w:rtlGutter w:val="0"/>
          <w:docGrid w:type="linesAndChars" w:linePitch="332" w:charSpace="1057"/>
        </w:sectPr>
      </w:pPr>
    </w:p>
    <w:p w14:paraId="035CC816">
      <w:pPr>
        <w:pStyle w:val="36"/>
        <w:keepNext/>
        <w:keepLines/>
        <w:pageBreakBefore w:val="0"/>
        <w:kinsoku/>
        <w:wordWrap/>
        <w:overflowPunct/>
        <w:topLinePunct w:val="0"/>
        <w:autoSpaceDE/>
        <w:autoSpaceDN/>
        <w:bidi w:val="0"/>
        <w:adjustRightInd/>
        <w:snapToGrid/>
        <w:spacing w:before="120" w:after="300" w:line="40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rPr>
        <w:t>第一部分</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lang w:eastAsia="zh-CN"/>
        </w:rPr>
        <w:t>招标公告</w:t>
      </w:r>
    </w:p>
    <w:p w14:paraId="4A4F0DC4">
      <w:pPr>
        <w:pStyle w:val="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auto"/>
          <w:spacing w:val="0"/>
          <w:kern w:val="0"/>
          <w:sz w:val="32"/>
          <w:szCs w:val="32"/>
          <w:highlight w:val="none"/>
          <w:lang w:val="en-US" w:eastAsia="zh-CN" w:bidi="ar"/>
        </w:rPr>
      </w:pPr>
      <w:r>
        <w:rPr>
          <w:rFonts w:hint="eastAsia" w:ascii="仿宋" w:hAnsi="仿宋" w:eastAsia="仿宋" w:cs="仿宋"/>
          <w:b/>
          <w:bCs/>
          <w:i w:val="0"/>
          <w:iCs w:val="0"/>
          <w:caps w:val="0"/>
          <w:color w:val="auto"/>
          <w:spacing w:val="0"/>
          <w:kern w:val="0"/>
          <w:sz w:val="32"/>
          <w:szCs w:val="32"/>
          <w:highlight w:val="none"/>
          <w:lang w:val="en-US" w:eastAsia="zh-CN" w:bidi="ar"/>
        </w:rPr>
        <w:t>教育系统2025-2026学年大宗食材采购项目（食材包一）</w:t>
      </w:r>
    </w:p>
    <w:p w14:paraId="5D387EA6">
      <w:pPr>
        <w:pStyle w:val="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olor w:val="auto"/>
          <w:highlight w:val="none"/>
          <w:lang w:val="en-US" w:eastAsia="zh-CN"/>
        </w:rPr>
      </w:pPr>
      <w:r>
        <w:rPr>
          <w:rFonts w:hint="eastAsia" w:ascii="仿宋" w:hAnsi="仿宋" w:eastAsia="仿宋" w:cs="仿宋"/>
          <w:b/>
          <w:bCs/>
          <w:i w:val="0"/>
          <w:iCs w:val="0"/>
          <w:caps w:val="0"/>
          <w:color w:val="auto"/>
          <w:spacing w:val="0"/>
          <w:kern w:val="0"/>
          <w:sz w:val="32"/>
          <w:szCs w:val="32"/>
          <w:highlight w:val="none"/>
          <w:lang w:val="en-US" w:eastAsia="zh-CN" w:bidi="ar"/>
        </w:rPr>
        <w:t>公开招标公告</w:t>
      </w:r>
    </w:p>
    <w:p w14:paraId="01C23A56">
      <w:pPr>
        <w:rPr>
          <w:rFonts w:hint="eastAsia"/>
          <w:color w:val="auto"/>
          <w:highlight w:val="none"/>
          <w:lang w:val="en-US" w:eastAsia="zh-CN"/>
        </w:rPr>
      </w:pP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108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8522" w:type="dxa"/>
            <w:noWrap w:val="0"/>
            <w:vAlign w:val="top"/>
          </w:tcPr>
          <w:p w14:paraId="2463D4DF">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项目概况</w:t>
            </w:r>
          </w:p>
          <w:p w14:paraId="75E257AF">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jc w:val="both"/>
              <w:textAlignment w:val="auto"/>
              <w:rPr>
                <w:b w:val="0"/>
                <w:bCs w:val="0"/>
                <w:color w:val="auto"/>
                <w:sz w:val="36"/>
                <w:szCs w:val="36"/>
                <w:highlight w:val="none"/>
                <w:vertAlign w:val="baseline"/>
              </w:rPr>
            </w:pPr>
            <w:r>
              <w:rPr>
                <w:rFonts w:hint="eastAsia" w:ascii="仿宋" w:hAnsi="仿宋" w:eastAsia="仿宋" w:cs="仿宋"/>
                <w:i w:val="0"/>
                <w:iCs w:val="0"/>
                <w:caps w:val="0"/>
                <w:color w:val="auto"/>
                <w:spacing w:val="0"/>
                <w:sz w:val="24"/>
                <w:szCs w:val="24"/>
                <w:highlight w:val="none"/>
                <w:u w:val="single"/>
                <w:lang w:val="en-US" w:eastAsia="zh-CN"/>
              </w:rPr>
              <w:t>教育系统2025-2026学年大宗食材采购项目（食材包一）</w:t>
            </w:r>
            <w:r>
              <w:rPr>
                <w:rFonts w:hint="eastAsia" w:ascii="仿宋" w:hAnsi="仿宋" w:eastAsia="仿宋" w:cs="仿宋"/>
                <w:i w:val="0"/>
                <w:iCs w:val="0"/>
                <w:caps w:val="0"/>
                <w:color w:val="auto"/>
                <w:spacing w:val="0"/>
                <w:sz w:val="24"/>
                <w:szCs w:val="24"/>
                <w:highlight w:val="none"/>
              </w:rPr>
              <w:t>的潜在投标人应在政采云平台线上获取招标文件</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b w:val="0"/>
                <w:bCs w:val="0"/>
                <w:i w:val="0"/>
                <w:iCs w:val="0"/>
                <w:caps w:val="0"/>
                <w:color w:val="auto"/>
                <w:spacing w:val="0"/>
                <w:sz w:val="24"/>
                <w:szCs w:val="24"/>
                <w:highlight w:val="none"/>
              </w:rPr>
              <w:t>并于</w:t>
            </w:r>
            <w:r>
              <w:rPr>
                <w:rFonts w:hint="eastAsia" w:ascii="仿宋" w:hAnsi="仿宋" w:eastAsia="仿宋" w:cs="仿宋"/>
                <w:b w:val="0"/>
                <w:bCs w:val="0"/>
                <w:i w:val="0"/>
                <w:iCs w:val="0"/>
                <w:caps w:val="0"/>
                <w:color w:val="auto"/>
                <w:spacing w:val="0"/>
                <w:sz w:val="24"/>
                <w:szCs w:val="24"/>
                <w:highlight w:val="none"/>
                <w:u w:val="single"/>
              </w:rPr>
              <w:t>202</w:t>
            </w:r>
            <w:r>
              <w:rPr>
                <w:rFonts w:hint="eastAsia" w:ascii="仿宋" w:hAnsi="仿宋" w:eastAsia="仿宋" w:cs="仿宋"/>
                <w:b w:val="0"/>
                <w:bCs w:val="0"/>
                <w:i w:val="0"/>
                <w:iCs w:val="0"/>
                <w:caps w:val="0"/>
                <w:color w:val="auto"/>
                <w:spacing w:val="0"/>
                <w:sz w:val="24"/>
                <w:szCs w:val="24"/>
                <w:highlight w:val="none"/>
                <w:u w:val="single"/>
                <w:lang w:val="en-US" w:eastAsia="zh-CN"/>
              </w:rPr>
              <w:t>5</w:t>
            </w:r>
            <w:r>
              <w:rPr>
                <w:rFonts w:hint="eastAsia" w:ascii="仿宋" w:hAnsi="仿宋" w:eastAsia="仿宋" w:cs="仿宋"/>
                <w:b w:val="0"/>
                <w:bCs w:val="0"/>
                <w:i w:val="0"/>
                <w:iCs w:val="0"/>
                <w:caps w:val="0"/>
                <w:color w:val="auto"/>
                <w:spacing w:val="0"/>
                <w:sz w:val="24"/>
                <w:szCs w:val="24"/>
                <w:highlight w:val="none"/>
                <w:u w:val="single"/>
              </w:rPr>
              <w:t>年</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7 </w:t>
            </w:r>
            <w:r>
              <w:rPr>
                <w:rFonts w:hint="eastAsia" w:ascii="仿宋" w:hAnsi="仿宋" w:eastAsia="仿宋" w:cs="仿宋"/>
                <w:b w:val="0"/>
                <w:bCs w:val="0"/>
                <w:i w:val="0"/>
                <w:iCs w:val="0"/>
                <w:caps w:val="0"/>
                <w:color w:val="auto"/>
                <w:spacing w:val="0"/>
                <w:sz w:val="24"/>
                <w:szCs w:val="24"/>
                <w:highlight w:val="none"/>
                <w:u w:val="single"/>
              </w:rPr>
              <w:t>月</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29 </w:t>
            </w:r>
            <w:r>
              <w:rPr>
                <w:rFonts w:hint="eastAsia" w:ascii="仿宋" w:hAnsi="仿宋" w:eastAsia="仿宋" w:cs="仿宋"/>
                <w:b w:val="0"/>
                <w:bCs w:val="0"/>
                <w:i w:val="0"/>
                <w:iCs w:val="0"/>
                <w:caps w:val="0"/>
                <w:color w:val="auto"/>
                <w:spacing w:val="0"/>
                <w:sz w:val="24"/>
                <w:szCs w:val="24"/>
                <w:highlight w:val="none"/>
                <w:u w:val="single"/>
              </w:rPr>
              <w:t>日</w:t>
            </w:r>
            <w:r>
              <w:rPr>
                <w:rFonts w:hint="eastAsia" w:ascii="仿宋" w:hAnsi="仿宋" w:eastAsia="仿宋" w:cs="仿宋"/>
                <w:b w:val="0"/>
                <w:bCs w:val="0"/>
                <w:i w:val="0"/>
                <w:iCs w:val="0"/>
                <w:caps w:val="0"/>
                <w:color w:val="auto"/>
                <w:spacing w:val="0"/>
                <w:sz w:val="24"/>
                <w:szCs w:val="24"/>
                <w:highlight w:val="none"/>
                <w:u w:val="single"/>
                <w:lang w:val="en-US" w:eastAsia="zh-CN"/>
              </w:rPr>
              <w:t>10</w:t>
            </w:r>
            <w:r>
              <w:rPr>
                <w:rFonts w:hint="eastAsia" w:ascii="仿宋" w:hAnsi="仿宋" w:eastAsia="仿宋" w:cs="仿宋"/>
                <w:b w:val="0"/>
                <w:bCs w:val="0"/>
                <w:i w:val="0"/>
                <w:iCs w:val="0"/>
                <w:caps w:val="0"/>
                <w:color w:val="auto"/>
                <w:spacing w:val="0"/>
                <w:sz w:val="24"/>
                <w:szCs w:val="24"/>
                <w:highlight w:val="none"/>
                <w:u w:val="single"/>
              </w:rPr>
              <w:t>:</w:t>
            </w:r>
            <w:r>
              <w:rPr>
                <w:rFonts w:hint="eastAsia" w:ascii="仿宋" w:hAnsi="仿宋" w:eastAsia="仿宋" w:cs="仿宋"/>
                <w:b w:val="0"/>
                <w:bCs w:val="0"/>
                <w:i w:val="0"/>
                <w:iCs w:val="0"/>
                <w:caps w:val="0"/>
                <w:color w:val="auto"/>
                <w:spacing w:val="0"/>
                <w:sz w:val="24"/>
                <w:szCs w:val="24"/>
                <w:highlight w:val="none"/>
                <w:u w:val="single"/>
                <w:lang w:val="en-US" w:eastAsia="zh-CN"/>
              </w:rPr>
              <w:t>3</w:t>
            </w:r>
            <w:r>
              <w:rPr>
                <w:rFonts w:hint="eastAsia" w:ascii="仿宋" w:hAnsi="仿宋" w:eastAsia="仿宋" w:cs="仿宋"/>
                <w:b w:val="0"/>
                <w:bCs w:val="0"/>
                <w:i w:val="0"/>
                <w:iCs w:val="0"/>
                <w:caps w:val="0"/>
                <w:color w:val="auto"/>
                <w:spacing w:val="0"/>
                <w:sz w:val="24"/>
                <w:szCs w:val="24"/>
                <w:highlight w:val="none"/>
                <w:u w:val="single"/>
              </w:rPr>
              <w:t>0</w:t>
            </w:r>
            <w:r>
              <w:rPr>
                <w:rFonts w:hint="eastAsia" w:ascii="仿宋" w:hAnsi="仿宋" w:eastAsia="仿宋" w:cs="仿宋"/>
                <w:b w:val="0"/>
                <w:bCs w:val="0"/>
                <w:i w:val="0"/>
                <w:iCs w:val="0"/>
                <w:caps w:val="0"/>
                <w:color w:val="auto"/>
                <w:spacing w:val="0"/>
                <w:sz w:val="24"/>
                <w:szCs w:val="24"/>
                <w:highlight w:val="none"/>
              </w:rPr>
              <w:t>（北京时间）前递交投标文件。</w:t>
            </w:r>
          </w:p>
        </w:tc>
      </w:tr>
    </w:tbl>
    <w:p w14:paraId="09EA380A">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一、项目基本情况</w:t>
      </w:r>
    </w:p>
    <w:p w14:paraId="4D6126A0">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项目编号：</w:t>
      </w:r>
      <w:r>
        <w:rPr>
          <w:rFonts w:hint="eastAsia" w:ascii="仿宋" w:hAnsi="仿宋" w:eastAsia="仿宋" w:cs="仿宋"/>
          <w:b w:val="0"/>
          <w:bCs w:val="0"/>
          <w:i w:val="0"/>
          <w:iCs w:val="0"/>
          <w:caps w:val="0"/>
          <w:color w:val="auto"/>
          <w:spacing w:val="0"/>
          <w:sz w:val="24"/>
          <w:szCs w:val="24"/>
          <w:highlight w:val="none"/>
          <w:lang w:val="en-US" w:eastAsia="zh-CN"/>
        </w:rPr>
        <w:t>ALTZFCG2025-029</w:t>
      </w:r>
    </w:p>
    <w:p w14:paraId="7BD91ED1">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w w:val="9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项目名称：</w:t>
      </w:r>
      <w:r>
        <w:rPr>
          <w:rFonts w:hint="eastAsia" w:ascii="仿宋" w:hAnsi="仿宋" w:eastAsia="仿宋" w:cs="仿宋"/>
          <w:b w:val="0"/>
          <w:bCs w:val="0"/>
          <w:i w:val="0"/>
          <w:iCs w:val="0"/>
          <w:caps w:val="0"/>
          <w:color w:val="auto"/>
          <w:spacing w:val="0"/>
          <w:sz w:val="24"/>
          <w:szCs w:val="24"/>
          <w:highlight w:val="none"/>
          <w:lang w:val="en-US" w:eastAsia="zh-CN"/>
        </w:rPr>
        <w:t>教育系统2025-2026学年大宗食材采购项目（食材包一）</w:t>
      </w:r>
    </w:p>
    <w:p w14:paraId="0AF29BD2">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采购方式：公开招标</w:t>
      </w:r>
    </w:p>
    <w:p w14:paraId="37AE7EE1">
      <w:pPr>
        <w:pStyle w:val="20"/>
        <w:keepNext w:val="0"/>
        <w:keepLines w:val="0"/>
        <w:pageBreakBefore w:val="0"/>
        <w:widowControl/>
        <w:suppressLineNumbers w:val="0"/>
        <w:tabs>
          <w:tab w:val="left" w:pos="7250"/>
        </w:tabs>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预算金额（元）：</w:t>
      </w:r>
      <w:r>
        <w:rPr>
          <w:rFonts w:hint="eastAsia" w:ascii="仿宋" w:hAnsi="仿宋" w:eastAsia="仿宋" w:cs="仿宋"/>
          <w:b w:val="0"/>
          <w:bCs w:val="0"/>
          <w:i w:val="0"/>
          <w:iCs w:val="0"/>
          <w:caps w:val="0"/>
          <w:color w:val="auto"/>
          <w:spacing w:val="0"/>
          <w:sz w:val="24"/>
          <w:szCs w:val="24"/>
          <w:highlight w:val="none"/>
          <w:lang w:val="en-US" w:eastAsia="zh-CN"/>
        </w:rPr>
        <w:t>1</w:t>
      </w:r>
      <w:r>
        <w:rPr>
          <w:rFonts w:hint="eastAsia" w:ascii="仿宋" w:hAnsi="仿宋" w:eastAsia="仿宋" w:cs="仿宋"/>
          <w:b w:val="0"/>
          <w:bCs w:val="0"/>
          <w:i w:val="0"/>
          <w:iCs w:val="0"/>
          <w:caps w:val="0"/>
          <w:color w:val="auto"/>
          <w:spacing w:val="0"/>
          <w:sz w:val="24"/>
          <w:szCs w:val="24"/>
          <w:highlight w:val="none"/>
          <w:lang w:val="en-US" w:eastAsia="zh-CN"/>
        </w:rPr>
        <w:tab/>
      </w:r>
    </w:p>
    <w:p w14:paraId="5DBC57AD">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最高限价（元）：</w:t>
      </w:r>
      <w:r>
        <w:rPr>
          <w:rFonts w:hint="eastAsia" w:ascii="仿宋" w:hAnsi="仿宋" w:eastAsia="仿宋" w:cs="仿宋"/>
          <w:b w:val="0"/>
          <w:bCs w:val="0"/>
          <w:i w:val="0"/>
          <w:iCs w:val="0"/>
          <w:caps w:val="0"/>
          <w:color w:val="auto"/>
          <w:spacing w:val="0"/>
          <w:sz w:val="24"/>
          <w:szCs w:val="24"/>
          <w:highlight w:val="none"/>
          <w:lang w:val="en-US" w:eastAsia="zh-CN"/>
        </w:rPr>
        <w:t>1</w:t>
      </w:r>
    </w:p>
    <w:p w14:paraId="556D817E">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采购需求：</w:t>
      </w:r>
      <w:r>
        <w:rPr>
          <w:rFonts w:hint="eastAsia" w:ascii="仿宋" w:hAnsi="仿宋" w:eastAsia="仿宋" w:cs="仿宋"/>
          <w:b w:val="0"/>
          <w:bCs w:val="0"/>
          <w:i w:val="0"/>
          <w:iCs w:val="0"/>
          <w:caps w:val="0"/>
          <w:color w:val="auto"/>
          <w:spacing w:val="0"/>
          <w:sz w:val="24"/>
          <w:szCs w:val="24"/>
          <w:highlight w:val="none"/>
          <w:lang w:eastAsia="zh-CN"/>
        </w:rPr>
        <w:br w:type="textWrapping"/>
      </w:r>
      <w:r>
        <w:rPr>
          <w:rFonts w:hint="eastAsia" w:ascii="仿宋" w:hAnsi="仿宋" w:eastAsia="仿宋" w:cs="仿宋"/>
          <w:b w:val="0"/>
          <w:bCs w:val="0"/>
          <w:i w:val="0"/>
          <w:iCs w:val="0"/>
          <w:caps w:val="0"/>
          <w:color w:val="auto"/>
          <w:spacing w:val="0"/>
          <w:sz w:val="24"/>
          <w:szCs w:val="24"/>
          <w:highlight w:val="none"/>
          <w:lang w:eastAsia="zh-CN"/>
        </w:rPr>
        <w:t>标项一</w:t>
      </w:r>
      <w:r>
        <w:rPr>
          <w:rFonts w:hint="eastAsia" w:ascii="仿宋" w:hAnsi="仿宋" w:eastAsia="仿宋" w:cs="仿宋"/>
          <w:b w:val="0"/>
          <w:bCs w:val="0"/>
          <w:i w:val="0"/>
          <w:iCs w:val="0"/>
          <w:caps w:val="0"/>
          <w:color w:val="auto"/>
          <w:spacing w:val="0"/>
          <w:sz w:val="24"/>
          <w:szCs w:val="24"/>
          <w:highlight w:val="none"/>
          <w:lang w:eastAsia="zh-CN"/>
        </w:rPr>
        <w:br w:type="textWrapping"/>
      </w:r>
      <w:r>
        <w:rPr>
          <w:rFonts w:hint="eastAsia" w:ascii="仿宋" w:hAnsi="仿宋" w:eastAsia="仿宋" w:cs="仿宋"/>
          <w:b w:val="0"/>
          <w:bCs w:val="0"/>
          <w:i w:val="0"/>
          <w:iCs w:val="0"/>
          <w:caps w:val="0"/>
          <w:color w:val="auto"/>
          <w:spacing w:val="0"/>
          <w:sz w:val="24"/>
          <w:szCs w:val="24"/>
          <w:highlight w:val="none"/>
          <w:lang w:eastAsia="zh-CN"/>
        </w:rPr>
        <w:t>标项名称:</w:t>
      </w:r>
      <w:r>
        <w:rPr>
          <w:rFonts w:hint="eastAsia" w:ascii="仿宋" w:hAnsi="仿宋" w:eastAsia="仿宋" w:cs="仿宋"/>
          <w:b w:val="0"/>
          <w:bCs w:val="0"/>
          <w:i w:val="0"/>
          <w:iCs w:val="0"/>
          <w:caps w:val="0"/>
          <w:color w:val="auto"/>
          <w:spacing w:val="0"/>
          <w:sz w:val="24"/>
          <w:szCs w:val="24"/>
          <w:highlight w:val="none"/>
          <w:lang w:val="en-US" w:eastAsia="zh-CN"/>
        </w:rPr>
        <w:t>教育系统2025-2026学年大宗食材采购项目（食材包一）</w:t>
      </w:r>
    </w:p>
    <w:p w14:paraId="7DF06C02">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数量:</w:t>
      </w:r>
      <w:r>
        <w:rPr>
          <w:rFonts w:hint="eastAsia" w:ascii="仿宋" w:hAnsi="仿宋" w:eastAsia="仿宋" w:cs="仿宋"/>
          <w:b w:val="0"/>
          <w:bCs w:val="0"/>
          <w:i w:val="0"/>
          <w:iCs w:val="0"/>
          <w:caps w:val="0"/>
          <w:color w:val="auto"/>
          <w:spacing w:val="0"/>
          <w:sz w:val="24"/>
          <w:szCs w:val="24"/>
          <w:highlight w:val="none"/>
          <w:lang w:val="en-US" w:eastAsia="zh-CN"/>
        </w:rPr>
        <w:t>1批</w:t>
      </w:r>
    </w:p>
    <w:p w14:paraId="615CF962">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预算金额（元）：</w:t>
      </w:r>
      <w:r>
        <w:rPr>
          <w:rFonts w:hint="eastAsia" w:ascii="仿宋" w:hAnsi="仿宋" w:eastAsia="仿宋" w:cs="仿宋"/>
          <w:b w:val="0"/>
          <w:bCs w:val="0"/>
          <w:i w:val="0"/>
          <w:iCs w:val="0"/>
          <w:caps w:val="0"/>
          <w:color w:val="auto"/>
          <w:spacing w:val="0"/>
          <w:sz w:val="24"/>
          <w:szCs w:val="24"/>
          <w:highlight w:val="none"/>
          <w:lang w:val="en-US" w:eastAsia="zh-CN"/>
        </w:rPr>
        <w:t>1</w:t>
      </w:r>
    </w:p>
    <w:p w14:paraId="083B1D12">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简要规格描述或项目基本概况介绍、用途：</w:t>
      </w:r>
      <w:r>
        <w:rPr>
          <w:rFonts w:hint="eastAsia" w:ascii="仿宋" w:hAnsi="仿宋" w:eastAsia="仿宋" w:cs="仿宋"/>
          <w:b w:val="0"/>
          <w:bCs w:val="0"/>
          <w:i w:val="0"/>
          <w:iCs w:val="0"/>
          <w:caps w:val="0"/>
          <w:color w:val="auto"/>
          <w:spacing w:val="0"/>
          <w:sz w:val="24"/>
          <w:szCs w:val="24"/>
          <w:highlight w:val="none"/>
          <w:lang w:val="en-US" w:eastAsia="zh-CN"/>
        </w:rPr>
        <w:t>采购大宗食材包括蔬菜类、水果类、米面油类、调味品、鸡肉类、营养餐等副食品类。</w:t>
      </w:r>
      <w:r>
        <w:rPr>
          <w:rFonts w:hint="eastAsia" w:ascii="仿宋" w:hAnsi="仿宋" w:eastAsia="仿宋" w:cs="仿宋"/>
          <w:b w:val="0"/>
          <w:bCs w:val="0"/>
          <w:i w:val="0"/>
          <w:iCs w:val="0"/>
          <w:caps w:val="0"/>
          <w:color w:val="auto"/>
          <w:spacing w:val="0"/>
          <w:sz w:val="24"/>
          <w:szCs w:val="24"/>
          <w:highlight w:val="none"/>
          <w:lang w:eastAsia="zh-CN"/>
        </w:rPr>
        <w:t>（</w:t>
      </w:r>
      <w:r>
        <w:rPr>
          <w:rFonts w:hint="eastAsia" w:ascii="仿宋" w:hAnsi="仿宋" w:eastAsia="仿宋" w:cs="仿宋"/>
          <w:b w:val="0"/>
          <w:bCs w:val="0"/>
          <w:i w:val="0"/>
          <w:iCs w:val="0"/>
          <w:caps w:val="0"/>
          <w:color w:val="auto"/>
          <w:spacing w:val="0"/>
          <w:sz w:val="24"/>
          <w:szCs w:val="24"/>
          <w:highlight w:val="none"/>
          <w:lang w:val="en-US" w:eastAsia="zh-CN"/>
        </w:rPr>
        <w:t>需求参数</w:t>
      </w:r>
      <w:r>
        <w:rPr>
          <w:rFonts w:hint="eastAsia" w:ascii="仿宋" w:hAnsi="仿宋" w:eastAsia="仿宋" w:cs="仿宋"/>
          <w:b w:val="0"/>
          <w:bCs w:val="0"/>
          <w:i w:val="0"/>
          <w:iCs w:val="0"/>
          <w:caps w:val="0"/>
          <w:color w:val="auto"/>
          <w:spacing w:val="0"/>
          <w:sz w:val="24"/>
          <w:szCs w:val="24"/>
          <w:highlight w:val="none"/>
          <w:lang w:eastAsia="zh-CN"/>
        </w:rPr>
        <w:t>详见</w:t>
      </w:r>
      <w:r>
        <w:rPr>
          <w:rFonts w:hint="eastAsia" w:ascii="仿宋" w:hAnsi="仿宋" w:eastAsia="仿宋" w:cs="仿宋"/>
          <w:b w:val="0"/>
          <w:bCs w:val="0"/>
          <w:i w:val="0"/>
          <w:iCs w:val="0"/>
          <w:caps w:val="0"/>
          <w:color w:val="auto"/>
          <w:spacing w:val="0"/>
          <w:sz w:val="24"/>
          <w:szCs w:val="24"/>
          <w:highlight w:val="none"/>
          <w:lang w:val="en-US" w:eastAsia="zh-CN"/>
        </w:rPr>
        <w:t>招标文件</w:t>
      </w:r>
      <w:r>
        <w:rPr>
          <w:rFonts w:hint="eastAsia" w:ascii="仿宋" w:hAnsi="仿宋" w:eastAsia="仿宋" w:cs="仿宋"/>
          <w:b w:val="0"/>
          <w:bCs w:val="0"/>
          <w:i w:val="0"/>
          <w:iCs w:val="0"/>
          <w:caps w:val="0"/>
          <w:color w:val="auto"/>
          <w:spacing w:val="0"/>
          <w:sz w:val="24"/>
          <w:szCs w:val="24"/>
          <w:highlight w:val="none"/>
          <w:lang w:eastAsia="zh-CN"/>
        </w:rPr>
        <w:t>）</w:t>
      </w:r>
      <w:r>
        <w:rPr>
          <w:rFonts w:hint="eastAsia" w:ascii="仿宋" w:hAnsi="仿宋" w:eastAsia="仿宋" w:cs="仿宋"/>
          <w:b w:val="0"/>
          <w:bCs w:val="0"/>
          <w:i w:val="0"/>
          <w:iCs w:val="0"/>
          <w:caps w:val="0"/>
          <w:color w:val="auto"/>
          <w:spacing w:val="0"/>
          <w:sz w:val="24"/>
          <w:szCs w:val="24"/>
          <w:highlight w:val="none"/>
          <w:lang w:val="en-US" w:eastAsia="zh-CN"/>
        </w:rPr>
        <w:t>。</w:t>
      </w:r>
    </w:p>
    <w:p w14:paraId="72E165A6">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合同履约期限：详见招标文件</w:t>
      </w:r>
    </w:p>
    <w:p w14:paraId="65818A36">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本项目不接受联合体投标。</w:t>
      </w:r>
    </w:p>
    <w:p w14:paraId="5B1486AE">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二、申请人的资格要求：</w:t>
      </w:r>
    </w:p>
    <w:p w14:paraId="2187EF49">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1.满足《中华人民共和国政府采购法》第二十二条规定；</w:t>
      </w:r>
    </w:p>
    <w:p w14:paraId="74E548CD">
      <w:pPr>
        <w:keepNext w:val="0"/>
        <w:keepLines w:val="0"/>
        <w:pageBreakBefore w:val="0"/>
        <w:kinsoku/>
        <w:wordWrap/>
        <w:overflowPunct/>
        <w:topLinePunct w:val="0"/>
        <w:autoSpaceDE/>
        <w:autoSpaceDN/>
        <w:bidi w:val="0"/>
        <w:spacing w:line="360" w:lineRule="exact"/>
        <w:ind w:firstLine="480" w:firstLineChars="200"/>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2.落实政府采购政策需满足的资格要求：</w:t>
      </w:r>
      <w:r>
        <w:rPr>
          <w:rFonts w:hint="eastAsia" w:ascii="仿宋" w:hAnsi="仿宋" w:eastAsia="仿宋" w:cs="仿宋"/>
          <w:b w:val="0"/>
          <w:bCs w:val="0"/>
          <w:i w:val="0"/>
          <w:iCs w:val="0"/>
          <w:caps w:val="0"/>
          <w:color w:val="auto"/>
          <w:spacing w:val="0"/>
          <w:sz w:val="24"/>
          <w:szCs w:val="24"/>
          <w:highlight w:val="none"/>
          <w:lang w:val="en-US" w:eastAsia="zh-CN"/>
        </w:rPr>
        <w:t>该项目为不专门面向中小企业预留采购项目，符合《政府采购促进中小企业发展管理办法》(财库(2020)46 号)；《关于进一步加大政府采购支持中小企业力度的通知》财库【2022】19号给与政策支持。</w:t>
      </w:r>
    </w:p>
    <w:p w14:paraId="0902E766">
      <w:pPr>
        <w:pStyle w:val="33"/>
        <w:keepNext w:val="0"/>
        <w:keepLines w:val="0"/>
        <w:pageBreakBefore w:val="0"/>
        <w:kinsoku/>
        <w:wordWrap/>
        <w:overflowPunct/>
        <w:topLinePunct w:val="0"/>
        <w:autoSpaceDE/>
        <w:autoSpaceDN/>
        <w:bidi w:val="0"/>
        <w:spacing w:line="360" w:lineRule="exact"/>
        <w:ind w:left="0" w:leftChars="0" w:firstLine="480" w:firstLineChars="200"/>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 xml:space="preserve">3.本项目的特定资格要求：供应商是经销商的须具备《食品经营许可证》， 生产厂家具备的《食品生产许可证》； </w:t>
      </w:r>
    </w:p>
    <w:p w14:paraId="220098E4">
      <w:pPr>
        <w:pStyle w:val="33"/>
        <w:keepNext w:val="0"/>
        <w:keepLines w:val="0"/>
        <w:pageBreakBefore w:val="0"/>
        <w:kinsoku/>
        <w:wordWrap/>
        <w:overflowPunct/>
        <w:topLinePunct w:val="0"/>
        <w:autoSpaceDE/>
        <w:autoSpaceDN/>
        <w:bidi w:val="0"/>
        <w:spacing w:line="360" w:lineRule="exact"/>
        <w:ind w:left="0" w:leftChars="0" w:firstLine="482" w:firstLineChars="200"/>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三、获取招标文件</w:t>
      </w:r>
    </w:p>
    <w:p w14:paraId="0BA47FD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 7</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lang w:eastAsia="zh-CN"/>
        </w:rPr>
        <w:t>日至</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 xml:space="preserve"> 14</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lang w:eastAsia="zh-CN"/>
        </w:rPr>
        <w:t>，每天上午10:00至</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0，下午16:</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0至</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（北京时间，节假日除外）</w:t>
      </w:r>
    </w:p>
    <w:p w14:paraId="10BEA8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2、地点：政采云平台线上</w:t>
      </w:r>
    </w:p>
    <w:p w14:paraId="1470B5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3、方式：供应商登录政采云平台https://www.zcygov.cn/在线申请获取采购文件（进入“项目采购”应用，在获取采购文件菜单中选择项目，申请获取采购文件）</w:t>
      </w:r>
    </w:p>
    <w:p w14:paraId="4191F8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4、售价（元）：0</w:t>
      </w:r>
    </w:p>
    <w:p w14:paraId="5B830987">
      <w:pPr>
        <w:keepNext w:val="0"/>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四、提交投标文件截止时间、开标时间和地点</w:t>
      </w:r>
    </w:p>
    <w:p w14:paraId="2F91597F">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截止时间：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5</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 xml:space="preserve"> 7 </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29</w:t>
      </w:r>
      <w:r>
        <w:rPr>
          <w:rFonts w:hint="eastAsia" w:ascii="仿宋" w:hAnsi="仿宋" w:eastAsia="仿宋" w:cs="仿宋"/>
          <w:color w:val="auto"/>
          <w:kern w:val="2"/>
          <w:sz w:val="24"/>
          <w:szCs w:val="24"/>
          <w:highlight w:val="none"/>
          <w:u w:val="single"/>
          <w:lang w:eastAsia="zh-CN" w:bidi="ar-SA"/>
        </w:rPr>
        <w:t xml:space="preserve">日 </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w:t>
      </w:r>
      <w:r>
        <w:rPr>
          <w:rFonts w:hint="eastAsia" w:ascii="仿宋" w:hAnsi="仿宋" w:eastAsia="仿宋" w:cs="仿宋"/>
          <w:color w:val="auto"/>
          <w:kern w:val="2"/>
          <w:sz w:val="24"/>
          <w:szCs w:val="24"/>
          <w:highlight w:val="none"/>
          <w:u w:val="single"/>
          <w:lang w:val="en-US" w:eastAsia="zh-CN" w:bidi="ar-SA"/>
        </w:rPr>
        <w:t>30</w:t>
      </w:r>
      <w:r>
        <w:rPr>
          <w:rFonts w:hint="eastAsia" w:ascii="仿宋" w:hAnsi="仿宋" w:eastAsia="仿宋" w:cs="仿宋"/>
          <w:color w:val="auto"/>
          <w:kern w:val="2"/>
          <w:sz w:val="24"/>
          <w:szCs w:val="24"/>
          <w:highlight w:val="none"/>
          <w:u w:val="single"/>
          <w:lang w:eastAsia="zh-CN" w:bidi="ar-SA"/>
        </w:rPr>
        <w:t xml:space="preserve"> </w:t>
      </w:r>
      <w:r>
        <w:rPr>
          <w:rFonts w:hint="eastAsia" w:ascii="仿宋" w:hAnsi="仿宋" w:eastAsia="仿宋" w:cs="仿宋"/>
          <w:color w:val="auto"/>
          <w:kern w:val="2"/>
          <w:sz w:val="24"/>
          <w:szCs w:val="24"/>
          <w:highlight w:val="none"/>
          <w:lang w:eastAsia="zh-CN" w:bidi="ar-SA"/>
        </w:rPr>
        <w:t>（北京时间）</w:t>
      </w:r>
    </w:p>
    <w:p w14:paraId="3BFAECBF">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投标地点：政府采购云平台（www.zcygov.cn）供应商应于递交投标文件截止时间之前将电子投标文件上传到“政采云”平台。</w:t>
      </w:r>
    </w:p>
    <w:p w14:paraId="28BCEA3A">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开标时间：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5</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7</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29</w:t>
      </w:r>
      <w:r>
        <w:rPr>
          <w:rFonts w:hint="eastAsia" w:ascii="仿宋" w:hAnsi="仿宋" w:eastAsia="仿宋" w:cs="仿宋"/>
          <w:color w:val="auto"/>
          <w:kern w:val="2"/>
          <w:sz w:val="24"/>
          <w:szCs w:val="24"/>
          <w:highlight w:val="none"/>
          <w:u w:val="single"/>
          <w:lang w:eastAsia="zh-CN" w:bidi="ar-SA"/>
        </w:rPr>
        <w:t xml:space="preserve">日 </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w:t>
      </w:r>
      <w:r>
        <w:rPr>
          <w:rFonts w:hint="eastAsia" w:ascii="仿宋" w:hAnsi="仿宋" w:eastAsia="仿宋" w:cs="仿宋"/>
          <w:color w:val="auto"/>
          <w:kern w:val="2"/>
          <w:sz w:val="24"/>
          <w:szCs w:val="24"/>
          <w:highlight w:val="none"/>
          <w:u w:val="single"/>
          <w:lang w:val="en-US" w:eastAsia="zh-CN" w:bidi="ar-SA"/>
        </w:rPr>
        <w:t>30</w:t>
      </w:r>
      <w:r>
        <w:rPr>
          <w:rFonts w:hint="eastAsia" w:ascii="仿宋" w:hAnsi="仿宋" w:eastAsia="仿宋" w:cs="仿宋"/>
          <w:color w:val="auto"/>
          <w:kern w:val="2"/>
          <w:sz w:val="24"/>
          <w:szCs w:val="24"/>
          <w:highlight w:val="none"/>
          <w:lang w:eastAsia="zh-CN" w:bidi="ar-SA"/>
        </w:rPr>
        <w:t>（北京时间）</w:t>
      </w:r>
    </w:p>
    <w:p w14:paraId="6A1499D9">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开标地点：投标人登录政采云平台https://www.zcygov.cn/，进入“项目采购-开标评标-右边选择对应项目点击“进入项目”进入开标大厅。</w:t>
      </w:r>
    </w:p>
    <w:p w14:paraId="7BB0544D">
      <w:pPr>
        <w:keepNext w:val="0"/>
        <w:keepLines w:val="0"/>
        <w:pageBreakBefore w:val="0"/>
        <w:kinsoku/>
        <w:wordWrap/>
        <w:overflowPunct/>
        <w:topLinePunct w:val="0"/>
        <w:autoSpaceDE/>
        <w:autoSpaceDN/>
        <w:bidi w:val="0"/>
        <w:adjustRightInd/>
        <w:snapToGrid/>
        <w:spacing w:line="360" w:lineRule="exact"/>
        <w:textAlignment w:val="auto"/>
        <w:rPr>
          <w:rFonts w:ascii="仿宋" w:hAnsi="仿宋" w:eastAsia="仿宋" w:cs="仿宋"/>
          <w:b/>
          <w:bCs/>
          <w:color w:val="auto"/>
          <w:kern w:val="2"/>
          <w:sz w:val="24"/>
          <w:szCs w:val="24"/>
          <w:highlight w:val="none"/>
          <w:lang w:eastAsia="zh-CN" w:bidi="ar-SA"/>
        </w:rPr>
      </w:pPr>
      <w:r>
        <w:rPr>
          <w:rFonts w:hint="eastAsia" w:ascii="仿宋" w:hAnsi="仿宋" w:eastAsia="仿宋" w:cs="仿宋"/>
          <w:b/>
          <w:bCs/>
          <w:color w:val="auto"/>
          <w:kern w:val="2"/>
          <w:sz w:val="24"/>
          <w:szCs w:val="24"/>
          <w:highlight w:val="none"/>
          <w:lang w:eastAsia="zh-CN" w:bidi="ar-SA"/>
        </w:rPr>
        <w:t>五、公告期限</w:t>
      </w:r>
    </w:p>
    <w:p w14:paraId="650F5811">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自本公告发布之日起5个工作日</w:t>
      </w:r>
    </w:p>
    <w:p w14:paraId="44BDB95F">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bCs/>
          <w:color w:val="auto"/>
          <w:kern w:val="2"/>
          <w:sz w:val="24"/>
          <w:szCs w:val="24"/>
          <w:highlight w:val="none"/>
          <w:lang w:eastAsia="zh-CN" w:bidi="ar-SA"/>
        </w:rPr>
        <w:t>其他补充事宜：</w:t>
      </w:r>
      <w:r>
        <w:rPr>
          <w:rFonts w:hint="eastAsia" w:ascii="仿宋" w:hAnsi="仿宋" w:eastAsia="仿宋" w:cs="仿宋"/>
          <w:b w:val="0"/>
          <w:bCs w:val="0"/>
          <w:i w:val="0"/>
          <w:iCs w:val="0"/>
          <w:caps w:val="0"/>
          <w:color w:val="auto"/>
          <w:spacing w:val="0"/>
          <w:sz w:val="24"/>
          <w:szCs w:val="24"/>
          <w:highlight w:val="none"/>
          <w:lang w:eastAsia="zh-CN"/>
        </w:rPr>
        <w:t>无</w:t>
      </w:r>
    </w:p>
    <w:p w14:paraId="1610948F">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特别提示：</w:t>
      </w:r>
    </w:p>
    <w:p w14:paraId="4BD4D7C2">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1、采购限额标准以上，200万元以下的货物和服务采购项目、400万元以下的工程采购项目，适宜由中小企业提供的，采购人应当专门面向中小企业采购。</w:t>
      </w:r>
    </w:p>
    <w:p w14:paraId="6D9C63B0">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2、超过200万元的货物和服务采购项目，预留该部分采购项目预算总额的30%以上专门面向中小企业采购，其中预留给小微企业的比例不低于60%。</w:t>
      </w:r>
    </w:p>
    <w:p w14:paraId="76EE51C3">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3、超过400万元的工程采购项目中适宜由中小企业提供的，预留该部分采购项目预算总额的40%以上专门面向中小企业采购，其中预留给小微企业的比例不低于60%。</w:t>
      </w:r>
    </w:p>
    <w:p w14:paraId="63449B67">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502CAF2">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CCAA7CA">
      <w:pPr>
        <w:pStyle w:val="2"/>
        <w:rPr>
          <w:rFonts w:hint="default"/>
          <w:color w:val="auto"/>
          <w:highlight w:val="none"/>
          <w:lang w:val="en-US" w:eastAsia="zh-CN"/>
        </w:rPr>
      </w:pPr>
      <w:r>
        <w:rPr>
          <w:rFonts w:hint="eastAsia" w:ascii="仿宋" w:hAnsi="仿宋" w:eastAsia="仿宋" w:cs="仿宋"/>
          <w:color w:val="auto"/>
          <w:kern w:val="2"/>
          <w:sz w:val="24"/>
          <w:szCs w:val="24"/>
          <w:highlight w:val="none"/>
          <w:lang w:val="en-US" w:eastAsia="zh-CN" w:bidi="ar-SA"/>
        </w:rPr>
        <w:t xml:space="preserve">  </w:t>
      </w:r>
    </w:p>
    <w:p w14:paraId="6B111C00">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七、对本次采购提出询问，请按以下方式联系</w:t>
      </w:r>
    </w:p>
    <w:p w14:paraId="579CC8A2">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3F818039">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名 称：</w:t>
      </w:r>
      <w:r>
        <w:rPr>
          <w:rFonts w:hint="eastAsia" w:ascii="仿宋" w:hAnsi="仿宋" w:eastAsia="仿宋" w:cs="仿宋"/>
          <w:i w:val="0"/>
          <w:iCs w:val="0"/>
          <w:caps w:val="0"/>
          <w:color w:val="auto"/>
          <w:spacing w:val="0"/>
          <w:sz w:val="24"/>
          <w:szCs w:val="24"/>
          <w:highlight w:val="none"/>
          <w:lang w:eastAsia="zh-CN"/>
        </w:rPr>
        <w:t>青河县教育局</w:t>
      </w:r>
    </w:p>
    <w:p w14:paraId="50967812">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地 址：</w:t>
      </w:r>
      <w:r>
        <w:rPr>
          <w:rFonts w:hint="eastAsia" w:ascii="仿宋" w:hAnsi="仿宋" w:eastAsia="仿宋" w:cs="仿宋"/>
          <w:i w:val="0"/>
          <w:iCs w:val="0"/>
          <w:caps w:val="0"/>
          <w:color w:val="auto"/>
          <w:spacing w:val="0"/>
          <w:sz w:val="24"/>
          <w:szCs w:val="24"/>
          <w:highlight w:val="none"/>
          <w:lang w:eastAsia="zh-CN"/>
        </w:rPr>
        <w:t>青河县</w:t>
      </w:r>
    </w:p>
    <w:p w14:paraId="6678177E">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联系方式：</w:t>
      </w:r>
      <w:r>
        <w:rPr>
          <w:rFonts w:hint="eastAsia" w:ascii="仿宋" w:hAnsi="仿宋" w:eastAsia="仿宋" w:cs="仿宋"/>
          <w:i w:val="0"/>
          <w:iCs w:val="0"/>
          <w:caps w:val="0"/>
          <w:color w:val="auto"/>
          <w:spacing w:val="0"/>
          <w:sz w:val="24"/>
          <w:szCs w:val="24"/>
          <w:highlight w:val="none"/>
          <w:lang w:val="en-US" w:eastAsia="zh-CN"/>
        </w:rPr>
        <w:t>15022829331</w:t>
      </w:r>
    </w:p>
    <w:p w14:paraId="4F178828">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14:paraId="578BAF01">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eastAsia="zh-CN"/>
        </w:rPr>
        <w:t>名称：新疆天壹中山工程咨询有限公司</w:t>
      </w:r>
    </w:p>
    <w:p w14:paraId="1DD246DC">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eastAsia="zh-CN"/>
        </w:rPr>
        <w:t>地址：阿勒泰市团结路2区润德茗苑1栋四层6号</w:t>
      </w:r>
    </w:p>
    <w:p w14:paraId="5DE272C7">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eastAsia="zh-CN"/>
        </w:rPr>
        <w:t>联系人：朱丹丹</w:t>
      </w:r>
    </w:p>
    <w:p w14:paraId="74A4A90F">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eastAsia="zh-CN"/>
        </w:rPr>
        <w:t>联系方式：</w:t>
      </w:r>
      <w:r>
        <w:rPr>
          <w:rFonts w:hint="eastAsia" w:ascii="仿宋" w:hAnsi="仿宋" w:eastAsia="仿宋" w:cs="仿宋"/>
          <w:i w:val="0"/>
          <w:iCs w:val="0"/>
          <w:caps w:val="0"/>
          <w:color w:val="auto"/>
          <w:spacing w:val="0"/>
          <w:sz w:val="24"/>
          <w:szCs w:val="24"/>
          <w:highlight w:val="none"/>
          <w:lang w:val="en-US" w:eastAsia="zh-CN"/>
        </w:rPr>
        <w:t>0906-6286802</w:t>
      </w:r>
    </w:p>
    <w:p w14:paraId="5D071C4E">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auto"/>
        <w:ind w:left="0" w:right="0" w:firstLine="0"/>
        <w:jc w:val="both"/>
        <w:textAlignment w:val="auto"/>
        <w:rPr>
          <w:rStyle w:val="27"/>
          <w:rFonts w:hint="eastAsia" w:ascii="仿宋" w:hAnsi="仿宋" w:eastAsia="仿宋" w:cs="仿宋"/>
          <w:b/>
          <w:bCs w:val="0"/>
          <w:i w:val="0"/>
          <w:iCs w:val="0"/>
          <w:caps w:val="0"/>
          <w:color w:val="auto"/>
          <w:spacing w:val="0"/>
          <w:sz w:val="32"/>
          <w:szCs w:val="32"/>
          <w:highlight w:val="none"/>
        </w:rPr>
      </w:pPr>
    </w:p>
    <w:p w14:paraId="437347B7">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36"/>
          <w:szCs w:val="36"/>
          <w:highlight w:val="none"/>
          <w:lang w:eastAsia="zh-CN"/>
        </w:rPr>
        <w:t>第二部分</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供应商须知</w:t>
      </w:r>
    </w:p>
    <w:p w14:paraId="4409C525">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须知前附表</w:t>
      </w:r>
    </w:p>
    <w:tbl>
      <w:tblPr>
        <w:tblStyle w:val="24"/>
        <w:tblW w:w="9365" w:type="dxa"/>
        <w:jc w:val="center"/>
        <w:tblLayout w:type="fixed"/>
        <w:tblCellMar>
          <w:top w:w="0" w:type="dxa"/>
          <w:left w:w="108" w:type="dxa"/>
          <w:bottom w:w="0" w:type="dxa"/>
          <w:right w:w="108" w:type="dxa"/>
        </w:tblCellMar>
      </w:tblPr>
      <w:tblGrid>
        <w:gridCol w:w="558"/>
        <w:gridCol w:w="1407"/>
        <w:gridCol w:w="7400"/>
      </w:tblGrid>
      <w:tr w14:paraId="3E7E55A9">
        <w:tblPrEx>
          <w:tblCellMar>
            <w:top w:w="0" w:type="dxa"/>
            <w:left w:w="108" w:type="dxa"/>
            <w:bottom w:w="0" w:type="dxa"/>
            <w:right w:w="108" w:type="dxa"/>
          </w:tblCellMar>
        </w:tblPrEx>
        <w:trPr>
          <w:trHeight w:val="56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A287C06">
            <w:pPr>
              <w:keepNext w:val="0"/>
              <w:keepLines w:val="0"/>
              <w:pageBreakBefore w:val="0"/>
              <w:widowControl/>
              <w:wordWrap/>
              <w:overflowPunct/>
              <w:topLinePunct w:val="0"/>
              <w:bidi w:val="0"/>
              <w:spacing w:line="32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序 号</w:t>
            </w:r>
          </w:p>
        </w:tc>
        <w:tc>
          <w:tcPr>
            <w:tcW w:w="1407" w:type="dxa"/>
            <w:tcBorders>
              <w:top w:val="single" w:color="auto" w:sz="4" w:space="0"/>
              <w:left w:val="single" w:color="auto" w:sz="4" w:space="0"/>
              <w:bottom w:val="single" w:color="auto" w:sz="4" w:space="0"/>
              <w:right w:val="single" w:color="auto" w:sz="4" w:space="0"/>
            </w:tcBorders>
            <w:vAlign w:val="center"/>
          </w:tcPr>
          <w:p w14:paraId="21CB9785">
            <w:pPr>
              <w:keepNext w:val="0"/>
              <w:keepLines w:val="0"/>
              <w:pageBreakBefore w:val="0"/>
              <w:widowControl/>
              <w:wordWrap/>
              <w:overflowPunct/>
              <w:topLinePunct w:val="0"/>
              <w:bidi w:val="0"/>
              <w:spacing w:line="32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名  称</w:t>
            </w:r>
          </w:p>
        </w:tc>
        <w:tc>
          <w:tcPr>
            <w:tcW w:w="7400" w:type="dxa"/>
            <w:tcBorders>
              <w:top w:val="single" w:color="auto" w:sz="4" w:space="0"/>
              <w:left w:val="single" w:color="auto" w:sz="4" w:space="0"/>
              <w:bottom w:val="single" w:color="auto" w:sz="4" w:space="0"/>
              <w:right w:val="single" w:color="auto" w:sz="4" w:space="0"/>
            </w:tcBorders>
            <w:vAlign w:val="center"/>
          </w:tcPr>
          <w:p w14:paraId="6D8580DD">
            <w:pPr>
              <w:keepNext w:val="0"/>
              <w:keepLines w:val="0"/>
              <w:pageBreakBefore w:val="0"/>
              <w:widowControl/>
              <w:wordWrap/>
              <w:overflowPunct/>
              <w:topLinePunct w:val="0"/>
              <w:bidi w:val="0"/>
              <w:spacing w:line="32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编  列  内  容</w:t>
            </w:r>
          </w:p>
        </w:tc>
      </w:tr>
      <w:tr w14:paraId="18850E2D">
        <w:tblPrEx>
          <w:tblCellMar>
            <w:top w:w="0" w:type="dxa"/>
            <w:left w:w="108" w:type="dxa"/>
            <w:bottom w:w="0" w:type="dxa"/>
            <w:right w:w="108" w:type="dxa"/>
          </w:tblCellMar>
        </w:tblPrEx>
        <w:trPr>
          <w:trHeight w:val="209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3F3EB94">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w:t>
            </w:r>
          </w:p>
        </w:tc>
        <w:tc>
          <w:tcPr>
            <w:tcW w:w="1407" w:type="dxa"/>
            <w:tcBorders>
              <w:top w:val="single" w:color="auto" w:sz="4" w:space="0"/>
              <w:left w:val="single" w:color="auto" w:sz="4" w:space="0"/>
              <w:bottom w:val="single" w:color="auto" w:sz="4" w:space="0"/>
              <w:right w:val="single" w:color="auto" w:sz="4" w:space="0"/>
            </w:tcBorders>
            <w:vAlign w:val="center"/>
          </w:tcPr>
          <w:p w14:paraId="7658F2E4">
            <w:pPr>
              <w:pStyle w:val="33"/>
              <w:keepNext w:val="0"/>
              <w:keepLines w:val="0"/>
              <w:pageBreakBefore w:val="0"/>
              <w:wordWrap/>
              <w:overflowPunct/>
              <w:topLinePunct w:val="0"/>
              <w:bidi w:val="0"/>
              <w:spacing w:line="320" w:lineRule="exact"/>
              <w:ind w:firstLine="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项目名称：</w:t>
            </w:r>
          </w:p>
          <w:p w14:paraId="0EE7A9AC">
            <w:pPr>
              <w:pStyle w:val="33"/>
              <w:keepNext w:val="0"/>
              <w:keepLines w:val="0"/>
              <w:pageBreakBefore w:val="0"/>
              <w:wordWrap/>
              <w:overflowPunct/>
              <w:topLinePunct w:val="0"/>
              <w:bidi w:val="0"/>
              <w:spacing w:line="320" w:lineRule="exact"/>
              <w:ind w:firstLine="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项目编号：</w:t>
            </w:r>
          </w:p>
          <w:p w14:paraId="105A3BE1">
            <w:pPr>
              <w:pStyle w:val="33"/>
              <w:keepNext w:val="0"/>
              <w:keepLines w:val="0"/>
              <w:pageBreakBefore w:val="0"/>
              <w:wordWrap/>
              <w:overflowPunct/>
              <w:topLinePunct w:val="0"/>
              <w:bidi w:val="0"/>
              <w:spacing w:line="320" w:lineRule="exact"/>
              <w:ind w:firstLine="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采购内容：</w:t>
            </w:r>
          </w:p>
          <w:p w14:paraId="54321A95">
            <w:pPr>
              <w:pStyle w:val="33"/>
              <w:keepNext w:val="0"/>
              <w:keepLines w:val="0"/>
              <w:pageBreakBefore w:val="0"/>
              <w:wordWrap/>
              <w:overflowPunct/>
              <w:topLinePunct w:val="0"/>
              <w:bidi w:val="0"/>
              <w:spacing w:line="320" w:lineRule="exact"/>
              <w:ind w:firstLine="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供货期：</w:t>
            </w:r>
          </w:p>
        </w:tc>
        <w:tc>
          <w:tcPr>
            <w:tcW w:w="7400" w:type="dxa"/>
            <w:tcBorders>
              <w:top w:val="single" w:color="auto" w:sz="4" w:space="0"/>
              <w:left w:val="single" w:color="auto" w:sz="4" w:space="0"/>
              <w:bottom w:val="single" w:color="auto" w:sz="4" w:space="0"/>
              <w:right w:val="single" w:color="auto" w:sz="4" w:space="0"/>
            </w:tcBorders>
            <w:vAlign w:val="center"/>
          </w:tcPr>
          <w:p w14:paraId="26A5AC71">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项目名称：教育系统2025-2026学年大宗食材采购项目（食材包一）</w:t>
            </w:r>
          </w:p>
          <w:p w14:paraId="7905A725">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项目编号：ALTZFCG2025-029</w:t>
            </w:r>
          </w:p>
          <w:p w14:paraId="599FC6C0">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采购内容：食材采购1批（具体详见采购清单）</w:t>
            </w:r>
          </w:p>
          <w:p w14:paraId="59CB3ECF">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left"/>
              <w:textAlignment w:val="auto"/>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color w:val="auto"/>
                <w:sz w:val="24"/>
                <w:szCs w:val="24"/>
                <w:highlight w:val="none"/>
                <w:lang w:val="en-US" w:eastAsia="zh-CN"/>
              </w:rPr>
              <w:t>交货期：2025年8月-2026年8月1学年(合同履约期间，学生数以实际发生数为准，供货期随政策变化。）</w:t>
            </w:r>
          </w:p>
        </w:tc>
      </w:tr>
      <w:tr w14:paraId="622872A8">
        <w:tblPrEx>
          <w:tblCellMar>
            <w:top w:w="0" w:type="dxa"/>
            <w:left w:w="108" w:type="dxa"/>
            <w:bottom w:w="0" w:type="dxa"/>
            <w:right w:w="108" w:type="dxa"/>
          </w:tblCellMar>
        </w:tblPrEx>
        <w:trPr>
          <w:trHeight w:val="85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D16CE33">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w:t>
            </w:r>
          </w:p>
        </w:tc>
        <w:tc>
          <w:tcPr>
            <w:tcW w:w="1407" w:type="dxa"/>
            <w:tcBorders>
              <w:top w:val="single" w:color="auto" w:sz="4" w:space="0"/>
              <w:left w:val="single" w:color="auto" w:sz="4" w:space="0"/>
              <w:bottom w:val="single" w:color="auto" w:sz="4" w:space="0"/>
              <w:right w:val="single" w:color="auto" w:sz="4" w:space="0"/>
            </w:tcBorders>
            <w:vAlign w:val="center"/>
          </w:tcPr>
          <w:p w14:paraId="50F4780A">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采购人信息</w:t>
            </w:r>
          </w:p>
        </w:tc>
        <w:tc>
          <w:tcPr>
            <w:tcW w:w="7400" w:type="dxa"/>
            <w:tcBorders>
              <w:top w:val="single" w:color="auto" w:sz="4" w:space="0"/>
              <w:left w:val="single" w:color="auto" w:sz="4" w:space="0"/>
              <w:bottom w:val="single" w:color="auto" w:sz="4" w:space="0"/>
              <w:right w:val="single" w:color="auto" w:sz="4" w:space="0"/>
            </w:tcBorders>
            <w:vAlign w:val="center"/>
          </w:tcPr>
          <w:p w14:paraId="49CA131D">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采购单位：青河县教育局</w:t>
            </w:r>
          </w:p>
          <w:p w14:paraId="1DA81945">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联 系 人：马老师　  联系方式：</w:t>
            </w:r>
            <w:r>
              <w:rPr>
                <w:rFonts w:hint="eastAsia" w:ascii="仿宋_GB2312" w:hAnsi="仿宋_GB2312" w:eastAsia="仿宋_GB2312" w:cs="仿宋_GB2312"/>
                <w:i w:val="0"/>
                <w:iCs w:val="0"/>
                <w:caps w:val="0"/>
                <w:color w:val="auto"/>
                <w:spacing w:val="0"/>
                <w:sz w:val="24"/>
                <w:szCs w:val="24"/>
                <w:highlight w:val="none"/>
                <w:lang w:val="en-US" w:eastAsia="zh-CN"/>
              </w:rPr>
              <w:t>15022829331</w:t>
            </w:r>
          </w:p>
        </w:tc>
      </w:tr>
      <w:tr w14:paraId="64EF9032">
        <w:tblPrEx>
          <w:tblCellMar>
            <w:top w:w="0" w:type="dxa"/>
            <w:left w:w="108" w:type="dxa"/>
            <w:bottom w:w="0" w:type="dxa"/>
            <w:right w:w="108" w:type="dxa"/>
          </w:tblCellMar>
        </w:tblPrEx>
        <w:trPr>
          <w:trHeight w:val="162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D0B1071">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3</w:t>
            </w:r>
          </w:p>
        </w:tc>
        <w:tc>
          <w:tcPr>
            <w:tcW w:w="1407" w:type="dxa"/>
            <w:tcBorders>
              <w:top w:val="single" w:color="auto" w:sz="4" w:space="0"/>
              <w:left w:val="single" w:color="auto" w:sz="4" w:space="0"/>
              <w:bottom w:val="single" w:color="auto" w:sz="4" w:space="0"/>
              <w:right w:val="single" w:color="auto" w:sz="4" w:space="0"/>
            </w:tcBorders>
            <w:vAlign w:val="center"/>
          </w:tcPr>
          <w:p w14:paraId="322BDD2F">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采购代理机构</w:t>
            </w:r>
          </w:p>
        </w:tc>
        <w:tc>
          <w:tcPr>
            <w:tcW w:w="7400" w:type="dxa"/>
            <w:tcBorders>
              <w:top w:val="single" w:color="auto" w:sz="4" w:space="0"/>
              <w:left w:val="single" w:color="auto" w:sz="4" w:space="0"/>
              <w:bottom w:val="single" w:color="auto" w:sz="4" w:space="0"/>
              <w:right w:val="single" w:color="auto" w:sz="4" w:space="0"/>
            </w:tcBorders>
            <w:vAlign w:val="center"/>
          </w:tcPr>
          <w:p w14:paraId="374D05EE">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名 称：新疆天壹中山工程咨询有限公司　　　　　　　　   　</w:t>
            </w:r>
          </w:p>
          <w:p w14:paraId="207FAED2">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地 址：阿勒泰市团结路2区润德茗苑1栋四层6号</w:t>
            </w:r>
          </w:p>
          <w:p w14:paraId="01FF0D5D">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项目联系人：朱丹丹  联系方式：0906-6286802</w:t>
            </w:r>
          </w:p>
        </w:tc>
      </w:tr>
      <w:tr w14:paraId="22651CB3">
        <w:tblPrEx>
          <w:tblCellMar>
            <w:top w:w="0" w:type="dxa"/>
            <w:left w:w="108" w:type="dxa"/>
            <w:bottom w:w="0" w:type="dxa"/>
            <w:right w:w="108" w:type="dxa"/>
          </w:tblCellMar>
        </w:tblPrEx>
        <w:trPr>
          <w:trHeight w:val="4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F5F9C71">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4</w:t>
            </w:r>
          </w:p>
        </w:tc>
        <w:tc>
          <w:tcPr>
            <w:tcW w:w="1407" w:type="dxa"/>
            <w:tcBorders>
              <w:top w:val="single" w:color="auto" w:sz="4" w:space="0"/>
              <w:left w:val="single" w:color="auto" w:sz="4" w:space="0"/>
              <w:bottom w:val="single" w:color="auto" w:sz="4" w:space="0"/>
              <w:right w:val="single" w:color="auto" w:sz="4" w:space="0"/>
            </w:tcBorders>
            <w:vAlign w:val="center"/>
          </w:tcPr>
          <w:p w14:paraId="6D452003">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最终交货地点</w:t>
            </w:r>
          </w:p>
        </w:tc>
        <w:tc>
          <w:tcPr>
            <w:tcW w:w="7400" w:type="dxa"/>
            <w:tcBorders>
              <w:top w:val="single" w:color="auto" w:sz="4" w:space="0"/>
              <w:left w:val="single" w:color="auto" w:sz="4" w:space="0"/>
              <w:bottom w:val="single" w:color="auto" w:sz="4" w:space="0"/>
              <w:right w:val="single" w:color="auto" w:sz="4" w:space="0"/>
            </w:tcBorders>
            <w:vAlign w:val="center"/>
          </w:tcPr>
          <w:p w14:paraId="471B6A62">
            <w:pPr>
              <w:keepNext w:val="0"/>
              <w:keepLines w:val="0"/>
              <w:pageBreakBefore w:val="0"/>
              <w:wordWrap/>
              <w:overflowPunct/>
              <w:topLinePunct w:val="0"/>
              <w:bidi w:val="0"/>
              <w:spacing w:line="320" w:lineRule="exac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全县公办幼儿园及义务教育阶段等各校.（送货需送至指定地点后进行专人统一验收。接受监督与查验。不符合要求，有权退换货品，须无条件更换货品且并不影响学生正常就餐）</w:t>
            </w:r>
          </w:p>
        </w:tc>
      </w:tr>
      <w:tr w14:paraId="7E2F6F1F">
        <w:tblPrEx>
          <w:tblCellMar>
            <w:top w:w="0" w:type="dxa"/>
            <w:left w:w="108" w:type="dxa"/>
            <w:bottom w:w="0" w:type="dxa"/>
            <w:right w:w="108" w:type="dxa"/>
          </w:tblCellMar>
        </w:tblPrEx>
        <w:trPr>
          <w:trHeight w:val="45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5505C0E">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5</w:t>
            </w:r>
          </w:p>
        </w:tc>
        <w:tc>
          <w:tcPr>
            <w:tcW w:w="1407" w:type="dxa"/>
            <w:tcBorders>
              <w:top w:val="single" w:color="auto" w:sz="4" w:space="0"/>
              <w:left w:val="single" w:color="auto" w:sz="4" w:space="0"/>
              <w:bottom w:val="single" w:color="auto" w:sz="4" w:space="0"/>
              <w:right w:val="single" w:color="auto" w:sz="4" w:space="0"/>
            </w:tcBorders>
            <w:vAlign w:val="center"/>
          </w:tcPr>
          <w:p w14:paraId="5D2A76CA">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资格要求</w:t>
            </w:r>
          </w:p>
        </w:tc>
        <w:tc>
          <w:tcPr>
            <w:tcW w:w="7400" w:type="dxa"/>
            <w:tcBorders>
              <w:top w:val="single" w:color="auto" w:sz="4" w:space="0"/>
              <w:left w:val="single" w:color="auto" w:sz="4" w:space="0"/>
              <w:bottom w:val="single" w:color="auto" w:sz="4" w:space="0"/>
              <w:right w:val="single" w:color="auto" w:sz="4" w:space="0"/>
            </w:tcBorders>
            <w:vAlign w:val="center"/>
          </w:tcPr>
          <w:p w14:paraId="42676652">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一、供应商必须符合《政府采购法》第二十二条规定的条件；</w:t>
            </w:r>
          </w:p>
          <w:p w14:paraId="5E0661AC">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（1）具有独立承担民事责任能力的法人、其他组织或自然人，法人或者其他组织须提供营业执照等证明文件，自然人须提供身份证明；</w:t>
            </w:r>
          </w:p>
          <w:p w14:paraId="128CA698">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（2）参加政府采购活动前3年内在经营活动中没有重大违法记录的书面声明并加盖公章；</w:t>
            </w:r>
          </w:p>
          <w:p w14:paraId="70CD1213">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（3）具有履行合同所必需的设备和专业技术能力的承诺函；</w:t>
            </w:r>
          </w:p>
          <w:p w14:paraId="02E8D93D">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（4）投标人须具备投标截止之日起半年内任意两个月的纳税证明或完税证明，依法免税的单位应提供相关证明材料；</w:t>
            </w:r>
          </w:p>
          <w:p w14:paraId="1EB46AA4">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（5）投标人须具备投标截止之日起半年内任意两个月的缴纳社会保障资金的证明材料，依法不需要缴纳社会保障资金的单位应提供相关证明材料；</w:t>
            </w:r>
          </w:p>
          <w:p w14:paraId="581781AF">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提供近一年2024年度经审计的财务报告（包括审计报告、资产负债表和利润表，成立时间至投标截止时间不足一年的可提供成立后任意时段的资产负债表）；成立时间至投标截止时间不足一年的可提供成立后任意时段的资产负债表）；或其开标前三个月内基本存款账户开户银行出具的资信证明及基本存款账户开户许可证（或基本存款账户信息相关证明文件）；或信用担保机构出具的投标担保函；</w:t>
            </w:r>
          </w:p>
          <w:p w14:paraId="219F7D47">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2、供应商是经销商的须提供《食品经营许可证》；生产厂家提供的《食品生产许可证》；</w:t>
            </w:r>
          </w:p>
          <w:p w14:paraId="4605C03D">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3、按照《财政部关于在政府采购活动中查询及使用信用记录有关 问题的通知》（财库（2016）125 号）的要求，被“信用中国 ”网 站、“ 中国政府采购网 ”网站列入失信被执行人、政府采购严重违 法失信行为记录名单的，不得参与本项目的政府采购活动；</w:t>
            </w:r>
          </w:p>
          <w:p w14:paraId="22A484C3">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4、本项目不得转包分包，不接受联合体投标。</w:t>
            </w:r>
          </w:p>
        </w:tc>
      </w:tr>
      <w:tr w14:paraId="65F60A72">
        <w:tblPrEx>
          <w:tblCellMar>
            <w:top w:w="0" w:type="dxa"/>
            <w:left w:w="108" w:type="dxa"/>
            <w:bottom w:w="0" w:type="dxa"/>
            <w:right w:w="108" w:type="dxa"/>
          </w:tblCellMar>
        </w:tblPrEx>
        <w:trPr>
          <w:trHeight w:val="45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B44EF2D">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1407" w:type="dxa"/>
            <w:tcBorders>
              <w:top w:val="single" w:color="auto" w:sz="4" w:space="0"/>
              <w:left w:val="single" w:color="auto" w:sz="4" w:space="0"/>
              <w:bottom w:val="single" w:color="auto" w:sz="4" w:space="0"/>
              <w:right w:val="single" w:color="auto" w:sz="4" w:space="0"/>
            </w:tcBorders>
            <w:vAlign w:val="center"/>
          </w:tcPr>
          <w:p w14:paraId="2B76C6AA">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采购范围</w:t>
            </w:r>
          </w:p>
        </w:tc>
        <w:tc>
          <w:tcPr>
            <w:tcW w:w="7400" w:type="dxa"/>
            <w:tcBorders>
              <w:top w:val="single" w:color="auto" w:sz="4" w:space="0"/>
              <w:left w:val="single" w:color="auto" w:sz="4" w:space="0"/>
              <w:bottom w:val="single" w:color="auto" w:sz="4" w:space="0"/>
              <w:right w:val="single" w:color="auto" w:sz="4" w:space="0"/>
            </w:tcBorders>
            <w:vAlign w:val="center"/>
          </w:tcPr>
          <w:p w14:paraId="0E67F5F5">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采购人不接受进口产品。</w:t>
            </w:r>
          </w:p>
        </w:tc>
      </w:tr>
      <w:tr w14:paraId="0763BB98">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196740D">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7</w:t>
            </w:r>
          </w:p>
        </w:tc>
        <w:tc>
          <w:tcPr>
            <w:tcW w:w="1407" w:type="dxa"/>
            <w:tcBorders>
              <w:top w:val="single" w:color="auto" w:sz="4" w:space="0"/>
              <w:left w:val="single" w:color="auto" w:sz="4" w:space="0"/>
              <w:bottom w:val="single" w:color="auto" w:sz="4" w:space="0"/>
              <w:right w:val="single" w:color="auto" w:sz="4" w:space="0"/>
            </w:tcBorders>
            <w:vAlign w:val="center"/>
          </w:tcPr>
          <w:p w14:paraId="48E2BDF2">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资金来源</w:t>
            </w:r>
          </w:p>
        </w:tc>
        <w:tc>
          <w:tcPr>
            <w:tcW w:w="7400" w:type="dxa"/>
            <w:tcBorders>
              <w:top w:val="single" w:color="auto" w:sz="4" w:space="0"/>
              <w:left w:val="single" w:color="auto" w:sz="4" w:space="0"/>
              <w:bottom w:val="single" w:color="auto" w:sz="4" w:space="0"/>
              <w:right w:val="single" w:color="auto" w:sz="4" w:space="0"/>
            </w:tcBorders>
            <w:vAlign w:val="center"/>
          </w:tcPr>
          <w:p w14:paraId="3D8B1A48">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财政</w:t>
            </w:r>
            <w:r>
              <w:rPr>
                <w:rFonts w:hint="eastAsia" w:ascii="仿宋_GB2312" w:hAnsi="仿宋_GB2312" w:eastAsia="仿宋_GB2312" w:cs="仿宋_GB2312"/>
                <w:color w:val="auto"/>
                <w:sz w:val="24"/>
                <w:szCs w:val="24"/>
                <w:highlight w:val="none"/>
                <w:lang w:eastAsia="zh-CN"/>
              </w:rPr>
              <w:t>资金</w:t>
            </w:r>
          </w:p>
        </w:tc>
      </w:tr>
      <w:tr w14:paraId="073891EE">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BD858C6">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8</w:t>
            </w:r>
          </w:p>
        </w:tc>
        <w:tc>
          <w:tcPr>
            <w:tcW w:w="1407" w:type="dxa"/>
            <w:tcBorders>
              <w:top w:val="single" w:color="auto" w:sz="4" w:space="0"/>
              <w:left w:val="single" w:color="auto" w:sz="4" w:space="0"/>
              <w:bottom w:val="single" w:color="auto" w:sz="4" w:space="0"/>
              <w:right w:val="single" w:color="auto" w:sz="4" w:space="0"/>
            </w:tcBorders>
            <w:vAlign w:val="center"/>
          </w:tcPr>
          <w:p w14:paraId="29C18E59">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招标方式</w:t>
            </w:r>
          </w:p>
        </w:tc>
        <w:tc>
          <w:tcPr>
            <w:tcW w:w="7400" w:type="dxa"/>
            <w:tcBorders>
              <w:top w:val="single" w:color="auto" w:sz="4" w:space="0"/>
              <w:left w:val="single" w:color="auto" w:sz="4" w:space="0"/>
              <w:bottom w:val="single" w:color="auto" w:sz="4" w:space="0"/>
              <w:right w:val="single" w:color="auto" w:sz="4" w:space="0"/>
            </w:tcBorders>
            <w:vAlign w:val="center"/>
          </w:tcPr>
          <w:p w14:paraId="49206F71">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 xml:space="preserve">公开招标(本项目采用网上电子招投标)  </w:t>
            </w:r>
          </w:p>
        </w:tc>
      </w:tr>
      <w:tr w14:paraId="20135126">
        <w:tblPrEx>
          <w:tblCellMar>
            <w:top w:w="0" w:type="dxa"/>
            <w:left w:w="108" w:type="dxa"/>
            <w:bottom w:w="0" w:type="dxa"/>
            <w:right w:w="108" w:type="dxa"/>
          </w:tblCellMar>
        </w:tblPrEx>
        <w:trPr>
          <w:trHeight w:val="3182"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ADB726D">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9</w:t>
            </w:r>
          </w:p>
        </w:tc>
        <w:tc>
          <w:tcPr>
            <w:tcW w:w="1407" w:type="dxa"/>
            <w:tcBorders>
              <w:top w:val="single" w:color="auto" w:sz="4" w:space="0"/>
              <w:left w:val="single" w:color="auto" w:sz="4" w:space="0"/>
              <w:bottom w:val="single" w:color="auto" w:sz="4" w:space="0"/>
              <w:right w:val="single" w:color="auto" w:sz="4" w:space="0"/>
            </w:tcBorders>
            <w:vAlign w:val="center"/>
          </w:tcPr>
          <w:p w14:paraId="3F378185">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供应商信用查询</w:t>
            </w:r>
          </w:p>
        </w:tc>
        <w:tc>
          <w:tcPr>
            <w:tcW w:w="7400" w:type="dxa"/>
            <w:tcBorders>
              <w:top w:val="single" w:color="auto" w:sz="4" w:space="0"/>
              <w:left w:val="single" w:color="auto" w:sz="4" w:space="0"/>
              <w:bottom w:val="single" w:color="auto" w:sz="4" w:space="0"/>
              <w:right w:val="single" w:color="auto" w:sz="4" w:space="0"/>
            </w:tcBorders>
            <w:vAlign w:val="center"/>
          </w:tcPr>
          <w:p w14:paraId="04DE05E1">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1、查询渠道：信用中国（网址：http://www.creditchina.gov.cn）、中国政府采购网(网址：http://www.ccgp.gov.cn）。</w:t>
            </w:r>
          </w:p>
          <w:p w14:paraId="4CB09926">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2、截止时</w:t>
            </w:r>
            <w:r>
              <w:rPr>
                <w:rFonts w:hint="eastAsia" w:ascii="仿宋_GB2312" w:hAnsi="仿宋_GB2312" w:eastAsia="仿宋_GB2312" w:cs="仿宋_GB2312"/>
                <w:color w:val="auto"/>
                <w:sz w:val="24"/>
                <w:szCs w:val="24"/>
                <w:highlight w:val="none"/>
                <w:lang w:val="en-US" w:eastAsia="zh-CN"/>
              </w:rPr>
              <w:t>间</w:t>
            </w:r>
            <w:r>
              <w:rPr>
                <w:rFonts w:hint="eastAsia" w:ascii="仿宋_GB2312" w:hAnsi="仿宋_GB2312" w:eastAsia="仿宋_GB2312" w:cs="仿宋_GB2312"/>
                <w:color w:val="auto"/>
                <w:sz w:val="24"/>
                <w:szCs w:val="24"/>
                <w:highlight w:val="none"/>
                <w:lang w:eastAsia="zh-CN"/>
              </w:rPr>
              <w:t>：开标后评标前。</w:t>
            </w:r>
          </w:p>
          <w:p w14:paraId="2293895E">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3、信用信息查询记录和证据留存的具体方式：由采购组织机构在规定查询时间内打印信用信息查询记录并归入项目档案。</w:t>
            </w:r>
          </w:p>
          <w:p w14:paraId="2A9F4DBF">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CB27CCE">
        <w:tblPrEx>
          <w:tblCellMar>
            <w:top w:w="0" w:type="dxa"/>
            <w:left w:w="108" w:type="dxa"/>
            <w:bottom w:w="0" w:type="dxa"/>
            <w:right w:w="108" w:type="dxa"/>
          </w:tblCellMar>
        </w:tblPrEx>
        <w:trPr>
          <w:trHeight w:val="104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2F9872B">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1407" w:type="dxa"/>
            <w:tcBorders>
              <w:top w:val="single" w:color="auto" w:sz="4" w:space="0"/>
              <w:left w:val="single" w:color="auto" w:sz="4" w:space="0"/>
              <w:bottom w:val="single" w:color="auto" w:sz="4" w:space="0"/>
              <w:right w:val="single" w:color="auto" w:sz="4" w:space="0"/>
            </w:tcBorders>
            <w:vAlign w:val="center"/>
          </w:tcPr>
          <w:p w14:paraId="259D428D">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是否接受联合体投标</w:t>
            </w:r>
          </w:p>
        </w:tc>
        <w:tc>
          <w:tcPr>
            <w:tcW w:w="7400" w:type="dxa"/>
            <w:tcBorders>
              <w:top w:val="single" w:color="auto" w:sz="4" w:space="0"/>
              <w:left w:val="single" w:color="auto" w:sz="4" w:space="0"/>
              <w:bottom w:val="single" w:color="auto" w:sz="4" w:space="0"/>
              <w:right w:val="single" w:color="auto" w:sz="4" w:space="0"/>
            </w:tcBorders>
            <w:vAlign w:val="center"/>
          </w:tcPr>
          <w:p w14:paraId="0ED3E963">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■不接受</w:t>
            </w:r>
          </w:p>
          <w:p w14:paraId="647FE46E">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□接  受</w:t>
            </w:r>
          </w:p>
        </w:tc>
      </w:tr>
      <w:tr w14:paraId="3047330A">
        <w:tblPrEx>
          <w:tblCellMar>
            <w:top w:w="0" w:type="dxa"/>
            <w:left w:w="108" w:type="dxa"/>
            <w:bottom w:w="0" w:type="dxa"/>
            <w:right w:w="108" w:type="dxa"/>
          </w:tblCellMar>
        </w:tblPrEx>
        <w:trPr>
          <w:trHeight w:val="88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E0ED7FA">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1407" w:type="dxa"/>
            <w:tcBorders>
              <w:top w:val="single" w:color="auto" w:sz="4" w:space="0"/>
              <w:left w:val="single" w:color="auto" w:sz="4" w:space="0"/>
              <w:bottom w:val="single" w:color="auto" w:sz="4" w:space="0"/>
              <w:right w:val="single" w:color="auto" w:sz="4" w:space="0"/>
            </w:tcBorders>
            <w:vAlign w:val="center"/>
          </w:tcPr>
          <w:p w14:paraId="509CE220">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投标截止时间 （开标时间）</w:t>
            </w:r>
          </w:p>
        </w:tc>
        <w:tc>
          <w:tcPr>
            <w:tcW w:w="7400" w:type="dxa"/>
            <w:tcBorders>
              <w:top w:val="single" w:color="auto" w:sz="4" w:space="0"/>
              <w:left w:val="single" w:color="auto" w:sz="4" w:space="0"/>
              <w:bottom w:val="single" w:color="auto" w:sz="4" w:space="0"/>
              <w:right w:val="single" w:color="auto" w:sz="4" w:space="0"/>
            </w:tcBorders>
            <w:vAlign w:val="center"/>
          </w:tcPr>
          <w:p w14:paraId="598B5A58">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 w:hAnsi="仿宋" w:eastAsia="仿宋" w:cs="仿宋"/>
                <w:color w:val="auto"/>
                <w:kern w:val="2"/>
                <w:sz w:val="24"/>
                <w:szCs w:val="24"/>
                <w:highlight w:val="none"/>
                <w:u w:val="single"/>
                <w:lang w:eastAsia="zh-CN" w:bidi="ar-SA"/>
              </w:rPr>
              <w:t>截止时间：202</w:t>
            </w:r>
            <w:r>
              <w:rPr>
                <w:rFonts w:hint="eastAsia" w:ascii="仿宋" w:hAnsi="仿宋" w:eastAsia="仿宋" w:cs="仿宋"/>
                <w:color w:val="auto"/>
                <w:kern w:val="2"/>
                <w:sz w:val="24"/>
                <w:szCs w:val="24"/>
                <w:highlight w:val="none"/>
                <w:u w:val="single"/>
                <w:lang w:val="en-US" w:eastAsia="zh-CN" w:bidi="ar-SA"/>
              </w:rPr>
              <w:t>5</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 xml:space="preserve"> 7 </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 xml:space="preserve"> 29</w:t>
            </w:r>
            <w:r>
              <w:rPr>
                <w:rFonts w:hint="eastAsia" w:ascii="仿宋" w:hAnsi="仿宋" w:eastAsia="仿宋" w:cs="仿宋"/>
                <w:color w:val="auto"/>
                <w:kern w:val="2"/>
                <w:sz w:val="24"/>
                <w:szCs w:val="24"/>
                <w:highlight w:val="none"/>
                <w:u w:val="single"/>
                <w:lang w:eastAsia="zh-CN" w:bidi="ar-SA"/>
              </w:rPr>
              <w:t>日上午</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时</w:t>
            </w:r>
            <w:r>
              <w:rPr>
                <w:rFonts w:hint="eastAsia" w:ascii="仿宋" w:hAnsi="仿宋" w:eastAsia="仿宋" w:cs="仿宋"/>
                <w:color w:val="auto"/>
                <w:kern w:val="2"/>
                <w:sz w:val="24"/>
                <w:szCs w:val="24"/>
                <w:highlight w:val="none"/>
                <w:u w:val="single"/>
                <w:lang w:val="en-US" w:eastAsia="zh-CN" w:bidi="ar-SA"/>
              </w:rPr>
              <w:t>30</w:t>
            </w:r>
            <w:r>
              <w:rPr>
                <w:rFonts w:hint="eastAsia" w:ascii="仿宋" w:hAnsi="仿宋" w:eastAsia="仿宋" w:cs="仿宋"/>
                <w:color w:val="auto"/>
                <w:kern w:val="2"/>
                <w:sz w:val="24"/>
                <w:szCs w:val="24"/>
                <w:highlight w:val="none"/>
                <w:u w:val="single"/>
                <w:lang w:eastAsia="zh-CN" w:bidi="ar-SA"/>
              </w:rPr>
              <w:t>分（北京时间）</w:t>
            </w:r>
          </w:p>
        </w:tc>
      </w:tr>
      <w:tr w14:paraId="551D8EBC">
        <w:tblPrEx>
          <w:tblCellMar>
            <w:top w:w="0" w:type="dxa"/>
            <w:left w:w="108" w:type="dxa"/>
            <w:bottom w:w="0" w:type="dxa"/>
            <w:right w:w="108" w:type="dxa"/>
          </w:tblCellMar>
        </w:tblPrEx>
        <w:trPr>
          <w:trHeight w:val="47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C3B2F20">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w:t>
            </w:r>
          </w:p>
        </w:tc>
        <w:tc>
          <w:tcPr>
            <w:tcW w:w="1407" w:type="dxa"/>
            <w:tcBorders>
              <w:top w:val="single" w:color="auto" w:sz="4" w:space="0"/>
              <w:left w:val="single" w:color="auto" w:sz="4" w:space="0"/>
              <w:bottom w:val="single" w:color="auto" w:sz="4" w:space="0"/>
              <w:right w:val="single" w:color="auto" w:sz="4" w:space="0"/>
            </w:tcBorders>
            <w:vAlign w:val="center"/>
          </w:tcPr>
          <w:p w14:paraId="4311B6B9">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投标有效期</w:t>
            </w:r>
          </w:p>
        </w:tc>
        <w:tc>
          <w:tcPr>
            <w:tcW w:w="7400" w:type="dxa"/>
            <w:tcBorders>
              <w:top w:val="single" w:color="auto" w:sz="4" w:space="0"/>
              <w:left w:val="single" w:color="auto" w:sz="4" w:space="0"/>
              <w:bottom w:val="single" w:color="auto" w:sz="4" w:space="0"/>
              <w:right w:val="single" w:color="auto" w:sz="4" w:space="0"/>
            </w:tcBorders>
            <w:vAlign w:val="center"/>
          </w:tcPr>
          <w:p w14:paraId="75CD6FE6">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 xml:space="preserve"> </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lang w:eastAsia="zh-CN"/>
              </w:rPr>
              <w:t>0 天</w:t>
            </w:r>
          </w:p>
        </w:tc>
      </w:tr>
      <w:tr w14:paraId="2F9464EE">
        <w:tblPrEx>
          <w:tblCellMar>
            <w:top w:w="0" w:type="dxa"/>
            <w:left w:w="108" w:type="dxa"/>
            <w:bottom w:w="0" w:type="dxa"/>
            <w:right w:w="108" w:type="dxa"/>
          </w:tblCellMar>
        </w:tblPrEx>
        <w:trPr>
          <w:trHeight w:val="63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9B5D618">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w:t>
            </w:r>
          </w:p>
        </w:tc>
        <w:tc>
          <w:tcPr>
            <w:tcW w:w="1407" w:type="dxa"/>
            <w:tcBorders>
              <w:top w:val="single" w:color="auto" w:sz="4" w:space="0"/>
              <w:left w:val="single" w:color="auto" w:sz="4" w:space="0"/>
              <w:bottom w:val="single" w:color="auto" w:sz="4" w:space="0"/>
              <w:right w:val="single" w:color="auto" w:sz="4" w:space="0"/>
            </w:tcBorders>
            <w:vAlign w:val="center"/>
          </w:tcPr>
          <w:p w14:paraId="27851DF2">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投标保证金</w:t>
            </w:r>
          </w:p>
        </w:tc>
        <w:tc>
          <w:tcPr>
            <w:tcW w:w="7400" w:type="dxa"/>
            <w:tcBorders>
              <w:top w:val="single" w:color="auto" w:sz="4" w:space="0"/>
              <w:left w:val="single" w:color="auto" w:sz="4" w:space="0"/>
              <w:bottom w:val="single" w:color="auto" w:sz="4" w:space="0"/>
              <w:right w:val="single" w:color="auto" w:sz="4" w:space="0"/>
            </w:tcBorders>
            <w:vAlign w:val="center"/>
          </w:tcPr>
          <w:p w14:paraId="5CD48C0F">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0"/>
                <w:w w:val="100"/>
                <w:kern w:val="0"/>
                <w:position w:val="0"/>
                <w:sz w:val="24"/>
                <w:szCs w:val="24"/>
                <w:highlight w:val="none"/>
              </w:rPr>
              <w:t>1、本</w:t>
            </w:r>
            <w:r>
              <w:rPr>
                <w:rFonts w:hint="eastAsia" w:ascii="仿宋_GB2312" w:hAnsi="仿宋_GB2312" w:eastAsia="仿宋_GB2312" w:cs="仿宋_GB2312"/>
                <w:color w:val="auto"/>
                <w:sz w:val="24"/>
                <w:szCs w:val="24"/>
                <w:highlight w:val="none"/>
                <w:lang w:eastAsia="zh-CN"/>
              </w:rPr>
              <w:t>次采购项目的投标保证金：</w:t>
            </w:r>
            <w:r>
              <w:rPr>
                <w:rFonts w:hint="eastAsia" w:ascii="仿宋_GB2312" w:hAnsi="仿宋_GB2312" w:eastAsia="仿宋_GB2312" w:cs="仿宋_GB2312"/>
                <w:color w:val="auto"/>
                <w:sz w:val="24"/>
                <w:szCs w:val="24"/>
                <w:highlight w:val="none"/>
                <w:lang w:val="en-US" w:eastAsia="zh-CN"/>
              </w:rPr>
              <w:t>200000</w:t>
            </w:r>
            <w:r>
              <w:rPr>
                <w:rFonts w:hint="eastAsia" w:ascii="仿宋_GB2312" w:hAnsi="仿宋_GB2312" w:eastAsia="仿宋_GB2312" w:cs="仿宋_GB2312"/>
                <w:color w:val="auto"/>
                <w:sz w:val="24"/>
                <w:szCs w:val="24"/>
                <w:highlight w:val="none"/>
                <w:lang w:eastAsia="zh-CN"/>
              </w:rPr>
              <w:t>元（</w:t>
            </w:r>
            <w:r>
              <w:rPr>
                <w:rFonts w:hint="eastAsia" w:ascii="仿宋_GB2312" w:hAnsi="仿宋_GB2312" w:eastAsia="仿宋_GB2312" w:cs="仿宋_GB2312"/>
                <w:color w:val="auto"/>
                <w:sz w:val="24"/>
                <w:szCs w:val="24"/>
                <w:highlight w:val="none"/>
                <w:lang w:val="en-US" w:eastAsia="zh-CN"/>
              </w:rPr>
              <w:t>贰拾万元整</w:t>
            </w:r>
            <w:r>
              <w:rPr>
                <w:rFonts w:hint="eastAsia" w:ascii="仿宋_GB2312" w:hAnsi="仿宋_GB2312" w:eastAsia="仿宋_GB2312" w:cs="仿宋_GB2312"/>
                <w:color w:val="auto"/>
                <w:sz w:val="24"/>
                <w:szCs w:val="24"/>
                <w:highlight w:val="none"/>
                <w:lang w:eastAsia="zh-CN"/>
              </w:rPr>
              <w:t>）；</w:t>
            </w:r>
          </w:p>
          <w:p w14:paraId="6A337419">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2、保</w:t>
            </w:r>
            <w:r>
              <w:rPr>
                <w:rFonts w:hint="eastAsia" w:ascii="仿宋_GB2312" w:hAnsi="仿宋_GB2312" w:eastAsia="仿宋_GB2312" w:cs="仿宋_GB2312"/>
                <w:color w:val="auto"/>
                <w:sz w:val="24"/>
                <w:szCs w:val="24"/>
                <w:highlight w:val="none"/>
                <w:lang w:val="en-US" w:eastAsia="zh-CN"/>
              </w:rPr>
              <w:t>投标保证金必须以投标人名义采用支票、汇票、本票或者金融机构、担保机构出具的保函等非现金形式提交形式缴纳，不可以采用现金方式（包括以存现方式）提交。</w:t>
            </w:r>
          </w:p>
          <w:p w14:paraId="4A384545">
            <w:pPr>
              <w:keepNext w:val="0"/>
              <w:keepLines w:val="0"/>
              <w:pageBreakBefore w:val="0"/>
              <w:widowControl/>
              <w:tabs>
                <w:tab w:val="left" w:pos="1080"/>
              </w:tabs>
              <w:kinsoku w:val="0"/>
              <w:wordWrap/>
              <w:overflowPunct/>
              <w:topLinePunct w:val="0"/>
              <w:autoSpaceDE w:val="0"/>
              <w:autoSpaceDN w:val="0"/>
              <w:bidi w:val="0"/>
              <w:adjustRightInd w:val="0"/>
              <w:snapToGrid w:val="0"/>
              <w:spacing w:line="320" w:lineRule="exact"/>
              <w:ind w:right="0"/>
              <w:textAlignment w:val="baseline"/>
              <w:rPr>
                <w:rFonts w:hint="eastAsia" w:ascii="仿宋_GB2312" w:hAnsi="仿宋_GB2312" w:eastAsia="仿宋_GB2312" w:cs="仿宋_GB2312"/>
                <w:b w:val="0"/>
                <w:bCs/>
                <w:color w:val="auto"/>
                <w:spacing w:val="0"/>
                <w:w w:val="100"/>
                <w:kern w:val="0"/>
                <w:position w:val="0"/>
                <w:sz w:val="24"/>
                <w:szCs w:val="24"/>
                <w:highlight w:val="none"/>
              </w:rPr>
            </w:pPr>
            <w:r>
              <w:rPr>
                <w:rFonts w:hint="eastAsia" w:ascii="仿宋_GB2312" w:hAnsi="仿宋_GB2312" w:eastAsia="仿宋_GB2312" w:cs="仿宋_GB2312"/>
                <w:b/>
                <w:color w:val="auto"/>
                <w:spacing w:val="0"/>
                <w:w w:val="100"/>
                <w:kern w:val="0"/>
                <w:position w:val="0"/>
                <w:sz w:val="24"/>
                <w:szCs w:val="24"/>
                <w:highlight w:val="none"/>
                <w:lang w:val="en-US" w:eastAsia="zh-CN"/>
              </w:rPr>
              <w:t>3、递交方式：</w:t>
            </w:r>
            <w:r>
              <w:rPr>
                <w:rFonts w:hint="eastAsia" w:ascii="仿宋_GB2312" w:hAnsi="仿宋_GB2312" w:eastAsia="仿宋_GB2312" w:cs="仿宋_GB2312"/>
                <w:b w:val="0"/>
                <w:bCs/>
                <w:color w:val="auto"/>
                <w:spacing w:val="0"/>
                <w:w w:val="100"/>
                <w:kern w:val="0"/>
                <w:position w:val="0"/>
                <w:sz w:val="24"/>
                <w:szCs w:val="24"/>
                <w:highlight w:val="none"/>
                <w:lang w:val="en-US" w:eastAsia="zh-CN"/>
              </w:rPr>
              <w:t>投标人将投标保证金从企业基本帐户汇至以下账户</w:t>
            </w:r>
          </w:p>
          <w:p w14:paraId="2CC93449">
            <w:pPr>
              <w:keepNext w:val="0"/>
              <w:keepLines w:val="0"/>
              <w:pageBreakBefore w:val="0"/>
              <w:widowControl/>
              <w:kinsoku w:val="0"/>
              <w:wordWrap/>
              <w:overflowPunct/>
              <w:topLinePunct w:val="0"/>
              <w:autoSpaceDE w:val="0"/>
              <w:autoSpaceDN w:val="0"/>
              <w:bidi w:val="0"/>
              <w:adjustRightInd w:val="0"/>
              <w:snapToGrid w:val="0"/>
              <w:spacing w:line="320" w:lineRule="exact"/>
              <w:ind w:left="120" w:leftChars="50" w:right="0"/>
              <w:textAlignment w:val="baseline"/>
              <w:rPr>
                <w:rFonts w:hint="eastAsia" w:ascii="仿宋_GB2312" w:hAnsi="仿宋_GB2312" w:eastAsia="仿宋_GB2312" w:cs="仿宋_GB2312"/>
                <w:b/>
                <w:bCs/>
                <w:color w:val="auto"/>
                <w:spacing w:val="0"/>
                <w:w w:val="100"/>
                <w:kern w:val="0"/>
                <w:position w:val="0"/>
                <w:sz w:val="24"/>
                <w:szCs w:val="24"/>
                <w:highlight w:val="none"/>
                <w:lang w:val="en-US" w:eastAsia="zh-CN"/>
              </w:rPr>
            </w:pPr>
            <w:r>
              <w:rPr>
                <w:rFonts w:hint="eastAsia" w:ascii="仿宋_GB2312" w:hAnsi="仿宋_GB2312" w:eastAsia="仿宋_GB2312" w:cs="仿宋_GB2312"/>
                <w:b/>
                <w:bCs/>
                <w:color w:val="auto"/>
                <w:spacing w:val="0"/>
                <w:w w:val="100"/>
                <w:kern w:val="0"/>
                <w:position w:val="0"/>
                <w:sz w:val="24"/>
                <w:szCs w:val="24"/>
                <w:highlight w:val="none"/>
                <w:lang w:val="en-US" w:eastAsia="zh-CN"/>
              </w:rPr>
              <w:t>4、账户信息：</w:t>
            </w:r>
          </w:p>
          <w:p w14:paraId="0C91EC61">
            <w:pPr>
              <w:keepNext w:val="0"/>
              <w:keepLines w:val="0"/>
              <w:pageBreakBefore w:val="0"/>
              <w:widowControl/>
              <w:kinsoku w:val="0"/>
              <w:wordWrap/>
              <w:overflowPunct/>
              <w:topLinePunct w:val="0"/>
              <w:autoSpaceDE w:val="0"/>
              <w:autoSpaceDN w:val="0"/>
              <w:bidi w:val="0"/>
              <w:adjustRightInd w:val="0"/>
              <w:snapToGrid w:val="0"/>
              <w:spacing w:line="320" w:lineRule="exact"/>
              <w:ind w:left="120" w:leftChars="50" w:right="0"/>
              <w:textAlignment w:val="baseline"/>
              <w:rPr>
                <w:rFonts w:hint="eastAsia" w:ascii="仿宋_GB2312" w:hAnsi="仿宋_GB2312" w:eastAsia="仿宋_GB2312" w:cs="仿宋_GB2312"/>
                <w:b/>
                <w:bCs/>
                <w:color w:val="auto"/>
                <w:spacing w:val="0"/>
                <w:w w:val="100"/>
                <w:kern w:val="0"/>
                <w:position w:val="0"/>
                <w:sz w:val="24"/>
                <w:szCs w:val="24"/>
                <w:highlight w:val="none"/>
                <w:lang w:val="en-US" w:eastAsia="zh-CN"/>
              </w:rPr>
            </w:pPr>
            <w:r>
              <w:rPr>
                <w:rFonts w:hint="eastAsia" w:ascii="仿宋_GB2312" w:hAnsi="仿宋_GB2312" w:eastAsia="仿宋_GB2312" w:cs="仿宋_GB2312"/>
                <w:b/>
                <w:bCs/>
                <w:color w:val="auto"/>
                <w:spacing w:val="0"/>
                <w:w w:val="100"/>
                <w:kern w:val="0"/>
                <w:position w:val="0"/>
                <w:sz w:val="24"/>
                <w:szCs w:val="24"/>
                <w:highlight w:val="none"/>
                <w:lang w:val="en-US" w:eastAsia="zh-CN"/>
              </w:rPr>
              <w:t>开户名称：新疆天壹中山工程咨询有限公司</w:t>
            </w:r>
          </w:p>
          <w:p w14:paraId="380D6BCB">
            <w:pPr>
              <w:keepNext w:val="0"/>
              <w:keepLines w:val="0"/>
              <w:pageBreakBefore w:val="0"/>
              <w:widowControl/>
              <w:kinsoku w:val="0"/>
              <w:wordWrap/>
              <w:overflowPunct/>
              <w:topLinePunct w:val="0"/>
              <w:autoSpaceDE w:val="0"/>
              <w:autoSpaceDN w:val="0"/>
              <w:bidi w:val="0"/>
              <w:adjustRightInd w:val="0"/>
              <w:snapToGrid w:val="0"/>
              <w:spacing w:line="320" w:lineRule="exact"/>
              <w:ind w:left="120" w:leftChars="50" w:right="0"/>
              <w:textAlignment w:val="baseline"/>
              <w:rPr>
                <w:rFonts w:hint="eastAsia" w:ascii="仿宋_GB2312" w:hAnsi="仿宋_GB2312" w:eastAsia="仿宋_GB2312" w:cs="仿宋_GB2312"/>
                <w:b/>
                <w:bCs/>
                <w:color w:val="auto"/>
                <w:spacing w:val="0"/>
                <w:w w:val="100"/>
                <w:kern w:val="0"/>
                <w:position w:val="0"/>
                <w:sz w:val="24"/>
                <w:szCs w:val="24"/>
                <w:highlight w:val="none"/>
                <w:lang w:val="en-US" w:eastAsia="zh-CN"/>
              </w:rPr>
            </w:pPr>
            <w:r>
              <w:rPr>
                <w:rFonts w:hint="eastAsia" w:ascii="仿宋_GB2312" w:hAnsi="仿宋_GB2312" w:eastAsia="仿宋_GB2312" w:cs="仿宋_GB2312"/>
                <w:b/>
                <w:bCs/>
                <w:color w:val="auto"/>
                <w:spacing w:val="0"/>
                <w:w w:val="100"/>
                <w:kern w:val="0"/>
                <w:position w:val="0"/>
                <w:sz w:val="24"/>
                <w:szCs w:val="24"/>
                <w:highlight w:val="none"/>
                <w:lang w:val="en-US" w:eastAsia="zh-CN"/>
              </w:rPr>
              <w:t>行    号：102902012016</w:t>
            </w:r>
          </w:p>
          <w:p w14:paraId="67C0F6DA">
            <w:pPr>
              <w:keepNext w:val="0"/>
              <w:keepLines w:val="0"/>
              <w:pageBreakBefore w:val="0"/>
              <w:widowControl/>
              <w:kinsoku w:val="0"/>
              <w:wordWrap/>
              <w:overflowPunct/>
              <w:topLinePunct w:val="0"/>
              <w:autoSpaceDE w:val="0"/>
              <w:autoSpaceDN w:val="0"/>
              <w:bidi w:val="0"/>
              <w:adjustRightInd w:val="0"/>
              <w:snapToGrid w:val="0"/>
              <w:spacing w:line="320" w:lineRule="exact"/>
              <w:ind w:left="120" w:leftChars="50" w:right="0"/>
              <w:textAlignment w:val="baseline"/>
              <w:rPr>
                <w:rFonts w:hint="eastAsia" w:ascii="仿宋_GB2312" w:hAnsi="仿宋_GB2312" w:eastAsia="仿宋_GB2312" w:cs="仿宋_GB2312"/>
                <w:b/>
                <w:bCs/>
                <w:color w:val="auto"/>
                <w:spacing w:val="0"/>
                <w:w w:val="100"/>
                <w:kern w:val="0"/>
                <w:position w:val="0"/>
                <w:sz w:val="24"/>
                <w:szCs w:val="24"/>
                <w:highlight w:val="none"/>
                <w:lang w:val="en-US" w:eastAsia="zh-CN"/>
              </w:rPr>
            </w:pPr>
            <w:r>
              <w:rPr>
                <w:rFonts w:hint="eastAsia" w:ascii="仿宋_GB2312" w:hAnsi="仿宋_GB2312" w:eastAsia="仿宋_GB2312" w:cs="仿宋_GB2312"/>
                <w:b/>
                <w:bCs/>
                <w:color w:val="auto"/>
                <w:spacing w:val="0"/>
                <w:w w:val="100"/>
                <w:kern w:val="0"/>
                <w:position w:val="0"/>
                <w:sz w:val="24"/>
                <w:szCs w:val="24"/>
                <w:highlight w:val="none"/>
                <w:lang w:val="en-US" w:eastAsia="zh-CN"/>
              </w:rPr>
              <w:t>开户银行：中国工商银行股份有限公司阿勒泰解放路分理处</w:t>
            </w:r>
          </w:p>
          <w:p w14:paraId="7F34CFF9">
            <w:pPr>
              <w:keepNext w:val="0"/>
              <w:keepLines w:val="0"/>
              <w:pageBreakBefore w:val="0"/>
              <w:widowControl/>
              <w:kinsoku w:val="0"/>
              <w:wordWrap/>
              <w:overflowPunct/>
              <w:topLinePunct w:val="0"/>
              <w:autoSpaceDE w:val="0"/>
              <w:autoSpaceDN w:val="0"/>
              <w:bidi w:val="0"/>
              <w:adjustRightInd w:val="0"/>
              <w:snapToGrid w:val="0"/>
              <w:spacing w:line="320" w:lineRule="exact"/>
              <w:ind w:left="120" w:leftChars="50" w:right="0"/>
              <w:textAlignment w:val="baseline"/>
              <w:rPr>
                <w:rFonts w:hint="eastAsia" w:ascii="仿宋_GB2312" w:hAnsi="仿宋_GB2312" w:eastAsia="仿宋_GB2312" w:cs="仿宋_GB2312"/>
                <w:b/>
                <w:bCs/>
                <w:color w:val="auto"/>
                <w:spacing w:val="0"/>
                <w:w w:val="100"/>
                <w:kern w:val="0"/>
                <w:position w:val="0"/>
                <w:sz w:val="24"/>
                <w:szCs w:val="24"/>
                <w:highlight w:val="none"/>
                <w:lang w:val="en-US" w:eastAsia="zh-CN"/>
              </w:rPr>
            </w:pPr>
            <w:r>
              <w:rPr>
                <w:rFonts w:hint="eastAsia" w:ascii="仿宋_GB2312" w:hAnsi="仿宋_GB2312" w:eastAsia="仿宋_GB2312" w:cs="仿宋_GB2312"/>
                <w:b/>
                <w:bCs/>
                <w:color w:val="auto"/>
                <w:spacing w:val="0"/>
                <w:w w:val="100"/>
                <w:kern w:val="0"/>
                <w:position w:val="0"/>
                <w:sz w:val="24"/>
                <w:szCs w:val="24"/>
                <w:highlight w:val="none"/>
                <w:lang w:val="en-US" w:eastAsia="zh-CN"/>
              </w:rPr>
              <w:t>帐    号：3008120309000004941</w:t>
            </w:r>
          </w:p>
          <w:p w14:paraId="39F202C2">
            <w:pPr>
              <w:keepNext w:val="0"/>
              <w:keepLines w:val="0"/>
              <w:pageBreakBefore w:val="0"/>
              <w:widowControl/>
              <w:kinsoku w:val="0"/>
              <w:wordWrap/>
              <w:overflowPunct/>
              <w:topLinePunct w:val="0"/>
              <w:autoSpaceDE w:val="0"/>
              <w:autoSpaceDN w:val="0"/>
              <w:bidi w:val="0"/>
              <w:adjustRightInd w:val="0"/>
              <w:snapToGrid w:val="0"/>
              <w:spacing w:line="320" w:lineRule="exact"/>
              <w:ind w:left="120" w:leftChars="50" w:right="0"/>
              <w:textAlignment w:val="baseline"/>
              <w:rPr>
                <w:rFonts w:hint="eastAsia" w:ascii="仿宋_GB2312" w:hAnsi="仿宋_GB2312" w:eastAsia="仿宋_GB2312" w:cs="仿宋_GB2312"/>
                <w:b/>
                <w:bCs/>
                <w:color w:val="auto"/>
                <w:spacing w:val="0"/>
                <w:w w:val="100"/>
                <w:kern w:val="0"/>
                <w:position w:val="0"/>
                <w:sz w:val="24"/>
                <w:szCs w:val="24"/>
                <w:highlight w:val="none"/>
                <w:lang w:val="en-US" w:eastAsia="zh-CN"/>
              </w:rPr>
            </w:pPr>
            <w:r>
              <w:rPr>
                <w:rFonts w:hint="eastAsia" w:ascii="仿宋_GB2312" w:hAnsi="仿宋_GB2312" w:eastAsia="仿宋_GB2312" w:cs="仿宋_GB2312"/>
                <w:b/>
                <w:bCs/>
                <w:color w:val="auto"/>
                <w:spacing w:val="0"/>
                <w:w w:val="100"/>
                <w:kern w:val="0"/>
                <w:position w:val="0"/>
                <w:sz w:val="24"/>
                <w:szCs w:val="24"/>
                <w:highlight w:val="none"/>
                <w:lang w:val="en-US" w:eastAsia="zh-CN"/>
              </w:rPr>
              <w:t xml:space="preserve">咨询电话：0906-6286808（招标代理财务办公室） </w:t>
            </w:r>
          </w:p>
          <w:p w14:paraId="5B6AE4FD">
            <w:pPr>
              <w:keepNext w:val="0"/>
              <w:keepLines w:val="0"/>
              <w:pageBreakBefore w:val="0"/>
              <w:widowControl/>
              <w:kinsoku w:val="0"/>
              <w:wordWrap/>
              <w:overflowPunct/>
              <w:topLinePunct w:val="0"/>
              <w:autoSpaceDE w:val="0"/>
              <w:autoSpaceDN w:val="0"/>
              <w:bidi w:val="0"/>
              <w:adjustRightInd w:val="0"/>
              <w:snapToGrid w:val="0"/>
              <w:spacing w:line="320" w:lineRule="exact"/>
              <w:ind w:left="120" w:leftChars="50" w:right="0"/>
              <w:textAlignment w:val="baseline"/>
              <w:rPr>
                <w:rFonts w:hint="eastAsia" w:ascii="仿宋_GB2312" w:hAnsi="仿宋_GB2312" w:eastAsia="仿宋_GB2312" w:cs="仿宋_GB2312"/>
                <w:b/>
                <w:bCs/>
                <w:color w:val="auto"/>
                <w:spacing w:val="0"/>
                <w:w w:val="100"/>
                <w:kern w:val="0"/>
                <w:position w:val="0"/>
                <w:sz w:val="24"/>
                <w:szCs w:val="24"/>
                <w:highlight w:val="none"/>
              </w:rPr>
            </w:pPr>
            <w:r>
              <w:rPr>
                <w:rFonts w:hint="eastAsia" w:ascii="仿宋_GB2312" w:hAnsi="仿宋_GB2312" w:eastAsia="仿宋_GB2312" w:cs="仿宋_GB2312"/>
                <w:b/>
                <w:bCs/>
                <w:color w:val="auto"/>
                <w:spacing w:val="0"/>
                <w:w w:val="100"/>
                <w:kern w:val="0"/>
                <w:position w:val="0"/>
                <w:sz w:val="24"/>
                <w:szCs w:val="24"/>
                <w:highlight w:val="none"/>
                <w:lang w:val="en-US" w:eastAsia="zh-CN"/>
              </w:rPr>
              <w:t xml:space="preserve">递交时间：投标截止时间之前（投标提交投标保证金应充分考虑资金在途时间、跨行等因素导致的延迟到账情况，各投标人缴纳投标保证金时需在附加信息及用途栏内注明“投标保证金、项目名称（可简写）”，以投标保证金接收方银行到账信息为准） </w:t>
            </w:r>
          </w:p>
          <w:p w14:paraId="73F90EBE">
            <w:pPr>
              <w:keepNext w:val="0"/>
              <w:keepLines w:val="0"/>
              <w:pageBreakBefore w:val="0"/>
              <w:widowControl/>
              <w:kinsoku w:val="0"/>
              <w:wordWrap/>
              <w:overflowPunct/>
              <w:topLinePunct w:val="0"/>
              <w:autoSpaceDE w:val="0"/>
              <w:autoSpaceDN w:val="0"/>
              <w:bidi w:val="0"/>
              <w:adjustRightInd w:val="0"/>
              <w:snapToGrid w:val="0"/>
              <w:spacing w:line="320" w:lineRule="exact"/>
              <w:ind w:left="120" w:leftChars="50" w:right="0"/>
              <w:textAlignment w:val="baseline"/>
              <w:rPr>
                <w:rFonts w:hint="eastAsia" w:ascii="仿宋_GB2312" w:hAnsi="仿宋_GB2312" w:eastAsia="仿宋_GB2312" w:cs="仿宋_GB2312"/>
                <w:b/>
                <w:bCs/>
                <w:color w:val="auto"/>
                <w:spacing w:val="0"/>
                <w:w w:val="100"/>
                <w:kern w:val="0"/>
                <w:position w:val="0"/>
                <w:sz w:val="24"/>
                <w:szCs w:val="24"/>
                <w:highlight w:val="none"/>
              </w:rPr>
            </w:pPr>
            <w:r>
              <w:rPr>
                <w:rFonts w:hint="eastAsia" w:ascii="仿宋_GB2312" w:hAnsi="仿宋_GB2312" w:eastAsia="仿宋_GB2312" w:cs="仿宋_GB2312"/>
                <w:b/>
                <w:bCs/>
                <w:color w:val="auto"/>
                <w:spacing w:val="0"/>
                <w:w w:val="100"/>
                <w:kern w:val="0"/>
                <w:position w:val="0"/>
                <w:sz w:val="24"/>
                <w:szCs w:val="24"/>
                <w:highlight w:val="none"/>
                <w:lang w:val="en-US" w:eastAsia="zh-CN"/>
              </w:rPr>
              <w:t xml:space="preserve">注：采用保函形式递交保证金的（基本账户办理保函）： </w:t>
            </w:r>
          </w:p>
          <w:p w14:paraId="63C4C43B">
            <w:pPr>
              <w:keepNext w:val="0"/>
              <w:keepLines w:val="0"/>
              <w:pageBreakBefore w:val="0"/>
              <w:widowControl/>
              <w:kinsoku w:val="0"/>
              <w:wordWrap/>
              <w:overflowPunct/>
              <w:topLinePunct w:val="0"/>
              <w:autoSpaceDE w:val="0"/>
              <w:autoSpaceDN w:val="0"/>
              <w:bidi w:val="0"/>
              <w:adjustRightInd w:val="0"/>
              <w:snapToGrid w:val="0"/>
              <w:spacing w:line="320" w:lineRule="exact"/>
              <w:ind w:left="120" w:leftChars="50" w:right="0"/>
              <w:textAlignment w:val="baseline"/>
              <w:rPr>
                <w:rFonts w:hint="eastAsia" w:ascii="仿宋_GB2312" w:hAnsi="仿宋_GB2312" w:eastAsia="仿宋_GB2312" w:cs="仿宋_GB2312"/>
                <w:b/>
                <w:bCs/>
                <w:color w:val="auto"/>
                <w:spacing w:val="0"/>
                <w:w w:val="100"/>
                <w:kern w:val="0"/>
                <w:position w:val="0"/>
                <w:sz w:val="24"/>
                <w:szCs w:val="24"/>
                <w:highlight w:val="none"/>
              </w:rPr>
            </w:pPr>
            <w:r>
              <w:rPr>
                <w:rFonts w:hint="eastAsia" w:ascii="仿宋_GB2312" w:hAnsi="仿宋_GB2312" w:eastAsia="仿宋_GB2312" w:cs="仿宋_GB2312"/>
                <w:b/>
                <w:bCs/>
                <w:color w:val="auto"/>
                <w:spacing w:val="0"/>
                <w:w w:val="100"/>
                <w:kern w:val="0"/>
                <w:position w:val="0"/>
                <w:sz w:val="24"/>
                <w:szCs w:val="24"/>
                <w:highlight w:val="none"/>
                <w:lang w:val="en-US" w:eastAsia="zh-CN"/>
              </w:rPr>
              <w:t xml:space="preserve">（1）根据国家现行采购政策，投标保证金可以使用金融系统电子保函。 </w:t>
            </w:r>
          </w:p>
          <w:p w14:paraId="332E7818">
            <w:pPr>
              <w:keepNext w:val="0"/>
              <w:keepLines w:val="0"/>
              <w:pageBreakBefore w:val="0"/>
              <w:widowControl/>
              <w:kinsoku w:val="0"/>
              <w:wordWrap/>
              <w:overflowPunct/>
              <w:topLinePunct w:val="0"/>
              <w:autoSpaceDE w:val="0"/>
              <w:autoSpaceDN w:val="0"/>
              <w:bidi w:val="0"/>
              <w:adjustRightInd w:val="0"/>
              <w:snapToGrid w:val="0"/>
              <w:spacing w:line="320" w:lineRule="exact"/>
              <w:ind w:left="120" w:leftChars="50" w:right="0"/>
              <w:textAlignment w:val="baseline"/>
              <w:rPr>
                <w:rFonts w:hint="eastAsia" w:ascii="仿宋_GB2312" w:hAnsi="仿宋_GB2312" w:eastAsia="仿宋_GB2312" w:cs="仿宋_GB2312"/>
                <w:b/>
                <w:bCs/>
                <w:color w:val="auto"/>
                <w:spacing w:val="0"/>
                <w:w w:val="100"/>
                <w:kern w:val="0"/>
                <w:position w:val="0"/>
                <w:sz w:val="24"/>
                <w:szCs w:val="24"/>
                <w:highlight w:val="none"/>
              </w:rPr>
            </w:pPr>
            <w:r>
              <w:rPr>
                <w:rFonts w:hint="eastAsia" w:ascii="仿宋_GB2312" w:hAnsi="仿宋_GB2312" w:eastAsia="仿宋_GB2312" w:cs="仿宋_GB2312"/>
                <w:b/>
                <w:bCs/>
                <w:color w:val="auto"/>
                <w:spacing w:val="0"/>
                <w:w w:val="100"/>
                <w:kern w:val="0"/>
                <w:position w:val="0"/>
                <w:sz w:val="24"/>
                <w:szCs w:val="24"/>
                <w:highlight w:val="none"/>
                <w:lang w:val="en-US" w:eastAsia="zh-CN"/>
              </w:rPr>
              <w:t xml:space="preserve">电子保函按照“一包段一保函”的原则，办理电子保函必须在投标截止时间（开标时间）前完成。投标人需自行评估异地、跨行、公休日等因素造成的保函办理延迟风险，并承担相应责任；开标前，投保人必须下载加密保单作为保证金缴纳凭证放入投标文件中； </w:t>
            </w:r>
          </w:p>
          <w:p w14:paraId="2041EACD">
            <w:pPr>
              <w:keepNext w:val="0"/>
              <w:keepLines w:val="0"/>
              <w:pageBreakBefore w:val="0"/>
              <w:widowControl/>
              <w:kinsoku w:val="0"/>
              <w:wordWrap/>
              <w:overflowPunct/>
              <w:topLinePunct w:val="0"/>
              <w:autoSpaceDE w:val="0"/>
              <w:autoSpaceDN w:val="0"/>
              <w:bidi w:val="0"/>
              <w:adjustRightInd w:val="0"/>
              <w:snapToGrid w:val="0"/>
              <w:spacing w:line="320" w:lineRule="exact"/>
              <w:ind w:left="120" w:leftChars="50" w:right="0"/>
              <w:textAlignment w:val="baseline"/>
              <w:rPr>
                <w:rFonts w:hint="eastAsia" w:ascii="仿宋_GB2312" w:hAnsi="仿宋_GB2312" w:eastAsia="仿宋_GB2312" w:cs="仿宋_GB2312"/>
                <w:b/>
                <w:bCs/>
                <w:color w:val="auto"/>
                <w:spacing w:val="0"/>
                <w:w w:val="100"/>
                <w:kern w:val="0"/>
                <w:position w:val="0"/>
                <w:sz w:val="24"/>
                <w:szCs w:val="24"/>
                <w:highlight w:val="none"/>
              </w:rPr>
            </w:pPr>
            <w:r>
              <w:rPr>
                <w:rFonts w:hint="eastAsia" w:ascii="仿宋_GB2312" w:hAnsi="仿宋_GB2312" w:eastAsia="仿宋_GB2312" w:cs="仿宋_GB2312"/>
                <w:b/>
                <w:bCs/>
                <w:color w:val="auto"/>
                <w:spacing w:val="0"/>
                <w:w w:val="100"/>
                <w:kern w:val="0"/>
                <w:position w:val="0"/>
                <w:sz w:val="24"/>
                <w:szCs w:val="24"/>
                <w:highlight w:val="none"/>
                <w:lang w:val="en-US" w:eastAsia="zh-CN"/>
              </w:rPr>
              <w:t xml:space="preserve">（2）电子保函操作流程：登录政采云平台→点击右上角[金融服务]进入 </w:t>
            </w:r>
          </w:p>
          <w:p w14:paraId="0568B0D6">
            <w:pPr>
              <w:keepNext w:val="0"/>
              <w:keepLines w:val="0"/>
              <w:pageBreakBefore w:val="0"/>
              <w:widowControl/>
              <w:kinsoku w:val="0"/>
              <w:wordWrap/>
              <w:overflowPunct/>
              <w:topLinePunct w:val="0"/>
              <w:autoSpaceDE w:val="0"/>
              <w:autoSpaceDN w:val="0"/>
              <w:bidi w:val="0"/>
              <w:adjustRightInd w:val="0"/>
              <w:snapToGrid w:val="0"/>
              <w:spacing w:line="320" w:lineRule="exact"/>
              <w:ind w:left="120" w:leftChars="50" w:right="0"/>
              <w:textAlignment w:val="baseline"/>
              <w:rPr>
                <w:rFonts w:hint="eastAsia" w:ascii="仿宋_GB2312" w:hAnsi="仿宋_GB2312" w:eastAsia="仿宋_GB2312" w:cs="仿宋_GB2312"/>
                <w:b/>
                <w:bCs/>
                <w:color w:val="auto"/>
                <w:spacing w:val="0"/>
                <w:w w:val="100"/>
                <w:kern w:val="0"/>
                <w:position w:val="0"/>
                <w:sz w:val="24"/>
                <w:szCs w:val="24"/>
                <w:highlight w:val="none"/>
              </w:rPr>
            </w:pPr>
            <w:r>
              <w:rPr>
                <w:rFonts w:hint="eastAsia" w:ascii="仿宋_GB2312" w:hAnsi="仿宋_GB2312" w:eastAsia="仿宋_GB2312" w:cs="仿宋_GB2312"/>
                <w:b/>
                <w:bCs/>
                <w:color w:val="auto"/>
                <w:spacing w:val="0"/>
                <w:w w:val="100"/>
                <w:kern w:val="0"/>
                <w:position w:val="0"/>
                <w:sz w:val="24"/>
                <w:szCs w:val="24"/>
                <w:highlight w:val="none"/>
                <w:lang w:val="en-US" w:eastAsia="zh-CN"/>
              </w:rPr>
              <w:t xml:space="preserve">详情页→点击页面上方[保险/保函]，根据实际情况申请办理即可。供应商须在投标截止时间前，将所投项目对应的保函随响应文件一起上传到政采云平台。 </w:t>
            </w:r>
          </w:p>
          <w:p w14:paraId="4115CA74">
            <w:pPr>
              <w:keepNext w:val="0"/>
              <w:keepLines w:val="0"/>
              <w:pageBreakBefore w:val="0"/>
              <w:numPr>
                <w:ilvl w:val="0"/>
                <w:numId w:val="0"/>
              </w:numPr>
              <w:shd w:val="clear" w:color="auto" w:fill="auto"/>
              <w:wordWrap/>
              <w:overflowPunct/>
              <w:topLinePunct w:val="0"/>
              <w:bidi w:val="0"/>
              <w:spacing w:line="320" w:lineRule="exact"/>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bCs/>
                <w:color w:val="auto"/>
                <w:spacing w:val="0"/>
                <w:w w:val="100"/>
                <w:kern w:val="0"/>
                <w:position w:val="0"/>
                <w:sz w:val="24"/>
                <w:szCs w:val="24"/>
                <w:highlight w:val="none"/>
                <w:lang w:val="en-US" w:eastAsia="zh-CN"/>
              </w:rPr>
              <w:t>友情提示：银行法定节假日不办理公对公账户电汇业务，请提前办理。投标保证金是否在规定截止时间前到户的风险由投标单位承担，投标保证金在银行的划转需要一定时间，望投标单位尽早缴纳！</w:t>
            </w: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eastAsia="zh-CN"/>
              </w:rPr>
              <w:t xml:space="preserve"> </w:t>
            </w:r>
          </w:p>
        </w:tc>
      </w:tr>
      <w:tr w14:paraId="3F6AAC42">
        <w:tblPrEx>
          <w:tblCellMar>
            <w:top w:w="0" w:type="dxa"/>
            <w:left w:w="108" w:type="dxa"/>
            <w:bottom w:w="0" w:type="dxa"/>
            <w:right w:w="108" w:type="dxa"/>
          </w:tblCellMar>
        </w:tblPrEx>
        <w:trPr>
          <w:trHeight w:val="962"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021F86F">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14</w:t>
            </w:r>
          </w:p>
        </w:tc>
        <w:tc>
          <w:tcPr>
            <w:tcW w:w="1407" w:type="dxa"/>
            <w:tcBorders>
              <w:top w:val="single" w:color="auto" w:sz="4" w:space="0"/>
              <w:left w:val="single" w:color="auto" w:sz="4" w:space="0"/>
              <w:bottom w:val="single" w:color="auto" w:sz="4" w:space="0"/>
              <w:right w:val="single" w:color="auto" w:sz="4" w:space="0"/>
            </w:tcBorders>
            <w:vAlign w:val="center"/>
          </w:tcPr>
          <w:p w14:paraId="50CA9453">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是否允许递交备选  投标方案</w:t>
            </w:r>
          </w:p>
        </w:tc>
        <w:tc>
          <w:tcPr>
            <w:tcW w:w="7400" w:type="dxa"/>
            <w:tcBorders>
              <w:top w:val="single" w:color="auto" w:sz="4" w:space="0"/>
              <w:left w:val="single" w:color="auto" w:sz="4" w:space="0"/>
              <w:bottom w:val="single" w:color="auto" w:sz="4" w:space="0"/>
              <w:right w:val="single" w:color="auto" w:sz="4" w:space="0"/>
            </w:tcBorders>
            <w:vAlign w:val="center"/>
          </w:tcPr>
          <w:p w14:paraId="6F60E65E">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☑不允许</w:t>
            </w:r>
          </w:p>
          <w:p w14:paraId="2B708C84">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□允  许</w:t>
            </w:r>
          </w:p>
        </w:tc>
      </w:tr>
      <w:tr w14:paraId="7B032DF1">
        <w:tblPrEx>
          <w:tblCellMar>
            <w:top w:w="0" w:type="dxa"/>
            <w:left w:w="108" w:type="dxa"/>
            <w:bottom w:w="0" w:type="dxa"/>
            <w:right w:w="108" w:type="dxa"/>
          </w:tblCellMar>
        </w:tblPrEx>
        <w:trPr>
          <w:trHeight w:val="6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6FA315D">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1407" w:type="dxa"/>
            <w:tcBorders>
              <w:top w:val="single" w:color="auto" w:sz="4" w:space="0"/>
              <w:left w:val="single" w:color="auto" w:sz="4" w:space="0"/>
              <w:bottom w:val="single" w:color="auto" w:sz="4" w:space="0"/>
              <w:right w:val="single" w:color="auto" w:sz="4" w:space="0"/>
            </w:tcBorders>
            <w:vAlign w:val="center"/>
          </w:tcPr>
          <w:p w14:paraId="2B30FD4B">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招标文件领取</w:t>
            </w:r>
          </w:p>
        </w:tc>
        <w:tc>
          <w:tcPr>
            <w:tcW w:w="7400" w:type="dxa"/>
            <w:tcBorders>
              <w:top w:val="single" w:color="auto" w:sz="4" w:space="0"/>
              <w:left w:val="single" w:color="auto" w:sz="4" w:space="0"/>
              <w:bottom w:val="single" w:color="auto" w:sz="4" w:space="0"/>
              <w:right w:val="single" w:color="auto" w:sz="4" w:space="0"/>
            </w:tcBorders>
            <w:vAlign w:val="center"/>
          </w:tcPr>
          <w:p w14:paraId="36E4B898">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u w:val="none"/>
                <w:lang w:eastAsia="zh-CN"/>
              </w:rPr>
              <w:t>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5</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7</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7</w:t>
            </w:r>
            <w:r>
              <w:rPr>
                <w:rFonts w:hint="eastAsia" w:ascii="仿宋" w:hAnsi="仿宋" w:eastAsia="仿宋" w:cs="仿宋"/>
                <w:color w:val="auto"/>
                <w:kern w:val="2"/>
                <w:sz w:val="24"/>
                <w:szCs w:val="24"/>
                <w:highlight w:val="none"/>
                <w:u w:val="single"/>
                <w:lang w:eastAsia="zh-CN" w:bidi="ar-SA"/>
              </w:rPr>
              <w:t>日至202</w:t>
            </w:r>
            <w:r>
              <w:rPr>
                <w:rFonts w:hint="eastAsia" w:ascii="仿宋" w:hAnsi="仿宋" w:eastAsia="仿宋" w:cs="仿宋"/>
                <w:color w:val="auto"/>
                <w:kern w:val="2"/>
                <w:sz w:val="24"/>
                <w:szCs w:val="24"/>
                <w:highlight w:val="none"/>
                <w:u w:val="single"/>
                <w:lang w:val="en-US" w:eastAsia="zh-CN" w:bidi="ar-SA"/>
              </w:rPr>
              <w:t>5</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 xml:space="preserve">7 </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14</w:t>
            </w:r>
            <w:r>
              <w:rPr>
                <w:rFonts w:hint="eastAsia" w:ascii="仿宋" w:hAnsi="仿宋" w:eastAsia="仿宋" w:cs="仿宋"/>
                <w:color w:val="auto"/>
                <w:kern w:val="2"/>
                <w:sz w:val="24"/>
                <w:szCs w:val="24"/>
                <w:highlight w:val="none"/>
                <w:u w:val="single"/>
                <w:lang w:eastAsia="zh-CN" w:bidi="ar-SA"/>
              </w:rPr>
              <w:t>日，</w:t>
            </w:r>
            <w:r>
              <w:rPr>
                <w:rFonts w:hint="eastAsia" w:ascii="仿宋_GB2312" w:hAnsi="仿宋_GB2312" w:eastAsia="仿宋_GB2312" w:cs="仿宋_GB2312"/>
                <w:color w:val="auto"/>
                <w:sz w:val="24"/>
                <w:szCs w:val="24"/>
                <w:highlight w:val="none"/>
                <w:lang w:eastAsia="zh-CN"/>
              </w:rPr>
              <w:t>每天上午10:00至1</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lang w:eastAsia="zh-CN"/>
              </w:rPr>
              <w:t>0，下午16:</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lang w:eastAsia="zh-CN"/>
              </w:rPr>
              <w:t>0至</w:t>
            </w:r>
            <w:r>
              <w:rPr>
                <w:rFonts w:hint="eastAsia" w:ascii="仿宋_GB2312" w:hAnsi="仿宋_GB2312" w:eastAsia="仿宋_GB2312" w:cs="仿宋_GB2312"/>
                <w:color w:val="auto"/>
                <w:sz w:val="24"/>
                <w:szCs w:val="24"/>
                <w:highlight w:val="none"/>
                <w:lang w:val="en-US" w:eastAsia="zh-CN"/>
              </w:rPr>
              <w:t>23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59</w:t>
            </w:r>
            <w:r>
              <w:rPr>
                <w:rFonts w:hint="eastAsia" w:ascii="仿宋_GB2312" w:hAnsi="仿宋_GB2312" w:eastAsia="仿宋_GB2312" w:cs="仿宋_GB2312"/>
                <w:color w:val="auto"/>
                <w:sz w:val="24"/>
                <w:szCs w:val="24"/>
                <w:highlight w:val="none"/>
                <w:lang w:eastAsia="zh-CN"/>
              </w:rPr>
              <w:t>（北京时间，节假日除外）</w:t>
            </w:r>
          </w:p>
          <w:p w14:paraId="6DE77943">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地点：政采云平台线上。</w:t>
            </w:r>
          </w:p>
          <w:p w14:paraId="148E3755">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方式：供应商登录政采云平台https://www.zcygov.cn/在线申请获取采购文件（进入“项目采购”应用，在获取采购文件菜单中选择项目，申请获取采购文件）</w:t>
            </w:r>
          </w:p>
          <w:p w14:paraId="5BDAC09E">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（2）供应商获取招标文件前应注册成为政府采购云平台正式供应商。</w:t>
            </w:r>
          </w:p>
        </w:tc>
      </w:tr>
      <w:tr w14:paraId="5C596033">
        <w:tblPrEx>
          <w:tblCellMar>
            <w:top w:w="0" w:type="dxa"/>
            <w:left w:w="108" w:type="dxa"/>
            <w:bottom w:w="0" w:type="dxa"/>
            <w:right w:w="108" w:type="dxa"/>
          </w:tblCellMar>
        </w:tblPrEx>
        <w:trPr>
          <w:trHeight w:val="2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FD2E53C">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w:t>
            </w:r>
          </w:p>
        </w:tc>
        <w:tc>
          <w:tcPr>
            <w:tcW w:w="1407" w:type="dxa"/>
            <w:tcBorders>
              <w:top w:val="single" w:color="auto" w:sz="4" w:space="0"/>
              <w:left w:val="single" w:color="auto" w:sz="4" w:space="0"/>
              <w:bottom w:val="single" w:color="auto" w:sz="4" w:space="0"/>
              <w:right w:val="single" w:color="auto" w:sz="4" w:space="0"/>
            </w:tcBorders>
            <w:vAlign w:val="center"/>
          </w:tcPr>
          <w:p w14:paraId="0AC98A54">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投标文件形式</w:t>
            </w:r>
          </w:p>
        </w:tc>
        <w:tc>
          <w:tcPr>
            <w:tcW w:w="7400" w:type="dxa"/>
            <w:tcBorders>
              <w:top w:val="single" w:color="auto" w:sz="4" w:space="0"/>
              <w:left w:val="single" w:color="auto" w:sz="4" w:space="0"/>
              <w:bottom w:val="single" w:color="auto" w:sz="4" w:space="0"/>
              <w:right w:val="single" w:color="auto" w:sz="4" w:space="0"/>
            </w:tcBorders>
            <w:vAlign w:val="center"/>
          </w:tcPr>
          <w:p w14:paraId="11E7525B">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“电子加密投标文件”是指通过“政采云电子交易客户端”完成投标文件编制后生成并加密的数据电文形式的投标文件。</w:t>
            </w:r>
          </w:p>
        </w:tc>
      </w:tr>
      <w:tr w14:paraId="2F9C6CCE">
        <w:tblPrEx>
          <w:tblCellMar>
            <w:top w:w="0" w:type="dxa"/>
            <w:left w:w="108" w:type="dxa"/>
            <w:bottom w:w="0" w:type="dxa"/>
            <w:right w:w="108" w:type="dxa"/>
          </w:tblCellMar>
        </w:tblPrEx>
        <w:trPr>
          <w:trHeight w:val="73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6792353">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w:t>
            </w:r>
          </w:p>
        </w:tc>
        <w:tc>
          <w:tcPr>
            <w:tcW w:w="1407" w:type="dxa"/>
            <w:tcBorders>
              <w:top w:val="single" w:color="auto" w:sz="4" w:space="0"/>
              <w:left w:val="single" w:color="auto" w:sz="4" w:space="0"/>
              <w:bottom w:val="single" w:color="auto" w:sz="4" w:space="0"/>
              <w:right w:val="single" w:color="auto" w:sz="4" w:space="0"/>
            </w:tcBorders>
            <w:vAlign w:val="center"/>
          </w:tcPr>
          <w:p w14:paraId="4703A94C">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投标文件要求</w:t>
            </w:r>
          </w:p>
        </w:tc>
        <w:tc>
          <w:tcPr>
            <w:tcW w:w="7400" w:type="dxa"/>
            <w:tcBorders>
              <w:top w:val="single" w:color="auto" w:sz="4" w:space="0"/>
              <w:left w:val="single" w:color="auto" w:sz="4" w:space="0"/>
              <w:bottom w:val="single" w:color="auto" w:sz="4" w:space="0"/>
              <w:right w:val="single" w:color="auto" w:sz="4" w:space="0"/>
            </w:tcBorders>
            <w:vAlign w:val="center"/>
          </w:tcPr>
          <w:p w14:paraId="223A1F6C">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1、一份电子加密标书（“.jmbs”格式）。</w:t>
            </w:r>
          </w:p>
          <w:p w14:paraId="1DF59287">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2、每份电子投标文件应包括资格证明文件和商务及技术文件两部分。</w:t>
            </w:r>
          </w:p>
        </w:tc>
      </w:tr>
      <w:tr w14:paraId="38685C06">
        <w:tblPrEx>
          <w:tblCellMar>
            <w:top w:w="0" w:type="dxa"/>
            <w:left w:w="108" w:type="dxa"/>
            <w:bottom w:w="0" w:type="dxa"/>
            <w:right w:w="108" w:type="dxa"/>
          </w:tblCellMar>
        </w:tblPrEx>
        <w:trPr>
          <w:trHeight w:val="2545" w:hRule="atLeast"/>
          <w:jc w:val="center"/>
        </w:trPr>
        <w:tc>
          <w:tcPr>
            <w:tcW w:w="558" w:type="dxa"/>
            <w:tcBorders>
              <w:top w:val="single" w:color="auto" w:sz="4" w:space="0"/>
              <w:left w:val="single" w:color="auto" w:sz="4" w:space="0"/>
              <w:right w:val="single" w:color="auto" w:sz="4" w:space="0"/>
            </w:tcBorders>
            <w:vAlign w:val="center"/>
          </w:tcPr>
          <w:p w14:paraId="428B3E53">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w:t>
            </w:r>
          </w:p>
        </w:tc>
        <w:tc>
          <w:tcPr>
            <w:tcW w:w="1407" w:type="dxa"/>
            <w:tcBorders>
              <w:top w:val="single" w:color="auto" w:sz="4" w:space="0"/>
              <w:left w:val="single" w:color="auto" w:sz="4" w:space="0"/>
              <w:right w:val="single" w:color="auto" w:sz="4" w:space="0"/>
            </w:tcBorders>
            <w:vAlign w:val="center"/>
          </w:tcPr>
          <w:p w14:paraId="3E08E880">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投标文件的上传和递交</w:t>
            </w:r>
          </w:p>
        </w:tc>
        <w:tc>
          <w:tcPr>
            <w:tcW w:w="7400" w:type="dxa"/>
            <w:tcBorders>
              <w:top w:val="single" w:color="auto" w:sz="4" w:space="0"/>
              <w:left w:val="single" w:color="auto" w:sz="4" w:space="0"/>
              <w:bottom w:val="single" w:color="auto" w:sz="4" w:space="0"/>
              <w:right w:val="single" w:color="auto" w:sz="4" w:space="0"/>
            </w:tcBorders>
            <w:vAlign w:val="center"/>
          </w:tcPr>
          <w:p w14:paraId="617CFA80">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3D04B310">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a.供应商未能在投标截止时间前成功上传电子加密投标文件的投标无效。</w:t>
            </w:r>
          </w:p>
          <w:p w14:paraId="4E3AC4D3">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b.供应商成功上传电子加密投标文件后，可自行打印投标文件接收回执。</w:t>
            </w:r>
          </w:p>
        </w:tc>
      </w:tr>
      <w:tr w14:paraId="70B77AE8">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176198C">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19</w:t>
            </w:r>
          </w:p>
        </w:tc>
        <w:tc>
          <w:tcPr>
            <w:tcW w:w="1407" w:type="dxa"/>
            <w:tcBorders>
              <w:top w:val="single" w:color="auto" w:sz="4" w:space="0"/>
              <w:left w:val="single" w:color="auto" w:sz="4" w:space="0"/>
              <w:bottom w:val="single" w:color="auto" w:sz="4" w:space="0"/>
              <w:right w:val="single" w:color="auto" w:sz="4" w:space="0"/>
            </w:tcBorders>
            <w:vAlign w:val="center"/>
          </w:tcPr>
          <w:p w14:paraId="5A366890">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评标委员会的组建</w:t>
            </w:r>
          </w:p>
        </w:tc>
        <w:tc>
          <w:tcPr>
            <w:tcW w:w="7400" w:type="dxa"/>
            <w:tcBorders>
              <w:top w:val="single" w:color="auto" w:sz="4" w:space="0"/>
              <w:left w:val="single" w:color="auto" w:sz="4" w:space="0"/>
              <w:bottom w:val="single" w:color="auto" w:sz="4" w:space="0"/>
              <w:right w:val="single" w:color="auto" w:sz="4" w:space="0"/>
            </w:tcBorders>
            <w:vAlign w:val="center"/>
          </w:tcPr>
          <w:p w14:paraId="46E5FFE3">
            <w:pPr>
              <w:keepNext w:val="0"/>
              <w:keepLines w:val="0"/>
              <w:pageBreakBefore w:val="0"/>
              <w:wordWrap/>
              <w:overflowPunct/>
              <w:topLinePunct w:val="0"/>
              <w:bidi w:val="0"/>
              <w:spacing w:line="320" w:lineRule="exac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zh-CN" w:eastAsia="zh-CN"/>
              </w:rPr>
              <w:t>评标委员会由招标人依法组建；评审专家</w:t>
            </w:r>
            <w:r>
              <w:rPr>
                <w:rFonts w:hint="eastAsia" w:ascii="仿宋_GB2312" w:hAnsi="仿宋_GB2312" w:eastAsia="仿宋_GB2312" w:cs="仿宋_GB2312"/>
                <w:color w:val="auto"/>
                <w:sz w:val="24"/>
                <w:szCs w:val="24"/>
                <w:highlight w:val="none"/>
                <w:lang w:val="en-US" w:eastAsia="zh-CN"/>
              </w:rPr>
              <w:t>7人及以上</w:t>
            </w:r>
          </w:p>
          <w:p w14:paraId="18A01D00">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评标专家确定方式：评标委员会由招标人在开标前从政采云专家库中随机抽取</w:t>
            </w:r>
          </w:p>
        </w:tc>
      </w:tr>
      <w:tr w14:paraId="51F13AC8">
        <w:tblPrEx>
          <w:tblCellMar>
            <w:top w:w="0" w:type="dxa"/>
            <w:left w:w="108" w:type="dxa"/>
            <w:bottom w:w="0" w:type="dxa"/>
            <w:right w:w="108" w:type="dxa"/>
          </w:tblCellMar>
        </w:tblPrEx>
        <w:trPr>
          <w:trHeight w:val="117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DD4CB79">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w:t>
            </w:r>
          </w:p>
        </w:tc>
        <w:tc>
          <w:tcPr>
            <w:tcW w:w="1407" w:type="dxa"/>
            <w:tcBorders>
              <w:top w:val="single" w:color="auto" w:sz="4" w:space="0"/>
              <w:left w:val="single" w:color="auto" w:sz="4" w:space="0"/>
              <w:bottom w:val="single" w:color="auto" w:sz="4" w:space="0"/>
              <w:right w:val="single" w:color="auto" w:sz="4" w:space="0"/>
            </w:tcBorders>
            <w:vAlign w:val="center"/>
          </w:tcPr>
          <w:p w14:paraId="78414089">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是否授权评标委员会确定中标候选人</w:t>
            </w:r>
          </w:p>
        </w:tc>
        <w:tc>
          <w:tcPr>
            <w:tcW w:w="7400" w:type="dxa"/>
            <w:tcBorders>
              <w:top w:val="single" w:color="auto" w:sz="4" w:space="0"/>
              <w:left w:val="single" w:color="auto" w:sz="4" w:space="0"/>
              <w:bottom w:val="single" w:color="auto" w:sz="4" w:space="0"/>
              <w:right w:val="single" w:color="auto" w:sz="4" w:space="0"/>
            </w:tcBorders>
            <w:vAlign w:val="center"/>
          </w:tcPr>
          <w:p w14:paraId="0CD07DEB">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en-US" w:eastAsia="zh-CN"/>
              </w:rPr>
              <w:t>否</w:t>
            </w:r>
          </w:p>
        </w:tc>
      </w:tr>
      <w:tr w14:paraId="1E4F475E">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F625BBD">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21</w:t>
            </w:r>
          </w:p>
        </w:tc>
        <w:tc>
          <w:tcPr>
            <w:tcW w:w="1407" w:type="dxa"/>
            <w:tcBorders>
              <w:top w:val="single" w:color="auto" w:sz="4" w:space="0"/>
              <w:left w:val="single" w:color="auto" w:sz="4" w:space="0"/>
              <w:bottom w:val="single" w:color="auto" w:sz="4" w:space="0"/>
              <w:right w:val="single" w:color="auto" w:sz="4" w:space="0"/>
            </w:tcBorders>
            <w:vAlign w:val="center"/>
          </w:tcPr>
          <w:p w14:paraId="59890FAB">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递交投标文件地点</w:t>
            </w:r>
          </w:p>
        </w:tc>
        <w:tc>
          <w:tcPr>
            <w:tcW w:w="7400" w:type="dxa"/>
            <w:tcBorders>
              <w:top w:val="single" w:color="auto" w:sz="4" w:space="0"/>
              <w:left w:val="single" w:color="auto" w:sz="4" w:space="0"/>
              <w:bottom w:val="single" w:color="auto" w:sz="4" w:space="0"/>
              <w:right w:val="single" w:color="auto" w:sz="4" w:space="0"/>
            </w:tcBorders>
            <w:vAlign w:val="center"/>
          </w:tcPr>
          <w:p w14:paraId="16E3FDE9">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投标截止时间：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5</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7</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29</w:t>
            </w:r>
            <w:r>
              <w:rPr>
                <w:rFonts w:hint="eastAsia" w:ascii="仿宋" w:hAnsi="仿宋" w:eastAsia="仿宋" w:cs="仿宋"/>
                <w:color w:val="auto"/>
                <w:kern w:val="2"/>
                <w:sz w:val="24"/>
                <w:szCs w:val="24"/>
                <w:highlight w:val="none"/>
                <w:u w:val="single"/>
                <w:lang w:eastAsia="zh-CN" w:bidi="ar-SA"/>
              </w:rPr>
              <w:t>日上午</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时</w:t>
            </w:r>
            <w:r>
              <w:rPr>
                <w:rFonts w:hint="eastAsia" w:ascii="仿宋" w:hAnsi="仿宋" w:eastAsia="仿宋" w:cs="仿宋"/>
                <w:color w:val="auto"/>
                <w:kern w:val="2"/>
                <w:sz w:val="24"/>
                <w:szCs w:val="24"/>
                <w:highlight w:val="none"/>
                <w:u w:val="single"/>
                <w:lang w:val="en-US" w:eastAsia="zh-CN" w:bidi="ar-SA"/>
              </w:rPr>
              <w:t>30</w:t>
            </w:r>
            <w:r>
              <w:rPr>
                <w:rFonts w:hint="eastAsia" w:ascii="仿宋" w:hAnsi="仿宋" w:eastAsia="仿宋" w:cs="仿宋"/>
                <w:color w:val="auto"/>
                <w:kern w:val="2"/>
                <w:sz w:val="24"/>
                <w:szCs w:val="24"/>
                <w:highlight w:val="none"/>
                <w:u w:val="single"/>
                <w:lang w:eastAsia="zh-CN" w:bidi="ar-SA"/>
              </w:rPr>
              <w:t>分（北京时间）</w:t>
            </w:r>
          </w:p>
          <w:p w14:paraId="706261C8">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投标地点：新疆政府采购云平台（www.zcygov.cn）</w:t>
            </w:r>
          </w:p>
        </w:tc>
      </w:tr>
      <w:tr w14:paraId="2DB51FA4">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right w:val="single" w:color="auto" w:sz="4" w:space="0"/>
            </w:tcBorders>
            <w:vAlign w:val="center"/>
          </w:tcPr>
          <w:p w14:paraId="2BFAB913">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22</w:t>
            </w:r>
          </w:p>
        </w:tc>
        <w:tc>
          <w:tcPr>
            <w:tcW w:w="1407" w:type="dxa"/>
            <w:tcBorders>
              <w:top w:val="single" w:color="auto" w:sz="4" w:space="0"/>
              <w:left w:val="single" w:color="auto" w:sz="4" w:space="0"/>
              <w:right w:val="single" w:color="auto" w:sz="4" w:space="0"/>
            </w:tcBorders>
            <w:vAlign w:val="center"/>
          </w:tcPr>
          <w:p w14:paraId="67FD9BE2">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开标时间和地点</w:t>
            </w:r>
          </w:p>
        </w:tc>
        <w:tc>
          <w:tcPr>
            <w:tcW w:w="7400" w:type="dxa"/>
            <w:tcBorders>
              <w:top w:val="single" w:color="auto" w:sz="4" w:space="0"/>
              <w:left w:val="single" w:color="auto" w:sz="4" w:space="0"/>
              <w:right w:val="single" w:color="auto" w:sz="4" w:space="0"/>
            </w:tcBorders>
            <w:vAlign w:val="center"/>
          </w:tcPr>
          <w:p w14:paraId="46BC441B">
            <w:pPr>
              <w:keepNext w:val="0"/>
              <w:keepLines w:val="0"/>
              <w:pageBreakBefore w:val="0"/>
              <w:wordWrap/>
              <w:overflowPunct/>
              <w:topLinePunct w:val="0"/>
              <w:bidi w:val="0"/>
              <w:spacing w:line="320" w:lineRule="exact"/>
              <w:rPr>
                <w:rFonts w:hint="eastAsia" w:ascii="仿宋" w:hAnsi="仿宋" w:eastAsia="仿宋" w:cs="仿宋"/>
                <w:color w:val="auto"/>
                <w:kern w:val="2"/>
                <w:sz w:val="24"/>
                <w:szCs w:val="24"/>
                <w:highlight w:val="none"/>
                <w:u w:val="single"/>
                <w:lang w:eastAsia="zh-CN" w:bidi="ar-SA"/>
              </w:rPr>
            </w:pPr>
            <w:r>
              <w:rPr>
                <w:rFonts w:hint="eastAsia" w:ascii="仿宋_GB2312" w:hAnsi="仿宋_GB2312" w:eastAsia="仿宋_GB2312" w:cs="仿宋_GB2312"/>
                <w:color w:val="auto"/>
                <w:sz w:val="24"/>
                <w:szCs w:val="24"/>
                <w:highlight w:val="none"/>
                <w:lang w:eastAsia="zh-CN"/>
              </w:rPr>
              <w:t>开标时间：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5</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7</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29</w:t>
            </w:r>
            <w:r>
              <w:rPr>
                <w:rFonts w:hint="eastAsia" w:ascii="仿宋" w:hAnsi="仿宋" w:eastAsia="仿宋" w:cs="仿宋"/>
                <w:color w:val="auto"/>
                <w:kern w:val="2"/>
                <w:sz w:val="24"/>
                <w:szCs w:val="24"/>
                <w:highlight w:val="none"/>
                <w:u w:val="single"/>
                <w:lang w:eastAsia="zh-CN" w:bidi="ar-SA"/>
              </w:rPr>
              <w:t>日上午</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时</w:t>
            </w:r>
            <w:r>
              <w:rPr>
                <w:rFonts w:hint="eastAsia" w:ascii="仿宋" w:hAnsi="仿宋" w:eastAsia="仿宋" w:cs="仿宋"/>
                <w:color w:val="auto"/>
                <w:kern w:val="2"/>
                <w:sz w:val="24"/>
                <w:szCs w:val="24"/>
                <w:highlight w:val="none"/>
                <w:u w:val="single"/>
                <w:lang w:val="en-US" w:eastAsia="zh-CN" w:bidi="ar-SA"/>
              </w:rPr>
              <w:t>30</w:t>
            </w:r>
            <w:r>
              <w:rPr>
                <w:rFonts w:hint="eastAsia" w:ascii="仿宋" w:hAnsi="仿宋" w:eastAsia="仿宋" w:cs="仿宋"/>
                <w:color w:val="auto"/>
                <w:kern w:val="2"/>
                <w:sz w:val="24"/>
                <w:szCs w:val="24"/>
                <w:highlight w:val="none"/>
                <w:u w:val="single"/>
                <w:lang w:eastAsia="zh-CN" w:bidi="ar-SA"/>
              </w:rPr>
              <w:t>分（北京时间）</w:t>
            </w:r>
          </w:p>
          <w:p w14:paraId="4A331F1C">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 xml:space="preserve">开标地点：新疆政府采购云平台（www.zcygov.cn）         </w:t>
            </w:r>
          </w:p>
        </w:tc>
      </w:tr>
      <w:tr w14:paraId="17EDD02B">
        <w:tblPrEx>
          <w:tblCellMar>
            <w:top w:w="0" w:type="dxa"/>
            <w:left w:w="108" w:type="dxa"/>
            <w:bottom w:w="0" w:type="dxa"/>
            <w:right w:w="108" w:type="dxa"/>
          </w:tblCellMar>
        </w:tblPrEx>
        <w:trPr>
          <w:trHeight w:val="710" w:hRule="atLeast"/>
          <w:jc w:val="center"/>
        </w:trPr>
        <w:tc>
          <w:tcPr>
            <w:tcW w:w="558" w:type="dxa"/>
            <w:vMerge w:val="restart"/>
            <w:tcBorders>
              <w:top w:val="single" w:color="auto" w:sz="4" w:space="0"/>
              <w:left w:val="single" w:color="auto" w:sz="4" w:space="0"/>
              <w:right w:val="single" w:color="auto" w:sz="4" w:space="0"/>
            </w:tcBorders>
            <w:vAlign w:val="center"/>
          </w:tcPr>
          <w:p w14:paraId="1536E53A">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23</w:t>
            </w:r>
          </w:p>
        </w:tc>
        <w:tc>
          <w:tcPr>
            <w:tcW w:w="1407" w:type="dxa"/>
            <w:vMerge w:val="restart"/>
            <w:tcBorders>
              <w:top w:val="single" w:color="auto" w:sz="4" w:space="0"/>
              <w:left w:val="single" w:color="auto" w:sz="4" w:space="0"/>
              <w:right w:val="single" w:color="auto" w:sz="4" w:space="0"/>
            </w:tcBorders>
            <w:vAlign w:val="center"/>
          </w:tcPr>
          <w:p w14:paraId="22F0B8AD">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重要说明</w:t>
            </w:r>
          </w:p>
        </w:tc>
        <w:tc>
          <w:tcPr>
            <w:tcW w:w="7400" w:type="dxa"/>
            <w:tcBorders>
              <w:top w:val="single" w:color="auto" w:sz="4" w:space="0"/>
              <w:left w:val="single" w:color="auto" w:sz="4" w:space="0"/>
              <w:right w:val="single" w:color="auto" w:sz="4" w:space="0"/>
            </w:tcBorders>
            <w:vAlign w:val="center"/>
          </w:tcPr>
          <w:p w14:paraId="39702A5A">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1.本项目采用全流程不见面电子开评标，投标供应商需要使用CA加密设备，供应商可通过新疆数字证书认证中心官网（https://www.xjca.com.cn/）或下载“新疆政务通”APP自行进行申领。</w:t>
            </w:r>
          </w:p>
          <w:p w14:paraId="57D410DD">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2.本项目实行网上投标，采用加密电子投标文件(供应商须使用CA加密设备通过政采云电子投标客户端制作投标文件)。若供应商参与投标，自行承担投标一切费用。</w:t>
            </w:r>
          </w:p>
          <w:p w14:paraId="26BBF647">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0A40FD88">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447F9620">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5.供应商在开标时须使用制作加密电子投标文件所使用的CA锁及电脑，电脑须提前配置好浏览器（建议使用谷歌浏览器），以便开标时解锁。</w:t>
            </w:r>
          </w:p>
          <w:p w14:paraId="58CF3217">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_GB2312" w:hAnsi="仿宋_GB2312" w:eastAsia="仿宋_GB2312" w:cs="仿宋_GB2312"/>
                <w:color w:val="auto"/>
                <w:sz w:val="24"/>
                <w:szCs w:val="24"/>
                <w:highlight w:val="none"/>
                <w:lang w:eastAsia="zh-CN"/>
              </w:rPr>
              <w:fldChar w:fldCharType="begin"/>
            </w:r>
            <w:r>
              <w:rPr>
                <w:rFonts w:hint="eastAsia" w:ascii="仿宋_GB2312" w:hAnsi="仿宋_GB2312" w:eastAsia="仿宋_GB2312" w:cs="仿宋_GB2312"/>
                <w:color w:val="auto"/>
                <w:sz w:val="24"/>
                <w:szCs w:val="24"/>
                <w:highlight w:val="none"/>
                <w:lang w:eastAsia="zh-CN"/>
              </w:rPr>
              <w:instrText xml:space="preserve"> HYPERLINK "https://service.zcygov.cn/#/help，\“项目采购\”—\“操作流程-电子招投标\”—\“政府采购项目电子交易管理操作指南-供应商\”版面获取操作指南。" </w:instrText>
            </w:r>
            <w:r>
              <w:rPr>
                <w:rFonts w:hint="eastAsia" w:ascii="仿宋_GB2312" w:hAnsi="仿宋_GB2312" w:eastAsia="仿宋_GB2312" w:cs="仿宋_GB2312"/>
                <w:color w:val="auto"/>
                <w:sz w:val="24"/>
                <w:szCs w:val="24"/>
                <w:highlight w:val="none"/>
                <w:lang w:eastAsia="zh-CN"/>
              </w:rPr>
              <w:fldChar w:fldCharType="separate"/>
            </w:r>
            <w:r>
              <w:rPr>
                <w:rFonts w:hint="eastAsia" w:ascii="仿宋_GB2312" w:hAnsi="仿宋_GB2312" w:eastAsia="仿宋_GB2312" w:cs="仿宋_GB2312"/>
                <w:color w:val="auto"/>
                <w:sz w:val="24"/>
                <w:szCs w:val="24"/>
                <w:highlight w:val="none"/>
                <w:lang w:eastAsia="zh-CN"/>
              </w:rPr>
              <w:t>https://service.zcygov.cn/#/help，“项目采购”—“操作流程-电子招投标”—“政府采购项目电子交易管理操作指南-供应商”版面获取操作指南。</w:t>
            </w:r>
            <w:r>
              <w:rPr>
                <w:rFonts w:hint="eastAsia" w:ascii="仿宋_GB2312" w:hAnsi="仿宋_GB2312" w:eastAsia="仿宋_GB2312" w:cs="仿宋_GB2312"/>
                <w:color w:val="auto"/>
                <w:sz w:val="24"/>
                <w:szCs w:val="24"/>
                <w:highlight w:val="none"/>
                <w:lang w:eastAsia="zh-CN"/>
              </w:rPr>
              <w:fldChar w:fldCharType="end"/>
            </w:r>
          </w:p>
          <w:p w14:paraId="50C0459B">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7.为了保证开评标顺利进行，政采云线上开标功能完全实现，供应商开标所使用的电脑设备须具有视频及语音功能。</w:t>
            </w:r>
          </w:p>
        </w:tc>
      </w:tr>
      <w:tr w14:paraId="64864D7D">
        <w:tblPrEx>
          <w:tblCellMar>
            <w:top w:w="0" w:type="dxa"/>
            <w:left w:w="108" w:type="dxa"/>
            <w:bottom w:w="0" w:type="dxa"/>
            <w:right w:w="108" w:type="dxa"/>
          </w:tblCellMar>
        </w:tblPrEx>
        <w:trPr>
          <w:trHeight w:val="710" w:hRule="atLeast"/>
          <w:jc w:val="center"/>
        </w:trPr>
        <w:tc>
          <w:tcPr>
            <w:tcW w:w="558" w:type="dxa"/>
            <w:vMerge w:val="continue"/>
            <w:tcBorders>
              <w:left w:val="single" w:color="auto" w:sz="4" w:space="0"/>
              <w:bottom w:val="single" w:color="auto" w:sz="4" w:space="0"/>
              <w:right w:val="single" w:color="auto" w:sz="4" w:space="0"/>
            </w:tcBorders>
            <w:vAlign w:val="center"/>
          </w:tcPr>
          <w:p w14:paraId="1A1EC0E6">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p>
        </w:tc>
        <w:tc>
          <w:tcPr>
            <w:tcW w:w="1407" w:type="dxa"/>
            <w:vMerge w:val="continue"/>
            <w:tcBorders>
              <w:left w:val="single" w:color="auto" w:sz="4" w:space="0"/>
              <w:bottom w:val="single" w:color="auto" w:sz="4" w:space="0"/>
              <w:right w:val="single" w:color="auto" w:sz="4" w:space="0"/>
            </w:tcBorders>
            <w:vAlign w:val="center"/>
          </w:tcPr>
          <w:p w14:paraId="063F5C4F">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p>
        </w:tc>
        <w:tc>
          <w:tcPr>
            <w:tcW w:w="7400" w:type="dxa"/>
            <w:tcBorders>
              <w:top w:val="single" w:color="auto" w:sz="4" w:space="0"/>
              <w:left w:val="single" w:color="auto" w:sz="4" w:space="0"/>
              <w:bottom w:val="single" w:color="auto" w:sz="4" w:space="0"/>
              <w:right w:val="single" w:color="auto" w:sz="4" w:space="0"/>
            </w:tcBorders>
            <w:vAlign w:val="center"/>
          </w:tcPr>
          <w:p w14:paraId="22598FAE">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1、电子招投标情况说明：</w:t>
            </w:r>
          </w:p>
          <w:p w14:paraId="344FFCBF">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（1）电子招投标：本项目以数据电文形式，依托“政府采购云平台（www.zcygov.cn）”进行招投标活动。</w:t>
            </w:r>
          </w:p>
          <w:p w14:paraId="4D41DC7E">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603FC52B">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（3）招标文件的获取：使用账号登录或者短信验证码或者使用CA登录政采云平台；进入“项目采购”应用，在获取招标文件菜单中选择项目，获取招标文件 。</w:t>
            </w:r>
          </w:p>
          <w:p w14:paraId="41E7DE88">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（4）投标文件的制作：在“政采云电子交易客户端”中完成“填写基本信息”、“导入投标文件”、“标书关联”、“标书检查”、“电子签名”、“生成电子标书”等操作。</w:t>
            </w:r>
          </w:p>
          <w:p w14:paraId="36EB317A">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（5）投标文件的传输递交：供应商在投标截止时间前将加密的投标文件上传至政府采购云平台，如不提供或未按要求提供的，将导致投标文件而失去投标资格）。</w:t>
            </w:r>
          </w:p>
          <w:p w14:paraId="13DC40B0">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（6）投标文件的解密：供应商按照平台提示和招标文件的规定在半小时内完成在线解密。通过“政府采购云平台”上传递交的投标文件无法按时解密，否则视为投标文件撤回。</w:t>
            </w:r>
          </w:p>
          <w:p w14:paraId="71CF1072">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（7）具体操作指南：详见政采云平台“服务中心-帮助文档-项目采购-操作流程-电子招投标-政府采购项目电子交易管理操作指南-供应商”。</w:t>
            </w:r>
          </w:p>
          <w:p w14:paraId="109AAF19">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（8）供应商在进行上述操作时，如遇技术问题可登录政采云（https://</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"http://www.zcygov.cn/" \h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lang w:eastAsia="zh-CN"/>
              </w:rPr>
              <w:t>www.zcygov.cn/</w:t>
            </w:r>
            <w:r>
              <w:rPr>
                <w:rFonts w:hint="eastAsia" w:ascii="仿宋_GB2312" w:hAnsi="仿宋_GB2312" w:eastAsia="仿宋_GB2312" w:cs="仿宋_GB2312"/>
                <w:color w:val="auto"/>
                <w:sz w:val="24"/>
                <w:szCs w:val="24"/>
                <w:highlight w:val="none"/>
                <w:lang w:eastAsia="zh-CN"/>
              </w:rPr>
              <w:fldChar w:fldCharType="end"/>
            </w:r>
            <w:r>
              <w:rPr>
                <w:rFonts w:hint="eastAsia" w:ascii="仿宋_GB2312" w:hAnsi="仿宋_GB2312" w:eastAsia="仿宋_GB2312" w:cs="仿宋_GB2312"/>
                <w:color w:val="auto"/>
                <w:sz w:val="24"/>
                <w:szCs w:val="24"/>
                <w:highlight w:val="none"/>
                <w:lang w:eastAsia="zh-CN"/>
              </w:rPr>
              <w:t>），点击右侧咨询小采，获取采小蜜智能服务管家帮助，或拨打政采云服务热线 95763 获取热线服务帮助。</w:t>
            </w:r>
          </w:p>
          <w:p w14:paraId="129090C8">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温馨提醒：供应商应提前上传，以便在上传时遇到技术问题，有充足的时间请教平台的技术人员。</w:t>
            </w:r>
          </w:p>
          <w:p w14:paraId="15D31913">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供应商认为招标文件使自己的权益受到损害的，可以自收到招标文件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14:paraId="39ECB2A8">
        <w:tblPrEx>
          <w:tblCellMar>
            <w:top w:w="0" w:type="dxa"/>
            <w:left w:w="108" w:type="dxa"/>
            <w:bottom w:w="0" w:type="dxa"/>
            <w:right w:w="108" w:type="dxa"/>
          </w:tblCellMar>
        </w:tblPrEx>
        <w:trPr>
          <w:trHeight w:val="91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68CA02E">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24</w:t>
            </w:r>
          </w:p>
        </w:tc>
        <w:tc>
          <w:tcPr>
            <w:tcW w:w="1407" w:type="dxa"/>
            <w:tcBorders>
              <w:top w:val="single" w:color="auto" w:sz="4" w:space="0"/>
              <w:left w:val="single" w:color="auto" w:sz="4" w:space="0"/>
              <w:bottom w:val="single" w:color="auto" w:sz="4" w:space="0"/>
              <w:right w:val="single" w:color="auto" w:sz="4" w:space="0"/>
            </w:tcBorders>
            <w:vAlign w:val="center"/>
          </w:tcPr>
          <w:p w14:paraId="34062F48">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中标候选人公示媒介</w:t>
            </w:r>
          </w:p>
        </w:tc>
        <w:tc>
          <w:tcPr>
            <w:tcW w:w="7400" w:type="dxa"/>
            <w:tcBorders>
              <w:top w:val="single" w:color="auto" w:sz="4" w:space="0"/>
              <w:left w:val="single" w:color="auto" w:sz="4" w:space="0"/>
              <w:bottom w:val="single" w:color="auto" w:sz="4" w:space="0"/>
              <w:right w:val="single" w:color="auto" w:sz="4" w:space="0"/>
            </w:tcBorders>
            <w:vAlign w:val="center"/>
          </w:tcPr>
          <w:p w14:paraId="0D63AC77">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新疆政府采购网，公示期为一个工作日。</w:t>
            </w:r>
          </w:p>
        </w:tc>
      </w:tr>
      <w:tr w14:paraId="0EC683C3">
        <w:tblPrEx>
          <w:tblCellMar>
            <w:top w:w="0" w:type="dxa"/>
            <w:left w:w="108" w:type="dxa"/>
            <w:bottom w:w="0" w:type="dxa"/>
            <w:right w:w="108" w:type="dxa"/>
          </w:tblCellMar>
        </w:tblPrEx>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5A1EF29">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25</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20FD0933">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招标代理服务费</w:t>
            </w:r>
          </w:p>
        </w:tc>
      </w:tr>
      <w:tr w14:paraId="63FD73FE">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FF387D2">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052519AB">
            <w:pPr>
              <w:keepNext w:val="0"/>
              <w:keepLines w:val="0"/>
              <w:pageBreakBefore w:val="0"/>
              <w:wordWrap/>
              <w:overflowPunct/>
              <w:topLinePunct w:val="0"/>
              <w:bidi w:val="0"/>
              <w:spacing w:line="320" w:lineRule="exac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该项目包一代理服务费为15000元（壹万伍仟元整）。代理服务费由中标企业承担</w:t>
            </w:r>
          </w:p>
        </w:tc>
      </w:tr>
      <w:tr w14:paraId="6F5A6880">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E2B811E">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26</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7E539BB3">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评标办法：本项目采用综合评分法</w:t>
            </w:r>
          </w:p>
        </w:tc>
      </w:tr>
      <w:tr w14:paraId="569462CC">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DD400D4">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27</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5DD2A67C">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不管投标结果如何，供应商均应承担自己投标所需一切费用。</w:t>
            </w:r>
          </w:p>
        </w:tc>
      </w:tr>
      <w:tr w14:paraId="3DA66A6E">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64C4CF3">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28</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108D431F">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本次招标预算价：</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b/>
                <w:bCs/>
                <w:color w:val="auto"/>
                <w:sz w:val="24"/>
                <w:szCs w:val="24"/>
                <w:highlight w:val="none"/>
                <w:lang w:eastAsia="zh-CN"/>
              </w:rPr>
              <w:t>元。（以实际发生量的金额结算）</w:t>
            </w:r>
          </w:p>
          <w:p w14:paraId="483B5075">
            <w:pPr>
              <w:keepNext w:val="0"/>
              <w:keepLines w:val="0"/>
              <w:pageBreakBefore w:val="0"/>
              <w:wordWrap/>
              <w:overflowPunct/>
              <w:topLinePunct w:val="0"/>
              <w:bidi w:val="0"/>
              <w:spacing w:line="320" w:lineRule="exac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报价方式：报价时供应商仅</w:t>
            </w:r>
            <w:r>
              <w:rPr>
                <w:rFonts w:hint="eastAsia" w:ascii="仿宋_GB2312" w:hAnsi="仿宋_GB2312" w:eastAsia="仿宋_GB2312" w:cs="仿宋_GB2312"/>
                <w:color w:val="auto"/>
                <w:kern w:val="2"/>
                <w:sz w:val="24"/>
                <w:szCs w:val="24"/>
                <w:highlight w:val="none"/>
                <w:lang w:val="en-US" w:eastAsia="zh-CN" w:bidi="ar-SA"/>
              </w:rPr>
              <w:t>报下浮率</w:t>
            </w:r>
          </w:p>
          <w:p w14:paraId="097F3044">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（1）按照开标一览表的要求填写下浮率。</w:t>
            </w:r>
          </w:p>
          <w:p w14:paraId="4983986B">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（2）本项目只允许供应商在响应文件中有一个方案响应，不接受任何有选择的方案或报价；供应商未按要求，提供了选择方案或报价的，其响应文件将被视为无效响应文件。 </w:t>
            </w:r>
          </w:p>
          <w:p w14:paraId="02997E01">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投标价格参照北园春集团官网（http：//www.beiyuanchun.com/）供货当日公布的中间价格及采购方实地市场询价最低价，以双方价格的平均值为基准进行下浮（含配送费），报下浮率（各类产品分别下浮）。北园春网站上查询不到价格的商品，参照本地实地询价最低价为基准，报下浮率（各类产品分别下浮）。且最终报价均为到货价（此价格包括物品储藏、运输、搬运装卸、税费等一切相关费用）。</w:t>
            </w:r>
          </w:p>
          <w:p w14:paraId="057876B1">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基准价为参考每类货物单价为基准价,蔬菜类、水果类、鸡肉类、海鲜类等一月两次询价定价；米面油、调味品、营养餐等副食品类一学期一定价；食材定价需价格认定，认定按照北园春集团官网询价当日公布的中间价与本地实地询价最低价平均后进行下浮，价格核算是：采购人实时市场询价最低价与平台价的中间价的平均值×（100%-投标下浮率））为最终成交价。（北园春网站上查询不到价格的商品，参照本地实地询价格为基准下浮），且最终报价均为到货价（此价格包括物品储藏、运输、搬运装卸、税费等一切相关费用）；</w:t>
            </w:r>
          </w:p>
          <w:p w14:paraId="114A27B6">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（5）供应商的报价应为所确定的招标范围内的全部工作内容的价格体现。 </w:t>
            </w:r>
          </w:p>
          <w:p w14:paraId="5A08D97B">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（6）招标文件中未列出的相关辅助材料和在实施过程中涉及到的运杂费、保险费、税金等其他一切费用应在报价时一并考虑，项目实施过程中不再单独结算。</w:t>
            </w:r>
          </w:p>
        </w:tc>
      </w:tr>
      <w:tr w14:paraId="0FC61AA4">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7C00D29">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29</w:t>
            </w:r>
          </w:p>
        </w:tc>
        <w:tc>
          <w:tcPr>
            <w:tcW w:w="1407" w:type="dxa"/>
            <w:tcBorders>
              <w:top w:val="single" w:color="auto" w:sz="4" w:space="0"/>
              <w:left w:val="single" w:color="auto" w:sz="4" w:space="0"/>
              <w:bottom w:val="single" w:color="auto" w:sz="4" w:space="0"/>
              <w:right w:val="single" w:color="auto" w:sz="4" w:space="0"/>
            </w:tcBorders>
            <w:vAlign w:val="center"/>
          </w:tcPr>
          <w:p w14:paraId="652FE405">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中小微企业政策文件</w:t>
            </w:r>
          </w:p>
        </w:tc>
        <w:tc>
          <w:tcPr>
            <w:tcW w:w="7400" w:type="dxa"/>
            <w:tcBorders>
              <w:top w:val="single" w:color="auto" w:sz="4" w:space="0"/>
              <w:left w:val="single" w:color="auto" w:sz="4" w:space="0"/>
              <w:bottom w:val="single" w:color="auto" w:sz="4" w:space="0"/>
              <w:right w:val="single" w:color="auto" w:sz="4" w:space="0"/>
            </w:tcBorders>
            <w:vAlign w:val="center"/>
          </w:tcPr>
          <w:p w14:paraId="4AA958BE">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（1）根据财政部、工业和信息化部关于印发《政府采购促进中小企业发展管理办法》的通知（财库[2020]46号）和（财库[2022]19号），</w:t>
            </w:r>
            <w:r>
              <w:rPr>
                <w:rFonts w:hint="eastAsia" w:ascii="仿宋_GB2312" w:hAnsi="仿宋_GB2312" w:eastAsia="仿宋_GB2312" w:cs="仿宋_GB2312"/>
                <w:b/>
                <w:bCs/>
                <w:color w:val="auto"/>
                <w:sz w:val="24"/>
                <w:szCs w:val="24"/>
                <w:highlight w:val="none"/>
                <w:lang w:eastAsia="zh-CN"/>
              </w:rPr>
              <w:t>供应商所投产品的制造商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仿宋_GB2312" w:hAnsi="仿宋_GB2312" w:eastAsia="仿宋_GB2312" w:cs="仿宋_GB2312"/>
                <w:color w:val="auto"/>
                <w:sz w:val="24"/>
                <w:szCs w:val="24"/>
                <w:highlight w:val="none"/>
                <w:lang w:eastAsia="zh-CN"/>
              </w:rPr>
              <w:t>。</w:t>
            </w:r>
          </w:p>
        </w:tc>
      </w:tr>
      <w:tr w14:paraId="095DF5FE">
        <w:tblPrEx>
          <w:tblCellMar>
            <w:top w:w="0" w:type="dxa"/>
            <w:left w:w="108" w:type="dxa"/>
            <w:bottom w:w="0" w:type="dxa"/>
            <w:right w:w="108" w:type="dxa"/>
          </w:tblCellMar>
        </w:tblPrEx>
        <w:trPr>
          <w:trHeight w:val="584" w:hRule="atLeast"/>
          <w:jc w:val="center"/>
        </w:trPr>
        <w:tc>
          <w:tcPr>
            <w:tcW w:w="558" w:type="dxa"/>
            <w:vMerge w:val="restart"/>
            <w:tcBorders>
              <w:top w:val="single" w:color="auto" w:sz="4" w:space="0"/>
              <w:left w:val="single" w:color="auto" w:sz="4" w:space="0"/>
              <w:right w:val="single" w:color="auto" w:sz="4" w:space="0"/>
            </w:tcBorders>
            <w:vAlign w:val="center"/>
          </w:tcPr>
          <w:p w14:paraId="1B31A17E">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30</w:t>
            </w:r>
          </w:p>
        </w:tc>
        <w:tc>
          <w:tcPr>
            <w:tcW w:w="1407" w:type="dxa"/>
            <w:vMerge w:val="restart"/>
            <w:tcBorders>
              <w:top w:val="single" w:color="auto" w:sz="4" w:space="0"/>
              <w:left w:val="single" w:color="auto" w:sz="4" w:space="0"/>
              <w:right w:val="single" w:color="auto" w:sz="4" w:space="0"/>
            </w:tcBorders>
            <w:vAlign w:val="center"/>
          </w:tcPr>
          <w:p w14:paraId="514BFCDF">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中小微企业政策文件说明</w:t>
            </w:r>
          </w:p>
        </w:tc>
        <w:tc>
          <w:tcPr>
            <w:tcW w:w="7400" w:type="dxa"/>
            <w:tcBorders>
              <w:top w:val="single" w:color="auto" w:sz="4" w:space="0"/>
              <w:left w:val="single" w:color="auto" w:sz="4" w:space="0"/>
              <w:bottom w:val="single" w:color="auto" w:sz="4" w:space="0"/>
              <w:right w:val="single" w:color="auto" w:sz="4" w:space="0"/>
            </w:tcBorders>
            <w:vAlign w:val="center"/>
          </w:tcPr>
          <w:p w14:paraId="5DFCD007">
            <w:pPr>
              <w:pStyle w:val="65"/>
              <w:keepNext w:val="0"/>
              <w:keepLines w:val="0"/>
              <w:pageBreakBefore w:val="0"/>
              <w:widowControl/>
              <w:kinsoku w:val="0"/>
              <w:wordWrap/>
              <w:overflowPunct/>
              <w:topLinePunct w:val="0"/>
              <w:autoSpaceDE w:val="0"/>
              <w:autoSpaceDN w:val="0"/>
              <w:bidi w:val="0"/>
              <w:adjustRightInd w:val="0"/>
              <w:snapToGrid w:val="0"/>
              <w:spacing w:line="320" w:lineRule="exact"/>
              <w:ind w:left="120" w:leftChars="50" w:right="0"/>
              <w:textAlignment w:val="baseline"/>
              <w:rPr>
                <w:rFonts w:hint="eastAsia" w:ascii="仿宋_GB2312" w:hAnsi="仿宋_GB2312" w:eastAsia="仿宋_GB2312" w:cs="仿宋_GB2312"/>
                <w:color w:val="auto"/>
                <w:spacing w:val="0"/>
                <w:w w:val="100"/>
                <w:position w:val="0"/>
                <w:sz w:val="24"/>
                <w:szCs w:val="24"/>
                <w:highlight w:val="none"/>
              </w:rPr>
            </w:pPr>
            <w:r>
              <w:rPr>
                <w:rFonts w:hint="eastAsia" w:ascii="仿宋_GB2312" w:hAnsi="仿宋_GB2312" w:eastAsia="仿宋_GB2312" w:cs="仿宋_GB2312"/>
                <w:color w:val="auto"/>
                <w:spacing w:val="0"/>
                <w:w w:val="100"/>
                <w:position w:val="0"/>
                <w:sz w:val="24"/>
                <w:szCs w:val="24"/>
                <w:highlight w:val="none"/>
              </w:rPr>
              <w:t>1.中小企业政策</w:t>
            </w:r>
          </w:p>
          <w:p w14:paraId="30715200">
            <w:pPr>
              <w:pStyle w:val="65"/>
              <w:keepNext w:val="0"/>
              <w:keepLines w:val="0"/>
              <w:pageBreakBefore w:val="0"/>
              <w:widowControl/>
              <w:kinsoku w:val="0"/>
              <w:wordWrap/>
              <w:overflowPunct/>
              <w:topLinePunct w:val="0"/>
              <w:autoSpaceDE w:val="0"/>
              <w:autoSpaceDN w:val="0"/>
              <w:bidi w:val="0"/>
              <w:adjustRightInd w:val="0"/>
              <w:snapToGrid w:val="0"/>
              <w:spacing w:line="320" w:lineRule="exact"/>
              <w:ind w:left="120" w:leftChars="50" w:right="0" w:firstLine="9"/>
              <w:textAlignment w:val="baseline"/>
              <w:rPr>
                <w:rFonts w:hint="eastAsia" w:ascii="仿宋_GB2312" w:hAnsi="仿宋_GB2312" w:eastAsia="仿宋_GB2312" w:cs="仿宋_GB2312"/>
                <w:color w:val="auto"/>
                <w:spacing w:val="0"/>
                <w:w w:val="100"/>
                <w:position w:val="0"/>
                <w:sz w:val="24"/>
                <w:szCs w:val="24"/>
                <w:highlight w:val="none"/>
                <w:lang w:eastAsia="zh-CN"/>
              </w:rPr>
            </w:pPr>
            <w:r>
              <w:rPr>
                <w:rFonts w:hint="eastAsia" w:ascii="仿宋_GB2312" w:hAnsi="仿宋_GB2312" w:eastAsia="仿宋_GB2312" w:cs="仿宋_GB2312"/>
                <w:color w:val="auto"/>
                <w:spacing w:val="0"/>
                <w:w w:val="100"/>
                <w:position w:val="0"/>
                <w:sz w:val="24"/>
                <w:szCs w:val="24"/>
                <w:highlight w:val="none"/>
              </w:rPr>
              <w:t>☑非专门面向中小企业预留采购项目。供应商提供的货物全部由符合政策要求的小微企业制造、服务和工程由符合政策要求的小微企业承接，应对小微企业报价给予10%（工程项目为6%）扣除</w:t>
            </w:r>
            <w:r>
              <w:rPr>
                <w:rFonts w:hint="eastAsia" w:ascii="仿宋_GB2312" w:hAnsi="仿宋_GB2312" w:eastAsia="仿宋_GB2312" w:cs="仿宋_GB2312"/>
                <w:color w:val="auto"/>
                <w:spacing w:val="0"/>
                <w:w w:val="100"/>
                <w:position w:val="0"/>
                <w:sz w:val="24"/>
                <w:szCs w:val="24"/>
                <w:highlight w:val="none"/>
                <w:lang w:eastAsia="zh-CN"/>
              </w:rPr>
              <w:t>。</w:t>
            </w:r>
          </w:p>
          <w:p w14:paraId="216E2133">
            <w:pPr>
              <w:pStyle w:val="65"/>
              <w:keepNext w:val="0"/>
              <w:keepLines w:val="0"/>
              <w:pageBreakBefore w:val="0"/>
              <w:widowControl/>
              <w:kinsoku w:val="0"/>
              <w:wordWrap/>
              <w:overflowPunct/>
              <w:topLinePunct w:val="0"/>
              <w:autoSpaceDE w:val="0"/>
              <w:autoSpaceDN w:val="0"/>
              <w:bidi w:val="0"/>
              <w:adjustRightInd w:val="0"/>
              <w:snapToGrid w:val="0"/>
              <w:spacing w:line="320" w:lineRule="exact"/>
              <w:ind w:left="120" w:leftChars="50" w:right="0" w:firstLine="22"/>
              <w:textAlignment w:val="baseline"/>
              <w:rPr>
                <w:rFonts w:hint="eastAsia" w:ascii="仿宋_GB2312" w:hAnsi="仿宋_GB2312" w:eastAsia="仿宋_GB2312" w:cs="仿宋_GB2312"/>
                <w:color w:val="auto"/>
                <w:spacing w:val="0"/>
                <w:w w:val="100"/>
                <w:position w:val="0"/>
                <w:sz w:val="24"/>
                <w:szCs w:val="24"/>
                <w:highlight w:val="none"/>
              </w:rPr>
            </w:pPr>
            <w:r>
              <w:rPr>
                <w:rFonts w:hint="eastAsia" w:ascii="仿宋_GB2312" w:hAnsi="仿宋_GB2312" w:eastAsia="仿宋_GB2312" w:cs="仿宋_GB2312"/>
                <w:color w:val="auto"/>
                <w:spacing w:val="0"/>
                <w:w w:val="100"/>
                <w:position w:val="0"/>
                <w:sz w:val="24"/>
                <w:szCs w:val="24"/>
                <w:highlight w:val="none"/>
              </w:rPr>
              <w:t>□专门面向中小企业采购项目。即：供应商为中小微企业或监狱企业或残疾人福利性单位；供应商提供的货物全部由符合政策要求的中小微企业制造、服务和工程全部由符合政策要求的中小微企业承接。</w:t>
            </w:r>
          </w:p>
          <w:p w14:paraId="62BA8FD3">
            <w:pPr>
              <w:pStyle w:val="65"/>
              <w:keepNext w:val="0"/>
              <w:keepLines w:val="0"/>
              <w:pageBreakBefore w:val="0"/>
              <w:widowControl/>
              <w:kinsoku w:val="0"/>
              <w:wordWrap/>
              <w:overflowPunct/>
              <w:topLinePunct w:val="0"/>
              <w:autoSpaceDE w:val="0"/>
              <w:autoSpaceDN w:val="0"/>
              <w:bidi w:val="0"/>
              <w:adjustRightInd w:val="0"/>
              <w:snapToGrid w:val="0"/>
              <w:spacing w:line="320" w:lineRule="exact"/>
              <w:ind w:left="120" w:leftChars="50" w:right="0" w:firstLine="25"/>
              <w:textAlignment w:val="baseline"/>
              <w:rPr>
                <w:rFonts w:hint="eastAsia" w:ascii="仿宋_GB2312" w:hAnsi="仿宋_GB2312" w:eastAsia="仿宋_GB2312" w:cs="仿宋_GB2312"/>
                <w:color w:val="auto"/>
                <w:spacing w:val="0"/>
                <w:w w:val="100"/>
                <w:position w:val="0"/>
                <w:sz w:val="24"/>
                <w:szCs w:val="24"/>
                <w:highlight w:val="none"/>
              </w:rPr>
            </w:pPr>
            <w:r>
              <w:rPr>
                <w:rFonts w:hint="eastAsia" w:ascii="仿宋_GB2312" w:hAnsi="仿宋_GB2312" w:eastAsia="仿宋_GB2312" w:cs="仿宋_GB2312"/>
                <w:color w:val="auto"/>
                <w:spacing w:val="0"/>
                <w:w w:val="100"/>
                <w:position w:val="0"/>
                <w:sz w:val="24"/>
                <w:szCs w:val="24"/>
                <w:highlight w:val="none"/>
              </w:rPr>
              <w:t>□专门面向小微企业采购项目。即：供应商为小微企业或监狱企业或残疾人福利性单位；供应商提供的货物全部由符合政策要求的小微企业制造、服务和工程全部由符合政策要求的小微企业承接。</w:t>
            </w:r>
          </w:p>
          <w:p w14:paraId="580B2FB4">
            <w:pPr>
              <w:keepNext w:val="0"/>
              <w:keepLines w:val="0"/>
              <w:pageBreakBefore w:val="0"/>
              <w:numPr>
                <w:ilvl w:val="0"/>
                <w:numId w:val="4"/>
              </w:numPr>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0"/>
                <w:w w:val="100"/>
                <w:position w:val="0"/>
                <w:sz w:val="24"/>
                <w:szCs w:val="24"/>
                <w:highlight w:val="none"/>
              </w:rPr>
              <w:t>2.其它落实政府采购政策的资格要求：</w:t>
            </w:r>
            <w:r>
              <w:rPr>
                <w:rFonts w:hint="eastAsia" w:ascii="仿宋_GB2312" w:hAnsi="仿宋_GB2312" w:eastAsia="仿宋_GB2312" w:cs="仿宋_GB2312"/>
                <w:color w:val="auto"/>
                <w:spacing w:val="0"/>
                <w:w w:val="100"/>
                <w:position w:val="0"/>
                <w:sz w:val="24"/>
                <w:szCs w:val="24"/>
                <w:highlight w:val="none"/>
                <w:u w:val="single" w:color="auto"/>
              </w:rPr>
              <w:t>/</w:t>
            </w:r>
            <w:r>
              <w:rPr>
                <w:rFonts w:hint="eastAsia" w:ascii="仿宋_GB2312" w:hAnsi="仿宋_GB2312" w:eastAsia="仿宋_GB2312" w:cs="仿宋_GB2312"/>
                <w:color w:val="auto"/>
                <w:spacing w:val="0"/>
                <w:w w:val="100"/>
                <w:position w:val="0"/>
                <w:sz w:val="24"/>
                <w:szCs w:val="24"/>
                <w:highlight w:val="none"/>
              </w:rPr>
              <w:t>。</w:t>
            </w:r>
          </w:p>
        </w:tc>
      </w:tr>
      <w:tr w14:paraId="462B770E">
        <w:tblPrEx>
          <w:tblCellMar>
            <w:top w:w="0" w:type="dxa"/>
            <w:left w:w="108" w:type="dxa"/>
            <w:bottom w:w="0" w:type="dxa"/>
            <w:right w:w="108" w:type="dxa"/>
          </w:tblCellMar>
        </w:tblPrEx>
        <w:trPr>
          <w:trHeight w:val="459" w:hRule="atLeast"/>
          <w:jc w:val="center"/>
        </w:trPr>
        <w:tc>
          <w:tcPr>
            <w:tcW w:w="558" w:type="dxa"/>
            <w:vMerge w:val="continue"/>
            <w:tcBorders>
              <w:left w:val="single" w:color="auto" w:sz="4" w:space="0"/>
              <w:right w:val="single" w:color="auto" w:sz="4" w:space="0"/>
            </w:tcBorders>
            <w:vAlign w:val="center"/>
          </w:tcPr>
          <w:p w14:paraId="513E3CF7">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p>
        </w:tc>
        <w:tc>
          <w:tcPr>
            <w:tcW w:w="1407" w:type="dxa"/>
            <w:vMerge w:val="continue"/>
            <w:tcBorders>
              <w:left w:val="single" w:color="auto" w:sz="4" w:space="0"/>
              <w:right w:val="single" w:color="auto" w:sz="4" w:space="0"/>
            </w:tcBorders>
            <w:vAlign w:val="center"/>
          </w:tcPr>
          <w:p w14:paraId="6FAC0C03">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p>
        </w:tc>
        <w:tc>
          <w:tcPr>
            <w:tcW w:w="7400" w:type="dxa"/>
            <w:tcBorders>
              <w:top w:val="single" w:color="auto" w:sz="4" w:space="0"/>
              <w:left w:val="single" w:color="auto" w:sz="4" w:space="0"/>
              <w:bottom w:val="single" w:color="auto" w:sz="4" w:space="0"/>
              <w:right w:val="single" w:color="auto" w:sz="4" w:space="0"/>
            </w:tcBorders>
            <w:vAlign w:val="center"/>
          </w:tcPr>
          <w:p w14:paraId="03C4CCB2">
            <w:pPr>
              <w:keepNext w:val="0"/>
              <w:keepLines w:val="0"/>
              <w:pageBreakBefore w:val="0"/>
              <w:numPr>
                <w:ilvl w:val="0"/>
                <w:numId w:val="0"/>
              </w:numPr>
              <w:wordWrap/>
              <w:overflowPunct/>
              <w:topLinePunct w:val="0"/>
              <w:bidi w:val="0"/>
              <w:spacing w:line="32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（2）</w:t>
            </w:r>
            <w:r>
              <w:rPr>
                <w:rFonts w:hint="eastAsia" w:ascii="仿宋_GB2312" w:hAnsi="仿宋_GB2312" w:eastAsia="仿宋_GB2312" w:cs="仿宋_GB2312"/>
                <w:b/>
                <w:bCs/>
                <w:color w:val="auto"/>
                <w:spacing w:val="0"/>
                <w:w w:val="100"/>
                <w:position w:val="0"/>
                <w:sz w:val="24"/>
                <w:szCs w:val="24"/>
                <w:highlight w:val="none"/>
              </w:rPr>
              <w:t>小微企业报价给予扣除：</w:t>
            </w:r>
            <w:r>
              <w:rPr>
                <w:rFonts w:hint="eastAsia" w:ascii="仿宋_GB2312" w:hAnsi="仿宋_GB2312" w:eastAsia="仿宋_GB2312" w:cs="仿宋_GB2312"/>
                <w:b/>
                <w:bCs/>
                <w:color w:val="auto"/>
                <w:spacing w:val="0"/>
                <w:w w:val="100"/>
                <w:position w:val="0"/>
                <w:sz w:val="24"/>
                <w:szCs w:val="24"/>
                <w:highlight w:val="none"/>
                <w:u w:val="single" w:color="auto"/>
              </w:rPr>
              <w:t>10%</w:t>
            </w:r>
          </w:p>
        </w:tc>
      </w:tr>
      <w:tr w14:paraId="33E36B6B">
        <w:tblPrEx>
          <w:tblCellMar>
            <w:top w:w="0" w:type="dxa"/>
            <w:left w:w="108" w:type="dxa"/>
            <w:bottom w:w="0" w:type="dxa"/>
            <w:right w:w="108" w:type="dxa"/>
          </w:tblCellMar>
        </w:tblPrEx>
        <w:trPr>
          <w:trHeight w:val="459" w:hRule="atLeast"/>
          <w:jc w:val="center"/>
        </w:trPr>
        <w:tc>
          <w:tcPr>
            <w:tcW w:w="558" w:type="dxa"/>
            <w:vMerge w:val="continue"/>
            <w:tcBorders>
              <w:left w:val="single" w:color="auto" w:sz="4" w:space="0"/>
              <w:right w:val="single" w:color="auto" w:sz="4" w:space="0"/>
            </w:tcBorders>
            <w:vAlign w:val="center"/>
          </w:tcPr>
          <w:p w14:paraId="446A3772">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p>
        </w:tc>
        <w:tc>
          <w:tcPr>
            <w:tcW w:w="1407" w:type="dxa"/>
            <w:vMerge w:val="continue"/>
            <w:tcBorders>
              <w:left w:val="single" w:color="auto" w:sz="4" w:space="0"/>
              <w:right w:val="single" w:color="auto" w:sz="4" w:space="0"/>
            </w:tcBorders>
            <w:vAlign w:val="center"/>
          </w:tcPr>
          <w:p w14:paraId="022413EE">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p>
        </w:tc>
        <w:tc>
          <w:tcPr>
            <w:tcW w:w="7400" w:type="dxa"/>
            <w:tcBorders>
              <w:top w:val="single" w:color="auto" w:sz="4" w:space="0"/>
              <w:left w:val="single" w:color="auto" w:sz="4" w:space="0"/>
              <w:bottom w:val="single" w:color="auto" w:sz="4" w:space="0"/>
              <w:right w:val="single" w:color="auto" w:sz="4" w:space="0"/>
            </w:tcBorders>
            <w:vAlign w:val="center"/>
          </w:tcPr>
          <w:p w14:paraId="673DD6EA">
            <w:pPr>
              <w:keepNext w:val="0"/>
              <w:keepLines w:val="0"/>
              <w:pageBreakBefore w:val="0"/>
              <w:numPr>
                <w:ilvl w:val="0"/>
                <w:numId w:val="0"/>
              </w:numPr>
              <w:wordWrap/>
              <w:overflowPunct/>
              <w:topLinePunct w:val="0"/>
              <w:bidi w:val="0"/>
              <w:spacing w:line="320" w:lineRule="exact"/>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lang w:eastAsia="zh-CN"/>
              </w:rPr>
              <w:t>）本项目货物所属行业：</w:t>
            </w:r>
            <w:r>
              <w:rPr>
                <w:rFonts w:hint="eastAsia" w:ascii="仿宋_GB2312" w:hAnsi="仿宋_GB2312" w:eastAsia="仿宋_GB2312" w:cs="仿宋_GB2312"/>
                <w:b/>
                <w:bCs/>
                <w:color w:val="auto"/>
                <w:sz w:val="24"/>
                <w:szCs w:val="24"/>
                <w:highlight w:val="none"/>
                <w:lang w:val="en-US" w:eastAsia="zh-CN"/>
              </w:rPr>
              <w:t>批发</w:t>
            </w:r>
            <w:r>
              <w:rPr>
                <w:rFonts w:hint="eastAsia" w:ascii="仿宋_GB2312" w:hAnsi="仿宋_GB2312" w:eastAsia="仿宋_GB2312" w:cs="仿宋_GB2312"/>
                <w:b/>
                <w:bCs/>
                <w:color w:val="auto"/>
                <w:sz w:val="24"/>
                <w:szCs w:val="24"/>
                <w:highlight w:val="none"/>
                <w:lang w:eastAsia="zh-CN"/>
              </w:rPr>
              <w:t>业</w:t>
            </w:r>
          </w:p>
        </w:tc>
      </w:tr>
      <w:tr w14:paraId="22FD4C6A">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C875EAF">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31</w:t>
            </w:r>
          </w:p>
        </w:tc>
        <w:tc>
          <w:tcPr>
            <w:tcW w:w="1407" w:type="dxa"/>
            <w:tcBorders>
              <w:top w:val="single" w:color="auto" w:sz="4" w:space="0"/>
              <w:left w:val="single" w:color="auto" w:sz="4" w:space="0"/>
              <w:bottom w:val="single" w:color="auto" w:sz="4" w:space="0"/>
              <w:right w:val="single" w:color="auto" w:sz="4" w:space="0"/>
            </w:tcBorders>
            <w:vAlign w:val="center"/>
          </w:tcPr>
          <w:p w14:paraId="6FEDC846">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zh-CN" w:eastAsia="zh-CN"/>
              </w:rPr>
            </w:pPr>
          </w:p>
          <w:p w14:paraId="6B73C9EA">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履约保证金</w:t>
            </w:r>
          </w:p>
          <w:p w14:paraId="2B57607B">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p>
        </w:tc>
        <w:tc>
          <w:tcPr>
            <w:tcW w:w="7400" w:type="dxa"/>
            <w:tcBorders>
              <w:top w:val="single" w:color="auto" w:sz="4" w:space="0"/>
              <w:left w:val="single" w:color="auto" w:sz="4" w:space="0"/>
              <w:bottom w:val="single" w:color="auto" w:sz="4" w:space="0"/>
              <w:right w:val="single" w:color="auto" w:sz="4" w:space="0"/>
            </w:tcBorders>
            <w:vAlign w:val="center"/>
          </w:tcPr>
          <w:p w14:paraId="73ECF7FF">
            <w:pPr>
              <w:keepNext w:val="0"/>
              <w:keepLines w:val="0"/>
              <w:pageBreakBefore w:val="0"/>
              <w:wordWrap/>
              <w:overflowPunct/>
              <w:topLinePunct w:val="0"/>
              <w:bidi w:val="0"/>
              <w:spacing w:line="320" w:lineRule="exact"/>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zh-CN" w:eastAsia="zh-CN"/>
              </w:rPr>
              <w:t>中标人应在领取《中标通知书》后</w:t>
            </w:r>
            <w:r>
              <w:rPr>
                <w:rFonts w:hint="eastAsia" w:ascii="仿宋_GB2312" w:hAnsi="仿宋_GB2312" w:eastAsia="仿宋_GB2312" w:cs="仿宋_GB2312"/>
                <w:color w:val="auto"/>
                <w:sz w:val="24"/>
                <w:szCs w:val="24"/>
                <w:highlight w:val="none"/>
                <w:lang w:val="en-US" w:eastAsia="zh-CN"/>
              </w:rPr>
              <w:t>签订合同前</w:t>
            </w:r>
            <w:r>
              <w:rPr>
                <w:rFonts w:hint="eastAsia" w:ascii="仿宋_GB2312" w:hAnsi="仿宋_GB2312" w:eastAsia="仿宋_GB2312" w:cs="仿宋_GB2312"/>
                <w:color w:val="auto"/>
                <w:sz w:val="24"/>
                <w:szCs w:val="24"/>
                <w:highlight w:val="none"/>
                <w:lang w:val="zh-CN" w:eastAsia="zh-CN"/>
              </w:rPr>
              <w:t>，办理履约保证金，履约保证金</w:t>
            </w:r>
            <w:r>
              <w:rPr>
                <w:rFonts w:hint="eastAsia" w:ascii="仿宋_GB2312" w:hAnsi="仿宋_GB2312" w:eastAsia="仿宋_GB2312" w:cs="仿宋_GB2312"/>
                <w:color w:val="auto"/>
                <w:sz w:val="24"/>
                <w:szCs w:val="24"/>
                <w:highlight w:val="none"/>
                <w:lang w:val="en-US" w:eastAsia="zh-CN"/>
              </w:rPr>
              <w:t>不低于10万元，具体招标人和中标企业商讨确定后提交，未按约定提交履约保证金的</w:t>
            </w:r>
            <w:r>
              <w:rPr>
                <w:rFonts w:hint="eastAsia" w:ascii="仿宋_GB2312" w:hAnsi="仿宋_GB2312" w:eastAsia="仿宋_GB2312" w:cs="仿宋_GB2312"/>
                <w:color w:val="auto"/>
                <w:sz w:val="24"/>
                <w:szCs w:val="24"/>
                <w:highlight w:val="none"/>
                <w:lang w:val="zh-CN" w:eastAsia="zh-CN"/>
              </w:rPr>
              <w:t>招标人可取消成交人的成交资格，并没收其投标保证金。</w:t>
            </w:r>
          </w:p>
        </w:tc>
      </w:tr>
      <w:tr w14:paraId="2DB2FF36">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EA84205">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32</w:t>
            </w:r>
          </w:p>
        </w:tc>
        <w:tc>
          <w:tcPr>
            <w:tcW w:w="1407" w:type="dxa"/>
            <w:tcBorders>
              <w:top w:val="single" w:color="auto" w:sz="4" w:space="0"/>
              <w:left w:val="single" w:color="auto" w:sz="4" w:space="0"/>
              <w:bottom w:val="single" w:color="auto" w:sz="4" w:space="0"/>
              <w:right w:val="single" w:color="auto" w:sz="4" w:space="0"/>
            </w:tcBorders>
            <w:vAlign w:val="center"/>
          </w:tcPr>
          <w:p w14:paraId="531788F9">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踏勘现场</w:t>
            </w:r>
          </w:p>
        </w:tc>
        <w:tc>
          <w:tcPr>
            <w:tcW w:w="7400" w:type="dxa"/>
            <w:tcBorders>
              <w:top w:val="single" w:color="auto" w:sz="4" w:space="0"/>
              <w:left w:val="single" w:color="auto" w:sz="4" w:space="0"/>
              <w:bottom w:val="single" w:color="auto" w:sz="4" w:space="0"/>
              <w:right w:val="single" w:color="auto" w:sz="4" w:space="0"/>
            </w:tcBorders>
            <w:vAlign w:val="center"/>
          </w:tcPr>
          <w:p w14:paraId="6CE30B75">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1.采购人不统一组织考察现场。供应商需在投标截止日前自行前往 考察，如需要，采购人可提供必要的协助。供应商需考察与供货点情况有关的资料，并对其判断及判断的偏差承担责任。考察期安全责任自负，现场考察费用由供应商自已承担。</w:t>
            </w:r>
          </w:p>
          <w:p w14:paraId="42F16A25">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2.供应商需用现场考察获得的认识和资料编写服务方案。</w:t>
            </w:r>
          </w:p>
          <w:p w14:paraId="48401B83">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3.供应商现场考察获得的认识和资料，仅供供应商投标参考使用， 采购人对此不负任何责任。</w:t>
            </w:r>
          </w:p>
        </w:tc>
      </w:tr>
      <w:tr w14:paraId="3BCDD6E2">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3C173BC">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33</w:t>
            </w:r>
          </w:p>
        </w:tc>
        <w:tc>
          <w:tcPr>
            <w:tcW w:w="1407" w:type="dxa"/>
            <w:tcBorders>
              <w:top w:val="single" w:color="auto" w:sz="4" w:space="0"/>
              <w:left w:val="single" w:color="auto" w:sz="4" w:space="0"/>
              <w:bottom w:val="single" w:color="auto" w:sz="4" w:space="0"/>
              <w:right w:val="single" w:color="auto" w:sz="4" w:space="0"/>
            </w:tcBorders>
            <w:vAlign w:val="center"/>
          </w:tcPr>
          <w:p w14:paraId="04289C10">
            <w:pPr>
              <w:keepNext w:val="0"/>
              <w:keepLines w:val="0"/>
              <w:pageBreakBefore w:val="0"/>
              <w:wordWrap/>
              <w:overflowPunct/>
              <w:topLinePunct w:val="0"/>
              <w:bidi w:val="0"/>
              <w:spacing w:line="3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其他重要补充</w:t>
            </w:r>
          </w:p>
        </w:tc>
        <w:tc>
          <w:tcPr>
            <w:tcW w:w="7400" w:type="dxa"/>
            <w:tcBorders>
              <w:top w:val="single" w:color="auto" w:sz="4" w:space="0"/>
              <w:left w:val="single" w:color="auto" w:sz="4" w:space="0"/>
              <w:bottom w:val="single" w:color="auto" w:sz="4" w:space="0"/>
              <w:right w:val="single" w:color="auto" w:sz="4" w:space="0"/>
            </w:tcBorders>
            <w:vAlign w:val="center"/>
          </w:tcPr>
          <w:p w14:paraId="1A2E5BE4">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u w:val="none"/>
                <w:lang w:val="en-US" w:eastAsia="en-US"/>
              </w:rPr>
            </w:pPr>
            <w:r>
              <w:rPr>
                <w:rFonts w:hint="eastAsia" w:ascii="仿宋_GB2312" w:hAnsi="仿宋_GB2312" w:eastAsia="仿宋_GB2312" w:cs="仿宋_GB2312"/>
                <w:color w:val="auto"/>
                <w:sz w:val="24"/>
                <w:szCs w:val="24"/>
                <w:highlight w:val="none"/>
                <w:u w:val="none"/>
                <w:lang w:val="en-US" w:eastAsia="en-US"/>
              </w:rPr>
              <w:t>1、响应文件中有</w:t>
            </w:r>
            <w:r>
              <w:rPr>
                <w:rFonts w:hint="eastAsia" w:ascii="仿宋_GB2312" w:hAnsi="仿宋_GB2312" w:eastAsia="仿宋_GB2312" w:cs="仿宋_GB2312"/>
                <w:color w:val="auto"/>
                <w:sz w:val="24"/>
                <w:szCs w:val="24"/>
                <w:highlight w:val="none"/>
                <w:u w:val="none"/>
                <w:lang w:val="en-US" w:eastAsia="zh-CN"/>
              </w:rPr>
              <w:t>弄</w:t>
            </w:r>
            <w:r>
              <w:rPr>
                <w:rFonts w:hint="eastAsia" w:ascii="仿宋_GB2312" w:hAnsi="仿宋_GB2312" w:eastAsia="仿宋_GB2312" w:cs="仿宋_GB2312"/>
                <w:color w:val="auto"/>
                <w:sz w:val="24"/>
                <w:szCs w:val="24"/>
                <w:highlight w:val="none"/>
                <w:u w:val="none"/>
                <w:lang w:val="en-US" w:eastAsia="en-US"/>
              </w:rPr>
              <w:t>虚作假的内容，其响应文件作废，须提供承诺。（如假证书、隐瞒不良行为记录、夸大荣誉、使用非本单位在职员工的相关证件及不符合招标文件规定的条款等）；在签订合同之前，采购人如发现供应商的响应文件有弄虚作假内容，采购人可拒绝与其签订合同。并将 其列入政府采购黑名单库。</w:t>
            </w:r>
          </w:p>
          <w:p w14:paraId="25678E59">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en-US"/>
              </w:rPr>
            </w:pPr>
            <w:r>
              <w:rPr>
                <w:rFonts w:hint="eastAsia" w:ascii="仿宋_GB2312" w:hAnsi="仿宋_GB2312" w:eastAsia="仿宋_GB2312" w:cs="仿宋_GB2312"/>
                <w:color w:val="auto"/>
                <w:sz w:val="24"/>
                <w:szCs w:val="24"/>
                <w:highlight w:val="none"/>
                <w:u w:val="none"/>
                <w:lang w:val="en-US" w:eastAsia="en-US"/>
              </w:rPr>
              <w:t>2、供应商应保证在本项目使用的任何产品和服务（包括部分使用）时，不会产生因第三方提出侵犯其专利权、商标权或其它知识产权而引起的法律和经济纠纷，如因专利权、商标权或其它知识产权而引起</w:t>
            </w:r>
            <w:r>
              <w:rPr>
                <w:rFonts w:hint="eastAsia" w:ascii="仿宋_GB2312" w:hAnsi="仿宋_GB2312" w:eastAsia="仿宋_GB2312" w:cs="仿宋_GB2312"/>
                <w:color w:val="auto"/>
                <w:sz w:val="24"/>
                <w:szCs w:val="24"/>
                <w:highlight w:val="none"/>
                <w:lang w:val="en-US" w:eastAsia="en-US"/>
              </w:rPr>
              <w:t>法律和经济纠纷，由供应商承担所有相关责任的同时不得耽误本项目供货。</w:t>
            </w:r>
          </w:p>
          <w:p w14:paraId="5BE79937">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3、本项目中标企业在供货期间须购买食品安全责任保险。</w:t>
            </w:r>
          </w:p>
          <w:p w14:paraId="7BC43BAE">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教育部门督促指导中小学校严格按照合同对服务企业进行履约监管，严禁违规转包、分包等行为中小学校建立食材验收制度,成立由学校领导、后勤部门负责人食品安全员、教师代表等组成的食材验收小组，建立双人或多人联检查验制度，在全程视频监控下对食材进行验收，供货须提供大宗食材蔬菜类、水果类、米面油类、调味品、鸡肉类、营养餐海鲜类等需提供生鲜农产品的快检报告了以及食材检验合格证、检验检疫等合格证明材料(两证)，做好入库台账登记。对食材质量不合格的，要求供货商现场退换;无法临时组织货源的，要求供货商就近采购食材，确保学校不出现断供食材，同时按照合同约定对供货商作出相应处罚。对违反食品安全法律法规，发生食品安全事故的供应商，立即终止合同并及时报告市场、公安、财政等部门。教育会同市场监管部门定期或随机监管食材供货验收情况。</w:t>
            </w:r>
          </w:p>
          <w:p w14:paraId="27DF4BB4">
            <w:pPr>
              <w:keepNext w:val="0"/>
              <w:keepLines w:val="0"/>
              <w:pageBreakBefore w:val="0"/>
              <w:wordWrap/>
              <w:overflowPunct/>
              <w:topLinePunct w:val="0"/>
              <w:bidi w:val="0"/>
              <w:spacing w:line="320" w:lineRule="exac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5、所供产品保质期最低要求：中标单位不得供应临界期及过期食品。保质期期满时间不足保质期限的三分之一的食品及食品原料不予验收。</w:t>
            </w:r>
          </w:p>
          <w:p w14:paraId="76603ADC">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6、供应商须承诺所供产品提供大宗食材蔬菜类、水果类、米面油类、调味品、鸡肉类、营养餐海鲜类等供应价不得高于本地区同品牌同等规格食材市场价（承诺函格式自拟）。</w:t>
            </w:r>
          </w:p>
          <w:p w14:paraId="22645241">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7、供应商须承诺所供所有各类产品均须提供3个及以上市场大众品牌供招标人自主选择。（提供承诺函）</w:t>
            </w:r>
          </w:p>
          <w:p w14:paraId="6BFF95B7">
            <w:pPr>
              <w:keepNext w:val="0"/>
              <w:keepLines w:val="0"/>
              <w:pageBreakBefore w:val="0"/>
              <w:wordWrap/>
              <w:overflowPunct/>
              <w:topLinePunct w:val="0"/>
              <w:bidi w:val="0"/>
              <w:spacing w:line="320" w:lineRule="exact"/>
              <w:rPr>
                <w:rFonts w:hint="default"/>
                <w:color w:val="auto"/>
                <w:highlight w:val="none"/>
                <w:lang w:val="en-US" w:eastAsia="zh-CN"/>
              </w:rPr>
            </w:pPr>
            <w:r>
              <w:rPr>
                <w:rFonts w:hint="eastAsia" w:ascii="仿宋_GB2312" w:hAnsi="仿宋_GB2312" w:eastAsia="仿宋_GB2312" w:cs="仿宋_GB2312"/>
                <w:color w:val="auto"/>
                <w:sz w:val="24"/>
                <w:szCs w:val="24"/>
                <w:highlight w:val="none"/>
                <w:lang w:val="en-US" w:eastAsia="zh-CN"/>
              </w:rPr>
              <w:t>8.该项目由青河县教育局统一组织实施招标，中标单位须与招标人（青河县教育局）签订总合同，服务单位（全县公办幼儿园及义务教育阶段等各校）签订具体采购合同。</w:t>
            </w:r>
          </w:p>
        </w:tc>
      </w:tr>
      <w:tr w14:paraId="1CDA55A8">
        <w:tblPrEx>
          <w:tblCellMar>
            <w:top w:w="0" w:type="dxa"/>
            <w:left w:w="108" w:type="dxa"/>
            <w:bottom w:w="0" w:type="dxa"/>
            <w:right w:w="108" w:type="dxa"/>
          </w:tblCellMar>
        </w:tblPrEx>
        <w:trPr>
          <w:trHeight w:val="84" w:hRule="atLeast"/>
          <w:jc w:val="center"/>
        </w:trPr>
        <w:tc>
          <w:tcPr>
            <w:tcW w:w="1965" w:type="dxa"/>
            <w:gridSpan w:val="2"/>
            <w:tcBorders>
              <w:top w:val="single" w:color="auto" w:sz="4" w:space="0"/>
              <w:left w:val="single" w:color="auto" w:sz="4" w:space="0"/>
              <w:bottom w:val="single" w:color="auto" w:sz="4" w:space="0"/>
              <w:right w:val="single" w:color="auto" w:sz="4" w:space="0"/>
            </w:tcBorders>
            <w:vAlign w:val="center"/>
          </w:tcPr>
          <w:p w14:paraId="57E32077">
            <w:pPr>
              <w:keepNext w:val="0"/>
              <w:keepLines w:val="0"/>
              <w:pageBreakBefore w:val="0"/>
              <w:wordWrap/>
              <w:overflowPunct/>
              <w:topLinePunct w:val="0"/>
              <w:bidi w:val="0"/>
              <w:spacing w:line="320" w:lineRule="exact"/>
              <w:ind w:firstLine="720" w:firstLineChars="3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备注</w:t>
            </w:r>
          </w:p>
        </w:tc>
        <w:tc>
          <w:tcPr>
            <w:tcW w:w="7400" w:type="dxa"/>
            <w:tcBorders>
              <w:top w:val="single" w:color="auto" w:sz="4" w:space="0"/>
              <w:left w:val="single" w:color="auto" w:sz="4" w:space="0"/>
              <w:bottom w:val="single" w:color="auto" w:sz="4" w:space="0"/>
              <w:right w:val="single" w:color="auto" w:sz="4" w:space="0"/>
            </w:tcBorders>
            <w:vAlign w:val="center"/>
          </w:tcPr>
          <w:p w14:paraId="6D102162">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1、着重提醒各供应商注意，并认真查看招标文件中的每一个条款及要求，因误读招标文件而造成的后果，招标人概不负责。</w:t>
            </w:r>
          </w:p>
          <w:p w14:paraId="6ACED3D6">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2、供应商使用相同IP地址的，一经发现，相关部门将进一步核实，查实后按串通投标处理。</w:t>
            </w:r>
          </w:p>
          <w:p w14:paraId="498A70B2">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3、为保证本项目质量，良好的售后服务，最低报价不作为中标的唯一依据。</w:t>
            </w:r>
          </w:p>
          <w:p w14:paraId="0E8C5692">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292F4A1F">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5、如为信息系统采购项目，供应商不得为该整体项目或其中分项目前期工作提供过设计、编制、管理等服务的法人及附属单位。</w:t>
            </w:r>
          </w:p>
          <w:p w14:paraId="0C81261A">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7EC075E1">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lang w:eastAsia="zh-CN"/>
              </w:rPr>
              <w:t>、其它：</w:t>
            </w:r>
          </w:p>
          <w:p w14:paraId="572C3BB9">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（1）投标企业严格遵守国家的法律法规及招标纪律，无违法违纪及商业贿赂行为。</w:t>
            </w:r>
          </w:p>
          <w:p w14:paraId="0FF9EB3E">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（2）不管投标结果如何，供应商均应自行承担投标所需一切费用。</w:t>
            </w:r>
          </w:p>
          <w:p w14:paraId="7950681B">
            <w:pPr>
              <w:keepNext w:val="0"/>
              <w:keepLines w:val="0"/>
              <w:pageBreakBefore w:val="0"/>
              <w:wordWrap/>
              <w:overflowPunct/>
              <w:topLinePunct w:val="0"/>
              <w:bidi w:val="0"/>
              <w:spacing w:line="32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（3）供应商应以书面形式保证中标后由本公司组织实施，不得以任何理由将项目转包给其他机构。</w:t>
            </w:r>
          </w:p>
          <w:p w14:paraId="2F467DD5">
            <w:pPr>
              <w:keepNext w:val="0"/>
              <w:keepLines w:val="0"/>
              <w:pageBreakBefore w:val="0"/>
              <w:wordWrap/>
              <w:overflowPunct/>
              <w:topLinePunct w:val="0"/>
              <w:bidi w:val="0"/>
              <w:spacing w:line="320" w:lineRule="exact"/>
              <w:rPr>
                <w:rFonts w:hint="default"/>
                <w:color w:val="auto"/>
                <w:highlight w:val="none"/>
                <w:lang w:val="en-US"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lang w:eastAsia="zh-CN"/>
              </w:rPr>
              <w:t>）招标文件中如出现前后不一致情况，均以前附表内容为准。</w:t>
            </w:r>
          </w:p>
        </w:tc>
      </w:tr>
    </w:tbl>
    <w:p w14:paraId="76D91A21">
      <w:pPr>
        <w:pageBreakBefore/>
        <w:spacing w:beforeLines="100" w:afterLines="100" w:line="340" w:lineRule="exact"/>
        <w:jc w:val="center"/>
        <w:outlineLvl w:val="1"/>
        <w:rPr>
          <w:rFonts w:ascii="仿宋" w:hAnsi="仿宋" w:eastAsia="仿宋" w:cs="仿宋"/>
          <w:b/>
          <w:color w:val="auto"/>
          <w:sz w:val="28"/>
          <w:szCs w:val="32"/>
          <w:highlight w:val="none"/>
          <w:lang w:eastAsia="zh-CN"/>
        </w:rPr>
      </w:pPr>
      <w:r>
        <w:rPr>
          <w:rFonts w:hint="eastAsia" w:ascii="仿宋" w:hAnsi="仿宋" w:eastAsia="仿宋" w:cs="仿宋"/>
          <w:b/>
          <w:color w:val="auto"/>
          <w:sz w:val="28"/>
          <w:szCs w:val="28"/>
          <w:highlight w:val="none"/>
          <w:lang w:eastAsia="zh-CN"/>
        </w:rPr>
        <w:t>二、供应商须知</w:t>
      </w:r>
    </w:p>
    <w:p w14:paraId="752B581E">
      <w:pPr>
        <w:spacing w:line="340" w:lineRule="exact"/>
        <w:jc w:val="center"/>
        <w:outlineLvl w:val="2"/>
        <w:rPr>
          <w:rFonts w:ascii="仿宋" w:hAnsi="仿宋" w:eastAsia="仿宋" w:cs="仿宋"/>
          <w:color w:val="auto"/>
          <w:sz w:val="28"/>
          <w:szCs w:val="28"/>
          <w:highlight w:val="none"/>
          <w:lang w:eastAsia="zh-CN"/>
        </w:rPr>
      </w:pPr>
      <w:bookmarkStart w:id="0" w:name="_Toc469495724"/>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32"/>
          <w:highlight w:val="none"/>
          <w:lang w:eastAsia="zh-CN"/>
        </w:rPr>
        <w:t>总  则</w:t>
      </w:r>
      <w:bookmarkEnd w:id="0"/>
    </w:p>
    <w:p w14:paraId="3C338BD0">
      <w:pPr>
        <w:snapToGrid w:val="0"/>
        <w:spacing w:line="3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1.项目概况</w:t>
      </w:r>
    </w:p>
    <w:p w14:paraId="7B04EFAD">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1.1本次招标采购项目名称：见供应商须知前附表。</w:t>
      </w:r>
    </w:p>
    <w:p w14:paraId="635DBF4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项目编号：见供应商须知前附表。</w:t>
      </w:r>
    </w:p>
    <w:p w14:paraId="5475CCF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招标人：见供应商须知前附表。</w:t>
      </w:r>
    </w:p>
    <w:p w14:paraId="2CCE18E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供货期：见供应商须知前附表。</w:t>
      </w:r>
    </w:p>
    <w:p w14:paraId="38D8B01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供货地点：见供应商须知前附表。</w:t>
      </w:r>
    </w:p>
    <w:p w14:paraId="2B8AE922">
      <w:pPr>
        <w:snapToGrid w:val="0"/>
        <w:spacing w:line="440" w:lineRule="exact"/>
        <w:ind w:firstLine="480"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1.2招标人及联系人：见供应商须知前附表。</w:t>
      </w:r>
    </w:p>
    <w:p w14:paraId="665C2F4A">
      <w:pPr>
        <w:snapToGrid w:val="0"/>
        <w:spacing w:line="440" w:lineRule="exact"/>
        <w:ind w:firstLine="600" w:firstLineChars="25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代理机构及联系人：见供应商须知前附表。</w:t>
      </w:r>
    </w:p>
    <w:p w14:paraId="4124DEDE">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1.3资金来源：见供应商须知前附表。</w:t>
      </w:r>
    </w:p>
    <w:p w14:paraId="62342BCF">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1.4本项目预算：见供应商须知前附表。</w:t>
      </w:r>
    </w:p>
    <w:p w14:paraId="07EE62E3">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1.5本项目控制价：见供应商须知前附表。</w:t>
      </w:r>
    </w:p>
    <w:p w14:paraId="589733AA">
      <w:pPr>
        <w:snapToGrid w:val="0"/>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2.招标范围：</w:t>
      </w:r>
    </w:p>
    <w:p w14:paraId="0B279BC5">
      <w:pPr>
        <w:snapToGrid w:val="0"/>
        <w:spacing w:line="440" w:lineRule="exact"/>
        <w:ind w:firstLine="480"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2.1 采购内容：见供应商须知前附表。</w:t>
      </w:r>
    </w:p>
    <w:p w14:paraId="2CAAED21">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 技术要求：详见采购文件第四章采购内容及技术要求。</w:t>
      </w:r>
    </w:p>
    <w:p w14:paraId="6DECD654">
      <w:pPr>
        <w:snapToGrid w:val="0"/>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3.标包划分：</w:t>
      </w:r>
    </w:p>
    <w:p w14:paraId="2EF8C856">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3.1本项目划分：</w:t>
      </w:r>
      <w:r>
        <w:rPr>
          <w:rFonts w:hint="eastAsia" w:ascii="仿宋" w:hAnsi="仿宋" w:eastAsia="仿宋" w:cs="仿宋"/>
          <w:color w:val="auto"/>
          <w:szCs w:val="21"/>
          <w:highlight w:val="none"/>
          <w:u w:val="single"/>
          <w:lang w:val="en-US" w:eastAsia="zh-CN"/>
        </w:rPr>
        <w:t>/</w:t>
      </w:r>
    </w:p>
    <w:p w14:paraId="2B12581F">
      <w:pPr>
        <w:snapToGrid w:val="0"/>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4.招标方式：</w:t>
      </w:r>
    </w:p>
    <w:p w14:paraId="18B600EE">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4.1本项目招标方式：公开招标。</w:t>
      </w:r>
    </w:p>
    <w:p w14:paraId="3D9DE429">
      <w:pPr>
        <w:snapToGrid w:val="0"/>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5.计价方式：</w:t>
      </w:r>
    </w:p>
    <w:p w14:paraId="08607ECE">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5.1本次招标项目合同采用</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下浮率</w:t>
      </w:r>
      <w:r>
        <w:rPr>
          <w:rFonts w:hint="eastAsia" w:ascii="仿宋" w:hAnsi="仿宋" w:eastAsia="仿宋" w:cs="仿宋"/>
          <w:color w:val="auto"/>
          <w:szCs w:val="21"/>
          <w:highlight w:val="none"/>
          <w:u w:val="single"/>
          <w:lang w:eastAsia="zh-CN"/>
        </w:rPr>
        <w:t xml:space="preserve"> 。</w:t>
      </w:r>
    </w:p>
    <w:p w14:paraId="7B5B6DDA">
      <w:pPr>
        <w:snapToGrid w:val="0"/>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6.评标办法：</w:t>
      </w:r>
    </w:p>
    <w:p w14:paraId="63574E4D">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6.1本次招标评标采用</w:t>
      </w:r>
      <w:r>
        <w:rPr>
          <w:rFonts w:hint="eastAsia" w:ascii="仿宋" w:hAnsi="仿宋" w:eastAsia="仿宋" w:cs="仿宋"/>
          <w:color w:val="auto"/>
          <w:szCs w:val="21"/>
          <w:highlight w:val="none"/>
          <w:u w:val="single"/>
          <w:lang w:eastAsia="zh-CN"/>
        </w:rPr>
        <w:t xml:space="preserve">  综合评分法 </w:t>
      </w:r>
      <w:r>
        <w:rPr>
          <w:rFonts w:hint="eastAsia" w:ascii="仿宋" w:hAnsi="仿宋" w:eastAsia="仿宋" w:cs="仿宋"/>
          <w:color w:val="auto"/>
          <w:szCs w:val="21"/>
          <w:highlight w:val="none"/>
          <w:lang w:eastAsia="zh-CN"/>
        </w:rPr>
        <w:t>（详见第三章评标办法）</w:t>
      </w:r>
    </w:p>
    <w:p w14:paraId="1D06EFF6">
      <w:pPr>
        <w:snapToGrid w:val="0"/>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7.供应商资格：</w:t>
      </w:r>
    </w:p>
    <w:p w14:paraId="56839FD4">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7.1参与采购活动的供应商必须是满足《中华人民共和国政府采购法》规定条件的法人、其他组织或者自然人：</w:t>
      </w:r>
    </w:p>
    <w:p w14:paraId="6347CC7E">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7.2由于政府采购项目的差异性，供应商在参与具体政府采购项目活动时，应仔细阅读该项目的资质要求,具体见供应商须知前附表。</w:t>
      </w:r>
    </w:p>
    <w:p w14:paraId="51847542">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highlight w:val="none"/>
          <w:lang w:eastAsia="zh-CN" w:bidi="ar-SA"/>
        </w:rPr>
        <w:t>(已在政采云平台其他省份入驻的供应商无须重复注册），</w:t>
      </w:r>
      <w:r>
        <w:rPr>
          <w:rFonts w:hint="eastAsia" w:ascii="仿宋" w:hAnsi="仿宋" w:eastAsia="仿宋" w:cs="仿宋"/>
          <w:color w:val="auto"/>
          <w:szCs w:val="21"/>
          <w:highlight w:val="none"/>
          <w:lang w:eastAsia="zh-CN"/>
        </w:rPr>
        <w:t>并完成CA数字证书申领。因未注册入库、未办理CA数字证书等原因造成无法投标或投标失败等后果由供应商自行承担。</w:t>
      </w:r>
    </w:p>
    <w:p w14:paraId="60853670">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7.4供应商必须确保自己在信息库中注册的信息真实、准确，并保证投标文件中的有关信息与库中的信息相一致。否则，供应商因此蒙受损失，招标人概不负责。</w:t>
      </w:r>
    </w:p>
    <w:p w14:paraId="3872DD47">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8. 投标费用</w:t>
      </w:r>
    </w:p>
    <w:p w14:paraId="75340427">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8.1供应商准备和参加投标活动发生的费用自理。</w:t>
      </w:r>
    </w:p>
    <w:p w14:paraId="0719F0B4">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9.</w:t>
      </w:r>
      <w:bookmarkStart w:id="1" w:name="_Toc247527563"/>
      <w:bookmarkStart w:id="2" w:name="_Toc247513962"/>
      <w:bookmarkStart w:id="3" w:name="_Toc152045539"/>
      <w:bookmarkStart w:id="4" w:name="_Toc144974507"/>
      <w:bookmarkStart w:id="5" w:name="_Toc152042315"/>
      <w:bookmarkStart w:id="6" w:name="_Toc247592876"/>
      <w:bookmarkStart w:id="7" w:name="_Toc296602429"/>
      <w:r>
        <w:rPr>
          <w:rFonts w:hint="eastAsia" w:ascii="仿宋" w:hAnsi="仿宋" w:eastAsia="仿宋" w:cs="仿宋"/>
          <w:b/>
          <w:color w:val="auto"/>
          <w:szCs w:val="21"/>
          <w:highlight w:val="none"/>
          <w:lang w:eastAsia="zh-CN"/>
        </w:rPr>
        <w:t xml:space="preserve"> 踏勘现场</w:t>
      </w:r>
      <w:bookmarkEnd w:id="1"/>
      <w:bookmarkEnd w:id="2"/>
      <w:bookmarkEnd w:id="3"/>
      <w:bookmarkEnd w:id="4"/>
      <w:bookmarkEnd w:id="5"/>
      <w:bookmarkEnd w:id="6"/>
      <w:bookmarkEnd w:id="7"/>
    </w:p>
    <w:p w14:paraId="247DA8F9">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highlight w:val="none"/>
          <w:lang w:eastAsia="zh-CN"/>
        </w:rPr>
        <w:t>供应商自行踏勘现场的，可咨询本项目采购人或采购代理机构联系人。</w:t>
      </w:r>
      <w:r>
        <w:rPr>
          <w:rFonts w:hint="eastAsia" w:ascii="仿宋" w:hAnsi="仿宋" w:eastAsia="仿宋" w:cs="仿宋"/>
          <w:b/>
          <w:bCs/>
          <w:color w:val="auto"/>
          <w:highlight w:val="none"/>
          <w:lang w:eastAsia="zh-CN"/>
        </w:rPr>
        <w:t>供应商自行踏勘现场的，可咨询本项目采购人或采购代理机构联系人。</w:t>
      </w:r>
      <w:r>
        <w:rPr>
          <w:rFonts w:hint="eastAsia" w:ascii="仿宋" w:hAnsi="仿宋" w:eastAsia="仿宋" w:cs="仿宋"/>
          <w:b/>
          <w:bCs/>
          <w:color w:val="auto"/>
          <w:szCs w:val="21"/>
          <w:highlight w:val="none"/>
          <w:lang w:eastAsia="zh-CN"/>
        </w:rPr>
        <w:t xml:space="preserve"> </w:t>
      </w:r>
    </w:p>
    <w:p w14:paraId="430C9A92">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供应商踏勘现场发生的费用自理。</w:t>
      </w:r>
    </w:p>
    <w:p w14:paraId="36015C3E">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除招标人的原因外，供应商自行负责在踏勘现场中所发生的人员伤亡和财产损失。</w:t>
      </w:r>
    </w:p>
    <w:p w14:paraId="60C08127">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招标人在踏勘现场中介绍的场地和相关的周边环境情况，供应商在编制投标文件时参考，招标人不对供应商据此作出的判断和决策负责。</w:t>
      </w:r>
      <w:bookmarkStart w:id="8" w:name="_Toc247513963"/>
      <w:bookmarkStart w:id="9" w:name="_Toc296602430"/>
      <w:bookmarkStart w:id="10" w:name="_Toc152042316"/>
      <w:bookmarkStart w:id="11" w:name="_Toc247527564"/>
      <w:bookmarkStart w:id="12" w:name="_Toc152045540"/>
      <w:bookmarkStart w:id="13" w:name="_Toc144974508"/>
      <w:bookmarkStart w:id="14" w:name="_Toc247592877"/>
    </w:p>
    <w:p w14:paraId="7B0838FA">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10. 投标预备会</w:t>
      </w:r>
      <w:bookmarkEnd w:id="8"/>
      <w:bookmarkEnd w:id="9"/>
      <w:bookmarkEnd w:id="10"/>
      <w:bookmarkEnd w:id="11"/>
      <w:bookmarkEnd w:id="12"/>
      <w:bookmarkEnd w:id="13"/>
      <w:bookmarkEnd w:id="14"/>
    </w:p>
    <w:p w14:paraId="26870F22">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10.1供应商须知前附表规定召开投标预备会的，招标人按供应商须知前附表规定的时间和地点召开投标预备会，澄清供应商提出的问题。</w:t>
      </w:r>
    </w:p>
    <w:p w14:paraId="5ABB001C">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10.2供应商应在供应商须知前附表规定的时间前，将提出的问题送达招标人，以便招标人澄清。</w:t>
      </w:r>
    </w:p>
    <w:p w14:paraId="2D648109">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10.3招标人在供应商须知前附表规定的时间，将对供应商所提的问题进行澄清。该澄清内容为采购文件的组成部分。</w:t>
      </w:r>
    </w:p>
    <w:p w14:paraId="0BD8F687">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11. 联合投标（</w:t>
      </w:r>
      <w:r>
        <w:rPr>
          <w:rFonts w:hint="eastAsia" w:ascii="仿宋" w:hAnsi="仿宋" w:eastAsia="仿宋" w:cs="仿宋"/>
          <w:b/>
          <w:color w:val="auto"/>
          <w:szCs w:val="21"/>
          <w:highlight w:val="none"/>
          <w:lang w:val="en-US" w:eastAsia="zh-CN"/>
        </w:rPr>
        <w:t>本项目不接受联合体投标，不适用本条款</w:t>
      </w:r>
      <w:r>
        <w:rPr>
          <w:rFonts w:hint="eastAsia" w:ascii="仿宋" w:hAnsi="仿宋" w:eastAsia="仿宋" w:cs="仿宋"/>
          <w:b/>
          <w:color w:val="auto"/>
          <w:szCs w:val="21"/>
          <w:highlight w:val="none"/>
          <w:lang w:eastAsia="zh-CN"/>
        </w:rPr>
        <w:t>）</w:t>
      </w:r>
    </w:p>
    <w:p w14:paraId="395F3058">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0F414883">
      <w:pPr>
        <w:spacing w:line="40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11.2联合体各方之间应当签订共同投标协议，明确约定联合体各方承担的工作和相应的责任，并将共同投标协议连同投标文件一并提交</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招标人。联合体各方签订共同投标协议后，不得再以自己名义单独在同一项目中投标，也不得组成新的联合体参加同一项目投标。</w:t>
      </w:r>
    </w:p>
    <w:p w14:paraId="7465ACE3">
      <w:pPr>
        <w:spacing w:line="400" w:lineRule="exact"/>
        <w:ind w:firstLine="470"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11.3 联合体应当确定其中一个单位为投标的全权代表，负责参加投标的一切事务，并承担投标及履约中应承担的全部责任与义务。</w:t>
      </w:r>
    </w:p>
    <w:p w14:paraId="26F1942E">
      <w:pPr>
        <w:pStyle w:val="10"/>
        <w:spacing w:after="0" w:line="400" w:lineRule="exact"/>
        <w:ind w:left="0" w:leftChars="0" w:firstLine="484" w:firstLineChars="20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11.4 联合体各方应当共同与招标人签订采购合同，就采购合同约定的事项对招标人承担连带责任。</w:t>
      </w:r>
    </w:p>
    <w:p w14:paraId="0C336621">
      <w:pPr>
        <w:spacing w:line="440" w:lineRule="exact"/>
        <w:ind w:firstLine="472" w:firstLineChars="196"/>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12.招标代理费：</w:t>
      </w:r>
      <w:r>
        <w:rPr>
          <w:rFonts w:hint="eastAsia" w:ascii="仿宋" w:hAnsi="仿宋" w:eastAsia="仿宋" w:cs="仿宋"/>
          <w:color w:val="auto"/>
          <w:szCs w:val="21"/>
          <w:highlight w:val="none"/>
          <w:lang w:eastAsia="zh-CN"/>
        </w:rPr>
        <w:t>见供应商须知前附表。</w:t>
      </w:r>
    </w:p>
    <w:p w14:paraId="73FF09B5">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13.供应商应注意的事项</w:t>
      </w:r>
    </w:p>
    <w:p w14:paraId="2FF87120">
      <w:pPr>
        <w:spacing w:line="440" w:lineRule="exact"/>
        <w:ind w:firstLine="480" w:firstLineChars="200"/>
        <w:rPr>
          <w:rFonts w:ascii="仿宋" w:hAnsi="仿宋" w:eastAsia="仿宋" w:cs="仿宋"/>
          <w:bCs/>
          <w:color w:val="auto"/>
          <w:szCs w:val="21"/>
          <w:highlight w:val="none"/>
          <w:lang w:eastAsia="zh-CN"/>
        </w:rPr>
      </w:pPr>
      <w:r>
        <w:rPr>
          <w:rFonts w:hint="eastAsia" w:ascii="仿宋" w:hAnsi="仿宋" w:eastAsia="仿宋" w:cs="仿宋"/>
          <w:color w:val="auto"/>
          <w:szCs w:val="21"/>
          <w:highlight w:val="none"/>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381FC5F9">
      <w:pPr>
        <w:spacing w:line="440" w:lineRule="exact"/>
        <w:ind w:firstLine="480"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13.2 供应商对采购内容中规定的技术参数、规格等要求必须完全响应或优于采购文件中的要求。</w:t>
      </w:r>
    </w:p>
    <w:p w14:paraId="7172D1C3">
      <w:pPr>
        <w:spacing w:line="440" w:lineRule="exact"/>
        <w:ind w:firstLine="470"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13.3所有供应商的投标保证金都应在采购文件规定的投标保证金缴纳截止日期前缴纳。</w:t>
      </w:r>
    </w:p>
    <w:p w14:paraId="7529316E">
      <w:pPr>
        <w:spacing w:line="440" w:lineRule="exact"/>
        <w:ind w:firstLine="470"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highlight w:val="none"/>
          <w:lang w:eastAsia="zh-CN"/>
        </w:rPr>
        <w:t>为采购项目提供整体设计、规范编制或者项目管理、监理、检测等服务的供应商，不得再参加该采购项目的其他采购活动。</w:t>
      </w:r>
    </w:p>
    <w:p w14:paraId="406DF195">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13.5本项目只接受</w:t>
      </w:r>
      <w:r>
        <w:rPr>
          <w:rFonts w:hint="eastAsia" w:ascii="仿宋" w:hAnsi="仿宋" w:eastAsia="仿宋" w:cs="仿宋"/>
          <w:color w:val="auto"/>
          <w:szCs w:val="21"/>
          <w:highlight w:val="none"/>
          <w:lang w:eastAsia="zh-CN"/>
        </w:rPr>
        <w:t>成为新疆维吾尔自治区政府采购网正式注册入库并完成CA数字证书申领供应商参与投标。因未注册入库、未办理CA数字证书等原因造成无法投标或投标失败等后果由供应商自行承担。</w:t>
      </w:r>
    </w:p>
    <w:p w14:paraId="6BBA5070">
      <w:pPr>
        <w:wordWrap w:val="0"/>
        <w:spacing w:line="440" w:lineRule="exact"/>
        <w:ind w:firstLine="480"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13.6  供应商被视为充分熟悉本招标项目所在地的与履行合同有关的各种情况，包括但不限于：</w:t>
      </w:r>
    </w:p>
    <w:p w14:paraId="0A0F643D">
      <w:pPr>
        <w:spacing w:line="400" w:lineRule="exact"/>
        <w:ind w:firstLine="360"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（1）国家对本次投标货物和服务的生产、安装调试、验收、维修等有关法律、法规及行业管理标准；</w:t>
      </w:r>
    </w:p>
    <w:p w14:paraId="44A7033A">
      <w:pPr>
        <w:spacing w:line="400" w:lineRule="exact"/>
        <w:ind w:firstLine="360"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（2）本地区有关管理部门的相关规定；</w:t>
      </w:r>
    </w:p>
    <w:p w14:paraId="0A642625">
      <w:pPr>
        <w:spacing w:line="400" w:lineRule="exact"/>
        <w:ind w:firstLine="360"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（3）招标人的相关场地情况、基础建设、电力供应情况及相关设计标准。</w:t>
      </w:r>
    </w:p>
    <w:p w14:paraId="678BB5D6">
      <w:pPr>
        <w:spacing w:line="400" w:lineRule="exact"/>
        <w:ind w:firstLine="360"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本采购文件不再对上述情况进行描述。</w:t>
      </w:r>
      <w:bookmarkStart w:id="15" w:name="_Toc469495725"/>
    </w:p>
    <w:p w14:paraId="3362CC0F">
      <w:pPr>
        <w:spacing w:line="400" w:lineRule="exact"/>
        <w:ind w:firstLine="422" w:firstLineChars="150"/>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w:t>
      </w:r>
      <w:bookmarkEnd w:id="15"/>
      <w:r>
        <w:rPr>
          <w:rFonts w:hint="eastAsia" w:ascii="仿宋" w:hAnsi="仿宋" w:eastAsia="仿宋" w:cs="仿宋"/>
          <w:b/>
          <w:color w:val="auto"/>
          <w:sz w:val="28"/>
          <w:szCs w:val="28"/>
          <w:highlight w:val="none"/>
          <w:lang w:eastAsia="zh-CN"/>
        </w:rPr>
        <w:t>招标文件</w:t>
      </w:r>
    </w:p>
    <w:p w14:paraId="450FC856">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15. 采购文件的编制依据</w:t>
      </w:r>
    </w:p>
    <w:p w14:paraId="380105B6">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根据《中华人民共和国政府采购法》、《政府采购货物和服务招标投标管理办法》和《中华人民共和国合同法》</w:t>
      </w:r>
      <w:r>
        <w:rPr>
          <w:rFonts w:hint="eastAsia" w:ascii="仿宋" w:hAnsi="仿宋" w:eastAsia="仿宋" w:cs="仿宋"/>
          <w:color w:val="auto"/>
          <w:spacing w:val="-2"/>
          <w:szCs w:val="21"/>
          <w:highlight w:val="none"/>
          <w:lang w:eastAsia="zh-CN"/>
        </w:rPr>
        <w:t>等相关法律法规和规章及部、省、市级规范性文件的规定，编制本采购文件。</w:t>
      </w:r>
    </w:p>
    <w:p w14:paraId="1D8B9406">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16. 采购文件的组成</w:t>
      </w:r>
    </w:p>
    <w:p w14:paraId="20828850">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16.1 采购文件包括内容：</w:t>
      </w:r>
    </w:p>
    <w:p w14:paraId="16AFE4D1">
      <w:pPr>
        <w:spacing w:line="440" w:lineRule="exact"/>
        <w:ind w:firstLine="1680"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第一章  招标公告</w:t>
      </w:r>
    </w:p>
    <w:p w14:paraId="05D5A18F">
      <w:pPr>
        <w:spacing w:line="440" w:lineRule="exact"/>
        <w:ind w:firstLine="1680"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第二章  投标须知</w:t>
      </w:r>
    </w:p>
    <w:p w14:paraId="52C63925">
      <w:pPr>
        <w:spacing w:line="440" w:lineRule="exact"/>
        <w:ind w:firstLine="1680"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第三章  评标办法</w:t>
      </w:r>
    </w:p>
    <w:p w14:paraId="6B3CD9E5">
      <w:pPr>
        <w:spacing w:line="440" w:lineRule="exact"/>
        <w:ind w:firstLine="1680" w:firstLineChars="7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 xml:space="preserve">第四章  </w:t>
      </w:r>
      <w:r>
        <w:rPr>
          <w:rFonts w:hint="eastAsia" w:ascii="仿宋" w:hAnsi="仿宋" w:eastAsia="仿宋" w:cs="仿宋"/>
          <w:color w:val="auto"/>
          <w:szCs w:val="21"/>
          <w:highlight w:val="none"/>
          <w:lang w:val="en-US" w:eastAsia="zh-CN"/>
        </w:rPr>
        <w:t>技术规格、数量及质量要求</w:t>
      </w:r>
    </w:p>
    <w:p w14:paraId="706BE69C">
      <w:pPr>
        <w:spacing w:line="440" w:lineRule="exact"/>
        <w:ind w:firstLine="1680"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第五章  合同条款及格式</w:t>
      </w:r>
    </w:p>
    <w:p w14:paraId="3B6A1582">
      <w:pPr>
        <w:spacing w:line="440" w:lineRule="exact"/>
        <w:ind w:firstLine="1680"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第六章  投标文件格式</w:t>
      </w:r>
    </w:p>
    <w:p w14:paraId="33C3642A">
      <w:pPr>
        <w:spacing w:line="440" w:lineRule="exact"/>
        <w:ind w:firstLine="1680"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第七章  招标单位、招标代理机构对本文件的确认</w:t>
      </w:r>
    </w:p>
    <w:p w14:paraId="01C0C517">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16.2 除16.1内容外，招标答疑亦为采购文件的组成部分，对招标人和供应商起约束作用。</w:t>
      </w:r>
    </w:p>
    <w:p w14:paraId="6B2C0BC2">
      <w:pPr>
        <w:pStyle w:val="11"/>
        <w:wordWrap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16.3供应商应仔细阅读和检查采购文件的全部内容。如发现缺页或附件不全，应及时向招标人提出，以便补齐。如有疑问，供应商应以书面形式一次性向采购人和采购代理机构提出同一环节的质疑。</w:t>
      </w:r>
    </w:p>
    <w:p w14:paraId="6134D4B0">
      <w:pPr>
        <w:wordWrap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5C5B720C">
      <w:pPr>
        <w:spacing w:line="440" w:lineRule="exact"/>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17. 采购文件的修改、补充、解释</w:t>
      </w:r>
    </w:p>
    <w:p w14:paraId="30DAD6B3">
      <w:pPr>
        <w:wordWrap w:val="0"/>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7F86F996">
      <w:pPr>
        <w:wordWrap w:val="0"/>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6DFD5FE4">
      <w:pPr>
        <w:wordWrap w:val="0"/>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 xml:space="preserve">17.3 </w:t>
      </w:r>
      <w:r>
        <w:rPr>
          <w:rFonts w:hint="eastAsia" w:ascii="仿宋" w:hAnsi="仿宋" w:eastAsia="仿宋" w:cs="仿宋"/>
          <w:color w:val="auto"/>
          <w:szCs w:val="21"/>
          <w:highlight w:val="none"/>
          <w:lang w:eastAsia="zh-CN"/>
        </w:rPr>
        <w:t>供应商在规定的时间内未对采购文件提出疑问、质疑或要求澄清的，将视其为无异议。</w:t>
      </w:r>
    </w:p>
    <w:p w14:paraId="33524E13">
      <w:pPr>
        <w:spacing w:line="400" w:lineRule="exact"/>
        <w:ind w:firstLine="240" w:firstLineChars="1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17.4 采购文件的解释</w:t>
      </w:r>
    </w:p>
    <w:p w14:paraId="75CA33FA">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本采购文件由招标人（或其委托的招标代理机构）负责解释。</w:t>
      </w:r>
    </w:p>
    <w:p w14:paraId="32A633C8">
      <w:pPr>
        <w:spacing w:line="40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 18. 采购文件的发出</w:t>
      </w:r>
    </w:p>
    <w:p w14:paraId="022508A1">
      <w:pPr>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18.1 采购文件、采购文件的澄清、修改、补充及招标答疑等均应报相关部门备案后，方可发出。</w:t>
      </w:r>
    </w:p>
    <w:p w14:paraId="7A69BE01">
      <w:pPr>
        <w:spacing w:line="440" w:lineRule="exact"/>
        <w:ind w:firstLine="241" w:firstLineChars="100"/>
        <w:rPr>
          <w:rFonts w:ascii="仿宋" w:hAnsi="仿宋" w:eastAsia="仿宋" w:cs="仿宋"/>
          <w:color w:val="auto"/>
          <w:szCs w:val="21"/>
          <w:highlight w:val="none"/>
          <w:lang w:eastAsia="zh-CN"/>
        </w:rPr>
      </w:pPr>
      <w:bookmarkStart w:id="16" w:name="_Toc469495726"/>
      <w:r>
        <w:rPr>
          <w:rFonts w:hint="eastAsia" w:ascii="仿宋" w:hAnsi="仿宋" w:eastAsia="仿宋" w:cs="仿宋"/>
          <w:b/>
          <w:color w:val="auto"/>
          <w:szCs w:val="21"/>
          <w:highlight w:val="none"/>
          <w:lang w:eastAsia="zh-CN"/>
        </w:rPr>
        <w:t xml:space="preserve">19. </w:t>
      </w:r>
      <w:r>
        <w:rPr>
          <w:rFonts w:hint="eastAsia" w:ascii="仿宋" w:hAnsi="仿宋" w:eastAsia="仿宋" w:cs="仿宋"/>
          <w:color w:val="auto"/>
          <w:szCs w:val="21"/>
          <w:highlight w:val="none"/>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56172857">
      <w:pPr>
        <w:spacing w:line="440" w:lineRule="exact"/>
        <w:ind w:firstLine="42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采购文件中应明确样品送检方式、检测费用支付方法、供应商在规定时间内无法提供第三方权威检测机构检测报告的处理方式。（采购人根据项目需求按上述要求自行描述）</w:t>
      </w:r>
    </w:p>
    <w:p w14:paraId="660A0BE2">
      <w:pPr>
        <w:spacing w:beforeLines="100" w:afterLines="100" w:line="440" w:lineRule="exact"/>
        <w:jc w:val="center"/>
        <w:outlineLvl w:val="2"/>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（三）投标文件的编制</w:t>
      </w:r>
      <w:bookmarkEnd w:id="16"/>
    </w:p>
    <w:p w14:paraId="0787D48F">
      <w:pPr>
        <w:spacing w:line="440" w:lineRule="exact"/>
        <w:ind w:firstLine="349" w:firstLineChars="145"/>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20. 投标的语言及度量衡单位</w:t>
      </w:r>
    </w:p>
    <w:p w14:paraId="15559719">
      <w:pPr>
        <w:spacing w:line="440" w:lineRule="exact"/>
        <w:ind w:firstLine="324" w:firstLineChars="13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49F2A2C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20.2除采购文件中另有规定外，投标书所使用的度量衡均须采用法定计量单位。</w:t>
      </w:r>
    </w:p>
    <w:p w14:paraId="74997F5B">
      <w:pPr>
        <w:spacing w:line="400" w:lineRule="exact"/>
        <w:ind w:firstLine="236" w:firstLineChars="98"/>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21. 投标文件的组成</w:t>
      </w:r>
    </w:p>
    <w:p w14:paraId="0A2CA3DF">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资格证明文件和商务及技术文件两部分。</w:t>
      </w:r>
    </w:p>
    <w:p w14:paraId="5722C8BF">
      <w:pPr>
        <w:spacing w:line="440" w:lineRule="exact"/>
        <w:ind w:firstLine="354"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21.1资格证明文件（包括但不限于）</w:t>
      </w:r>
    </w:p>
    <w:p w14:paraId="3866AF74">
      <w:pPr>
        <w:spacing w:line="440" w:lineRule="exact"/>
        <w:ind w:firstLine="352"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资格证明文件是证明供应商有资格参加投标和中标后有能力履行合同的文件，这些文件应能满足招标的要求，否则作无效投标处理。</w:t>
      </w:r>
    </w:p>
    <w:p w14:paraId="2E026A30">
      <w:pPr>
        <w:spacing w:line="440" w:lineRule="exact"/>
        <w:ind w:firstLine="352"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1、法人或者非法人组织的营业执照等证明文件复印件（须加盖本单位章）或自然人的身份证明复印件;</w:t>
      </w:r>
    </w:p>
    <w:p w14:paraId="586CF33D">
      <w:pPr>
        <w:spacing w:line="440" w:lineRule="exact"/>
        <w:ind w:firstLine="352" w:firstLineChars="147"/>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2、法定代表人资格证明书</w:t>
      </w:r>
      <w:r>
        <w:rPr>
          <w:rFonts w:hint="eastAsia" w:ascii="仿宋" w:hAnsi="仿宋" w:eastAsia="仿宋" w:cs="仿宋"/>
          <w:color w:val="auto"/>
          <w:szCs w:val="21"/>
          <w:highlight w:val="none"/>
          <w:lang w:val="en-US" w:eastAsia="zh-CN"/>
        </w:rPr>
        <w:t>或</w:t>
      </w:r>
      <w:r>
        <w:rPr>
          <w:rFonts w:hint="eastAsia" w:ascii="仿宋" w:hAnsi="仿宋" w:eastAsia="仿宋" w:cs="仿宋"/>
          <w:color w:val="auto"/>
          <w:szCs w:val="21"/>
          <w:highlight w:val="none"/>
          <w:lang w:eastAsia="zh-CN"/>
        </w:rPr>
        <w:t>法定代表人授权书</w:t>
      </w:r>
    </w:p>
    <w:p w14:paraId="0A83AFA5">
      <w:pPr>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3、具有履行合同所必需的设备和专业技术能力的承诺函；</w:t>
      </w:r>
    </w:p>
    <w:p w14:paraId="42052050">
      <w:pPr>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4、投标人须具备投标截止之日起半年内任意两个月的纳税证明或完税证明，依法免税的单位应提供相关证明材料；</w:t>
      </w:r>
    </w:p>
    <w:p w14:paraId="425A11C1">
      <w:pPr>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5、投标人须具备投标截止之日起半年内任意两个月的缴纳社会保障资金的证明材料，依法不需要缴纳社会保障资金的单位应提供相关证明材料；</w:t>
      </w:r>
    </w:p>
    <w:p w14:paraId="6DCFCEEA">
      <w:pPr>
        <w:spacing w:line="440" w:lineRule="exact"/>
        <w:ind w:firstLine="352" w:firstLineChars="147"/>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提供近一年2024年度经审计的财务报告（包括审计报告、资产负债表和利润表，成立时间至投标截止时间不足一年的可提供成立后任意时段的资产负债表）；成立时间至投标截止时间不足一年的可提供成立后任意时段的资产负债表）；或其开标前三个月内基本存款账户开户银行出具的资信证明及基本存款账户开户许可证（或基本存款账户信息相关证明文件）；或信用担保机构出具的投标担保函；</w:t>
      </w:r>
    </w:p>
    <w:p w14:paraId="71B6980B">
      <w:pPr>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7、投标供应商具有有效期内的《食品经营许可证》或《食品生产许可证》。</w:t>
      </w:r>
    </w:p>
    <w:p w14:paraId="31122F4E">
      <w:pPr>
        <w:spacing w:line="440" w:lineRule="exact"/>
        <w:ind w:firstLine="352"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szCs w:val="21"/>
          <w:highlight w:val="none"/>
          <w:lang w:eastAsia="zh-CN"/>
        </w:rPr>
        <w:t xml:space="preserve"> </w:t>
      </w:r>
    </w:p>
    <w:p w14:paraId="3F940F61">
      <w:pPr>
        <w:spacing w:line="440" w:lineRule="exact"/>
        <w:ind w:firstLine="354" w:firstLineChars="147"/>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21.2 商务及技术文件（包括但不限于）</w:t>
      </w:r>
    </w:p>
    <w:p w14:paraId="38CCA234">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1、投标函</w:t>
      </w:r>
    </w:p>
    <w:p w14:paraId="4145C365">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2、开标一览表</w:t>
      </w:r>
    </w:p>
    <w:p w14:paraId="1DA5242F">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3、货物说明一览表</w:t>
      </w:r>
    </w:p>
    <w:p w14:paraId="4451C63F">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4、投标分项报价表</w:t>
      </w:r>
    </w:p>
    <w:p w14:paraId="3AC5C580">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5、技术条款偏离表</w:t>
      </w:r>
    </w:p>
    <w:p w14:paraId="13B4D137">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6、商务条款偏离表</w:t>
      </w:r>
    </w:p>
    <w:p w14:paraId="57B96392">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7、供应商基本情况表</w:t>
      </w:r>
    </w:p>
    <w:p w14:paraId="23BDCFE8">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8</w:t>
      </w:r>
      <w:r>
        <w:rPr>
          <w:rFonts w:hint="eastAsia" w:ascii="仿宋" w:hAnsi="仿宋" w:eastAsia="仿宋" w:cs="仿宋"/>
          <w:bCs/>
          <w:color w:val="auto"/>
          <w:szCs w:val="21"/>
          <w:highlight w:val="none"/>
          <w:lang w:eastAsia="zh-CN"/>
        </w:rPr>
        <w:t>、中小企业声明函(货物)</w:t>
      </w:r>
    </w:p>
    <w:p w14:paraId="529FC968">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lang w:eastAsia="zh-CN"/>
        </w:rPr>
        <w:t>、残疾人福利性单位声明函</w:t>
      </w:r>
    </w:p>
    <w:p w14:paraId="09C89695">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lang w:eastAsia="zh-CN"/>
        </w:rPr>
        <w:t>、评分标准和细则中技术部分证明材料</w:t>
      </w:r>
    </w:p>
    <w:p w14:paraId="5230FA3C">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、评分标准和细则中</w:t>
      </w:r>
      <w:r>
        <w:rPr>
          <w:rFonts w:hint="eastAsia" w:ascii="仿宋" w:hAnsi="仿宋" w:eastAsia="仿宋" w:cs="仿宋"/>
          <w:bCs/>
          <w:color w:val="auto"/>
          <w:szCs w:val="21"/>
          <w:highlight w:val="none"/>
          <w:lang w:val="en-US" w:eastAsia="zh-CN"/>
        </w:rPr>
        <w:t>商务</w:t>
      </w:r>
      <w:r>
        <w:rPr>
          <w:rFonts w:hint="eastAsia" w:ascii="仿宋" w:hAnsi="仿宋" w:eastAsia="仿宋" w:cs="仿宋"/>
          <w:bCs/>
          <w:color w:val="auto"/>
          <w:szCs w:val="21"/>
          <w:highlight w:val="none"/>
          <w:lang w:eastAsia="zh-CN"/>
        </w:rPr>
        <w:t>部分证明材料（格式自拟）</w:t>
      </w:r>
    </w:p>
    <w:p w14:paraId="27838114">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lang w:eastAsia="zh-CN"/>
        </w:rPr>
        <w:t>、供应商认为有必要提供的其他证明材料（格式自拟）</w:t>
      </w:r>
    </w:p>
    <w:p w14:paraId="670DC75E">
      <w:pPr>
        <w:spacing w:line="400" w:lineRule="exact"/>
        <w:ind w:firstLine="479" w:firstLineChars="199"/>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u w:val="single"/>
          <w:lang w:eastAsia="zh-CN"/>
        </w:rPr>
        <w:t>注：以上材料须逐页加盖单位公章。</w:t>
      </w:r>
    </w:p>
    <w:p w14:paraId="25DBC1E6">
      <w:pPr>
        <w:spacing w:line="400" w:lineRule="exact"/>
        <w:ind w:firstLine="477"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21.3投标文件的要求</w:t>
      </w:r>
    </w:p>
    <w:p w14:paraId="73C56F8D">
      <w:pPr>
        <w:spacing w:line="400" w:lineRule="exact"/>
        <w:ind w:firstLine="477"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5F0497D4">
      <w:pPr>
        <w:spacing w:line="400" w:lineRule="exact"/>
        <w:ind w:firstLine="477"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（2）投标文件格式应按本采购文件第六章格式要求编制，不得对采购文件格式进行增删更改，否则按无效标处理。</w:t>
      </w:r>
    </w:p>
    <w:p w14:paraId="5D7E14AB">
      <w:pPr>
        <w:spacing w:line="400" w:lineRule="exact"/>
        <w:ind w:firstLine="477"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（3）对采购文件格式可更改的例外情况：采购文件第六部分附件格式要求中明确规定表格中行数不够用时可按相同格式增加行数，其他一切内容和格式不得更改。 </w:t>
      </w:r>
    </w:p>
    <w:p w14:paraId="4C7C29B4">
      <w:pPr>
        <w:spacing w:line="400" w:lineRule="exact"/>
        <w:ind w:firstLine="477"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（4）投标文件为电子投标文件，电子投标文件按“政采云供应商项目采购-电子招投标操作指南”及本采购文件要求制作、加密传输。</w:t>
      </w:r>
    </w:p>
    <w:p w14:paraId="6DAF5916">
      <w:pPr>
        <w:spacing w:line="400" w:lineRule="exact"/>
        <w:ind w:firstLine="477"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（5）投标文件未在投标截止时间前完成传输的，视为投标文件撤回；投标文件未按时解密投标文件的，亦视为投标文件撤回。</w:t>
      </w:r>
    </w:p>
    <w:p w14:paraId="0789F0F3">
      <w:pPr>
        <w:spacing w:line="440" w:lineRule="exact"/>
        <w:ind w:firstLine="482" w:firstLineChars="2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22</w:t>
      </w:r>
      <w:r>
        <w:rPr>
          <w:rFonts w:hint="eastAsia" w:ascii="仿宋" w:hAnsi="仿宋" w:eastAsia="仿宋" w:cs="仿宋"/>
          <w:color w:val="auto"/>
          <w:szCs w:val="21"/>
          <w:highlight w:val="none"/>
          <w:lang w:eastAsia="zh-CN"/>
        </w:rPr>
        <w:t>.</w:t>
      </w:r>
      <w:r>
        <w:rPr>
          <w:rFonts w:hint="eastAsia" w:ascii="仿宋" w:hAnsi="仿宋" w:eastAsia="仿宋" w:cs="仿宋"/>
          <w:b/>
          <w:color w:val="auto"/>
          <w:szCs w:val="21"/>
          <w:highlight w:val="none"/>
          <w:lang w:eastAsia="zh-CN"/>
        </w:rPr>
        <w:t>投标报价</w:t>
      </w:r>
    </w:p>
    <w:p w14:paraId="4BF255C0">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22.1投标报价文件中的单价和总价全部采用</w:t>
      </w:r>
      <w:r>
        <w:rPr>
          <w:rFonts w:hint="eastAsia" w:ascii="仿宋" w:hAnsi="仿宋" w:eastAsia="仿宋" w:cs="仿宋"/>
          <w:b/>
          <w:bCs/>
          <w:color w:val="auto"/>
          <w:szCs w:val="21"/>
          <w:highlight w:val="none"/>
          <w:lang w:val="en-US" w:eastAsia="zh-CN"/>
        </w:rPr>
        <w:t>下浮率</w:t>
      </w:r>
      <w:r>
        <w:rPr>
          <w:rFonts w:hint="eastAsia" w:ascii="仿宋" w:hAnsi="仿宋" w:eastAsia="仿宋" w:cs="仿宋"/>
          <w:b/>
          <w:bCs/>
          <w:color w:val="auto"/>
          <w:szCs w:val="21"/>
          <w:highlight w:val="none"/>
          <w:lang w:eastAsia="zh-CN"/>
        </w:rPr>
        <w:t>。</w:t>
      </w:r>
    </w:p>
    <w:p w14:paraId="069F15FE">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22.2投标报价表上应清楚地标明供应商拟提供货物的名称、型号、生产厂家、数量、单价和总价（</w:t>
      </w:r>
      <w:r>
        <w:rPr>
          <w:rFonts w:hint="eastAsia" w:ascii="仿宋" w:hAnsi="仿宋" w:eastAsia="仿宋" w:cs="仿宋"/>
          <w:color w:val="auto"/>
          <w:szCs w:val="21"/>
          <w:highlight w:val="none"/>
          <w:lang w:val="en-US" w:eastAsia="zh-CN"/>
        </w:rPr>
        <w:t>以产品分项报价表格式为准</w:t>
      </w:r>
      <w:r>
        <w:rPr>
          <w:rFonts w:hint="eastAsia" w:ascii="仿宋" w:hAnsi="仿宋" w:eastAsia="仿宋" w:cs="仿宋"/>
          <w:color w:val="auto"/>
          <w:szCs w:val="21"/>
          <w:highlight w:val="none"/>
          <w:lang w:eastAsia="zh-CN"/>
        </w:rPr>
        <w:t>）。</w:t>
      </w:r>
    </w:p>
    <w:p w14:paraId="798D9680">
      <w:pPr>
        <w:spacing w:line="440" w:lineRule="exact"/>
        <w:ind w:firstLine="48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22.3供应商只允许有一个方案、一个报价（</w:t>
      </w:r>
      <w:r>
        <w:rPr>
          <w:rFonts w:hint="eastAsia" w:ascii="仿宋" w:hAnsi="仿宋" w:eastAsia="仿宋" w:cs="仿宋"/>
          <w:color w:val="auto"/>
          <w:szCs w:val="21"/>
          <w:highlight w:val="none"/>
          <w:lang w:val="en-US" w:eastAsia="zh-CN"/>
        </w:rPr>
        <w:t>下浮率</w:t>
      </w:r>
      <w:r>
        <w:rPr>
          <w:rFonts w:hint="eastAsia" w:ascii="仿宋" w:hAnsi="仿宋" w:eastAsia="仿宋" w:cs="仿宋"/>
          <w:color w:val="auto"/>
          <w:szCs w:val="21"/>
          <w:highlight w:val="none"/>
          <w:lang w:eastAsia="zh-CN"/>
        </w:rPr>
        <w:t>）</w:t>
      </w:r>
    </w:p>
    <w:p w14:paraId="1FD944A6">
      <w:pPr>
        <w:spacing w:line="44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22.4供应商应按“采购内容及技术参数要求”所列货物下浮</w:t>
      </w:r>
      <w:r>
        <w:rPr>
          <w:rFonts w:hint="eastAsia" w:ascii="仿宋" w:hAnsi="仿宋" w:eastAsia="仿宋" w:cs="仿宋"/>
          <w:color w:val="auto"/>
          <w:szCs w:val="21"/>
          <w:highlight w:val="none"/>
          <w:lang w:val="en-US" w:eastAsia="zh-CN"/>
        </w:rPr>
        <w:t>率</w:t>
      </w:r>
      <w:r>
        <w:rPr>
          <w:rFonts w:hint="eastAsia" w:ascii="仿宋" w:hAnsi="仿宋" w:eastAsia="仿宋" w:cs="仿宋"/>
          <w:color w:val="auto"/>
          <w:szCs w:val="21"/>
          <w:highlight w:val="none"/>
          <w:lang w:eastAsia="zh-CN"/>
        </w:rPr>
        <w:t>的方式进行报价。</w:t>
      </w:r>
    </w:p>
    <w:p w14:paraId="1AB945D5">
      <w:pPr>
        <w:spacing w:line="44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投标报价应由法定代表人或被授权人签署。</w:t>
      </w:r>
    </w:p>
    <w:p w14:paraId="2B16E8FF">
      <w:pPr>
        <w:spacing w:line="44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供应商投标总报价（</w:t>
      </w:r>
      <w:r>
        <w:rPr>
          <w:rFonts w:hint="eastAsia" w:ascii="仿宋" w:hAnsi="仿宋" w:eastAsia="仿宋" w:cs="仿宋"/>
          <w:color w:val="auto"/>
          <w:szCs w:val="21"/>
          <w:highlight w:val="none"/>
          <w:lang w:val="en-US" w:eastAsia="zh-CN"/>
        </w:rPr>
        <w:t>下浮率</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本项目没有最高或最低限价。</w:t>
      </w:r>
    </w:p>
    <w:p w14:paraId="1B260BD7">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如投标文件中未列明全面实现投标货物功能而必须配置的配套或辅助设施及相应技术措施的费用，这些费用将被视为已包含在总投标价中。</w:t>
      </w:r>
    </w:p>
    <w:p w14:paraId="6A473AD5">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22.10总投标价中不得包含采购文件要求以外的内容，否则，在评标时不予核减，但在授予合同时，招标人有权将这部分价格从其中标价格中扣除。</w:t>
      </w:r>
    </w:p>
    <w:p w14:paraId="4693E6B1">
      <w:pPr>
        <w:spacing w:line="440" w:lineRule="exact"/>
        <w:ind w:firstLine="460"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555851AF">
      <w:pPr>
        <w:spacing w:line="440" w:lineRule="exact"/>
        <w:ind w:firstLine="460"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22.12供应商不得对从第三方采购货物的随机备品、备件另行收费，否则在计算评标价时这部分费用将不予扣除，在授予合同时将从中标价格中扣除该部分费用。</w:t>
      </w:r>
    </w:p>
    <w:p w14:paraId="29381F3A">
      <w:pPr>
        <w:spacing w:line="440" w:lineRule="exact"/>
        <w:ind w:firstLine="460"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22.13供应商应根据货物的技术状况列出随机备品备件的清单和数量，并将该备品备件价格计入总投标价，若所提供的产品无需备件，则应在投标文件中说明；无论供应商在报价中列明随机备品备件的数量及价格多少，在质保期内招标人均无需为维护维修保养所需的专用工具和备品备件另行支付费用。</w:t>
      </w:r>
    </w:p>
    <w:p w14:paraId="6BB01BCF">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23. 投标有效期</w:t>
      </w:r>
    </w:p>
    <w:p w14:paraId="3F4975AF">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23.1 除供应商须知前附表另有规定外，投标有效期为</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lang w:eastAsia="zh-CN"/>
        </w:rPr>
        <w:t>0天。</w:t>
      </w:r>
    </w:p>
    <w:p w14:paraId="074CBE8D">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23.2在投标有效期内，供应商撤销或修改其投标文件的，应承担采购文件和法律规定的责任。</w:t>
      </w:r>
    </w:p>
    <w:p w14:paraId="7905454E">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78CEEE58">
      <w:pPr>
        <w:spacing w:line="440" w:lineRule="exact"/>
        <w:ind w:firstLine="463" w:firstLineChars="192"/>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24. 投标保证金</w:t>
      </w:r>
    </w:p>
    <w:p w14:paraId="2B299339">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24.1供应商须知前附表规定递交投标保证金的，供应商在递交投标文件的同时，应按供应商须知前附表规定的金额、担保形式和第六部分“投标文件格式”规定的投标保证金格式递交投标保证金，并作为其投标文件的组成部分。供应商不按要求提交投标保证金的，评标委员会将否决其投标。</w:t>
      </w:r>
    </w:p>
    <w:p w14:paraId="3C888850">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24.2自中标通知书发出之日起5个工作日内退还未中标供应商的投标保证金，自政府采购合同签订之日起5个工作日内退还中标人的投标保证金。</w:t>
      </w:r>
    </w:p>
    <w:p w14:paraId="168013DC">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24.3有下列情形之一的，投标保证金将不予退还： </w:t>
      </w:r>
    </w:p>
    <w:p w14:paraId="7BA26D97">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（1）供应商在规定的投标有效期内撤回或修改其投标文件；</w:t>
      </w:r>
    </w:p>
    <w:p w14:paraId="5BBCF422">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（2）中标通知书发出后三十天内，中标人无正当理由拒签合同协议书或未按采购文件规定提交履约担保。</w:t>
      </w:r>
    </w:p>
    <w:p w14:paraId="6993FD16">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（3）提供虚假材料谋取中标的；</w:t>
      </w:r>
    </w:p>
    <w:p w14:paraId="0A063E49">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（4）经查实属于陪标、串通投标的等。</w:t>
      </w:r>
    </w:p>
    <w:p w14:paraId="321E4CBC">
      <w:pPr>
        <w:spacing w:line="400" w:lineRule="exact"/>
        <w:ind w:firstLine="480" w:firstLineChars="200"/>
        <w:rPr>
          <w:rFonts w:ascii="仿宋" w:hAnsi="仿宋" w:eastAsia="仿宋" w:cs="仿宋"/>
          <w:color w:val="auto"/>
          <w:szCs w:val="21"/>
          <w:highlight w:val="none"/>
          <w:lang w:eastAsia="zh-CN"/>
        </w:rPr>
      </w:pPr>
      <w:bookmarkStart w:id="17" w:name="_Toc469495727"/>
      <w:r>
        <w:rPr>
          <w:rFonts w:hint="eastAsia" w:ascii="仿宋" w:hAnsi="仿宋" w:eastAsia="仿宋" w:cs="仿宋"/>
          <w:color w:val="auto"/>
          <w:szCs w:val="21"/>
          <w:highlight w:val="none"/>
          <w:lang w:eastAsia="zh-CN"/>
        </w:rPr>
        <w:t>24.4投标保证金按供应商须知前附表第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14:paraId="19224621">
      <w:pPr>
        <w:pStyle w:val="3"/>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w:t>
      </w:r>
      <w:bookmarkEnd w:id="17"/>
      <w:r>
        <w:rPr>
          <w:rFonts w:hint="eastAsia" w:ascii="仿宋" w:hAnsi="仿宋" w:eastAsia="仿宋" w:cs="仿宋"/>
          <w:color w:val="auto"/>
          <w:sz w:val="28"/>
          <w:szCs w:val="28"/>
          <w:highlight w:val="none"/>
          <w:lang w:eastAsia="zh-CN"/>
        </w:rPr>
        <w:t>投标文件的制作、上传及递交要求</w:t>
      </w:r>
    </w:p>
    <w:p w14:paraId="6A758E24">
      <w:pPr>
        <w:snapToGrid w:val="0"/>
        <w:spacing w:line="360" w:lineRule="auto"/>
        <w:ind w:firstLine="482"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25.投标文件的制作要求</w:t>
      </w:r>
    </w:p>
    <w:p w14:paraId="7E389B19">
      <w:pPr>
        <w:pStyle w:val="6"/>
        <w:snapToGrid w:val="0"/>
        <w:spacing w:line="360" w:lineRule="auto"/>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6025B480">
      <w:pPr>
        <w:pStyle w:val="6"/>
        <w:snapToGrid w:val="0"/>
        <w:spacing w:line="360" w:lineRule="auto"/>
        <w:ind w:firstLine="480" w:firstLineChars="200"/>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部分投标文件格式》未提供格式的，请供应商自行拟定格式，并加盖单位公章，否则视为未提供。</w:t>
      </w:r>
    </w:p>
    <w:p w14:paraId="7BC02164">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（2）供应商应对所提供的全部资料的真实性、有效性承担法律责任，电子投标文件中所</w:t>
      </w:r>
      <w:r>
        <w:rPr>
          <w:rFonts w:hint="eastAsia" w:ascii="仿宋" w:hAnsi="仿宋" w:eastAsia="仿宋" w:cs="仿宋"/>
          <w:bCs/>
          <w:color w:val="auto"/>
          <w:szCs w:val="24"/>
          <w:highlight w:val="none"/>
          <w:lang w:val="en-US" w:eastAsia="zh-CN"/>
        </w:rPr>
        <w:t>需</w:t>
      </w:r>
      <w:r>
        <w:rPr>
          <w:rFonts w:hint="eastAsia" w:ascii="仿宋" w:hAnsi="仿宋" w:eastAsia="仿宋" w:cs="仿宋"/>
          <w:bCs/>
          <w:color w:val="auto"/>
          <w:szCs w:val="24"/>
          <w:highlight w:val="none"/>
          <w:lang w:eastAsia="zh-CN"/>
        </w:rPr>
        <w:t>加盖公章部分均采用CA签章。</w:t>
      </w:r>
    </w:p>
    <w:p w14:paraId="3C29819B">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（3）投标文件以及供应商与采购组织机构就有关投标事宜的所有来往函电，均应以中文汉语书写。除签章、盖章、专用名称等特殊情形外，以中文汉语以外的文字表述的投标文件视同未提供。</w:t>
      </w:r>
    </w:p>
    <w:p w14:paraId="5FDA4597">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（4）投标计量单位，采购文件已有明确规定的，使用采购文件规定的计量单位；采购文件没有规定的，应采用中华人民共和国法定计量单位（货币单位：人民币元）。</w:t>
      </w:r>
    </w:p>
    <w:p w14:paraId="4F02491C">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（5）若供应商不按采购文件的要求提供资格审查材料，其风险由供应商自行承担。</w:t>
      </w:r>
    </w:p>
    <w:p w14:paraId="17C33151">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（6）与本次投标无关的内容请不要制作在内，确保投标文件有针对性、简洁明了。</w:t>
      </w:r>
    </w:p>
    <w:p w14:paraId="598EF950">
      <w:pPr>
        <w:pStyle w:val="6"/>
        <w:snapToGrid w:val="0"/>
        <w:spacing w:line="360" w:lineRule="auto"/>
        <w:ind w:firstLine="663" w:firstLineChars="275"/>
        <w:rPr>
          <w:rFonts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bidi="zh-CN"/>
        </w:rPr>
        <w:t>电子加密投标文件（“.jmbs”格式）</w:t>
      </w:r>
      <w:r>
        <w:rPr>
          <w:rFonts w:hint="eastAsia" w:ascii="仿宋" w:hAnsi="仿宋" w:eastAsia="仿宋" w:cs="仿宋"/>
          <w:b/>
          <w:bCs/>
          <w:color w:val="auto"/>
          <w:szCs w:val="24"/>
          <w:highlight w:val="none"/>
          <w:lang w:eastAsia="zh-CN"/>
        </w:rPr>
        <w:t>：</w:t>
      </w:r>
    </w:p>
    <w:p w14:paraId="256E2C85">
      <w:pPr>
        <w:pStyle w:val="6"/>
        <w:snapToGrid w:val="0"/>
        <w:spacing w:line="360" w:lineRule="auto"/>
        <w:ind w:firstLine="600"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a.</w:t>
      </w:r>
      <w:r>
        <w:rPr>
          <w:rFonts w:hint="eastAsia" w:ascii="仿宋" w:hAnsi="仿宋" w:eastAsia="仿宋" w:cs="仿宋"/>
          <w:bCs/>
          <w:color w:val="auto"/>
          <w:szCs w:val="24"/>
          <w:highlight w:val="none"/>
          <w:lang w:eastAsia="zh-CN"/>
        </w:rPr>
        <w:t xml:space="preserve"> </w:t>
      </w:r>
      <w:r>
        <w:rPr>
          <w:rFonts w:hint="eastAsia" w:ascii="仿宋" w:hAnsi="仿宋" w:eastAsia="仿宋" w:cs="仿宋"/>
          <w:bCs/>
          <w:color w:val="auto"/>
          <w:szCs w:val="24"/>
          <w:highlight w:val="none"/>
          <w:lang w:eastAsia="zh-CN" w:bidi="zh-CN"/>
        </w:rPr>
        <w:t>供应商应在投标截止时间前将电子加密投标文件成功上传递交至新疆政府采购云平台，否则投标无效；</w:t>
      </w:r>
    </w:p>
    <w:p w14:paraId="21429F2D">
      <w:pPr>
        <w:pStyle w:val="6"/>
        <w:snapToGrid w:val="0"/>
        <w:spacing w:line="360" w:lineRule="auto"/>
        <w:ind w:firstLine="600" w:firstLineChars="25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bidi="zh-CN"/>
        </w:rPr>
        <w:t>b.供应商成功上传电子加密投标文件后，可自行打印投标文件接收回执。</w:t>
      </w:r>
    </w:p>
    <w:p w14:paraId="5E3F5384">
      <w:pPr>
        <w:snapToGrid w:val="0"/>
        <w:spacing w:line="360" w:lineRule="auto"/>
        <w:ind w:firstLine="482"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27.</w:t>
      </w:r>
      <w:r>
        <w:rPr>
          <w:rFonts w:hint="eastAsia" w:ascii="仿宋" w:hAnsi="仿宋" w:eastAsia="仿宋" w:cs="仿宋"/>
          <w:b/>
          <w:color w:val="auto"/>
          <w:highlight w:val="none"/>
          <w:lang w:eastAsia="zh-CN"/>
        </w:rPr>
        <w:t>投标文件的递交要求</w:t>
      </w:r>
    </w:p>
    <w:p w14:paraId="61780236">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（1）供应商须按照采购文件和政采云平台的要求编制并加密投标文件。在投标文件递交截止时间以前完成投标文件的传输递交，截止时间后递交的投标文件，将被拒收。</w:t>
      </w:r>
    </w:p>
    <w:p w14:paraId="4C944B70">
      <w:pPr>
        <w:tabs>
          <w:tab w:val="left" w:pos="1418"/>
        </w:tabs>
        <w:autoSpaceDE w:val="0"/>
        <w:autoSpaceDN w:val="0"/>
        <w:adjustRightInd w:val="0"/>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）如有特殊情况，采购组织机构延长截止时间和开标时间，采购组织机构和供应商的权利和义务将受到新的截止时间和开标时间的约束。</w:t>
      </w:r>
    </w:p>
    <w:p w14:paraId="53A72BBE">
      <w:pPr>
        <w:snapToGrid w:val="0"/>
        <w:spacing w:line="360" w:lineRule="auto"/>
        <w:ind w:firstLine="482"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28．投标文件的补充、修改与撤回</w:t>
      </w:r>
    </w:p>
    <w:p w14:paraId="22BD5309">
      <w:pPr>
        <w:tabs>
          <w:tab w:val="left" w:pos="960"/>
          <w:tab w:val="left" w:pos="1418"/>
        </w:tabs>
        <w:autoSpaceDE w:val="0"/>
        <w:autoSpaceDN w:val="0"/>
        <w:adjustRightInd w:val="0"/>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14:paraId="03A5379A">
      <w:pPr>
        <w:tabs>
          <w:tab w:val="left" w:pos="960"/>
          <w:tab w:val="left" w:pos="1418"/>
        </w:tabs>
        <w:autoSpaceDE w:val="0"/>
        <w:autoSpaceDN w:val="0"/>
        <w:adjustRightInd w:val="0"/>
        <w:snapToGrid w:val="0"/>
        <w:spacing w:line="360" w:lineRule="auto"/>
        <w:ind w:firstLine="562" w:firstLineChars="200"/>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（五）开标、评标和定标</w:t>
      </w:r>
      <w:bookmarkEnd w:id="18"/>
    </w:p>
    <w:p w14:paraId="43EEE588">
      <w:pPr>
        <w:snapToGrid w:val="0"/>
        <w:spacing w:line="360" w:lineRule="auto"/>
        <w:ind w:firstLine="482"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29. 开标</w:t>
      </w:r>
    </w:p>
    <w:p w14:paraId="0E2BE914">
      <w:pPr>
        <w:snapToGrid w:val="0"/>
        <w:spacing w:line="360" w:lineRule="auto"/>
        <w:ind w:firstLine="482" w:firstLineChars="200"/>
        <w:rPr>
          <w:rFonts w:ascii="仿宋" w:hAnsi="仿宋" w:eastAsia="仿宋" w:cs="仿宋"/>
          <w:b/>
          <w:bCs/>
          <w:color w:val="auto"/>
          <w:highlight w:val="none"/>
          <w:lang w:eastAsia="zh-CN"/>
        </w:rPr>
      </w:pPr>
      <w:bookmarkStart w:id="19" w:name="_Toc73975822"/>
      <w:r>
        <w:rPr>
          <w:rFonts w:hint="eastAsia" w:ascii="仿宋" w:hAnsi="仿宋" w:eastAsia="仿宋" w:cs="仿宋"/>
          <w:b/>
          <w:bCs/>
          <w:color w:val="auto"/>
          <w:highlight w:val="none"/>
          <w:lang w:eastAsia="zh-CN"/>
        </w:rPr>
        <w:t>29.1开标邀请</w:t>
      </w:r>
      <w:bookmarkEnd w:id="19"/>
    </w:p>
    <w:p w14:paraId="0AD19097">
      <w:pPr>
        <w:pStyle w:val="11"/>
        <w:snapToGrid w:val="0"/>
        <w:spacing w:line="360" w:lineRule="auto"/>
        <w:ind w:firstLine="480"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（1）开标准备：本项目开标的准备工作由采购组织机构负责落实，开标过程由采购组织机构负责记录；</w:t>
      </w:r>
    </w:p>
    <w:p w14:paraId="26B631C9">
      <w:pPr>
        <w:pStyle w:val="11"/>
        <w:snapToGrid w:val="0"/>
        <w:spacing w:line="360" w:lineRule="auto"/>
        <w:ind w:firstLine="480"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（2）开标主持:本项目开标由采购人或者采购代理机构主持；</w:t>
      </w:r>
    </w:p>
    <w:p w14:paraId="73C29EDB">
      <w:pPr>
        <w:pStyle w:val="11"/>
        <w:snapToGrid w:val="0"/>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lang w:eastAsia="zh-CN"/>
        </w:rPr>
        <w:t>（3）</w:t>
      </w:r>
      <w:r>
        <w:rPr>
          <w:rFonts w:hint="eastAsia" w:ascii="仿宋" w:hAnsi="仿宋" w:eastAsia="仿宋" w:cs="仿宋"/>
          <w:color w:val="auto"/>
          <w:szCs w:val="24"/>
          <w:highlight w:val="none"/>
        </w:rPr>
        <w:t>开标邀请：本项目采用电子交易，采购组织机构将按照采购文件规定的时间通过“</w:t>
      </w:r>
      <w:r>
        <w:rPr>
          <w:rFonts w:hint="eastAsia" w:ascii="仿宋" w:hAnsi="仿宋" w:eastAsia="仿宋" w:cs="仿宋"/>
          <w:color w:val="auto"/>
          <w:szCs w:val="24"/>
          <w:highlight w:val="none"/>
          <w:lang w:eastAsia="zh-CN"/>
        </w:rPr>
        <w:t>新疆</w:t>
      </w:r>
      <w:r>
        <w:rPr>
          <w:rFonts w:hint="eastAsia" w:ascii="仿宋" w:hAnsi="仿宋" w:eastAsia="仿宋" w:cs="仿宋"/>
          <w:color w:val="auto"/>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28"/>
          <w:rFonts w:hint="eastAsia" w:ascii="仿宋" w:hAnsi="仿宋" w:eastAsia="仿宋" w:cs="仿宋"/>
          <w:color w:val="auto"/>
          <w:szCs w:val="24"/>
          <w:highlight w:val="none"/>
          <w:u w:val="none"/>
        </w:rPr>
        <w:t>www.zcygov.cn</w:t>
      </w:r>
      <w:r>
        <w:rPr>
          <w:rStyle w:val="28"/>
          <w:rFonts w:hint="eastAsia" w:ascii="仿宋" w:hAnsi="仿宋" w:eastAsia="仿宋" w:cs="仿宋"/>
          <w:color w:val="auto"/>
          <w:szCs w:val="24"/>
          <w:highlight w:val="none"/>
          <w:u w:val="none"/>
        </w:rPr>
        <w:fldChar w:fldCharType="end"/>
      </w:r>
      <w:r>
        <w:rPr>
          <w:rFonts w:hint="eastAsia" w:ascii="仿宋" w:hAnsi="仿宋" w:eastAsia="仿宋" w:cs="仿宋"/>
          <w:color w:val="auto"/>
          <w:szCs w:val="24"/>
          <w:highlight w:val="none"/>
        </w:rPr>
        <w:t>”组织开标、开启投标响应文件，所有供应商均应当准时在线参加。</w:t>
      </w:r>
    </w:p>
    <w:p w14:paraId="3467BD9E">
      <w:pPr>
        <w:pStyle w:val="11"/>
        <w:snapToGrid w:val="0"/>
        <w:spacing w:line="360" w:lineRule="auto"/>
        <w:ind w:firstLine="480" w:firstLineChars="200"/>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14847087">
      <w:pPr>
        <w:snapToGrid w:val="0"/>
        <w:spacing w:line="360" w:lineRule="auto"/>
        <w:ind w:firstLine="482" w:firstLineChars="200"/>
        <w:outlineLvl w:val="2"/>
        <w:rPr>
          <w:rFonts w:ascii="仿宋" w:hAnsi="仿宋" w:eastAsia="仿宋" w:cs="仿宋"/>
          <w:b/>
          <w:color w:val="auto"/>
          <w:highlight w:val="none"/>
          <w:lang w:eastAsia="zh-CN"/>
        </w:rPr>
      </w:pPr>
      <w:bookmarkStart w:id="20" w:name="_Toc73975823"/>
      <w:r>
        <w:rPr>
          <w:rFonts w:hint="eastAsia" w:ascii="仿宋" w:hAnsi="仿宋" w:eastAsia="仿宋" w:cs="仿宋"/>
          <w:b/>
          <w:color w:val="auto"/>
          <w:highlight w:val="none"/>
          <w:lang w:eastAsia="zh-CN"/>
        </w:rPr>
        <w:t>29.2</w:t>
      </w:r>
      <w:r>
        <w:rPr>
          <w:rFonts w:hint="eastAsia" w:ascii="仿宋" w:hAnsi="仿宋" w:eastAsia="仿宋" w:cs="仿宋"/>
          <w:b/>
          <w:bCs/>
          <w:color w:val="auto"/>
          <w:highlight w:val="none"/>
          <w:lang w:eastAsia="zh-CN"/>
        </w:rPr>
        <w:t>开标程序（先资格、商务技术后报价）</w:t>
      </w:r>
      <w:bookmarkEnd w:id="20"/>
    </w:p>
    <w:p w14:paraId="6D70CB50">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（1）开标时间到后，主持人宣布开标会议开始。</w:t>
      </w:r>
    </w:p>
    <w:p w14:paraId="4ACAF4E9">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（2）投标文件解密（</w:t>
      </w:r>
      <w:r>
        <w:rPr>
          <w:rFonts w:hint="eastAsia" w:ascii="仿宋" w:hAnsi="仿宋" w:eastAsia="仿宋" w:cs="仿宋"/>
          <w:b/>
          <w:color w:val="auto"/>
          <w:highlight w:val="none"/>
          <w:lang w:eastAsia="zh-CN"/>
        </w:rPr>
        <w:t>解密规定见《供应商须知前附表》</w:t>
      </w:r>
      <w:r>
        <w:rPr>
          <w:rFonts w:hint="eastAsia" w:ascii="仿宋" w:hAnsi="仿宋" w:eastAsia="仿宋" w:cs="仿宋"/>
          <w:color w:val="auto"/>
          <w:highlight w:val="none"/>
          <w:lang w:eastAsia="zh-CN"/>
        </w:rPr>
        <w:t>）。</w:t>
      </w:r>
    </w:p>
    <w:p w14:paraId="06414485">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（3）投标文件解密异常情况处理（</w:t>
      </w:r>
      <w:r>
        <w:rPr>
          <w:rFonts w:hint="eastAsia" w:ascii="仿宋" w:hAnsi="仿宋" w:eastAsia="仿宋" w:cs="仿宋"/>
          <w:b/>
          <w:color w:val="auto"/>
          <w:highlight w:val="none"/>
          <w:lang w:eastAsia="zh-CN"/>
        </w:rPr>
        <w:t>处理办法见《供应商须知前附表》</w:t>
      </w:r>
      <w:r>
        <w:rPr>
          <w:rFonts w:hint="eastAsia" w:ascii="仿宋" w:hAnsi="仿宋" w:eastAsia="仿宋" w:cs="仿宋"/>
          <w:color w:val="auto"/>
          <w:highlight w:val="none"/>
          <w:lang w:eastAsia="zh-CN"/>
        </w:rPr>
        <w:t>）。</w:t>
      </w:r>
    </w:p>
    <w:p w14:paraId="3B0DD23E">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（4）公布投标文件解密情况（投标文件成功解密的供应商名单等信息）。</w:t>
      </w:r>
    </w:p>
    <w:p w14:paraId="50826D89">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2BA9FA20">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（6）商务技术评审结束后，主持人公布商务技术评审无效投标供应商名单和商务技术评审有效投标供应商名单及其商务技术得分情况。商务技术评审无效的供应商，其报价不再进入评审。</w:t>
      </w:r>
    </w:p>
    <w:p w14:paraId="5F24F281">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14:paraId="633FB925">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（8）评审结束后，采购代理机构在系统上公布评审结果。</w:t>
      </w:r>
    </w:p>
    <w:p w14:paraId="343DEA4E">
      <w:pPr>
        <w:snapToGrid w:val="0"/>
        <w:spacing w:line="360" w:lineRule="auto"/>
        <w:ind w:left="48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特别情况说明：</w:t>
      </w:r>
    </w:p>
    <w:p w14:paraId="58070CE6">
      <w:pPr>
        <w:snapToGrid w:val="0"/>
        <w:spacing w:line="360" w:lineRule="auto"/>
        <w:ind w:firstLine="426"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（1）本项目采用电子交易，如遇“新疆政府采购云平台”电子化开标或评审程序调整的，按调整后程序执行。</w:t>
      </w:r>
    </w:p>
    <w:p w14:paraId="5A3BED52">
      <w:pPr>
        <w:snapToGrid w:val="0"/>
        <w:spacing w:line="360" w:lineRule="auto"/>
        <w:ind w:firstLine="426"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highlight w:val="none"/>
          <w:u w:val="single"/>
          <w:lang w:eastAsia="zh-CN"/>
        </w:rPr>
        <w:t>请供应商保证办理投标事宜人员电话畅通、网络在线，签章或盖章</w:t>
      </w:r>
      <w:r>
        <w:rPr>
          <w:rFonts w:hint="eastAsia" w:ascii="仿宋" w:hAnsi="仿宋" w:eastAsia="仿宋" w:cs="仿宋"/>
          <w:b/>
          <w:color w:val="auto"/>
          <w:highlight w:val="none"/>
          <w:u w:val="single"/>
          <w:lang w:val="en-US" w:eastAsia="zh-CN"/>
        </w:rPr>
        <w:t>进行</w:t>
      </w:r>
      <w:r>
        <w:rPr>
          <w:rFonts w:hint="eastAsia" w:ascii="仿宋" w:hAnsi="仿宋" w:eastAsia="仿宋" w:cs="仿宋"/>
          <w:b/>
          <w:color w:val="auto"/>
          <w:highlight w:val="none"/>
          <w:u w:val="single"/>
          <w:lang w:eastAsia="zh-CN"/>
        </w:rPr>
        <w:t>确认。如未及时签章或盖章确认的，视为无异议</w:t>
      </w:r>
      <w:r>
        <w:rPr>
          <w:rFonts w:hint="eastAsia" w:ascii="仿宋" w:hAnsi="仿宋" w:eastAsia="仿宋" w:cs="仿宋"/>
          <w:b/>
          <w:color w:val="auto"/>
          <w:highlight w:val="none"/>
          <w:lang w:eastAsia="zh-CN"/>
        </w:rPr>
        <w:t>。</w:t>
      </w:r>
    </w:p>
    <w:p w14:paraId="4E2A998A">
      <w:pPr>
        <w:snapToGrid w:val="0"/>
        <w:spacing w:line="360" w:lineRule="auto"/>
        <w:ind w:firstLine="482" w:firstLineChars="20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29.3 投标供应商资格审查：</w:t>
      </w:r>
    </w:p>
    <w:p w14:paraId="568DBAD0">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bCs/>
          <w:color w:val="auto"/>
          <w:highlight w:val="none"/>
          <w:lang w:eastAsia="zh-CN"/>
        </w:rPr>
        <w:t>开标（标书信息开启）后，采购人或采购代理机构或</w:t>
      </w:r>
      <w:r>
        <w:rPr>
          <w:rFonts w:hint="eastAsia" w:ascii="仿宋" w:hAnsi="仿宋" w:eastAsia="仿宋" w:cs="仿宋"/>
          <w:color w:val="auto"/>
          <w:highlight w:val="none"/>
          <w:lang w:eastAsia="zh-CN"/>
        </w:rPr>
        <w:t>评审小组</w:t>
      </w:r>
      <w:r>
        <w:rPr>
          <w:rFonts w:hint="eastAsia" w:ascii="仿宋" w:hAnsi="仿宋" w:eastAsia="仿宋" w:cs="仿宋"/>
          <w:bCs/>
          <w:color w:val="auto"/>
          <w:highlight w:val="none"/>
          <w:lang w:eastAsia="zh-CN"/>
        </w:rPr>
        <w:t>首先依法对投标供应商的资格文件进行审查，审查各投标供应商的资格符合情况。</w:t>
      </w:r>
      <w:r>
        <w:rPr>
          <w:rFonts w:hint="eastAsia" w:ascii="仿宋" w:hAnsi="仿宋" w:eastAsia="仿宋" w:cs="仿宋"/>
          <w:color w:val="auto"/>
          <w:highlight w:val="none"/>
          <w:lang w:eastAsia="zh-CN"/>
        </w:rPr>
        <w:t>采购人或采购代理机构</w:t>
      </w:r>
      <w:r>
        <w:rPr>
          <w:rFonts w:hint="eastAsia" w:ascii="仿宋" w:hAnsi="仿宋" w:eastAsia="仿宋" w:cs="仿宋"/>
          <w:bCs/>
          <w:color w:val="auto"/>
          <w:highlight w:val="none"/>
          <w:lang w:eastAsia="zh-CN"/>
        </w:rPr>
        <w:t>或</w:t>
      </w:r>
      <w:r>
        <w:rPr>
          <w:rFonts w:hint="eastAsia" w:ascii="仿宋" w:hAnsi="仿宋" w:eastAsia="仿宋" w:cs="仿宋"/>
          <w:color w:val="auto"/>
          <w:highlight w:val="none"/>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3A50909B">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234438A5">
      <w:pPr>
        <w:pStyle w:val="6"/>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（3）供应商信用记录查询与使用：见《供应商须知前附表》。</w:t>
      </w:r>
    </w:p>
    <w:p w14:paraId="603EBFD0">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30.评审工作的组织</w:t>
      </w:r>
    </w:p>
    <w:p w14:paraId="3E08158D">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采购人或采购代理机构负责组织本项目的评审工作，并依据《政府采购货物和服务招标投标管理办法（财政部第87号令）》第四十五条的相关规定履行职责。</w:t>
      </w:r>
    </w:p>
    <w:p w14:paraId="1992AE10">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 评标委员会的组建</w:t>
      </w:r>
    </w:p>
    <w:p w14:paraId="2B8A83AE">
      <w:pPr>
        <w:widowControl/>
        <w:spacing w:line="440" w:lineRule="exact"/>
        <w:ind w:firstLine="240" w:firstLineChars="1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31.1评标委员会由采购人代表和评审专家组成，成员人数应当为</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人</w:t>
      </w:r>
      <w:r>
        <w:rPr>
          <w:rFonts w:hint="eastAsia" w:ascii="仿宋" w:hAnsi="仿宋" w:eastAsia="仿宋" w:cs="仿宋"/>
          <w:color w:val="auto"/>
          <w:szCs w:val="21"/>
          <w:highlight w:val="none"/>
          <w:lang w:val="en-US" w:eastAsia="zh-CN"/>
        </w:rPr>
        <w:t>及</w:t>
      </w:r>
      <w:r>
        <w:rPr>
          <w:rFonts w:hint="eastAsia" w:ascii="仿宋" w:hAnsi="仿宋" w:eastAsia="仿宋" w:cs="仿宋"/>
          <w:color w:val="auto"/>
          <w:szCs w:val="21"/>
          <w:highlight w:val="none"/>
          <w:lang w:eastAsia="zh-CN"/>
        </w:rPr>
        <w:t>以上单数，其中评审专家不得少于成员总数的三分之二。</w:t>
      </w:r>
    </w:p>
    <w:p w14:paraId="7CBE6419">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31.2评审专家从新疆政府采购云平台专家库中通过随机方式抽取</w:t>
      </w:r>
      <w:r>
        <w:rPr>
          <w:rFonts w:hint="eastAsia" w:ascii="仿宋" w:hAnsi="仿宋" w:eastAsia="仿宋" w:cs="仿宋"/>
          <w:color w:val="auto"/>
          <w:szCs w:val="21"/>
          <w:highlight w:val="none"/>
          <w:lang w:val="en-US" w:eastAsia="zh-CN"/>
        </w:rPr>
        <w:t>本项目相关专业7名社会专家</w:t>
      </w:r>
      <w:r>
        <w:rPr>
          <w:rFonts w:hint="eastAsia" w:ascii="仿宋" w:hAnsi="仿宋" w:eastAsia="仿宋" w:cs="仿宋"/>
          <w:color w:val="auto"/>
          <w:szCs w:val="21"/>
          <w:highlight w:val="none"/>
          <w:lang w:eastAsia="zh-CN"/>
        </w:rPr>
        <w:t>，评标委员会成员名单在采购结果公告前保密。</w:t>
      </w:r>
    </w:p>
    <w:p w14:paraId="39A836B9">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32.评标委员会的职责</w:t>
      </w:r>
    </w:p>
    <w:p w14:paraId="6BE4DED1">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32.1审查、评价投标文件是否符合采购文件的商务、技术等实质性要求。</w:t>
      </w:r>
    </w:p>
    <w:p w14:paraId="5BB7457A">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32.2要求供应商对投标文件有关事项作出澄清或者说明。</w:t>
      </w:r>
    </w:p>
    <w:p w14:paraId="173F9F0C">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32.3对投标文件进行比较和评价。</w:t>
      </w:r>
    </w:p>
    <w:p w14:paraId="0DA0FBB7">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32.4确定中标候选人名单，以及根据采购人委托直接确定中标人。</w:t>
      </w:r>
    </w:p>
    <w:p w14:paraId="5CD672F1">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32.5向采购人、采购代理机构或者有关部门报告评审中发现的违法行为。</w:t>
      </w:r>
    </w:p>
    <w:p w14:paraId="440106D4">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 评标原则</w:t>
      </w:r>
    </w:p>
    <w:p w14:paraId="17D832E1">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33.1评标委员会将遵循公平、公正、科学的原则，对供应商提交的投标文件进行综合评审，评标委员会按照采购文件规定的评标细则进行评分。</w:t>
      </w:r>
    </w:p>
    <w:p w14:paraId="3DEC49EB">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33.2客观公正对待所有供应商，对所有投标评价均采用相同的程序和标准。 </w:t>
      </w:r>
    </w:p>
    <w:p w14:paraId="16AC895A">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33.3评标委员会成员对需要共同认定的事项存在争议的，按照少数服从多数的原则作出结论。持不同意见的评标委员会成员应当在评审报告上签署不同意见及理由，否则视为同意评审报告。</w:t>
      </w:r>
    </w:p>
    <w:p w14:paraId="3971266B">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7327C8DB">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非单一产品采购项目，采购人应当根据采购项目技术构成、产品价格比重等合理确定核心产品，并在采购文件中载明。多家供应商提供的核心产品品牌相同的，按前款规定处理。      </w:t>
      </w:r>
    </w:p>
    <w:p w14:paraId="6320F42B">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34. 评委纪律</w:t>
      </w:r>
    </w:p>
    <w:p w14:paraId="53735047">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1FCF7C09">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35.评标程序</w:t>
      </w:r>
    </w:p>
    <w:p w14:paraId="3AA2080E">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35.1 在评审专家中推选评标委员会组长，采购人代表不得担任评标委员会组长。</w:t>
      </w:r>
    </w:p>
    <w:p w14:paraId="17370D80">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389ED6D5">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35.3 评审人员对符合资格的供应商的投标文件的有效性、符合性、完整性和响应程度进行审查，确定是否对采购文件作出实质性响应。</w:t>
      </w:r>
    </w:p>
    <w:p w14:paraId="1972D303">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35.4 评审人</w:t>
      </w:r>
      <w:bookmarkStart w:id="21" w:name="OLE_LINK1"/>
      <w:r>
        <w:rPr>
          <w:rFonts w:hint="eastAsia" w:ascii="仿宋" w:hAnsi="仿宋" w:eastAsia="仿宋" w:cs="仿宋"/>
          <w:color w:val="auto"/>
          <w:szCs w:val="21"/>
          <w:highlight w:val="none"/>
          <w:lang w:eastAsia="zh-CN"/>
        </w:rPr>
        <w:t>员按采购文件规定的评审方法和评审标准，依法独立对供应商投标文件进行评估、比较，并</w:t>
      </w:r>
      <w:bookmarkEnd w:id="21"/>
      <w:r>
        <w:rPr>
          <w:rFonts w:hint="eastAsia" w:ascii="仿宋" w:hAnsi="仿宋" w:eastAsia="仿宋" w:cs="仿宋"/>
          <w:color w:val="auto"/>
          <w:szCs w:val="21"/>
          <w:highlight w:val="none"/>
          <w:lang w:eastAsia="zh-CN"/>
        </w:rPr>
        <w:t>给予评价或打分，不受任何单位和个人的干预。</w:t>
      </w:r>
    </w:p>
    <w:p w14:paraId="51C03019">
      <w:pPr>
        <w:widowControl/>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综合评分法货物项目的价格分值占总分值的比重(即权值)为</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lang w:eastAsia="zh-CN"/>
        </w:rPr>
        <w:t>％，采购项目中含不同采购对象的，以占项目资金比例最高的采购对象确定其项目属性。其价格不列为评分因素，有特殊情况需要在上述规定范围外设定价格分权重的。</w:t>
      </w:r>
    </w:p>
    <w:p w14:paraId="19BF8785">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综合评分法中的价格分统一采用低价优先法计算，即满足招标文件要求且最后报价</w:t>
      </w:r>
      <w:r>
        <w:rPr>
          <w:rFonts w:hint="eastAsia" w:ascii="仿宋" w:hAnsi="仿宋" w:eastAsia="仿宋" w:cs="仿宋"/>
          <w:color w:val="auto"/>
          <w:szCs w:val="21"/>
          <w:highlight w:val="none"/>
          <w:lang w:val="en-US" w:eastAsia="zh-CN"/>
        </w:rPr>
        <w:t>优惠最多的</w:t>
      </w:r>
      <w:r>
        <w:rPr>
          <w:rFonts w:hint="eastAsia" w:ascii="仿宋" w:hAnsi="仿宋" w:eastAsia="仿宋" w:cs="仿宋"/>
          <w:color w:val="auto"/>
          <w:szCs w:val="21"/>
          <w:highlight w:val="none"/>
          <w:lang w:eastAsia="zh-CN"/>
        </w:rPr>
        <w:t>供应商的价格为招标基准价，其价格分为满分。</w:t>
      </w:r>
    </w:p>
    <w:p w14:paraId="3DFA4333">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项目评审过程中，不得去掉最后报价中的最高报价和最低报价。</w:t>
      </w:r>
    </w:p>
    <w:p w14:paraId="78E4BE70">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107F64D0">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%以上的）情形的，应由相关人员当场改正或作出书面说明；拒不改正又不作书面说明的，由现场监督员如实记载后存入项目档案资料。</w:t>
      </w:r>
    </w:p>
    <w:p w14:paraId="379CA5A5">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35.7 评标委员会根据评审汇总情况和采购文件规定确定中标候选供应商排序名单。</w:t>
      </w:r>
    </w:p>
    <w:p w14:paraId="0E53D549">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35.8 起草评审报告，所有评审人员须在评审报告上签章确认，对自己的评审意见承担法律责任。 </w:t>
      </w:r>
    </w:p>
    <w:p w14:paraId="52F130F5">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35.9 采购组织机构对评标委员会评审专家进行评价。</w:t>
      </w:r>
    </w:p>
    <w:p w14:paraId="56FDC02B">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35.10 修改评审结果</w:t>
      </w:r>
    </w:p>
    <w:p w14:paraId="0023563B">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评标结果汇总完成后，除下列情形外，任何人不得修改评标结果：</w:t>
      </w:r>
    </w:p>
    <w:p w14:paraId="6DC76AA4">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（1）分值汇总计算错误的；</w:t>
      </w:r>
    </w:p>
    <w:p w14:paraId="69282BBA">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（2）分项评分超出评分标准范围的；</w:t>
      </w:r>
    </w:p>
    <w:p w14:paraId="087E2D48">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（3）评标委员会成员对客观评审因素评分不一致的；</w:t>
      </w:r>
    </w:p>
    <w:p w14:paraId="7F88A4E3">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（4）经评标委员会认定评分畸高、畸低的。</w:t>
      </w:r>
    </w:p>
    <w:p w14:paraId="2AB8297A">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F1B5EEF">
      <w:pPr>
        <w:spacing w:line="440" w:lineRule="exact"/>
        <w:ind w:firstLine="241" w:firstLineChars="100"/>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36．澄清、说明或补正的形式</w:t>
      </w:r>
    </w:p>
    <w:p w14:paraId="502DC0BC">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eastAsia="zh-CN"/>
        </w:rPr>
        <w:t>投标供应商澄清、说明或补正时间为</w:t>
      </w:r>
      <w:r>
        <w:rPr>
          <w:rFonts w:hint="eastAsia" w:ascii="仿宋" w:hAnsi="仿宋" w:eastAsia="仿宋" w:cs="仿宋"/>
          <w:b/>
          <w:bCs/>
          <w:color w:val="auto"/>
          <w:szCs w:val="21"/>
          <w:highlight w:val="none"/>
          <w:lang w:val="en-US" w:eastAsia="zh-CN"/>
        </w:rPr>
        <w:t>3</w:t>
      </w:r>
      <w:r>
        <w:rPr>
          <w:rFonts w:hint="eastAsia" w:ascii="仿宋" w:hAnsi="仿宋" w:eastAsia="仿宋" w:cs="仿宋"/>
          <w:b/>
          <w:bCs/>
          <w:color w:val="auto"/>
          <w:szCs w:val="21"/>
          <w:highlight w:val="none"/>
          <w:lang w:eastAsia="zh-CN"/>
        </w:rPr>
        <w:t>0分钟</w:t>
      </w:r>
      <w:r>
        <w:rPr>
          <w:rFonts w:hint="eastAsia" w:ascii="仿宋" w:hAnsi="仿宋" w:eastAsia="仿宋" w:cs="仿宋"/>
          <w:color w:val="auto"/>
          <w:szCs w:val="21"/>
          <w:highlight w:val="none"/>
          <w:lang w:eastAsia="zh-CN"/>
        </w:rPr>
        <w:t>。</w:t>
      </w:r>
    </w:p>
    <w:p w14:paraId="0112C4D3">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34725A44">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1CD31815">
      <w:pPr>
        <w:spacing w:line="440" w:lineRule="exact"/>
        <w:ind w:firstLine="241" w:firstLineChars="100"/>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37．错误修正的原则</w:t>
      </w:r>
    </w:p>
    <w:p w14:paraId="2369346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电子交易平台客户端里开标一览表录入的投标报价或下浮率与扫描上传的报价文件信息不一致的，以扫描上传的报价文件信息为准进行修正。</w:t>
      </w:r>
    </w:p>
    <w:p w14:paraId="225531DA">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w:t>
      </w:r>
      <w:r>
        <w:rPr>
          <w:rFonts w:hint="eastAsia" w:ascii="仿宋" w:hAnsi="仿宋" w:eastAsia="仿宋" w:cs="仿宋"/>
          <w:color w:val="auto"/>
          <w:szCs w:val="21"/>
          <w:highlight w:val="none"/>
          <w:lang w:val="en-US" w:eastAsia="zh-CN"/>
        </w:rPr>
        <w:t>下浮率</w:t>
      </w:r>
      <w:r>
        <w:rPr>
          <w:rFonts w:hint="eastAsia" w:ascii="仿宋" w:hAnsi="仿宋" w:eastAsia="仿宋" w:cs="仿宋"/>
          <w:color w:val="auto"/>
          <w:szCs w:val="21"/>
          <w:highlight w:val="none"/>
          <w:lang w:eastAsia="zh-CN"/>
        </w:rPr>
        <w:t>）出现前后不一致的，除采购文件另有规定外，按照下列规定修正：</w:t>
      </w:r>
    </w:p>
    <w:p w14:paraId="5DECA213">
      <w:pPr>
        <w:spacing w:line="440" w:lineRule="exact"/>
        <w:ind w:firstLine="240" w:firstLineChars="1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37.1 投标函中表述的内容与</w:t>
      </w:r>
      <w:r>
        <w:rPr>
          <w:rFonts w:hint="eastAsia" w:ascii="仿宋" w:hAnsi="仿宋" w:eastAsia="仿宋" w:cs="仿宋"/>
          <w:color w:val="auto"/>
          <w:szCs w:val="21"/>
          <w:highlight w:val="none"/>
          <w:lang w:val="en-US" w:eastAsia="zh-CN"/>
        </w:rPr>
        <w:t>开标一览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下浮率</w:t>
      </w:r>
      <w:r>
        <w:rPr>
          <w:rFonts w:hint="eastAsia" w:ascii="仿宋" w:hAnsi="仿宋" w:eastAsia="仿宋" w:cs="仿宋"/>
          <w:color w:val="auto"/>
          <w:szCs w:val="21"/>
          <w:highlight w:val="none"/>
          <w:lang w:eastAsia="zh-CN"/>
        </w:rPr>
        <w:t>）中不一致的，以</w:t>
      </w:r>
      <w:r>
        <w:rPr>
          <w:rFonts w:hint="eastAsia" w:ascii="仿宋" w:hAnsi="仿宋" w:eastAsia="仿宋" w:cs="仿宋"/>
          <w:color w:val="auto"/>
          <w:szCs w:val="21"/>
          <w:highlight w:val="none"/>
          <w:lang w:val="en-US" w:eastAsia="zh-CN"/>
        </w:rPr>
        <w:t>上传投标文件开标一览</w:t>
      </w:r>
      <w:r>
        <w:rPr>
          <w:rFonts w:hint="eastAsia" w:ascii="仿宋" w:hAnsi="仿宋" w:eastAsia="仿宋" w:cs="仿宋"/>
          <w:color w:val="auto"/>
          <w:szCs w:val="21"/>
          <w:highlight w:val="none"/>
          <w:lang w:eastAsia="zh-CN"/>
        </w:rPr>
        <w:t>表为准；</w:t>
      </w:r>
    </w:p>
    <w:p w14:paraId="7E7CA065">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37.</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 xml:space="preserve"> 对不同文字文本投标文件的解释发生异议的，以中文文本为准；</w:t>
      </w:r>
    </w:p>
    <w:p w14:paraId="6135518A">
      <w:pPr>
        <w:spacing w:line="440" w:lineRule="exact"/>
        <w:ind w:firstLine="240"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highlight w:val="none"/>
          <w:lang w:eastAsia="zh-CN"/>
        </w:rPr>
        <w:t>修正应当采用电子询标的形式，并加盖公章（电子印章）。</w:t>
      </w:r>
    </w:p>
    <w:p w14:paraId="59BF7679">
      <w:pPr>
        <w:spacing w:line="440" w:lineRule="exact"/>
        <w:ind w:firstLine="241" w:firstLineChars="100"/>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38．无效投标文件</w:t>
      </w:r>
    </w:p>
    <w:p w14:paraId="526FD5D6">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有下列情形之一的，投标文件按无效标处理：</w:t>
      </w:r>
    </w:p>
    <w:p w14:paraId="105EDD2F">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 报名的供应商与参加投标的供应商发生实质性变更的且未提供有效证明的；</w:t>
      </w:r>
    </w:p>
    <w:p w14:paraId="3EF0C58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38.2 供应商提交两份或两份以上内容不同的投标文件，未声明哪一份有效的；</w:t>
      </w:r>
    </w:p>
    <w:p w14:paraId="381A9683">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38.3 投标文件非供应商法定代表人签署的，未提供或提供无效的法定代表人授权书；</w:t>
      </w:r>
    </w:p>
    <w:p w14:paraId="31501E2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38.4 未按招标文件规定装订；</w:t>
      </w:r>
    </w:p>
    <w:p w14:paraId="660D2CD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38.5 投标文件内容未按招标文件规定签章或盖章的；</w:t>
      </w:r>
    </w:p>
    <w:p w14:paraId="0A4B48F1">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38.6 投标文件组成漏项或未按规定的格式编制或投标文件正、副本份数不足或内容不全或内容字迹模糊辨认不清的等而导致评标活动无法正常进行；</w:t>
      </w:r>
    </w:p>
    <w:p w14:paraId="557D8F98">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38.7 供应商未按招标文件变更通知更改投标文件的；</w:t>
      </w:r>
    </w:p>
    <w:p w14:paraId="69255085">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38.8 《开标一览表》和《投标分项报价表》内容不完整且不接受修正意见或字迹不能辨认的或未提供；</w:t>
      </w:r>
    </w:p>
    <w:p w14:paraId="5AEBF670">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38.9 标项投标报价超过招标文件规定的预算金额或</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lang w:eastAsia="zh-CN"/>
        </w:rPr>
        <w:t>限价</w:t>
      </w:r>
    </w:p>
    <w:p w14:paraId="17EDE422">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38.10 因供应商原因编制错误造成经评标委员会修正后的报价达到或超过投标报价的0.5%；</w:t>
      </w:r>
    </w:p>
    <w:p w14:paraId="187BD77C">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38.11 供应商的报价明显低于其他通过符合性审查供应商的报价，有可能影响产品质量或者不能诚信履约的，且在规定时间内不能合理说明原因并提供证明材料的；</w:t>
      </w:r>
    </w:p>
    <w:p w14:paraId="79B30FB2">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38.12 未实质性响应招标文件中条款要求的投标文件；</w:t>
      </w:r>
    </w:p>
    <w:p w14:paraId="10D9F23A">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38.13 不符合招标范围、技术规格、技术标准的要求无法满足采购人使用要求；</w:t>
      </w:r>
    </w:p>
    <w:p w14:paraId="266A6687">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38.14 投标文件附有采购人不能接受的条款；</w:t>
      </w:r>
    </w:p>
    <w:p w14:paraId="4D7D6173">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38.15 投标文件中提供了赠品或者与本项目采购无关的其他商品、服务；</w:t>
      </w:r>
    </w:p>
    <w:p w14:paraId="635DDD75">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38.16 投标文件中承诺的投标有效期少于招标文件中载明的投标有效期；</w:t>
      </w:r>
    </w:p>
    <w:p w14:paraId="57B52080">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38.17供应商串通投标，妨碍其他供应商的竞争行为，损害采购人或者其他供应商的合法权益；</w:t>
      </w:r>
    </w:p>
    <w:p w14:paraId="59370251">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38.18违反国家及政府部门相关法律、法规、文件规定或经评标委员会认定的其他属于重大偏离；</w:t>
      </w:r>
    </w:p>
    <w:p w14:paraId="2C83D512">
      <w:pPr>
        <w:spacing w:line="440" w:lineRule="exact"/>
        <w:ind w:firstLine="241" w:firstLineChars="100"/>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39．废标</w:t>
      </w:r>
    </w:p>
    <w:p w14:paraId="71D09E91">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39.1 符合招标文件规定废标情形的；</w:t>
      </w:r>
    </w:p>
    <w:p w14:paraId="72BB0970">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39.2 出现影响采购公正的违法、违规行为的；</w:t>
      </w:r>
    </w:p>
    <w:p w14:paraId="6E8B6F27">
      <w:pPr>
        <w:spacing w:line="440" w:lineRule="exact"/>
        <w:ind w:firstLine="240" w:firstLineChars="1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39.3 供应商的报价均超过了采购预算（</w:t>
      </w:r>
      <w:r>
        <w:rPr>
          <w:rFonts w:hint="eastAsia" w:ascii="仿宋" w:hAnsi="仿宋" w:eastAsia="仿宋" w:cs="仿宋"/>
          <w:color w:val="auto"/>
          <w:szCs w:val="21"/>
          <w:highlight w:val="none"/>
          <w:lang w:val="en-US" w:eastAsia="zh-CN"/>
        </w:rPr>
        <w:t>本项目不设置最高最低限价</w:t>
      </w:r>
      <w:r>
        <w:rPr>
          <w:rFonts w:hint="eastAsia" w:ascii="仿宋" w:hAnsi="仿宋" w:eastAsia="仿宋" w:cs="仿宋"/>
          <w:color w:val="auto"/>
          <w:szCs w:val="21"/>
          <w:highlight w:val="none"/>
          <w:lang w:eastAsia="zh-CN"/>
        </w:rPr>
        <w:t>），采购人不能支付的;</w:t>
      </w:r>
    </w:p>
    <w:p w14:paraId="7B2F25E9">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39.4 因重大变故，采购任务取消的。</w:t>
      </w:r>
    </w:p>
    <w:p w14:paraId="49DFDC6C">
      <w:pPr>
        <w:spacing w:line="440" w:lineRule="exact"/>
        <w:ind w:firstLine="241" w:firstLineChars="100"/>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40．突发情况处理</w:t>
      </w:r>
    </w:p>
    <w:p w14:paraId="21E6B1E3">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40.1 采购过程中出现以下情形，导致电子交易平台无法正常运行，或者无法保证电子交易的公平、公正和安全时，采购组织机构可中止电子交易活动：</w:t>
      </w:r>
    </w:p>
    <w:p w14:paraId="5AC1F65E">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（1）电子交易平台发生故障而无法登录访问的； </w:t>
      </w:r>
    </w:p>
    <w:p w14:paraId="0C66EB02">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（2）电子交易平台应用或数据库出现错误，不能进行正常操作的；</w:t>
      </w:r>
    </w:p>
    <w:p w14:paraId="2926E323">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（3）电子交易平台发现严重安全漏洞，有潜在泄密危险的；</w:t>
      </w:r>
    </w:p>
    <w:p w14:paraId="4973F4F4">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（4）病毒发作导致不能进行正常操作的； </w:t>
      </w:r>
    </w:p>
    <w:p w14:paraId="07FD7BDF">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（5）其他无法保证电子交易的公平、公正和安全的情况。</w:t>
      </w:r>
    </w:p>
    <w:p w14:paraId="1027977E">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2D60BF71">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40.2 采购代理机构或评审小组因不可抗力（不可抗力包括但不限于自然灾害、断电、传播疫病等）原因造成电子交易活动无法正常运行的，将采取以下措施：</w:t>
      </w:r>
    </w:p>
    <w:p w14:paraId="71476E17">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（1）短时间内能消除不可抗力因素的，采购代理机构或评审小组在消除不可抗力因素后继续组织电子交易活动； </w:t>
      </w:r>
    </w:p>
    <w:p w14:paraId="7185DE1D">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（2）长时间内无法消除不可抗力因素的，采购代理机构或评审小组将中止电子交易活动。中止电子交易活动的，采购人应当重新组织政府采购活动。</w:t>
      </w:r>
    </w:p>
    <w:p w14:paraId="0EC84DE3">
      <w:pPr>
        <w:snapToGrid w:val="0"/>
        <w:spacing w:line="360" w:lineRule="exact"/>
        <w:ind w:firstLine="421"/>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41. 定标</w:t>
      </w:r>
    </w:p>
    <w:p w14:paraId="4FF6CA9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w:t>
      </w:r>
      <w:bookmarkStart w:id="22" w:name="_Toc469495729"/>
      <w:r>
        <w:rPr>
          <w:rFonts w:hint="eastAsia" w:ascii="仿宋" w:hAnsi="仿宋" w:eastAsia="仿宋" w:cs="仿宋"/>
          <w:color w:val="auto"/>
          <w:szCs w:val="21"/>
          <w:highlight w:val="none"/>
          <w:lang w:eastAsia="zh-CN"/>
        </w:rPr>
        <w:t>41.1采购结果确认（确定中标供应商）</w:t>
      </w:r>
    </w:p>
    <w:p w14:paraId="0EA654A1">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采购结果确认（确定中标供应商）：本项目由采购人根据评标委员会提交的《评审报告》，通过“政府采购云平台”依法确认采购结果、确定中标供应商。具体流程如下：</w:t>
      </w:r>
    </w:p>
    <w:p w14:paraId="07B214A7">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（1）采购代理机构将在评审结束后2个工作日内将评审报告送采购人。</w:t>
      </w:r>
    </w:p>
    <w:p w14:paraId="007D2CA1">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（2）采购人将在收到评审报告之日起5个工作日内，在评审报告推荐的中标候选供应商名单中按顺序确定中标供应商，并将确认意见以书面形式回复采购代理机构。 </w:t>
      </w:r>
    </w:p>
    <w:p w14:paraId="6CAD0579">
      <w:pPr>
        <w:spacing w:line="440" w:lineRule="exact"/>
        <w:ind w:firstLine="240"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41.2采购结果经采购人确认后2个工作日内，采购代理机构将在</w:t>
      </w:r>
      <w:r>
        <w:rPr>
          <w:rFonts w:hint="eastAsia" w:ascii="仿宋" w:hAnsi="仿宋" w:eastAsia="仿宋" w:cs="仿宋"/>
          <w:b/>
          <w:bCs/>
          <w:color w:val="auto"/>
          <w:szCs w:val="21"/>
          <w:highlight w:val="none"/>
          <w:lang w:eastAsia="zh-CN"/>
        </w:rPr>
        <w:t>新疆政府采购网（www.zjzfcg.gov.cn）上公告采购结果，中标公告期限为1个工作日。</w:t>
      </w:r>
    </w:p>
    <w:p w14:paraId="57F95EDC">
      <w:pPr>
        <w:spacing w:line="440" w:lineRule="exact"/>
        <w:ind w:firstLine="241" w:firstLineChars="100"/>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42. 中标通知书</w:t>
      </w:r>
    </w:p>
    <w:p w14:paraId="65E02F09">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42.1在中标通知书发出前，招标人将中标侯选人的情况在新疆政府采购网予以公示</w:t>
      </w:r>
      <w:r>
        <w:rPr>
          <w:rFonts w:hint="eastAsia" w:ascii="仿宋" w:hAnsi="仿宋" w:eastAsia="仿宋" w:cs="仿宋"/>
          <w:color w:val="auto"/>
          <w:szCs w:val="21"/>
          <w:highlight w:val="none"/>
          <w:shd w:val="clear" w:color="auto" w:fill="auto"/>
          <w:lang w:eastAsia="zh-CN"/>
        </w:rPr>
        <w:t>，</w:t>
      </w:r>
      <w:r>
        <w:rPr>
          <w:rFonts w:hint="eastAsia" w:ascii="仿宋" w:hAnsi="仿宋" w:eastAsia="仿宋" w:cs="仿宋"/>
          <w:b/>
          <w:bCs/>
          <w:color w:val="auto"/>
          <w:szCs w:val="21"/>
          <w:highlight w:val="none"/>
          <w:shd w:val="clear" w:color="auto" w:fill="auto"/>
          <w:lang w:eastAsia="zh-CN"/>
        </w:rPr>
        <w:t>公示期为一个工作日，</w:t>
      </w:r>
      <w:r>
        <w:rPr>
          <w:rFonts w:hint="eastAsia" w:ascii="仿宋" w:hAnsi="仿宋" w:eastAsia="仿宋" w:cs="仿宋"/>
          <w:color w:val="auto"/>
          <w:szCs w:val="21"/>
          <w:highlight w:val="none"/>
          <w:lang w:eastAsia="zh-CN"/>
        </w:rPr>
        <w:t>采购组织机构向中标人发出中标通知书。</w:t>
      </w:r>
    </w:p>
    <w:p w14:paraId="7CA3035E">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2D79E141">
      <w:pPr>
        <w:spacing w:beforeLines="50" w:line="440" w:lineRule="exact"/>
        <w:jc w:val="center"/>
        <w:outlineLvl w:val="2"/>
        <w:rPr>
          <w:rFonts w:ascii="仿宋" w:hAnsi="仿宋" w:eastAsia="仿宋" w:cs="仿宋"/>
          <w:b/>
          <w:bCs/>
          <w:color w:val="auto"/>
          <w:highlight w:val="none"/>
          <w:lang w:eastAsia="zh-CN"/>
        </w:rPr>
      </w:pPr>
      <w:r>
        <w:rPr>
          <w:rFonts w:hint="eastAsia" w:ascii="仿宋" w:hAnsi="仿宋" w:eastAsia="仿宋" w:cs="仿宋"/>
          <w:b/>
          <w:bCs/>
          <w:color w:val="auto"/>
          <w:sz w:val="28"/>
          <w:szCs w:val="28"/>
          <w:highlight w:val="none"/>
          <w:lang w:eastAsia="zh-CN"/>
        </w:rPr>
        <w:t>（六）合同的授予</w:t>
      </w:r>
      <w:bookmarkEnd w:id="22"/>
    </w:p>
    <w:p w14:paraId="55143559">
      <w:pPr>
        <w:spacing w:line="440" w:lineRule="exact"/>
        <w:ind w:firstLine="240" w:firstLineChars="100"/>
        <w:rPr>
          <w:rFonts w:hint="eastAsia" w:ascii="仿宋" w:hAnsi="仿宋" w:eastAsia="仿宋" w:cs="仿宋"/>
          <w:color w:val="auto"/>
          <w:szCs w:val="21"/>
          <w:highlight w:val="none"/>
          <w:lang w:eastAsia="zh-CN"/>
        </w:rPr>
      </w:pPr>
      <w:bookmarkStart w:id="23" w:name="_Toc73975842"/>
      <w:bookmarkStart w:id="24" w:name="_Toc469495730"/>
      <w:r>
        <w:rPr>
          <w:rFonts w:hint="eastAsia" w:ascii="仿宋" w:hAnsi="仿宋" w:eastAsia="仿宋" w:cs="仿宋"/>
          <w:color w:val="auto"/>
          <w:szCs w:val="21"/>
          <w:highlight w:val="none"/>
          <w:lang w:eastAsia="zh-CN"/>
        </w:rPr>
        <w:t>43．履约保证金</w:t>
      </w:r>
      <w:bookmarkEnd w:id="23"/>
    </w:p>
    <w:p w14:paraId="2D623E0D">
      <w:pPr>
        <w:spacing w:line="440" w:lineRule="exact"/>
        <w:ind w:firstLine="240" w:firstLineChars="1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43.1 中标供应商在</w:t>
      </w:r>
      <w:r>
        <w:rPr>
          <w:rFonts w:hint="eastAsia" w:ascii="仿宋" w:hAnsi="仿宋" w:eastAsia="仿宋" w:cs="仿宋"/>
          <w:color w:val="auto"/>
          <w:szCs w:val="21"/>
          <w:highlight w:val="none"/>
          <w:lang w:val="en-US" w:eastAsia="zh-CN"/>
        </w:rPr>
        <w:t>领取《中标通知书》</w:t>
      </w:r>
      <w:r>
        <w:rPr>
          <w:rFonts w:hint="eastAsia" w:ascii="仿宋" w:hAnsi="仿宋" w:eastAsia="仿宋" w:cs="仿宋"/>
          <w:color w:val="auto"/>
          <w:szCs w:val="21"/>
          <w:highlight w:val="none"/>
          <w:lang w:eastAsia="zh-CN"/>
        </w:rPr>
        <w:t>后</w:t>
      </w:r>
      <w:r>
        <w:rPr>
          <w:rFonts w:hint="eastAsia" w:ascii="仿宋" w:hAnsi="仿宋" w:eastAsia="仿宋" w:cs="仿宋"/>
          <w:color w:val="auto"/>
          <w:szCs w:val="21"/>
          <w:highlight w:val="none"/>
          <w:lang w:val="en-US" w:eastAsia="zh-CN"/>
        </w:rPr>
        <w:t>签订合同前，完成</w:t>
      </w:r>
      <w:r>
        <w:rPr>
          <w:rFonts w:hint="eastAsia" w:ascii="仿宋" w:hAnsi="仿宋" w:eastAsia="仿宋" w:cs="仿宋"/>
          <w:color w:val="auto"/>
          <w:szCs w:val="21"/>
          <w:highlight w:val="none"/>
          <w:lang w:eastAsia="zh-CN"/>
        </w:rPr>
        <w:t>缴纳履约保证金，履约保证金（以保函</w:t>
      </w:r>
      <w:r>
        <w:rPr>
          <w:rFonts w:hint="eastAsia" w:ascii="仿宋" w:hAnsi="仿宋" w:eastAsia="仿宋" w:cs="仿宋"/>
          <w:color w:val="auto"/>
          <w:szCs w:val="21"/>
          <w:highlight w:val="none"/>
          <w:lang w:val="en-US" w:eastAsia="zh-CN"/>
        </w:rPr>
        <w:t>或其他</w:t>
      </w:r>
      <w:r>
        <w:rPr>
          <w:rFonts w:hint="eastAsia" w:ascii="仿宋" w:hAnsi="仿宋" w:eastAsia="仿宋" w:cs="仿宋"/>
          <w:color w:val="auto"/>
          <w:szCs w:val="21"/>
          <w:highlight w:val="none"/>
          <w:lang w:eastAsia="zh-CN"/>
        </w:rPr>
        <w:t>形式提交）。</w:t>
      </w:r>
    </w:p>
    <w:p w14:paraId="178176F8">
      <w:pPr>
        <w:spacing w:line="440" w:lineRule="exact"/>
        <w:ind w:firstLine="240" w:firstLineChars="1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43.2 签订合同后，如中标供应商不按合同约定履约的，履约保证金不予退还，履约保证金不足以赔偿损失的，按实际损失赔偿。</w:t>
      </w:r>
    </w:p>
    <w:p w14:paraId="4146F375">
      <w:pPr>
        <w:spacing w:line="440" w:lineRule="exact"/>
        <w:ind w:firstLine="240" w:firstLineChars="1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43.3 如果中标供应商在建设期内没有涉及采购人的应付而未付金额或违约行为，采购人在项目验收合格后或提前终止合同后全额无息退还履约保证金。</w:t>
      </w:r>
    </w:p>
    <w:p w14:paraId="32F06937">
      <w:pPr>
        <w:spacing w:line="440" w:lineRule="exact"/>
        <w:ind w:firstLine="240" w:firstLineChars="100"/>
        <w:rPr>
          <w:rFonts w:hint="eastAsia" w:ascii="仿宋" w:hAnsi="仿宋" w:eastAsia="仿宋" w:cs="仿宋"/>
          <w:color w:val="auto"/>
          <w:szCs w:val="21"/>
          <w:highlight w:val="none"/>
          <w:lang w:eastAsia="zh-CN"/>
        </w:rPr>
      </w:pPr>
      <w:bookmarkStart w:id="25" w:name="_Toc73975843"/>
      <w:r>
        <w:rPr>
          <w:rFonts w:hint="eastAsia" w:ascii="仿宋" w:hAnsi="仿宋" w:eastAsia="仿宋" w:cs="仿宋"/>
          <w:color w:val="auto"/>
          <w:szCs w:val="21"/>
          <w:highlight w:val="none"/>
          <w:lang w:eastAsia="zh-CN"/>
        </w:rPr>
        <w:t>44．签订合同及公告</w:t>
      </w:r>
      <w:bookmarkEnd w:id="25"/>
    </w:p>
    <w:p w14:paraId="561B7B77">
      <w:pPr>
        <w:spacing w:line="440" w:lineRule="exact"/>
        <w:ind w:firstLine="240" w:firstLineChars="1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44.1采购人在中标通知书发出之日起30日内与中标供应商签订合同。</w:t>
      </w:r>
    </w:p>
    <w:p w14:paraId="276DAAE3">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44.2招标人或者采购代理机构应当自发布中标公告的同时，发出中标通知书，中标通知书对招标人和中标人具有同等法律效力。中标通知书发出后，中标人无正当理由不得放弃中标。 排名第一的中标候选人放弃中标、因不可抗力不能履行合同、不按照招标文件要求提交履约保证金，或者被查实存在影响中标结果的违法行为等情形，不符合中标条件的等原因中标或者成交供应商拒绝与招标人签订合同的，招标依据《政府采购法实施条例》第四十九条，按照评审报告推荐的中标或者成交候选人名单排序，确定下一候选人为中标或者成交供应商，也可以重新开展政府采购或招标活动。</w:t>
      </w:r>
    </w:p>
    <w:p w14:paraId="07F692E5">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44.3 采购文件、中标供应商的投标文件及评标过程中有关澄清文件等均作为签订合同的依据。所签订的合同不得对采购文件和中标供应商的投标文件的内容作实质性修改。</w:t>
      </w:r>
    </w:p>
    <w:p w14:paraId="6BE077CD">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44.4采购人应当自政府采购合同签订之日起2个工作日内，在省级以上财政部门指定的政府采购信息发布媒体及相关网站上公告。</w:t>
      </w:r>
    </w:p>
    <w:p w14:paraId="03AE9490">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44.5采购人应当自政府采购合同签订之日起7个工作日内，将政府采购合同副本报同级人民政府财政部门备案以及采购代理机构存档。</w:t>
      </w:r>
    </w:p>
    <w:p w14:paraId="5DC84F34">
      <w:pPr>
        <w:adjustRightInd w:val="0"/>
        <w:snapToGrid w:val="0"/>
        <w:spacing w:line="440" w:lineRule="exact"/>
        <w:jc w:val="center"/>
        <w:outlineLvl w:val="2"/>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（七）纪律和监督</w:t>
      </w:r>
      <w:bookmarkEnd w:id="24"/>
    </w:p>
    <w:p w14:paraId="4CBEF568">
      <w:pPr>
        <w:spacing w:line="440" w:lineRule="exact"/>
        <w:ind w:firstLine="354"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45. 对招标人的纪律要求 </w:t>
      </w:r>
    </w:p>
    <w:p w14:paraId="0761E864">
      <w:pPr>
        <w:adjustRightInd w:val="0"/>
        <w:snapToGrid w:val="0"/>
        <w:spacing w:line="440" w:lineRule="exact"/>
        <w:ind w:firstLine="360"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 xml:space="preserve">45.1招标人不得泄漏招标投标活动中应当保密的情况和资料，不得与供应商串通损害国家利益，社会公共利益或者他人合法权益。 </w:t>
      </w:r>
    </w:p>
    <w:p w14:paraId="4A1DB711">
      <w:pPr>
        <w:spacing w:line="440" w:lineRule="exact"/>
        <w:ind w:firstLine="354"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46. 对供应商的纪律要求 </w:t>
      </w:r>
    </w:p>
    <w:p w14:paraId="4D832B71">
      <w:pPr>
        <w:adjustRightInd w:val="0"/>
        <w:snapToGrid w:val="0"/>
        <w:spacing w:line="440" w:lineRule="exact"/>
        <w:ind w:firstLine="360"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3F6581F5">
      <w:pPr>
        <w:spacing w:line="440" w:lineRule="exact"/>
        <w:ind w:firstLine="354"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47. 对评标委员会成员的纪律要求 </w:t>
      </w:r>
    </w:p>
    <w:p w14:paraId="2692C672">
      <w:pPr>
        <w:adjustRightInd w:val="0"/>
        <w:snapToGrid w:val="0"/>
        <w:spacing w:line="440" w:lineRule="exact"/>
        <w:ind w:firstLine="360"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47.1评标委员会成员不得收受他人的财物或者其他好处，不得向他人透</w:t>
      </w:r>
      <w:r>
        <w:rPr>
          <w:rFonts w:hint="eastAsia" w:ascii="仿宋" w:hAnsi="仿宋" w:eastAsia="仿宋" w:cs="仿宋"/>
          <w:color w:val="auto"/>
          <w:kern w:val="10"/>
          <w:szCs w:val="21"/>
          <w:highlight w:val="none"/>
          <w:lang w:val="en-US" w:eastAsia="zh-CN"/>
        </w:rPr>
        <w:t>露</w:t>
      </w:r>
      <w:r>
        <w:rPr>
          <w:rFonts w:hint="eastAsia" w:ascii="仿宋" w:hAnsi="仿宋" w:eastAsia="仿宋" w:cs="仿宋"/>
          <w:color w:val="auto"/>
          <w:kern w:val="10"/>
          <w:szCs w:val="21"/>
          <w:highlight w:val="none"/>
          <w:lang w:eastAsia="zh-CN"/>
        </w:rPr>
        <w:t>对投标文件的评审和比较、中标候选人的推荐情况以及评标有关的其他情况。</w:t>
      </w:r>
    </w:p>
    <w:p w14:paraId="68CFAB3D">
      <w:pPr>
        <w:adjustRightInd w:val="0"/>
        <w:snapToGrid w:val="0"/>
        <w:spacing w:line="440" w:lineRule="exact"/>
        <w:ind w:firstLine="360"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 xml:space="preserve">47.2在评标活动中，评标委员会成员不得擅离职守，影响评标程序正常进行，不得使用第三章“评标办法”没有规定的评审因素和标准进行评标。 </w:t>
      </w:r>
    </w:p>
    <w:p w14:paraId="0F66FABB">
      <w:pPr>
        <w:spacing w:line="440" w:lineRule="exact"/>
        <w:ind w:firstLine="354"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48. 对与评标活动有关的工作人员的纪律要求 </w:t>
      </w:r>
    </w:p>
    <w:p w14:paraId="5C00B328">
      <w:pPr>
        <w:adjustRightInd w:val="0"/>
        <w:snapToGrid w:val="0"/>
        <w:spacing w:line="440" w:lineRule="exact"/>
        <w:ind w:firstLine="360"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4346B95">
      <w:pPr>
        <w:spacing w:beforeLines="50" w:afterLines="50" w:line="320" w:lineRule="exact"/>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（八）质疑与投诉</w:t>
      </w:r>
    </w:p>
    <w:p w14:paraId="708A80BA">
      <w:pPr>
        <w:spacing w:line="360" w:lineRule="exact"/>
        <w:ind w:firstLine="241" w:firstLineChars="100"/>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49．质疑和投诉</w:t>
      </w:r>
    </w:p>
    <w:p w14:paraId="38727DC3">
      <w:pPr>
        <w:spacing w:line="36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06CD602">
      <w:pPr>
        <w:spacing w:line="36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1AAE61C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31A64FF0">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（三）对中标或者成交结果提出质疑的，为中标或者成交结果公告期限届满之日。</w:t>
      </w:r>
    </w:p>
    <w:p w14:paraId="2697B78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66085525">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42BF55D7">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4A43E38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49.4质疑供应商对采购人、采购代理机构的质疑答复不满意，或者采购人、采购代理机构未在规定期限内作出答复的，供应商可以在答复期满后15个工作日内向同级财政部门提起投诉。</w:t>
      </w:r>
    </w:p>
    <w:p w14:paraId="56DD574F">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49.5供应商有下列情形之一的，采购代理机构将报告</w:t>
      </w:r>
      <w:r>
        <w:rPr>
          <w:rFonts w:hint="eastAsia" w:ascii="仿宋" w:hAnsi="仿宋" w:eastAsia="仿宋" w:cs="仿宋"/>
          <w:color w:val="auto"/>
          <w:szCs w:val="21"/>
          <w:highlight w:val="none"/>
          <w:lang w:val="en-US" w:eastAsia="zh-CN"/>
        </w:rPr>
        <w:t>交于当地</w:t>
      </w:r>
      <w:r>
        <w:rPr>
          <w:rFonts w:hint="eastAsia" w:ascii="仿宋" w:hAnsi="仿宋" w:eastAsia="仿宋" w:cs="仿宋"/>
          <w:color w:val="auto"/>
          <w:szCs w:val="21"/>
          <w:highlight w:val="none"/>
          <w:lang w:eastAsia="zh-CN"/>
        </w:rPr>
        <w:t>财政局，将其列入不良行为记录名单：</w:t>
      </w:r>
    </w:p>
    <w:p w14:paraId="0A0D0F4F">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3DA44E47">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5D94D666">
      <w:pPr>
        <w:spacing w:line="440" w:lineRule="exact"/>
        <w:ind w:firstLine="240" w:firstLineChars="1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29B4D6F7">
      <w:pPr>
        <w:spacing w:line="440" w:lineRule="exact"/>
        <w:ind w:firstLine="240" w:firstLineChars="100"/>
        <w:rPr>
          <w:rFonts w:hint="eastAsia" w:ascii="仿宋" w:hAnsi="仿宋" w:eastAsia="仿宋" w:cs="仿宋"/>
          <w:color w:val="auto"/>
          <w:szCs w:val="21"/>
          <w:highlight w:val="none"/>
          <w:lang w:eastAsia="zh-CN"/>
        </w:rPr>
      </w:pPr>
    </w:p>
    <w:p w14:paraId="25406354">
      <w:pPr>
        <w:spacing w:line="440" w:lineRule="exact"/>
        <w:ind w:firstLine="240" w:firstLineChars="100"/>
        <w:rPr>
          <w:rFonts w:hint="eastAsia" w:ascii="仿宋" w:hAnsi="仿宋" w:eastAsia="仿宋" w:cs="仿宋"/>
          <w:color w:val="auto"/>
          <w:szCs w:val="21"/>
          <w:highlight w:val="none"/>
          <w:lang w:eastAsia="zh-CN"/>
        </w:rPr>
      </w:pPr>
    </w:p>
    <w:p w14:paraId="0394D44B">
      <w:pPr>
        <w:spacing w:line="440" w:lineRule="exact"/>
        <w:ind w:firstLine="240" w:firstLineChars="100"/>
        <w:rPr>
          <w:rFonts w:hint="eastAsia" w:ascii="仿宋" w:hAnsi="仿宋" w:eastAsia="仿宋" w:cs="仿宋"/>
          <w:color w:val="auto"/>
          <w:szCs w:val="21"/>
          <w:highlight w:val="none"/>
          <w:lang w:eastAsia="zh-CN"/>
        </w:rPr>
      </w:pPr>
    </w:p>
    <w:p w14:paraId="5DE71C3D">
      <w:pPr>
        <w:spacing w:line="440" w:lineRule="exact"/>
        <w:ind w:firstLine="240" w:firstLineChars="100"/>
        <w:rPr>
          <w:rFonts w:hint="eastAsia" w:ascii="仿宋" w:hAnsi="仿宋" w:eastAsia="仿宋" w:cs="仿宋"/>
          <w:color w:val="auto"/>
          <w:szCs w:val="21"/>
          <w:highlight w:val="none"/>
          <w:lang w:eastAsia="zh-CN"/>
        </w:rPr>
      </w:pPr>
    </w:p>
    <w:p w14:paraId="7C89833E">
      <w:pPr>
        <w:spacing w:line="440" w:lineRule="exact"/>
        <w:ind w:firstLine="240" w:firstLineChars="100"/>
        <w:rPr>
          <w:rFonts w:hint="eastAsia" w:ascii="仿宋" w:hAnsi="仿宋" w:eastAsia="仿宋" w:cs="仿宋"/>
          <w:color w:val="auto"/>
          <w:szCs w:val="21"/>
          <w:highlight w:val="none"/>
          <w:lang w:eastAsia="zh-CN"/>
        </w:rPr>
      </w:pPr>
    </w:p>
    <w:p w14:paraId="32FC5FBB">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27010760">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59D80937">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3551D586">
      <w:pPr>
        <w:spacing w:line="400" w:lineRule="exact"/>
        <w:rPr>
          <w:rFonts w:ascii="仿宋" w:hAnsi="仿宋" w:eastAsia="仿宋" w:cs="仿宋"/>
          <w:color w:val="auto"/>
          <w:highlight w:val="none"/>
          <w:lang w:eastAsia="zh-CN"/>
        </w:rPr>
      </w:pPr>
    </w:p>
    <w:p w14:paraId="61F9410C">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59F3CF3E">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2AB156BB">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1491EBB0">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720A8E3D">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55D6135F">
      <w:pPr>
        <w:spacing w:line="400" w:lineRule="exact"/>
        <w:ind w:firstLine="48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p>
    <w:p w14:paraId="0B6A3C97">
      <w:pPr>
        <w:spacing w:line="400" w:lineRule="exact"/>
        <w:ind w:firstLine="480" w:firstLineChars="200"/>
        <w:rPr>
          <w:rFonts w:ascii="仿宋" w:hAnsi="仿宋" w:eastAsia="仿宋" w:cs="仿宋"/>
          <w:color w:val="auto"/>
          <w:highlight w:val="none"/>
          <w:lang w:eastAsia="zh-CN"/>
        </w:rPr>
      </w:pPr>
    </w:p>
    <w:p w14:paraId="4B89C361">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（采购文件/采购过程/中标（中标）结果）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3A3BAF3B">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61AD45E5">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3D46A73E">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4EAC5B6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525C56EE">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4FA6EBC4">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795DBF41">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69EA7A88">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2EA246D7">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585A8C8B">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3E4EBB46">
      <w:pPr>
        <w:spacing w:line="400" w:lineRule="exact"/>
        <w:jc w:val="center"/>
        <w:rPr>
          <w:rFonts w:ascii="仿宋" w:hAnsi="仿宋" w:eastAsia="仿宋" w:cs="仿宋"/>
          <w:color w:val="auto"/>
          <w:highlight w:val="none"/>
          <w:lang w:eastAsia="zh-CN"/>
        </w:rPr>
      </w:pPr>
    </w:p>
    <w:p w14:paraId="73CEB93F">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359226EB">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2CB86CE9">
      <w:pPr>
        <w:spacing w:line="400" w:lineRule="exact"/>
        <w:ind w:firstLine="3840"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427C2119">
      <w:pPr>
        <w:spacing w:line="400" w:lineRule="exact"/>
        <w:rPr>
          <w:rFonts w:ascii="仿宋" w:hAnsi="仿宋" w:eastAsia="仿宋" w:cs="仿宋"/>
          <w:color w:val="auto"/>
          <w:highlight w:val="none"/>
          <w:lang w:eastAsia="zh-CN"/>
        </w:rPr>
      </w:pPr>
    </w:p>
    <w:p w14:paraId="14743A43">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5C136E0C">
      <w:pPr>
        <w:ind w:left="5783" w:hanging="5783" w:hangingChars="1800"/>
        <w:jc w:val="center"/>
        <w:outlineLvl w:val="0"/>
        <w:rPr>
          <w:rFonts w:hint="eastAsia" w:ascii="仿宋" w:hAnsi="仿宋" w:eastAsia="仿宋" w:cs="仿宋"/>
          <w:b/>
          <w:bCs/>
          <w:color w:val="auto"/>
          <w:sz w:val="32"/>
          <w:szCs w:val="32"/>
          <w:highlight w:val="none"/>
          <w:lang w:eastAsia="zh-CN"/>
        </w:rPr>
      </w:pPr>
      <w:bookmarkStart w:id="26" w:name="_Toc17515"/>
    </w:p>
    <w:p w14:paraId="1EED1705">
      <w:pPr>
        <w:ind w:left="5783" w:hanging="5783"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26"/>
    </w:p>
    <w:p w14:paraId="6F0FD9AB">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50B483DE">
      <w:pPr>
        <w:numPr>
          <w:ilvl w:val="0"/>
          <w:numId w:val="5"/>
        </w:numPr>
        <w:spacing w:line="400" w:lineRule="exact"/>
        <w:ind w:left="4585" w:leftChars="304" w:hanging="3855" w:hangingChars="1600"/>
        <w:outlineLvl w:val="0"/>
        <w:rPr>
          <w:rFonts w:ascii="仿宋" w:hAnsi="仿宋" w:eastAsia="仿宋" w:cs="仿宋"/>
          <w:b/>
          <w:bCs/>
          <w:color w:val="auto"/>
          <w:sz w:val="24"/>
          <w:szCs w:val="24"/>
          <w:highlight w:val="none"/>
        </w:rPr>
      </w:pPr>
      <w:bookmarkStart w:id="27" w:name="_Toc11499"/>
      <w:r>
        <w:rPr>
          <w:rFonts w:hint="eastAsia" w:ascii="仿宋" w:hAnsi="仿宋" w:eastAsia="仿宋" w:cs="仿宋"/>
          <w:b/>
          <w:bCs/>
          <w:color w:val="auto"/>
          <w:sz w:val="24"/>
          <w:szCs w:val="24"/>
          <w:highlight w:val="none"/>
        </w:rPr>
        <w:t>质疑前置及时间要求</w:t>
      </w:r>
      <w:bookmarkEnd w:id="27"/>
    </w:p>
    <w:p w14:paraId="5E889835">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4764308E">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3BCEDE1C">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784E9E92">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569E1A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09A7BAFB">
      <w:pPr>
        <w:spacing w:line="400" w:lineRule="exact"/>
        <w:ind w:left="3780" w:hanging="378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28" w:name="_Toc13508"/>
      <w:r>
        <w:rPr>
          <w:rFonts w:hint="eastAsia" w:ascii="仿宋" w:hAnsi="仿宋" w:eastAsia="仿宋" w:cs="仿宋"/>
          <w:b/>
          <w:bCs/>
          <w:color w:val="auto"/>
          <w:sz w:val="21"/>
          <w:szCs w:val="21"/>
          <w:highlight w:val="none"/>
          <w:lang w:eastAsia="zh-CN"/>
        </w:rPr>
        <w:t>二、书面方式</w:t>
      </w:r>
      <w:bookmarkEnd w:id="28"/>
    </w:p>
    <w:p w14:paraId="6ABE163C">
      <w:pPr>
        <w:spacing w:line="400" w:lineRule="exact"/>
        <w:ind w:left="3780" w:hanging="378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495D73B0">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6A5C6CEB">
      <w:pPr>
        <w:spacing w:line="400" w:lineRule="exact"/>
        <w:ind w:left="4320" w:hanging="432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1C1517F9">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2DA2F945">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48C7EE2B">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70E7C41C">
      <w:pPr>
        <w:numPr>
          <w:ilvl w:val="0"/>
          <w:numId w:val="6"/>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208D5292">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620E2E36">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09B2A91F">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25B4FA6F">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42284F1C">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12E41272">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5FADE2F7">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1D48FC63">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15D76B6B">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515772B2">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5474BF8D">
      <w:pPr>
        <w:spacing w:line="400" w:lineRule="exact"/>
        <w:ind w:left="4320" w:hanging="432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541417AF">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29" w:name="_Toc5978"/>
      <w:r>
        <w:rPr>
          <w:rFonts w:hint="eastAsia" w:ascii="仿宋" w:hAnsi="仿宋" w:eastAsia="仿宋" w:cs="仿宋"/>
          <w:b/>
          <w:bCs/>
          <w:color w:val="auto"/>
          <w:highlight w:val="none"/>
          <w:lang w:eastAsia="zh-CN"/>
        </w:rPr>
        <w:t>三、虚假、恶意投诉法律责任</w:t>
      </w:r>
      <w:bookmarkEnd w:id="29"/>
    </w:p>
    <w:p w14:paraId="5FFB2846">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w:t>
      </w:r>
      <w:r>
        <w:rPr>
          <w:rFonts w:hint="eastAsia" w:ascii="仿宋" w:hAnsi="仿宋" w:eastAsia="仿宋" w:cs="仿宋"/>
          <w:color w:val="auto"/>
          <w:highlight w:val="none"/>
          <w:lang w:val="en-US" w:eastAsia="zh-CN"/>
        </w:rPr>
        <w:t>事实</w:t>
      </w:r>
      <w:r>
        <w:rPr>
          <w:rFonts w:hint="eastAsia" w:ascii="仿宋" w:hAnsi="仿宋" w:eastAsia="仿宋" w:cs="仿宋"/>
          <w:color w:val="auto"/>
          <w:highlight w:val="none"/>
          <w:lang w:eastAsia="zh-CN"/>
        </w:rPr>
        <w:t>、提供虚假材料或者以非法手段取得证明材料进行投诉的，由财政部门列入不良行为记录名单，禁止其1至3年内参加政府采购活动。</w:t>
      </w:r>
    </w:p>
    <w:p w14:paraId="649B9195">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157652F8">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089FF250">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36E463A4">
      <w:pPr>
        <w:spacing w:line="400" w:lineRule="exact"/>
        <w:rPr>
          <w:rFonts w:ascii="仿宋" w:hAnsi="仿宋" w:eastAsia="仿宋" w:cs="仿宋"/>
          <w:color w:val="auto"/>
          <w:sz w:val="21"/>
          <w:szCs w:val="21"/>
          <w:highlight w:val="none"/>
          <w:lang w:eastAsia="zh-CN"/>
        </w:rPr>
      </w:pPr>
    </w:p>
    <w:p w14:paraId="6EC00C35">
      <w:pPr>
        <w:spacing w:line="400" w:lineRule="exact"/>
        <w:rPr>
          <w:rFonts w:ascii="仿宋" w:hAnsi="仿宋" w:eastAsia="仿宋" w:cs="仿宋"/>
          <w:color w:val="auto"/>
          <w:sz w:val="21"/>
          <w:szCs w:val="21"/>
          <w:highlight w:val="none"/>
          <w:lang w:eastAsia="zh-CN"/>
        </w:rPr>
      </w:pPr>
    </w:p>
    <w:p w14:paraId="4927A01B">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w:t>
      </w:r>
      <w:r>
        <w:rPr>
          <w:rFonts w:hint="eastAsia" w:ascii="仿宋" w:hAnsi="仿宋" w:eastAsia="仿宋" w:cs="仿宋"/>
          <w:color w:val="auto"/>
          <w:highlight w:val="none"/>
          <w:lang w:val="en-US" w:eastAsia="zh-CN"/>
        </w:rPr>
        <w:t>青河县</w:t>
      </w:r>
      <w:r>
        <w:rPr>
          <w:rFonts w:hint="eastAsia" w:ascii="仿宋" w:hAnsi="仿宋" w:eastAsia="仿宋" w:cs="仿宋"/>
          <w:color w:val="auto"/>
          <w:highlight w:val="none"/>
          <w:lang w:eastAsia="zh-CN"/>
        </w:rPr>
        <w:t>采购办监管办公室</w:t>
      </w:r>
    </w:p>
    <w:p w14:paraId="3B6B67F8">
      <w:pPr>
        <w:jc w:val="right"/>
        <w:rPr>
          <w:rFonts w:ascii="仿宋" w:hAnsi="仿宋" w:eastAsia="仿宋" w:cs="仿宋"/>
          <w:color w:val="auto"/>
          <w:sz w:val="32"/>
          <w:szCs w:val="32"/>
          <w:highlight w:val="none"/>
          <w:lang w:eastAsia="zh-CN"/>
        </w:rPr>
      </w:pPr>
    </w:p>
    <w:p w14:paraId="33E4DCCB">
      <w:pPr>
        <w:spacing w:line="540" w:lineRule="exact"/>
        <w:jc w:val="center"/>
        <w:rPr>
          <w:rFonts w:ascii="仿宋" w:hAnsi="仿宋" w:eastAsia="仿宋" w:cs="仿宋"/>
          <w:b/>
          <w:bCs/>
          <w:color w:val="auto"/>
          <w:sz w:val="44"/>
          <w:szCs w:val="44"/>
          <w:highlight w:val="none"/>
          <w:lang w:eastAsia="zh-CN"/>
        </w:rPr>
      </w:pPr>
    </w:p>
    <w:p w14:paraId="7478A223">
      <w:pPr>
        <w:spacing w:line="540" w:lineRule="exact"/>
        <w:jc w:val="center"/>
        <w:rPr>
          <w:rFonts w:ascii="仿宋" w:hAnsi="仿宋" w:eastAsia="仿宋" w:cs="仿宋"/>
          <w:b/>
          <w:bCs/>
          <w:color w:val="auto"/>
          <w:sz w:val="44"/>
          <w:szCs w:val="44"/>
          <w:highlight w:val="none"/>
          <w:lang w:eastAsia="zh-CN"/>
        </w:rPr>
      </w:pPr>
    </w:p>
    <w:p w14:paraId="7539CA48">
      <w:pPr>
        <w:spacing w:line="540" w:lineRule="exact"/>
        <w:jc w:val="center"/>
        <w:rPr>
          <w:rFonts w:ascii="仿宋" w:hAnsi="仿宋" w:eastAsia="仿宋" w:cs="仿宋"/>
          <w:b/>
          <w:bCs/>
          <w:color w:val="auto"/>
          <w:sz w:val="44"/>
          <w:szCs w:val="44"/>
          <w:highlight w:val="none"/>
          <w:lang w:eastAsia="zh-CN"/>
        </w:rPr>
      </w:pPr>
    </w:p>
    <w:p w14:paraId="4EC01074">
      <w:pPr>
        <w:spacing w:line="540" w:lineRule="exact"/>
        <w:jc w:val="center"/>
        <w:rPr>
          <w:rFonts w:ascii="仿宋" w:hAnsi="仿宋" w:eastAsia="仿宋" w:cs="仿宋"/>
          <w:b/>
          <w:bCs/>
          <w:color w:val="auto"/>
          <w:sz w:val="44"/>
          <w:szCs w:val="44"/>
          <w:highlight w:val="none"/>
          <w:lang w:eastAsia="zh-CN"/>
        </w:rPr>
      </w:pPr>
    </w:p>
    <w:p w14:paraId="4E711580">
      <w:pPr>
        <w:spacing w:line="540" w:lineRule="exact"/>
        <w:jc w:val="center"/>
        <w:rPr>
          <w:rFonts w:ascii="仿宋" w:hAnsi="仿宋" w:eastAsia="仿宋" w:cs="仿宋"/>
          <w:b/>
          <w:bCs/>
          <w:color w:val="auto"/>
          <w:sz w:val="44"/>
          <w:szCs w:val="44"/>
          <w:highlight w:val="none"/>
          <w:lang w:eastAsia="zh-CN"/>
        </w:rPr>
      </w:pPr>
    </w:p>
    <w:p w14:paraId="11E55C1E">
      <w:pPr>
        <w:spacing w:line="540" w:lineRule="exact"/>
        <w:jc w:val="center"/>
        <w:rPr>
          <w:rFonts w:ascii="仿宋" w:hAnsi="仿宋" w:eastAsia="仿宋" w:cs="仿宋"/>
          <w:b/>
          <w:bCs/>
          <w:color w:val="auto"/>
          <w:sz w:val="44"/>
          <w:szCs w:val="44"/>
          <w:highlight w:val="none"/>
          <w:lang w:eastAsia="zh-CN"/>
        </w:rPr>
      </w:pPr>
    </w:p>
    <w:p w14:paraId="621A00B1">
      <w:pPr>
        <w:spacing w:line="540" w:lineRule="exact"/>
        <w:jc w:val="center"/>
        <w:rPr>
          <w:rFonts w:ascii="仿宋" w:hAnsi="仿宋" w:eastAsia="仿宋" w:cs="仿宋"/>
          <w:b/>
          <w:bCs/>
          <w:color w:val="auto"/>
          <w:sz w:val="44"/>
          <w:szCs w:val="44"/>
          <w:highlight w:val="none"/>
          <w:lang w:eastAsia="zh-CN"/>
        </w:rPr>
      </w:pPr>
    </w:p>
    <w:p w14:paraId="01E3CACC">
      <w:pPr>
        <w:spacing w:line="540" w:lineRule="exact"/>
        <w:jc w:val="center"/>
        <w:rPr>
          <w:rFonts w:ascii="仿宋" w:hAnsi="仿宋" w:eastAsia="仿宋" w:cs="仿宋"/>
          <w:b/>
          <w:bCs/>
          <w:color w:val="auto"/>
          <w:sz w:val="44"/>
          <w:szCs w:val="44"/>
          <w:highlight w:val="none"/>
          <w:lang w:eastAsia="zh-CN"/>
        </w:rPr>
      </w:pPr>
    </w:p>
    <w:p w14:paraId="07A5C7D1">
      <w:pPr>
        <w:spacing w:line="540" w:lineRule="exact"/>
        <w:jc w:val="center"/>
        <w:rPr>
          <w:rFonts w:ascii="仿宋" w:hAnsi="仿宋" w:eastAsia="仿宋" w:cs="仿宋"/>
          <w:b/>
          <w:bCs/>
          <w:color w:val="auto"/>
          <w:sz w:val="44"/>
          <w:szCs w:val="44"/>
          <w:highlight w:val="none"/>
          <w:lang w:eastAsia="zh-CN"/>
        </w:rPr>
      </w:pPr>
    </w:p>
    <w:p w14:paraId="3599E28A">
      <w:pPr>
        <w:spacing w:line="540" w:lineRule="exact"/>
        <w:jc w:val="both"/>
        <w:outlineLvl w:val="0"/>
        <w:rPr>
          <w:rFonts w:hint="eastAsia" w:ascii="仿宋" w:hAnsi="仿宋" w:eastAsia="仿宋" w:cs="仿宋"/>
          <w:b/>
          <w:bCs/>
          <w:color w:val="auto"/>
          <w:sz w:val="32"/>
          <w:szCs w:val="32"/>
          <w:highlight w:val="none"/>
          <w:lang w:eastAsia="zh-CN"/>
        </w:rPr>
      </w:pPr>
      <w:bookmarkStart w:id="30" w:name="_Toc1697"/>
    </w:p>
    <w:p w14:paraId="2644E994">
      <w:pPr>
        <w:spacing w:line="540" w:lineRule="exact"/>
        <w:jc w:val="both"/>
        <w:outlineLvl w:val="0"/>
        <w:rPr>
          <w:rFonts w:hint="eastAsia" w:ascii="仿宋" w:hAnsi="仿宋" w:eastAsia="仿宋" w:cs="仿宋"/>
          <w:b/>
          <w:bCs/>
          <w:color w:val="auto"/>
          <w:sz w:val="32"/>
          <w:szCs w:val="32"/>
          <w:highlight w:val="none"/>
          <w:lang w:eastAsia="zh-CN"/>
        </w:rPr>
      </w:pPr>
    </w:p>
    <w:p w14:paraId="2E33B6EB">
      <w:pPr>
        <w:spacing w:line="540" w:lineRule="exact"/>
        <w:jc w:val="both"/>
        <w:outlineLvl w:val="0"/>
        <w:rPr>
          <w:rFonts w:hint="eastAsia" w:ascii="仿宋" w:hAnsi="仿宋" w:eastAsia="仿宋" w:cs="仿宋"/>
          <w:b/>
          <w:bCs/>
          <w:color w:val="auto"/>
          <w:sz w:val="32"/>
          <w:szCs w:val="32"/>
          <w:highlight w:val="none"/>
          <w:lang w:eastAsia="zh-CN"/>
        </w:rPr>
      </w:pPr>
    </w:p>
    <w:p w14:paraId="71E416CC">
      <w:pPr>
        <w:pStyle w:val="2"/>
        <w:rPr>
          <w:rFonts w:hint="eastAsia" w:ascii="仿宋" w:hAnsi="仿宋" w:eastAsia="仿宋" w:cs="仿宋"/>
          <w:b/>
          <w:bCs/>
          <w:color w:val="auto"/>
          <w:sz w:val="32"/>
          <w:szCs w:val="32"/>
          <w:highlight w:val="none"/>
          <w:lang w:eastAsia="zh-CN"/>
        </w:rPr>
      </w:pPr>
    </w:p>
    <w:p w14:paraId="0AAFEE1C">
      <w:pPr>
        <w:rPr>
          <w:rFonts w:hint="eastAsia"/>
          <w:color w:val="auto"/>
          <w:highlight w:val="none"/>
          <w:lang w:eastAsia="zh-CN"/>
        </w:rPr>
      </w:pPr>
    </w:p>
    <w:p w14:paraId="070CAFA8">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bookmarkEnd w:id="30"/>
    </w:p>
    <w:p w14:paraId="6DD502D0">
      <w:pPr>
        <w:adjustRightInd w:val="0"/>
        <w:snapToGrid w:val="0"/>
        <w:spacing w:beforeLines="100" w:line="540" w:lineRule="exact"/>
        <w:ind w:firstLine="480" w:firstLineChars="200"/>
        <w:outlineLvl w:val="0"/>
        <w:rPr>
          <w:rFonts w:ascii="仿宋" w:hAnsi="仿宋" w:eastAsia="仿宋" w:cs="仿宋"/>
          <w:bCs/>
          <w:color w:val="auto"/>
          <w:highlight w:val="none"/>
          <w:lang w:eastAsia="zh-CN"/>
        </w:rPr>
      </w:pPr>
      <w:bookmarkStart w:id="31" w:name="_Toc9061"/>
      <w:r>
        <w:rPr>
          <w:rFonts w:hint="eastAsia" w:ascii="仿宋" w:hAnsi="仿宋" w:eastAsia="仿宋" w:cs="仿宋"/>
          <w:bCs/>
          <w:color w:val="auto"/>
          <w:highlight w:val="none"/>
          <w:lang w:eastAsia="zh-CN"/>
        </w:rPr>
        <w:t>一、质疑供应商基本信息</w:t>
      </w:r>
      <w:bookmarkEnd w:id="31"/>
    </w:p>
    <w:p w14:paraId="53581324">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47B9AEF6">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20180281">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7121352A">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21F31CD6">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63F75236">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40DDCB52">
      <w:pPr>
        <w:adjustRightInd w:val="0"/>
        <w:snapToGrid w:val="0"/>
        <w:spacing w:line="540" w:lineRule="exact"/>
        <w:ind w:firstLine="480" w:firstLineChars="200"/>
        <w:outlineLvl w:val="0"/>
        <w:rPr>
          <w:rFonts w:ascii="仿宋" w:hAnsi="仿宋" w:eastAsia="仿宋" w:cs="仿宋"/>
          <w:bCs/>
          <w:color w:val="auto"/>
          <w:highlight w:val="none"/>
          <w:lang w:eastAsia="zh-CN"/>
        </w:rPr>
      </w:pPr>
      <w:bookmarkStart w:id="32" w:name="_Toc15938"/>
      <w:r>
        <w:rPr>
          <w:rFonts w:hint="eastAsia" w:ascii="仿宋" w:hAnsi="仿宋" w:eastAsia="仿宋" w:cs="仿宋"/>
          <w:bCs/>
          <w:color w:val="auto"/>
          <w:highlight w:val="none"/>
          <w:lang w:eastAsia="zh-CN"/>
        </w:rPr>
        <w:t>二、质疑项目基本情况</w:t>
      </w:r>
      <w:bookmarkEnd w:id="32"/>
    </w:p>
    <w:p w14:paraId="6842D628">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1B3CF261">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0221F69D">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4383A4C3">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4F5D43F3">
      <w:pPr>
        <w:adjustRightInd w:val="0"/>
        <w:snapToGrid w:val="0"/>
        <w:spacing w:line="540" w:lineRule="exact"/>
        <w:ind w:firstLine="480" w:firstLineChars="200"/>
        <w:outlineLvl w:val="0"/>
        <w:rPr>
          <w:rFonts w:ascii="仿宋" w:hAnsi="仿宋" w:eastAsia="仿宋" w:cs="仿宋"/>
          <w:bCs/>
          <w:color w:val="auto"/>
          <w:highlight w:val="none"/>
          <w:lang w:eastAsia="zh-CN"/>
        </w:rPr>
      </w:pPr>
      <w:bookmarkStart w:id="33" w:name="_Toc18271"/>
      <w:r>
        <w:rPr>
          <w:rFonts w:hint="eastAsia" w:ascii="仿宋" w:hAnsi="仿宋" w:eastAsia="仿宋" w:cs="仿宋"/>
          <w:bCs/>
          <w:color w:val="auto"/>
          <w:highlight w:val="none"/>
          <w:lang w:eastAsia="zh-CN"/>
        </w:rPr>
        <w:t>三、质疑事项具体内容</w:t>
      </w:r>
      <w:bookmarkEnd w:id="33"/>
    </w:p>
    <w:p w14:paraId="480EF821">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3B225E69">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015F0A6D">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31FC4586">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54ECD196">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612D33F7">
      <w:pPr>
        <w:adjustRightInd w:val="0"/>
        <w:snapToGrid w:val="0"/>
        <w:spacing w:line="540" w:lineRule="exact"/>
        <w:ind w:firstLine="480" w:firstLineChars="200"/>
        <w:outlineLvl w:val="0"/>
        <w:rPr>
          <w:rFonts w:ascii="仿宋" w:hAnsi="仿宋" w:eastAsia="仿宋" w:cs="仿宋"/>
          <w:bCs/>
          <w:color w:val="auto"/>
          <w:highlight w:val="none"/>
          <w:lang w:eastAsia="zh-CN"/>
        </w:rPr>
      </w:pPr>
      <w:bookmarkStart w:id="34" w:name="_Toc22365"/>
      <w:r>
        <w:rPr>
          <w:rFonts w:hint="eastAsia" w:ascii="仿宋" w:hAnsi="仿宋" w:eastAsia="仿宋" w:cs="仿宋"/>
          <w:bCs/>
          <w:color w:val="auto"/>
          <w:highlight w:val="none"/>
          <w:lang w:eastAsia="zh-CN"/>
        </w:rPr>
        <w:t>四、与质疑事项相关的质疑请求</w:t>
      </w:r>
      <w:bookmarkEnd w:id="34"/>
    </w:p>
    <w:p w14:paraId="352764A6">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75A1F1E7">
      <w:pPr>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6CD1621C">
      <w:pPr>
        <w:spacing w:line="540" w:lineRule="exact"/>
        <w:ind w:firstLine="480" w:firstLineChars="20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4C0E404B">
      <w:pPr>
        <w:spacing w:line="540" w:lineRule="exact"/>
        <w:ind w:firstLine="422" w:firstLineChars="200"/>
        <w:rPr>
          <w:rFonts w:ascii="仿宋" w:hAnsi="仿宋" w:eastAsia="仿宋" w:cs="仿宋"/>
          <w:b/>
          <w:bCs/>
          <w:color w:val="auto"/>
          <w:sz w:val="21"/>
          <w:szCs w:val="21"/>
          <w:highlight w:val="none"/>
          <w:lang w:eastAsia="zh-CN"/>
        </w:rPr>
      </w:pPr>
    </w:p>
    <w:p w14:paraId="40FC2DFC">
      <w:pPr>
        <w:pageBreakBefore/>
        <w:spacing w:line="440" w:lineRule="exact"/>
        <w:jc w:val="center"/>
        <w:outlineLvl w:val="0"/>
        <w:rPr>
          <w:rFonts w:ascii="仿宋" w:hAnsi="仿宋" w:eastAsia="仿宋" w:cs="仿宋"/>
          <w:b/>
          <w:bCs/>
          <w:color w:val="auto"/>
          <w:sz w:val="30"/>
          <w:szCs w:val="30"/>
          <w:highlight w:val="none"/>
          <w:lang w:eastAsia="zh-CN"/>
        </w:rPr>
      </w:pPr>
      <w:bookmarkStart w:id="35" w:name="_Toc469495731"/>
      <w:r>
        <w:rPr>
          <w:rFonts w:hint="eastAsia" w:ascii="仿宋" w:hAnsi="仿宋" w:eastAsia="仿宋" w:cs="仿宋"/>
          <w:b/>
          <w:bCs/>
          <w:color w:val="auto"/>
          <w:sz w:val="30"/>
          <w:szCs w:val="30"/>
          <w:highlight w:val="none"/>
          <w:lang w:eastAsia="zh-CN"/>
        </w:rPr>
        <w:t>第三部分  评标办法</w:t>
      </w:r>
      <w:bookmarkEnd w:id="35"/>
    </w:p>
    <w:p w14:paraId="5276AAE1">
      <w:pPr>
        <w:jc w:val="center"/>
        <w:outlineLvl w:val="1"/>
        <w:rPr>
          <w:rFonts w:ascii="仿宋" w:hAnsi="仿宋" w:eastAsia="仿宋" w:cs="仿宋"/>
          <w:b/>
          <w:color w:val="auto"/>
          <w:sz w:val="28"/>
          <w:szCs w:val="28"/>
          <w:highlight w:val="none"/>
          <w:lang w:eastAsia="zh-CN"/>
        </w:rPr>
      </w:pPr>
      <w:bookmarkStart w:id="36" w:name="_Toc469495733"/>
      <w:bookmarkStart w:id="37" w:name="_Toc362983802"/>
      <w:bookmarkStart w:id="38" w:name="_Toc267320058"/>
      <w:bookmarkStart w:id="39" w:name="_Toc363135205"/>
      <w:r>
        <w:rPr>
          <w:rFonts w:hint="eastAsia" w:ascii="仿宋" w:hAnsi="仿宋" w:eastAsia="仿宋" w:cs="仿宋"/>
          <w:b/>
          <w:color w:val="auto"/>
          <w:sz w:val="28"/>
          <w:szCs w:val="28"/>
          <w:highlight w:val="none"/>
          <w:lang w:eastAsia="zh-CN"/>
        </w:rPr>
        <w:t>一  总  则</w:t>
      </w:r>
    </w:p>
    <w:p w14:paraId="67FC4CF9">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1、一般规定</w:t>
      </w:r>
    </w:p>
    <w:p w14:paraId="4D32DA2D">
      <w:pPr>
        <w:keepNext w:val="0"/>
        <w:keepLines w:val="0"/>
        <w:pageBreakBefore w:val="0"/>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1.1本项目的招标按照《中华人民共和国政府采购法》、《政府采购货物和服务招标投标管理办法》及政府采购的有关规定进行。</w:t>
      </w:r>
    </w:p>
    <w:p w14:paraId="1A7FEEBC">
      <w:pPr>
        <w:keepNext w:val="0"/>
        <w:keepLines w:val="0"/>
        <w:pageBreakBefore w:val="0"/>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1.2评标必须遵循邀请、公平、公正、诚实信用的原则。</w:t>
      </w:r>
    </w:p>
    <w:p w14:paraId="4F99377A">
      <w:pPr>
        <w:keepNext w:val="0"/>
        <w:keepLines w:val="0"/>
        <w:pageBreakBefore w:val="0"/>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1.3招标代理机构组织招标、开标、评标工作，全过程接受政府采购有关部门的监督、管理和指导。</w:t>
      </w:r>
    </w:p>
    <w:p w14:paraId="6455FEDA">
      <w:pPr>
        <w:keepNext w:val="0"/>
        <w:keepLines w:val="0"/>
        <w:pageBreakBefore w:val="0"/>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1.4评标按照招标文件规定的内容进行，采取符合招标文件要求的</w:t>
      </w:r>
      <w:r>
        <w:rPr>
          <w:rFonts w:hint="eastAsia" w:ascii="仿宋" w:hAnsi="仿宋" w:eastAsia="仿宋" w:cs="仿宋"/>
          <w:color w:val="auto"/>
          <w:szCs w:val="21"/>
          <w:highlight w:val="none"/>
          <w:lang w:val="en-US" w:eastAsia="zh-CN"/>
        </w:rPr>
        <w:t>综合评分法</w:t>
      </w:r>
      <w:r>
        <w:rPr>
          <w:rFonts w:hint="eastAsia" w:ascii="仿宋" w:hAnsi="仿宋" w:eastAsia="仿宋" w:cs="仿宋"/>
          <w:color w:val="auto"/>
          <w:szCs w:val="21"/>
          <w:highlight w:val="none"/>
          <w:lang w:eastAsia="zh-CN"/>
        </w:rPr>
        <w:t>；</w:t>
      </w:r>
    </w:p>
    <w:p w14:paraId="6F2662E2">
      <w:pPr>
        <w:keepNext w:val="0"/>
        <w:keepLines w:val="0"/>
        <w:pageBreakBefore w:val="0"/>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1.5本办法的评标对象是指供应商按照招标文件要求提供的有效投标文件，包括供应商应评标委员会要求对原投标文件作出的正式书面澄清文件。</w:t>
      </w:r>
    </w:p>
    <w:p w14:paraId="61217A04">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2、评标组织机构的组成</w:t>
      </w:r>
    </w:p>
    <w:p w14:paraId="41F58BFC">
      <w:pPr>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2.1</w:t>
      </w:r>
      <w:r>
        <w:rPr>
          <w:rFonts w:hint="eastAsia" w:ascii="仿宋" w:hAnsi="仿宋" w:eastAsia="仿宋" w:cs="仿宋"/>
          <w:color w:val="auto"/>
          <w:spacing w:val="-2"/>
          <w:highlight w:val="none"/>
          <w:lang w:eastAsia="zh-CN"/>
        </w:rPr>
        <w:t xml:space="preserve"> 评标委员会由采购人代表和评审专家组成，成员人数应当为5人以上单数，其中评审专家不得少于成员总数的三分之二。</w:t>
      </w:r>
      <w:r>
        <w:rPr>
          <w:rFonts w:hint="eastAsia" w:ascii="仿宋" w:hAnsi="仿宋" w:eastAsia="仿宋" w:cs="仿宋"/>
          <w:color w:val="auto"/>
          <w:szCs w:val="21"/>
          <w:highlight w:val="none"/>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6D8FB208">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评标委员会应相对独立工作，负责评标、撰写技术、商务评标报告。采购代理机构负责评标过程中资料的保管、发放、回收，整理、汇总评标资料。</w:t>
      </w:r>
    </w:p>
    <w:p w14:paraId="207219CB">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3、评标委员会职责</w:t>
      </w:r>
    </w:p>
    <w:p w14:paraId="18305DD5">
      <w:pPr>
        <w:pStyle w:val="4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2"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3.1审查投标文件是否符合招标文件要求，并作出评价；</w:t>
      </w:r>
    </w:p>
    <w:p w14:paraId="2FBC48E7">
      <w:pPr>
        <w:pStyle w:val="4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2"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3.2要求供应商对投标文件有关事项作出解释或者澄清；</w:t>
      </w:r>
    </w:p>
    <w:p w14:paraId="57D3A9BD">
      <w:pPr>
        <w:pStyle w:val="4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2"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3.3推荐中标候选人名单；</w:t>
      </w:r>
    </w:p>
    <w:p w14:paraId="36D3170E">
      <w:pPr>
        <w:pStyle w:val="4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2"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3.4向招标人、招标代理机构或者有关部门报告非法干预评标工作的行为。</w:t>
      </w:r>
    </w:p>
    <w:p w14:paraId="32A77886">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4、评标委员会义务</w:t>
      </w:r>
    </w:p>
    <w:p w14:paraId="3D35B32D">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4.1遵纪守法，客观、公正、廉洁地履行职责；</w:t>
      </w:r>
    </w:p>
    <w:p w14:paraId="14FCB074">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4.2按照招标文件规定的评标方法和评标标准进行评标，对评审意见承担个人责任；</w:t>
      </w:r>
    </w:p>
    <w:p w14:paraId="44FEEACE">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4.3对评标过程和结果，以及供应商的商业秘密保密；</w:t>
      </w:r>
    </w:p>
    <w:p w14:paraId="02ABC6AE">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4.4参与评标报告的起草；</w:t>
      </w:r>
    </w:p>
    <w:p w14:paraId="3185404B">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4.5配合有关部门的投诉处理工作；</w:t>
      </w:r>
    </w:p>
    <w:p w14:paraId="089A52CF">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4.6配合招标人、招标代理机构答复投标供应商提出的质疑。</w:t>
      </w:r>
    </w:p>
    <w:p w14:paraId="6E194454">
      <w:pPr>
        <w:keepNext w:val="0"/>
        <w:keepLines w:val="0"/>
        <w:pageBreakBefore w:val="0"/>
        <w:tabs>
          <w:tab w:val="left" w:pos="1547"/>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 评标程序</w:t>
      </w:r>
    </w:p>
    <w:p w14:paraId="103E4A41">
      <w:pPr>
        <w:pStyle w:val="19"/>
        <w:keepNext w:val="0"/>
        <w:keepLines w:val="0"/>
        <w:pageBreakBefore w:val="0"/>
        <w:tabs>
          <w:tab w:val="left" w:pos="720"/>
          <w:tab w:val="clear" w:pos="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bCs/>
          <w:color w:val="auto"/>
          <w:szCs w:val="21"/>
          <w:highlight w:val="none"/>
          <w:lang w:eastAsia="zh-CN" w:bidi="ar-SA"/>
        </w:rPr>
      </w:pPr>
      <w:r>
        <w:rPr>
          <w:rFonts w:hint="eastAsia" w:ascii="仿宋" w:hAnsi="仿宋" w:eastAsia="仿宋" w:cs="仿宋"/>
          <w:bCs/>
          <w:color w:val="auto"/>
          <w:szCs w:val="21"/>
          <w:highlight w:val="none"/>
          <w:lang w:eastAsia="zh-CN" w:bidi="ar-SA"/>
        </w:rPr>
        <w:t>5.1本次评标首先由评标委员会对供应商的投标文件进行初审，对未能通过初审的投标文件作无效标处理；</w:t>
      </w:r>
    </w:p>
    <w:p w14:paraId="3C81CC36">
      <w:pPr>
        <w:keepNext w:val="0"/>
        <w:keepLines w:val="0"/>
        <w:pageBreakBefore w:val="0"/>
        <w:tabs>
          <w:tab w:val="left" w:pos="72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5.2对通过初审的供应商的投标文件进行详细的比较和评价。如需要，进行必要的澄清工作；</w:t>
      </w:r>
    </w:p>
    <w:p w14:paraId="1B7DB08C">
      <w:pPr>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仿宋" w:hAnsi="仿宋" w:eastAsia="仿宋" w:cs="仿宋"/>
          <w:b/>
          <w:bCs/>
          <w:color w:val="auto"/>
          <w:sz w:val="36"/>
          <w:szCs w:val="36"/>
          <w:highlight w:val="none"/>
          <w:lang w:eastAsia="zh-CN" w:bidi="ar-SA"/>
        </w:rPr>
      </w:pPr>
      <w:r>
        <w:rPr>
          <w:rFonts w:hint="eastAsia" w:ascii="仿宋" w:hAnsi="仿宋" w:eastAsia="仿宋" w:cs="仿宋"/>
          <w:color w:val="auto"/>
          <w:szCs w:val="21"/>
          <w:highlight w:val="none"/>
          <w:lang w:eastAsia="zh-CN" w:bidi="ar-SA"/>
        </w:rPr>
        <w:t>5.3依据评分标准以及各项权值，各位评委单独就每个供应商的投标文件进行价格、技术、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14:paraId="5E4A3362">
      <w:pPr>
        <w:jc w:val="center"/>
        <w:outlineLvl w:val="1"/>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  投标文件初审</w:t>
      </w:r>
      <w:bookmarkEnd w:id="36"/>
      <w:bookmarkEnd w:id="37"/>
    </w:p>
    <w:p w14:paraId="2611F585">
      <w:pPr>
        <w:spacing w:line="400" w:lineRule="exact"/>
        <w:ind w:firstLine="354"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6.资格性审查:</w:t>
      </w:r>
    </w:p>
    <w:p w14:paraId="47371CEA">
      <w:pPr>
        <w:spacing w:line="40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.1评审细则</w:t>
      </w:r>
      <w:r>
        <w:rPr>
          <w:rFonts w:hint="eastAsia" w:ascii="仿宋" w:hAnsi="仿宋" w:eastAsia="仿宋" w:cs="仿宋"/>
          <w:color w:val="auto"/>
          <w:szCs w:val="21"/>
          <w:highlight w:val="none"/>
          <w:lang w:val="en-US" w:eastAsia="zh-CN"/>
        </w:rPr>
        <w:t xml:space="preserve">  </w:t>
      </w:r>
    </w:p>
    <w:tbl>
      <w:tblPr>
        <w:tblStyle w:val="24"/>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95"/>
        <w:gridCol w:w="7662"/>
        <w:gridCol w:w="525"/>
        <w:gridCol w:w="568"/>
      </w:tblGrid>
      <w:tr w14:paraId="5579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Merge w:val="restart"/>
            <w:vAlign w:val="center"/>
          </w:tcPr>
          <w:p w14:paraId="3B29CB88">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8157" w:type="dxa"/>
            <w:gridSpan w:val="2"/>
            <w:vMerge w:val="restart"/>
            <w:vAlign w:val="center"/>
          </w:tcPr>
          <w:p w14:paraId="5CABF44C">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1093" w:type="dxa"/>
            <w:gridSpan w:val="2"/>
            <w:vAlign w:val="center"/>
          </w:tcPr>
          <w:p w14:paraId="690057A8">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评审意见</w:t>
            </w:r>
          </w:p>
        </w:tc>
      </w:tr>
      <w:tr w14:paraId="4FD0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6" w:type="dxa"/>
            <w:vMerge w:val="continue"/>
            <w:vAlign w:val="center"/>
          </w:tcPr>
          <w:p w14:paraId="4A080D02">
            <w:pPr>
              <w:rPr>
                <w:rFonts w:ascii="仿宋" w:hAnsi="仿宋" w:eastAsia="仿宋" w:cs="仿宋"/>
                <w:color w:val="auto"/>
                <w:sz w:val="18"/>
                <w:szCs w:val="21"/>
                <w:highlight w:val="none"/>
              </w:rPr>
            </w:pPr>
          </w:p>
        </w:tc>
        <w:tc>
          <w:tcPr>
            <w:tcW w:w="8157" w:type="dxa"/>
            <w:gridSpan w:val="2"/>
            <w:vMerge w:val="continue"/>
          </w:tcPr>
          <w:p w14:paraId="0D1D5E79">
            <w:pPr>
              <w:rPr>
                <w:rFonts w:ascii="仿宋" w:hAnsi="仿宋" w:eastAsia="仿宋" w:cs="仿宋"/>
                <w:color w:val="auto"/>
                <w:sz w:val="18"/>
                <w:szCs w:val="21"/>
                <w:highlight w:val="none"/>
              </w:rPr>
            </w:pPr>
          </w:p>
        </w:tc>
        <w:tc>
          <w:tcPr>
            <w:tcW w:w="525" w:type="dxa"/>
            <w:vAlign w:val="center"/>
          </w:tcPr>
          <w:p w14:paraId="5A97CC6D">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w:t>
            </w:r>
          </w:p>
        </w:tc>
        <w:tc>
          <w:tcPr>
            <w:tcW w:w="568" w:type="dxa"/>
            <w:vAlign w:val="center"/>
          </w:tcPr>
          <w:p w14:paraId="49DCD06C">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否</w:t>
            </w:r>
          </w:p>
        </w:tc>
      </w:tr>
      <w:tr w14:paraId="629B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continue"/>
            <w:vAlign w:val="center"/>
          </w:tcPr>
          <w:p w14:paraId="1209BC8D">
            <w:pPr>
              <w:jc w:val="center"/>
              <w:rPr>
                <w:rFonts w:ascii="仿宋" w:hAnsi="仿宋" w:eastAsia="仿宋" w:cs="仿宋"/>
                <w:color w:val="auto"/>
                <w:szCs w:val="21"/>
                <w:highlight w:val="none"/>
                <w:lang w:eastAsia="zh-CN"/>
              </w:rPr>
            </w:pPr>
          </w:p>
        </w:tc>
        <w:tc>
          <w:tcPr>
            <w:tcW w:w="495" w:type="dxa"/>
            <w:vAlign w:val="center"/>
          </w:tcPr>
          <w:p w14:paraId="7CBA431D">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c>
          <w:tcPr>
            <w:tcW w:w="7662" w:type="dxa"/>
            <w:vAlign w:val="center"/>
          </w:tcPr>
          <w:p w14:paraId="5E8F86D9">
            <w:pPr>
              <w:widowControl/>
              <w:textAlignment w:val="center"/>
              <w:rPr>
                <w:rFonts w:ascii="仿宋" w:hAnsi="仿宋" w:eastAsia="仿宋" w:cs="仿宋"/>
                <w:color w:val="auto"/>
                <w:highlight w:val="none"/>
                <w:lang w:eastAsia="zh-CN"/>
              </w:rPr>
            </w:pPr>
            <w:r>
              <w:rPr>
                <w:rFonts w:ascii="仿宋" w:hAnsi="仿宋" w:eastAsia="仿宋" w:cs="仿宋"/>
                <w:color w:val="auto"/>
                <w:highlight w:val="none"/>
                <w:lang w:eastAsia="zh-CN"/>
              </w:rPr>
              <w:t>具有独立承担民事责任能力的法人、其他组织或自然人，法人或者其他组织须提供营业执照等证明文件，自然人须提供身份证明；</w:t>
            </w:r>
          </w:p>
        </w:tc>
        <w:tc>
          <w:tcPr>
            <w:tcW w:w="525" w:type="dxa"/>
          </w:tcPr>
          <w:p w14:paraId="5C8F87B0">
            <w:pPr>
              <w:rPr>
                <w:rFonts w:ascii="仿宋" w:hAnsi="仿宋" w:eastAsia="仿宋" w:cs="仿宋"/>
                <w:color w:val="auto"/>
                <w:szCs w:val="21"/>
                <w:highlight w:val="none"/>
                <w:lang w:eastAsia="zh-CN"/>
              </w:rPr>
            </w:pPr>
          </w:p>
        </w:tc>
        <w:tc>
          <w:tcPr>
            <w:tcW w:w="568" w:type="dxa"/>
          </w:tcPr>
          <w:p w14:paraId="07EE1A20">
            <w:pPr>
              <w:rPr>
                <w:rFonts w:ascii="仿宋" w:hAnsi="仿宋" w:eastAsia="仿宋" w:cs="仿宋"/>
                <w:color w:val="auto"/>
                <w:szCs w:val="21"/>
                <w:highlight w:val="none"/>
                <w:lang w:eastAsia="zh-CN"/>
              </w:rPr>
            </w:pPr>
          </w:p>
        </w:tc>
      </w:tr>
      <w:tr w14:paraId="79A2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continue"/>
            <w:vAlign w:val="center"/>
          </w:tcPr>
          <w:p w14:paraId="5E958CF8">
            <w:pPr>
              <w:jc w:val="center"/>
              <w:rPr>
                <w:rFonts w:ascii="仿宋" w:hAnsi="仿宋" w:eastAsia="仿宋" w:cs="仿宋"/>
                <w:color w:val="auto"/>
                <w:szCs w:val="21"/>
                <w:highlight w:val="none"/>
                <w:lang w:eastAsia="zh-CN"/>
              </w:rPr>
            </w:pPr>
          </w:p>
        </w:tc>
        <w:tc>
          <w:tcPr>
            <w:tcW w:w="495" w:type="dxa"/>
            <w:vAlign w:val="center"/>
          </w:tcPr>
          <w:p w14:paraId="7C8590D0">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7662" w:type="dxa"/>
            <w:vAlign w:val="center"/>
          </w:tcPr>
          <w:p w14:paraId="04289FE5">
            <w:pPr>
              <w:widowControl/>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法定代表人投标需提供法定代表人资格证明书，委托代理人投标需提供法定代表人授权委托书</w:t>
            </w:r>
          </w:p>
        </w:tc>
        <w:tc>
          <w:tcPr>
            <w:tcW w:w="525" w:type="dxa"/>
          </w:tcPr>
          <w:p w14:paraId="0EC85024">
            <w:pPr>
              <w:rPr>
                <w:rFonts w:ascii="仿宋" w:hAnsi="仿宋" w:eastAsia="仿宋" w:cs="仿宋"/>
                <w:color w:val="auto"/>
                <w:szCs w:val="21"/>
                <w:highlight w:val="none"/>
                <w:lang w:eastAsia="zh-CN"/>
              </w:rPr>
            </w:pPr>
          </w:p>
        </w:tc>
        <w:tc>
          <w:tcPr>
            <w:tcW w:w="568" w:type="dxa"/>
          </w:tcPr>
          <w:p w14:paraId="242057CD">
            <w:pPr>
              <w:rPr>
                <w:rFonts w:ascii="仿宋" w:hAnsi="仿宋" w:eastAsia="仿宋" w:cs="仿宋"/>
                <w:color w:val="auto"/>
                <w:szCs w:val="21"/>
                <w:highlight w:val="none"/>
                <w:lang w:eastAsia="zh-CN"/>
              </w:rPr>
            </w:pPr>
          </w:p>
        </w:tc>
      </w:tr>
      <w:tr w14:paraId="6C9C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vAlign w:val="center"/>
          </w:tcPr>
          <w:p w14:paraId="759EFB0B">
            <w:pPr>
              <w:rPr>
                <w:rFonts w:ascii="仿宋" w:hAnsi="仿宋" w:eastAsia="仿宋" w:cs="仿宋"/>
                <w:color w:val="auto"/>
                <w:highlight w:val="none"/>
                <w:lang w:eastAsia="zh-CN"/>
              </w:rPr>
            </w:pPr>
          </w:p>
        </w:tc>
        <w:tc>
          <w:tcPr>
            <w:tcW w:w="495" w:type="dxa"/>
            <w:vAlign w:val="center"/>
          </w:tcPr>
          <w:p w14:paraId="03B171D1">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7662" w:type="dxa"/>
            <w:vAlign w:val="center"/>
          </w:tcPr>
          <w:p w14:paraId="1C9DCD26">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具有履行合同所必需的设备和专业技术能力的承诺函；</w:t>
            </w:r>
          </w:p>
        </w:tc>
        <w:tc>
          <w:tcPr>
            <w:tcW w:w="525" w:type="dxa"/>
          </w:tcPr>
          <w:p w14:paraId="545B7C8B">
            <w:pPr>
              <w:rPr>
                <w:rFonts w:ascii="仿宋" w:hAnsi="仿宋" w:eastAsia="仿宋" w:cs="仿宋"/>
                <w:color w:val="auto"/>
                <w:szCs w:val="21"/>
                <w:highlight w:val="none"/>
                <w:lang w:eastAsia="zh-CN"/>
              </w:rPr>
            </w:pPr>
          </w:p>
        </w:tc>
        <w:tc>
          <w:tcPr>
            <w:tcW w:w="568" w:type="dxa"/>
          </w:tcPr>
          <w:p w14:paraId="15F9301B">
            <w:pPr>
              <w:rPr>
                <w:rFonts w:ascii="仿宋" w:hAnsi="仿宋" w:eastAsia="仿宋" w:cs="仿宋"/>
                <w:color w:val="auto"/>
                <w:szCs w:val="21"/>
                <w:highlight w:val="none"/>
                <w:lang w:eastAsia="zh-CN"/>
              </w:rPr>
            </w:pPr>
          </w:p>
        </w:tc>
      </w:tr>
      <w:tr w14:paraId="75F8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vAlign w:val="center"/>
          </w:tcPr>
          <w:p w14:paraId="71B17D50">
            <w:pPr>
              <w:rPr>
                <w:rFonts w:ascii="仿宋" w:hAnsi="仿宋" w:eastAsia="仿宋" w:cs="仿宋"/>
                <w:color w:val="auto"/>
                <w:highlight w:val="none"/>
                <w:lang w:eastAsia="zh-CN"/>
              </w:rPr>
            </w:pPr>
          </w:p>
        </w:tc>
        <w:tc>
          <w:tcPr>
            <w:tcW w:w="495" w:type="dxa"/>
            <w:vAlign w:val="center"/>
          </w:tcPr>
          <w:p w14:paraId="7A21C44D">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7662" w:type="dxa"/>
            <w:vAlign w:val="center"/>
          </w:tcPr>
          <w:p w14:paraId="06A0CE66">
            <w:pPr>
              <w:pStyle w:val="33"/>
              <w:keepNext w:val="0"/>
              <w:keepLines w:val="0"/>
              <w:pageBreakBefore w:val="0"/>
              <w:kinsoku/>
              <w:wordWrap/>
              <w:overflowPunct/>
              <w:topLinePunct w:val="0"/>
              <w:autoSpaceDE/>
              <w:autoSpaceDN/>
              <w:bidi w:val="0"/>
              <w:spacing w:line="36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投标人须具备投标截止之日起半年内任意两个月的纳税证明或完税证明，依法免税的单位应提供相关证明材料；</w:t>
            </w:r>
          </w:p>
        </w:tc>
        <w:tc>
          <w:tcPr>
            <w:tcW w:w="525" w:type="dxa"/>
          </w:tcPr>
          <w:p w14:paraId="3F928064">
            <w:pPr>
              <w:rPr>
                <w:rFonts w:ascii="仿宋" w:hAnsi="仿宋" w:eastAsia="仿宋" w:cs="仿宋"/>
                <w:color w:val="auto"/>
                <w:szCs w:val="21"/>
                <w:highlight w:val="none"/>
                <w:lang w:eastAsia="zh-CN"/>
              </w:rPr>
            </w:pPr>
          </w:p>
        </w:tc>
        <w:tc>
          <w:tcPr>
            <w:tcW w:w="568" w:type="dxa"/>
          </w:tcPr>
          <w:p w14:paraId="13564BCC">
            <w:pPr>
              <w:rPr>
                <w:rFonts w:ascii="仿宋" w:hAnsi="仿宋" w:eastAsia="仿宋" w:cs="仿宋"/>
                <w:color w:val="auto"/>
                <w:szCs w:val="21"/>
                <w:highlight w:val="none"/>
                <w:lang w:eastAsia="zh-CN"/>
              </w:rPr>
            </w:pPr>
          </w:p>
        </w:tc>
      </w:tr>
      <w:tr w14:paraId="62B0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36" w:type="dxa"/>
            <w:vMerge w:val="continue"/>
            <w:vAlign w:val="center"/>
          </w:tcPr>
          <w:p w14:paraId="633E9F5D">
            <w:pPr>
              <w:rPr>
                <w:rFonts w:ascii="仿宋" w:hAnsi="仿宋" w:eastAsia="仿宋" w:cs="仿宋"/>
                <w:color w:val="auto"/>
                <w:highlight w:val="none"/>
                <w:lang w:eastAsia="zh-CN"/>
              </w:rPr>
            </w:pPr>
          </w:p>
        </w:tc>
        <w:tc>
          <w:tcPr>
            <w:tcW w:w="495" w:type="dxa"/>
            <w:vAlign w:val="center"/>
          </w:tcPr>
          <w:p w14:paraId="08EC97F2">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7662" w:type="dxa"/>
            <w:vAlign w:val="center"/>
          </w:tcPr>
          <w:p w14:paraId="530E6A3E">
            <w:pPr>
              <w:widowControl/>
              <w:textAlignment w:val="center"/>
              <w:rPr>
                <w:rFonts w:ascii="仿宋" w:hAnsi="仿宋" w:eastAsia="仿宋" w:cs="仿宋"/>
                <w:color w:val="auto"/>
                <w:highlight w:val="none"/>
                <w:lang w:eastAsia="zh-CN"/>
              </w:rPr>
            </w:pPr>
            <w:r>
              <w:rPr>
                <w:rFonts w:ascii="仿宋" w:hAnsi="仿宋" w:eastAsia="仿宋" w:cs="仿宋"/>
                <w:color w:val="auto"/>
                <w:highlight w:val="none"/>
                <w:lang w:eastAsia="zh-CN"/>
              </w:rPr>
              <w:t>投标人</w:t>
            </w:r>
            <w:r>
              <w:rPr>
                <w:rFonts w:hint="eastAsia" w:ascii="仿宋" w:hAnsi="仿宋" w:eastAsia="仿宋" w:cs="仿宋"/>
                <w:color w:val="auto"/>
                <w:highlight w:val="none"/>
                <w:lang w:eastAsia="zh-CN"/>
              </w:rPr>
              <w:t>须具备投标截止之日起半年内任意两个月</w:t>
            </w:r>
            <w:r>
              <w:rPr>
                <w:rFonts w:ascii="仿宋" w:hAnsi="仿宋" w:eastAsia="仿宋" w:cs="仿宋"/>
                <w:color w:val="auto"/>
                <w:highlight w:val="none"/>
                <w:lang w:eastAsia="zh-CN"/>
              </w:rPr>
              <w:t>的</w:t>
            </w:r>
            <w:r>
              <w:rPr>
                <w:rFonts w:hint="eastAsia" w:ascii="仿宋" w:hAnsi="仿宋" w:eastAsia="仿宋" w:cs="仿宋"/>
                <w:color w:val="auto"/>
                <w:highlight w:val="none"/>
                <w:lang w:eastAsia="zh-CN"/>
              </w:rPr>
              <w:t>缴纳</w:t>
            </w:r>
            <w:r>
              <w:rPr>
                <w:rFonts w:ascii="仿宋" w:hAnsi="仿宋" w:eastAsia="仿宋" w:cs="仿宋"/>
                <w:color w:val="auto"/>
                <w:highlight w:val="none"/>
                <w:lang w:eastAsia="zh-CN"/>
              </w:rPr>
              <w:t>社会保障资金的证明材料，依法不需要缴纳社会保障资金的单位应提供相关证明材料；</w:t>
            </w:r>
          </w:p>
        </w:tc>
        <w:tc>
          <w:tcPr>
            <w:tcW w:w="525" w:type="dxa"/>
          </w:tcPr>
          <w:p w14:paraId="05DCEB6E">
            <w:pPr>
              <w:rPr>
                <w:rFonts w:ascii="仿宋" w:hAnsi="仿宋" w:eastAsia="仿宋" w:cs="仿宋"/>
                <w:color w:val="auto"/>
                <w:szCs w:val="21"/>
                <w:highlight w:val="none"/>
                <w:lang w:eastAsia="zh-CN"/>
              </w:rPr>
            </w:pPr>
          </w:p>
        </w:tc>
        <w:tc>
          <w:tcPr>
            <w:tcW w:w="568" w:type="dxa"/>
          </w:tcPr>
          <w:p w14:paraId="421F056E">
            <w:pPr>
              <w:rPr>
                <w:rFonts w:ascii="仿宋" w:hAnsi="仿宋" w:eastAsia="仿宋" w:cs="仿宋"/>
                <w:color w:val="auto"/>
                <w:szCs w:val="21"/>
                <w:highlight w:val="none"/>
                <w:lang w:eastAsia="zh-CN"/>
              </w:rPr>
            </w:pPr>
          </w:p>
        </w:tc>
      </w:tr>
      <w:tr w14:paraId="7831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36" w:type="dxa"/>
            <w:vMerge w:val="continue"/>
            <w:vAlign w:val="center"/>
          </w:tcPr>
          <w:p w14:paraId="0772CFA2">
            <w:pPr>
              <w:rPr>
                <w:rFonts w:ascii="仿宋" w:hAnsi="仿宋" w:eastAsia="仿宋" w:cs="仿宋"/>
                <w:color w:val="auto"/>
                <w:highlight w:val="none"/>
                <w:lang w:eastAsia="zh-CN"/>
              </w:rPr>
            </w:pPr>
          </w:p>
        </w:tc>
        <w:tc>
          <w:tcPr>
            <w:tcW w:w="495" w:type="dxa"/>
            <w:vAlign w:val="center"/>
          </w:tcPr>
          <w:p w14:paraId="65190C3B">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7662" w:type="dxa"/>
            <w:vAlign w:val="center"/>
          </w:tcPr>
          <w:p w14:paraId="6BD87CAB">
            <w:pPr>
              <w:widowControl/>
              <w:textAlignment w:val="center"/>
              <w:rPr>
                <w:rFonts w:ascii="仿宋" w:hAnsi="仿宋" w:eastAsia="仿宋" w:cs="仿宋"/>
                <w:color w:val="auto"/>
                <w:highlight w:val="none"/>
                <w:lang w:eastAsia="zh-CN"/>
              </w:rPr>
            </w:pPr>
            <w:r>
              <w:rPr>
                <w:rFonts w:ascii="仿宋" w:hAnsi="仿宋" w:eastAsia="仿宋" w:cs="仿宋"/>
                <w:color w:val="auto"/>
                <w:highlight w:val="none"/>
                <w:lang w:eastAsia="zh-CN"/>
              </w:rPr>
              <w:t>提供</w:t>
            </w:r>
            <w:r>
              <w:rPr>
                <w:rFonts w:hint="eastAsia" w:ascii="仿宋" w:hAnsi="仿宋" w:eastAsia="仿宋" w:cs="仿宋"/>
                <w:color w:val="auto"/>
                <w:highlight w:val="none"/>
                <w:lang w:eastAsia="zh-CN"/>
              </w:rPr>
              <w:t>近一年202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年度</w:t>
            </w:r>
            <w:r>
              <w:rPr>
                <w:rFonts w:ascii="仿宋" w:hAnsi="仿宋" w:eastAsia="仿宋" w:cs="仿宋"/>
                <w:color w:val="auto"/>
                <w:highlight w:val="none"/>
                <w:lang w:eastAsia="zh-CN"/>
              </w:rPr>
              <w:t>经审计的财务报告（包括审计报告、资产负债表和利润表，成立时间至</w:t>
            </w:r>
            <w:r>
              <w:rPr>
                <w:rFonts w:hint="eastAsia" w:ascii="仿宋" w:hAnsi="仿宋" w:eastAsia="仿宋" w:cs="仿宋"/>
                <w:color w:val="auto"/>
                <w:highlight w:val="none"/>
                <w:lang w:eastAsia="zh-CN"/>
              </w:rPr>
              <w:t>投标</w:t>
            </w:r>
            <w:r>
              <w:rPr>
                <w:rFonts w:ascii="仿宋" w:hAnsi="仿宋" w:eastAsia="仿宋" w:cs="仿宋"/>
                <w:color w:val="auto"/>
                <w:highlight w:val="none"/>
                <w:lang w:eastAsia="zh-CN"/>
              </w:rPr>
              <w:t>截止时间不足一年的可提供成立后任意时段的资产负债表）；</w:t>
            </w:r>
            <w:r>
              <w:rPr>
                <w:rFonts w:hint="eastAsia" w:ascii="仿宋" w:hAnsi="仿宋" w:eastAsia="仿宋" w:cs="仿宋"/>
                <w:color w:val="auto"/>
                <w:highlight w:val="none"/>
                <w:lang w:eastAsia="zh-CN"/>
              </w:rPr>
              <w:t>成立时间至投标截止时间不足一年的可提供成立后任意时段的资产负债表）；或其开标前三个月内基本存款账户开户银行出具的资信证明及基本存款账户开户许可证（或基本存款账户信息相关证明文件）；或信用担保机构出具的投标担保函；</w:t>
            </w:r>
          </w:p>
        </w:tc>
        <w:tc>
          <w:tcPr>
            <w:tcW w:w="525" w:type="dxa"/>
          </w:tcPr>
          <w:p w14:paraId="044AEAE2">
            <w:pPr>
              <w:rPr>
                <w:rFonts w:ascii="仿宋" w:hAnsi="仿宋" w:eastAsia="仿宋" w:cs="仿宋"/>
                <w:color w:val="auto"/>
                <w:szCs w:val="21"/>
                <w:highlight w:val="none"/>
                <w:lang w:eastAsia="zh-CN"/>
              </w:rPr>
            </w:pPr>
          </w:p>
        </w:tc>
        <w:tc>
          <w:tcPr>
            <w:tcW w:w="568" w:type="dxa"/>
          </w:tcPr>
          <w:p w14:paraId="2A5D2D1A">
            <w:pPr>
              <w:rPr>
                <w:rFonts w:ascii="仿宋" w:hAnsi="仿宋" w:eastAsia="仿宋" w:cs="仿宋"/>
                <w:color w:val="auto"/>
                <w:szCs w:val="21"/>
                <w:highlight w:val="none"/>
                <w:lang w:eastAsia="zh-CN"/>
              </w:rPr>
            </w:pPr>
          </w:p>
        </w:tc>
      </w:tr>
      <w:tr w14:paraId="1340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36" w:type="dxa"/>
            <w:vMerge w:val="continue"/>
            <w:vAlign w:val="center"/>
          </w:tcPr>
          <w:p w14:paraId="0D1C102A">
            <w:pPr>
              <w:rPr>
                <w:rFonts w:ascii="仿宋" w:hAnsi="仿宋" w:eastAsia="仿宋" w:cs="仿宋"/>
                <w:color w:val="auto"/>
                <w:highlight w:val="none"/>
                <w:lang w:eastAsia="zh-CN"/>
              </w:rPr>
            </w:pPr>
          </w:p>
        </w:tc>
        <w:tc>
          <w:tcPr>
            <w:tcW w:w="495" w:type="dxa"/>
            <w:vAlign w:val="center"/>
          </w:tcPr>
          <w:p w14:paraId="77566CC7">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7662" w:type="dxa"/>
            <w:vAlign w:val="center"/>
          </w:tcPr>
          <w:p w14:paraId="2550DC09">
            <w:pPr>
              <w:widowControl/>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投标供应商具有有效期内的《食品经营许可证》或《食品生产许可证》</w:t>
            </w:r>
          </w:p>
        </w:tc>
        <w:tc>
          <w:tcPr>
            <w:tcW w:w="525" w:type="dxa"/>
          </w:tcPr>
          <w:p w14:paraId="074F237D">
            <w:pPr>
              <w:rPr>
                <w:rFonts w:ascii="仿宋" w:hAnsi="仿宋" w:eastAsia="仿宋" w:cs="仿宋"/>
                <w:color w:val="auto"/>
                <w:szCs w:val="21"/>
                <w:highlight w:val="none"/>
                <w:lang w:eastAsia="zh-CN"/>
              </w:rPr>
            </w:pPr>
          </w:p>
        </w:tc>
        <w:tc>
          <w:tcPr>
            <w:tcW w:w="568" w:type="dxa"/>
          </w:tcPr>
          <w:p w14:paraId="7EEDE992">
            <w:pPr>
              <w:rPr>
                <w:rFonts w:ascii="仿宋" w:hAnsi="仿宋" w:eastAsia="仿宋" w:cs="仿宋"/>
                <w:color w:val="auto"/>
                <w:szCs w:val="21"/>
                <w:highlight w:val="none"/>
                <w:lang w:eastAsia="zh-CN"/>
              </w:rPr>
            </w:pPr>
          </w:p>
        </w:tc>
      </w:tr>
      <w:tr w14:paraId="12FF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36" w:type="dxa"/>
            <w:vMerge w:val="continue"/>
            <w:vAlign w:val="center"/>
          </w:tcPr>
          <w:p w14:paraId="1152C92A">
            <w:pPr>
              <w:rPr>
                <w:rFonts w:ascii="仿宋" w:hAnsi="仿宋" w:eastAsia="仿宋" w:cs="仿宋"/>
                <w:color w:val="auto"/>
                <w:highlight w:val="none"/>
                <w:lang w:eastAsia="zh-CN"/>
              </w:rPr>
            </w:pPr>
          </w:p>
        </w:tc>
        <w:tc>
          <w:tcPr>
            <w:tcW w:w="495" w:type="dxa"/>
            <w:vAlign w:val="center"/>
          </w:tcPr>
          <w:p w14:paraId="05E96685">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7662" w:type="dxa"/>
            <w:vAlign w:val="center"/>
          </w:tcPr>
          <w:p w14:paraId="6D355CCB">
            <w:pPr>
              <w:widowControl/>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25" w:type="dxa"/>
          </w:tcPr>
          <w:p w14:paraId="5EB2EDD6">
            <w:pPr>
              <w:rPr>
                <w:rFonts w:ascii="仿宋" w:hAnsi="仿宋" w:eastAsia="仿宋" w:cs="仿宋"/>
                <w:color w:val="auto"/>
                <w:szCs w:val="21"/>
                <w:highlight w:val="none"/>
                <w:lang w:eastAsia="zh-CN"/>
              </w:rPr>
            </w:pPr>
          </w:p>
        </w:tc>
        <w:tc>
          <w:tcPr>
            <w:tcW w:w="568" w:type="dxa"/>
          </w:tcPr>
          <w:p w14:paraId="0BA9DB4A">
            <w:pPr>
              <w:rPr>
                <w:rFonts w:ascii="仿宋" w:hAnsi="仿宋" w:eastAsia="仿宋" w:cs="仿宋"/>
                <w:color w:val="auto"/>
                <w:szCs w:val="21"/>
                <w:highlight w:val="none"/>
                <w:lang w:eastAsia="zh-CN"/>
              </w:rPr>
            </w:pPr>
          </w:p>
        </w:tc>
      </w:tr>
      <w:tr w14:paraId="25CA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6" w:type="dxa"/>
            <w:vMerge w:val="continue"/>
            <w:vAlign w:val="center"/>
          </w:tcPr>
          <w:p w14:paraId="55E7EE82">
            <w:pPr>
              <w:jc w:val="center"/>
              <w:rPr>
                <w:rFonts w:ascii="仿宋" w:hAnsi="仿宋" w:eastAsia="仿宋" w:cs="仿宋"/>
                <w:color w:val="auto"/>
                <w:szCs w:val="21"/>
                <w:highlight w:val="none"/>
                <w:lang w:eastAsia="zh-CN"/>
              </w:rPr>
            </w:pPr>
          </w:p>
        </w:tc>
        <w:tc>
          <w:tcPr>
            <w:tcW w:w="495" w:type="dxa"/>
          </w:tcPr>
          <w:p w14:paraId="73BB6232">
            <w:pPr>
              <w:spacing w:line="440" w:lineRule="exact"/>
              <w:rPr>
                <w:rFonts w:hint="default" w:ascii="仿宋" w:hAnsi="仿宋" w:eastAsia="仿宋" w:cs="仿宋"/>
                <w:color w:val="auto"/>
                <w:szCs w:val="21"/>
                <w:highlight w:val="none"/>
                <w:lang w:val="en-US" w:eastAsia="zh-CN"/>
              </w:rPr>
            </w:pPr>
          </w:p>
        </w:tc>
        <w:tc>
          <w:tcPr>
            <w:tcW w:w="7662" w:type="dxa"/>
          </w:tcPr>
          <w:p w14:paraId="4E91CF21">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2DA5475C">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093" w:type="dxa"/>
            <w:gridSpan w:val="2"/>
          </w:tcPr>
          <w:p w14:paraId="3349F05F">
            <w:pPr>
              <w:rPr>
                <w:rFonts w:ascii="仿宋" w:hAnsi="仿宋" w:eastAsia="仿宋" w:cs="仿宋"/>
                <w:color w:val="auto"/>
                <w:szCs w:val="21"/>
                <w:highlight w:val="none"/>
                <w:lang w:eastAsia="zh-CN"/>
              </w:rPr>
            </w:pPr>
          </w:p>
        </w:tc>
      </w:tr>
    </w:tbl>
    <w:p w14:paraId="130BDB85">
      <w:pPr>
        <w:spacing w:line="400" w:lineRule="exact"/>
        <w:ind w:firstLine="581" w:firstLineChars="241"/>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4B827BE1">
      <w:pPr>
        <w:spacing w:beforeLines="50" w:line="440" w:lineRule="exact"/>
        <w:ind w:firstLine="354" w:firstLineChars="147"/>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7</w:t>
      </w:r>
      <w:r>
        <w:rPr>
          <w:rFonts w:hint="eastAsia" w:ascii="仿宋" w:hAnsi="仿宋" w:eastAsia="仿宋" w:cs="仿宋"/>
          <w:b/>
          <w:color w:val="auto"/>
          <w:szCs w:val="21"/>
          <w:highlight w:val="none"/>
        </w:rPr>
        <w:t>.符合性审查</w:t>
      </w:r>
    </w:p>
    <w:p w14:paraId="13605DFA">
      <w:pPr>
        <w:spacing w:line="440" w:lineRule="exact"/>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．1评审细则</w:t>
      </w:r>
    </w:p>
    <w:tbl>
      <w:tblPr>
        <w:tblStyle w:val="24"/>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7B2FC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78C1805B">
            <w:pPr>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77F27F57">
            <w:pPr>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793D5053">
            <w:pPr>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5D81A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0EE3BF9C">
            <w:pPr>
              <w:rPr>
                <w:rFonts w:ascii="仿宋" w:hAnsi="仿宋" w:eastAsia="仿宋" w:cs="仿宋"/>
                <w:color w:val="auto"/>
                <w:highlight w:val="none"/>
              </w:rPr>
            </w:pPr>
          </w:p>
        </w:tc>
        <w:tc>
          <w:tcPr>
            <w:tcW w:w="6975" w:type="dxa"/>
            <w:gridSpan w:val="2"/>
            <w:vMerge w:val="continue"/>
            <w:tcBorders>
              <w:bottom w:val="single" w:color="auto" w:sz="4" w:space="0"/>
            </w:tcBorders>
          </w:tcPr>
          <w:p w14:paraId="759F335F">
            <w:pPr>
              <w:rPr>
                <w:rFonts w:ascii="仿宋" w:hAnsi="仿宋" w:eastAsia="仿宋" w:cs="仿宋"/>
                <w:color w:val="auto"/>
                <w:highlight w:val="none"/>
              </w:rPr>
            </w:pPr>
          </w:p>
        </w:tc>
        <w:tc>
          <w:tcPr>
            <w:tcW w:w="749" w:type="dxa"/>
            <w:vAlign w:val="center"/>
          </w:tcPr>
          <w:p w14:paraId="3156862E">
            <w:pPr>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2567905E">
            <w:pPr>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7F625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470788C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2342B30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0CB490C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29303A4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60B0933F">
            <w:pPr>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2A48DB8E">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是否按照招标文件规定要求签署、盖章；</w:t>
            </w:r>
          </w:p>
        </w:tc>
        <w:tc>
          <w:tcPr>
            <w:tcW w:w="749" w:type="dxa"/>
            <w:tcBorders>
              <w:left w:val="single" w:color="auto" w:sz="4" w:space="0"/>
              <w:right w:val="single" w:color="auto" w:sz="4" w:space="0"/>
            </w:tcBorders>
          </w:tcPr>
          <w:p w14:paraId="2C3C3C3F">
            <w:pPr>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3D643590">
            <w:pPr>
              <w:jc w:val="center"/>
              <w:rPr>
                <w:rFonts w:ascii="仿宋" w:hAnsi="仿宋" w:eastAsia="仿宋" w:cs="仿宋"/>
                <w:b/>
                <w:color w:val="auto"/>
                <w:szCs w:val="21"/>
                <w:highlight w:val="none"/>
                <w:lang w:eastAsia="zh-CN"/>
              </w:rPr>
            </w:pPr>
          </w:p>
        </w:tc>
      </w:tr>
      <w:tr w14:paraId="41D55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1094" w:type="dxa"/>
            <w:vMerge w:val="continue"/>
            <w:tcBorders>
              <w:left w:val="single" w:color="auto" w:sz="4" w:space="0"/>
              <w:right w:val="single" w:color="auto" w:sz="4" w:space="0"/>
            </w:tcBorders>
            <w:vAlign w:val="center"/>
          </w:tcPr>
          <w:p w14:paraId="0D91C294">
            <w:pPr>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76580686">
            <w:pPr>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7A23F6BC">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是否满足招标文件中实质性条款要求；</w:t>
            </w:r>
          </w:p>
        </w:tc>
        <w:tc>
          <w:tcPr>
            <w:tcW w:w="749" w:type="dxa"/>
            <w:tcBorders>
              <w:left w:val="single" w:color="auto" w:sz="4" w:space="0"/>
            </w:tcBorders>
          </w:tcPr>
          <w:p w14:paraId="2683D0D6">
            <w:pPr>
              <w:rPr>
                <w:rFonts w:ascii="仿宋" w:hAnsi="仿宋" w:eastAsia="仿宋" w:cs="仿宋"/>
                <w:color w:val="auto"/>
                <w:szCs w:val="21"/>
                <w:highlight w:val="none"/>
                <w:lang w:eastAsia="zh-CN"/>
              </w:rPr>
            </w:pPr>
          </w:p>
        </w:tc>
        <w:tc>
          <w:tcPr>
            <w:tcW w:w="617" w:type="dxa"/>
            <w:tcBorders>
              <w:right w:val="single" w:color="auto" w:sz="4" w:space="0"/>
            </w:tcBorders>
          </w:tcPr>
          <w:p w14:paraId="7B1CC6DF">
            <w:pPr>
              <w:rPr>
                <w:rFonts w:ascii="仿宋" w:hAnsi="仿宋" w:eastAsia="仿宋" w:cs="仿宋"/>
                <w:color w:val="auto"/>
                <w:szCs w:val="21"/>
                <w:highlight w:val="none"/>
                <w:lang w:eastAsia="zh-CN"/>
              </w:rPr>
            </w:pPr>
          </w:p>
        </w:tc>
      </w:tr>
      <w:tr w14:paraId="4534E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45B0AA60">
            <w:pPr>
              <w:rPr>
                <w:rFonts w:ascii="仿宋" w:hAnsi="仿宋" w:eastAsia="仿宋" w:cs="仿宋"/>
                <w:color w:val="auto"/>
                <w:highlight w:val="none"/>
                <w:lang w:eastAsia="zh-CN"/>
              </w:rPr>
            </w:pPr>
          </w:p>
        </w:tc>
        <w:tc>
          <w:tcPr>
            <w:tcW w:w="597" w:type="dxa"/>
            <w:tcBorders>
              <w:top w:val="single" w:color="auto" w:sz="4" w:space="0"/>
              <w:left w:val="single" w:color="auto" w:sz="4" w:space="0"/>
              <w:right w:val="single" w:color="auto" w:sz="4" w:space="0"/>
            </w:tcBorders>
            <w:vAlign w:val="center"/>
          </w:tcPr>
          <w:p w14:paraId="057313D4">
            <w:pPr>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78" w:type="dxa"/>
            <w:tcBorders>
              <w:top w:val="single" w:color="auto" w:sz="4" w:space="0"/>
              <w:left w:val="single" w:color="auto" w:sz="4" w:space="0"/>
              <w:right w:val="single" w:color="auto" w:sz="4" w:space="0"/>
            </w:tcBorders>
            <w:vAlign w:val="center"/>
          </w:tcPr>
          <w:p w14:paraId="7E8F712B">
            <w:pPr>
              <w:widowControl/>
              <w:textAlignment w:val="center"/>
              <w:rPr>
                <w:rFonts w:ascii="仿宋" w:hAnsi="仿宋" w:eastAsia="仿宋" w:cs="仿宋"/>
                <w:color w:val="auto"/>
                <w:highlight w:val="none"/>
              </w:rPr>
            </w:pPr>
            <w:r>
              <w:rPr>
                <w:rFonts w:hint="eastAsia" w:ascii="仿宋" w:hAnsi="仿宋" w:eastAsia="仿宋" w:cs="仿宋"/>
                <w:color w:val="auto"/>
                <w:highlight w:val="none"/>
              </w:rPr>
              <w:t>投标文件未含有采购人不能接受的附加条件；</w:t>
            </w:r>
          </w:p>
        </w:tc>
        <w:tc>
          <w:tcPr>
            <w:tcW w:w="749" w:type="dxa"/>
            <w:tcBorders>
              <w:left w:val="single" w:color="auto" w:sz="4" w:space="0"/>
            </w:tcBorders>
          </w:tcPr>
          <w:p w14:paraId="7E36E30D">
            <w:pPr>
              <w:rPr>
                <w:rFonts w:ascii="仿宋" w:hAnsi="仿宋" w:eastAsia="仿宋" w:cs="仿宋"/>
                <w:color w:val="auto"/>
                <w:szCs w:val="21"/>
                <w:highlight w:val="none"/>
              </w:rPr>
            </w:pPr>
          </w:p>
        </w:tc>
        <w:tc>
          <w:tcPr>
            <w:tcW w:w="617" w:type="dxa"/>
            <w:tcBorders>
              <w:right w:val="single" w:color="auto" w:sz="4" w:space="0"/>
            </w:tcBorders>
          </w:tcPr>
          <w:p w14:paraId="6F9C4068">
            <w:pPr>
              <w:rPr>
                <w:rFonts w:ascii="仿宋" w:hAnsi="仿宋" w:eastAsia="仿宋" w:cs="仿宋"/>
                <w:color w:val="auto"/>
                <w:szCs w:val="21"/>
                <w:highlight w:val="none"/>
              </w:rPr>
            </w:pPr>
          </w:p>
        </w:tc>
      </w:tr>
      <w:tr w14:paraId="1F83B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50CAEA95">
            <w:pPr>
              <w:rPr>
                <w:rFonts w:ascii="仿宋" w:hAnsi="仿宋" w:eastAsia="仿宋" w:cs="仿宋"/>
                <w:color w:val="auto"/>
                <w:highlight w:val="none"/>
              </w:rPr>
            </w:pPr>
          </w:p>
        </w:tc>
        <w:tc>
          <w:tcPr>
            <w:tcW w:w="597" w:type="dxa"/>
            <w:tcBorders>
              <w:left w:val="single" w:color="auto" w:sz="4" w:space="0"/>
            </w:tcBorders>
            <w:vAlign w:val="center"/>
          </w:tcPr>
          <w:p w14:paraId="087C51AB">
            <w:pPr>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78" w:type="dxa"/>
            <w:tcBorders>
              <w:right w:val="single" w:color="auto" w:sz="4" w:space="0"/>
            </w:tcBorders>
            <w:vAlign w:val="center"/>
          </w:tcPr>
          <w:p w14:paraId="2B543F60">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投标文件未存在符合法律、法规和招标文件规定的其他无效情形；</w:t>
            </w:r>
          </w:p>
        </w:tc>
        <w:tc>
          <w:tcPr>
            <w:tcW w:w="749" w:type="dxa"/>
            <w:tcBorders>
              <w:left w:val="single" w:color="auto" w:sz="4" w:space="0"/>
            </w:tcBorders>
          </w:tcPr>
          <w:p w14:paraId="0C24201F">
            <w:pPr>
              <w:rPr>
                <w:rFonts w:ascii="仿宋" w:hAnsi="仿宋" w:eastAsia="仿宋" w:cs="仿宋"/>
                <w:color w:val="auto"/>
                <w:szCs w:val="21"/>
                <w:highlight w:val="none"/>
                <w:lang w:eastAsia="zh-CN"/>
              </w:rPr>
            </w:pPr>
          </w:p>
        </w:tc>
        <w:tc>
          <w:tcPr>
            <w:tcW w:w="617" w:type="dxa"/>
            <w:tcBorders>
              <w:right w:val="single" w:color="auto" w:sz="4" w:space="0"/>
            </w:tcBorders>
          </w:tcPr>
          <w:p w14:paraId="16709185">
            <w:pPr>
              <w:rPr>
                <w:rFonts w:ascii="仿宋" w:hAnsi="仿宋" w:eastAsia="仿宋" w:cs="仿宋"/>
                <w:color w:val="auto"/>
                <w:szCs w:val="21"/>
                <w:highlight w:val="none"/>
                <w:lang w:eastAsia="zh-CN"/>
              </w:rPr>
            </w:pPr>
          </w:p>
        </w:tc>
      </w:tr>
      <w:tr w14:paraId="46035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3BF400F9">
            <w:pPr>
              <w:rPr>
                <w:rFonts w:ascii="仿宋" w:hAnsi="仿宋" w:eastAsia="仿宋" w:cs="仿宋"/>
                <w:color w:val="auto"/>
                <w:highlight w:val="none"/>
                <w:lang w:eastAsia="zh-CN"/>
              </w:rPr>
            </w:pPr>
          </w:p>
        </w:tc>
        <w:tc>
          <w:tcPr>
            <w:tcW w:w="597" w:type="dxa"/>
            <w:tcBorders>
              <w:left w:val="single" w:color="auto" w:sz="4" w:space="0"/>
              <w:bottom w:val="single" w:color="auto" w:sz="4" w:space="0"/>
            </w:tcBorders>
            <w:vAlign w:val="center"/>
          </w:tcPr>
          <w:p w14:paraId="5185598B">
            <w:pPr>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78" w:type="dxa"/>
            <w:tcBorders>
              <w:bottom w:val="single" w:color="auto" w:sz="4" w:space="0"/>
              <w:right w:val="single" w:color="auto" w:sz="4" w:space="0"/>
            </w:tcBorders>
            <w:vAlign w:val="center"/>
          </w:tcPr>
          <w:p w14:paraId="64AE999A">
            <w:pPr>
              <w:widowControl/>
              <w:textAlignment w:val="center"/>
              <w:rPr>
                <w:rFonts w:ascii="仿宋" w:hAnsi="仿宋" w:eastAsia="仿宋" w:cs="仿宋"/>
                <w:color w:val="auto"/>
                <w:highlight w:val="none"/>
                <w:lang w:eastAsia="zh-CN"/>
              </w:rPr>
            </w:pPr>
            <w:r>
              <w:rPr>
                <w:rFonts w:ascii="仿宋" w:hAnsi="仿宋" w:eastAsia="仿宋" w:cs="仿宋"/>
                <w:color w:val="auto"/>
                <w:highlight w:val="none"/>
                <w:lang w:eastAsia="zh-CN"/>
              </w:rPr>
              <w:t>投标人</w:t>
            </w:r>
            <w:r>
              <w:rPr>
                <w:rFonts w:hint="eastAsia" w:ascii="仿宋" w:hAnsi="仿宋" w:eastAsia="仿宋" w:cs="仿宋"/>
                <w:color w:val="auto"/>
                <w:highlight w:val="none"/>
                <w:lang w:eastAsia="zh-CN"/>
              </w:rPr>
              <w:t>是否</w:t>
            </w:r>
            <w:r>
              <w:rPr>
                <w:rFonts w:ascii="仿宋" w:hAnsi="仿宋" w:eastAsia="仿宋" w:cs="仿宋"/>
                <w:color w:val="auto"/>
                <w:highlight w:val="none"/>
                <w:lang w:eastAsia="zh-CN"/>
              </w:rPr>
              <w:t>按照招标文件规定提交投标保证金；</w:t>
            </w:r>
          </w:p>
        </w:tc>
        <w:tc>
          <w:tcPr>
            <w:tcW w:w="749" w:type="dxa"/>
            <w:tcBorders>
              <w:left w:val="single" w:color="auto" w:sz="4" w:space="0"/>
              <w:bottom w:val="single" w:color="auto" w:sz="4" w:space="0"/>
            </w:tcBorders>
          </w:tcPr>
          <w:p w14:paraId="7657670D">
            <w:pPr>
              <w:rPr>
                <w:rFonts w:ascii="仿宋" w:hAnsi="仿宋" w:eastAsia="仿宋" w:cs="仿宋"/>
                <w:color w:val="auto"/>
                <w:szCs w:val="21"/>
                <w:highlight w:val="none"/>
                <w:lang w:eastAsia="zh-CN"/>
              </w:rPr>
            </w:pPr>
          </w:p>
        </w:tc>
        <w:tc>
          <w:tcPr>
            <w:tcW w:w="617" w:type="dxa"/>
            <w:tcBorders>
              <w:bottom w:val="single" w:color="auto" w:sz="4" w:space="0"/>
              <w:right w:val="single" w:color="auto" w:sz="4" w:space="0"/>
            </w:tcBorders>
          </w:tcPr>
          <w:p w14:paraId="0C5BFE94">
            <w:pPr>
              <w:rPr>
                <w:rFonts w:ascii="仿宋" w:hAnsi="仿宋" w:eastAsia="仿宋" w:cs="仿宋"/>
                <w:color w:val="auto"/>
                <w:szCs w:val="21"/>
                <w:highlight w:val="none"/>
                <w:lang w:eastAsia="zh-CN"/>
              </w:rPr>
            </w:pPr>
          </w:p>
        </w:tc>
      </w:tr>
      <w:tr w14:paraId="0EAE3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56412439">
            <w:pPr>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0D1E169F">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6378" w:type="dxa"/>
            <w:tcBorders>
              <w:top w:val="single" w:color="auto" w:sz="4" w:space="0"/>
              <w:right w:val="single" w:color="auto" w:sz="4" w:space="0"/>
            </w:tcBorders>
            <w:vAlign w:val="center"/>
          </w:tcPr>
          <w:p w14:paraId="12793453">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供货服务</w:t>
            </w:r>
            <w:r>
              <w:rPr>
                <w:rFonts w:hint="eastAsia" w:ascii="仿宋" w:hAnsi="仿宋" w:eastAsia="仿宋" w:cs="仿宋"/>
                <w:color w:val="auto"/>
                <w:highlight w:val="none"/>
                <w:lang w:eastAsia="zh-CN"/>
              </w:rPr>
              <w:t>期限满足招标文件要求。</w:t>
            </w:r>
          </w:p>
        </w:tc>
        <w:tc>
          <w:tcPr>
            <w:tcW w:w="749" w:type="dxa"/>
            <w:tcBorders>
              <w:top w:val="single" w:color="auto" w:sz="4" w:space="0"/>
              <w:left w:val="single" w:color="auto" w:sz="4" w:space="0"/>
            </w:tcBorders>
          </w:tcPr>
          <w:p w14:paraId="4F6B697F">
            <w:pPr>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40FEE734">
            <w:pPr>
              <w:rPr>
                <w:rFonts w:ascii="仿宋" w:hAnsi="仿宋" w:eastAsia="仿宋" w:cs="仿宋"/>
                <w:color w:val="auto"/>
                <w:szCs w:val="21"/>
                <w:highlight w:val="none"/>
                <w:lang w:eastAsia="zh-CN"/>
              </w:rPr>
            </w:pPr>
          </w:p>
        </w:tc>
      </w:tr>
      <w:tr w14:paraId="7B2FF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2BAAD940">
            <w:pPr>
              <w:rPr>
                <w:rFonts w:ascii="仿宋" w:hAnsi="仿宋" w:eastAsia="仿宋" w:cs="仿宋"/>
                <w:color w:val="auto"/>
                <w:highlight w:val="none"/>
                <w:lang w:eastAsia="zh-CN"/>
              </w:rPr>
            </w:pPr>
          </w:p>
        </w:tc>
        <w:tc>
          <w:tcPr>
            <w:tcW w:w="597" w:type="dxa"/>
            <w:tcBorders>
              <w:left w:val="single" w:color="auto" w:sz="4" w:space="0"/>
            </w:tcBorders>
            <w:vAlign w:val="center"/>
          </w:tcPr>
          <w:p w14:paraId="5D6E9E29">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p>
        </w:tc>
        <w:tc>
          <w:tcPr>
            <w:tcW w:w="6378" w:type="dxa"/>
            <w:tcBorders>
              <w:right w:val="single" w:color="auto" w:sz="4" w:space="0"/>
            </w:tcBorders>
            <w:vAlign w:val="center"/>
          </w:tcPr>
          <w:p w14:paraId="6C9ED0C8">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投标有效期满足招标文件要求。</w:t>
            </w:r>
          </w:p>
        </w:tc>
        <w:tc>
          <w:tcPr>
            <w:tcW w:w="749" w:type="dxa"/>
            <w:tcBorders>
              <w:left w:val="single" w:color="auto" w:sz="4" w:space="0"/>
            </w:tcBorders>
          </w:tcPr>
          <w:p w14:paraId="700DFE5D">
            <w:pPr>
              <w:rPr>
                <w:rFonts w:ascii="仿宋" w:hAnsi="仿宋" w:eastAsia="仿宋" w:cs="仿宋"/>
                <w:color w:val="auto"/>
                <w:szCs w:val="21"/>
                <w:highlight w:val="none"/>
                <w:lang w:eastAsia="zh-CN"/>
              </w:rPr>
            </w:pPr>
          </w:p>
        </w:tc>
        <w:tc>
          <w:tcPr>
            <w:tcW w:w="617" w:type="dxa"/>
            <w:tcBorders>
              <w:right w:val="single" w:color="auto" w:sz="4" w:space="0"/>
            </w:tcBorders>
          </w:tcPr>
          <w:p w14:paraId="4601EA47">
            <w:pPr>
              <w:rPr>
                <w:rFonts w:ascii="仿宋" w:hAnsi="仿宋" w:eastAsia="仿宋" w:cs="仿宋"/>
                <w:color w:val="auto"/>
                <w:szCs w:val="21"/>
                <w:highlight w:val="none"/>
                <w:lang w:eastAsia="zh-CN"/>
              </w:rPr>
            </w:pPr>
          </w:p>
        </w:tc>
      </w:tr>
      <w:tr w14:paraId="6A9C7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63EC2589">
            <w:pPr>
              <w:rPr>
                <w:rFonts w:ascii="仿宋" w:hAnsi="仿宋" w:eastAsia="仿宋" w:cs="仿宋"/>
                <w:color w:val="auto"/>
                <w:highlight w:val="none"/>
                <w:lang w:eastAsia="zh-CN"/>
              </w:rPr>
            </w:pPr>
          </w:p>
        </w:tc>
        <w:tc>
          <w:tcPr>
            <w:tcW w:w="597" w:type="dxa"/>
            <w:tcBorders>
              <w:left w:val="single" w:color="auto" w:sz="4" w:space="0"/>
            </w:tcBorders>
            <w:vAlign w:val="center"/>
          </w:tcPr>
          <w:p w14:paraId="3964D4F6">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6378" w:type="dxa"/>
            <w:tcBorders>
              <w:right w:val="single" w:color="auto" w:sz="4" w:space="0"/>
            </w:tcBorders>
            <w:vAlign w:val="center"/>
          </w:tcPr>
          <w:p w14:paraId="14066539">
            <w:pPr>
              <w:widowControl/>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报价满足招标文件要求。</w:t>
            </w:r>
          </w:p>
        </w:tc>
        <w:tc>
          <w:tcPr>
            <w:tcW w:w="749" w:type="dxa"/>
            <w:tcBorders>
              <w:left w:val="single" w:color="auto" w:sz="4" w:space="0"/>
            </w:tcBorders>
          </w:tcPr>
          <w:p w14:paraId="0DD4853A">
            <w:pPr>
              <w:rPr>
                <w:rFonts w:ascii="仿宋" w:hAnsi="仿宋" w:eastAsia="仿宋" w:cs="仿宋"/>
                <w:color w:val="auto"/>
                <w:szCs w:val="21"/>
                <w:highlight w:val="none"/>
                <w:lang w:eastAsia="zh-CN"/>
              </w:rPr>
            </w:pPr>
          </w:p>
        </w:tc>
        <w:tc>
          <w:tcPr>
            <w:tcW w:w="617" w:type="dxa"/>
            <w:tcBorders>
              <w:right w:val="single" w:color="auto" w:sz="4" w:space="0"/>
            </w:tcBorders>
          </w:tcPr>
          <w:p w14:paraId="4F42D955">
            <w:pPr>
              <w:rPr>
                <w:rFonts w:ascii="仿宋" w:hAnsi="仿宋" w:eastAsia="仿宋" w:cs="仿宋"/>
                <w:color w:val="auto"/>
                <w:szCs w:val="21"/>
                <w:highlight w:val="none"/>
                <w:lang w:eastAsia="zh-CN"/>
              </w:rPr>
            </w:pPr>
          </w:p>
        </w:tc>
      </w:tr>
      <w:tr w14:paraId="4550B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6CA3677E">
            <w:pPr>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11FF4190">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6425DE4A">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51C84886">
            <w:pPr>
              <w:rPr>
                <w:rFonts w:ascii="仿宋" w:hAnsi="仿宋" w:eastAsia="仿宋" w:cs="仿宋"/>
                <w:color w:val="auto"/>
                <w:szCs w:val="21"/>
                <w:highlight w:val="none"/>
                <w:lang w:eastAsia="zh-CN"/>
              </w:rPr>
            </w:pPr>
          </w:p>
        </w:tc>
      </w:tr>
    </w:tbl>
    <w:p w14:paraId="297A466A">
      <w:pPr>
        <w:spacing w:line="400" w:lineRule="exact"/>
        <w:ind w:firstLine="352" w:firstLineChars="147"/>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采购包一</w:t>
      </w:r>
    </w:p>
    <w:p w14:paraId="1BD20476">
      <w:pPr>
        <w:rPr>
          <w:rFonts w:ascii="仿宋" w:hAnsi="仿宋" w:eastAsia="仿宋" w:cs="仿宋"/>
          <w:color w:val="auto"/>
          <w:highlight w:val="none"/>
          <w:lang w:eastAsia="zh-CN"/>
        </w:rPr>
      </w:pPr>
    </w:p>
    <w:p w14:paraId="597AA13B">
      <w:pPr>
        <w:keepNext w:val="0"/>
        <w:keepLines w:val="0"/>
        <w:pageBreakBefore w:val="0"/>
        <w:widowControl w:val="0"/>
        <w:kinsoku/>
        <w:wordWrap/>
        <w:overflowPunct/>
        <w:topLinePunct w:val="0"/>
        <w:bidi w:val="0"/>
        <w:snapToGrid/>
        <w:spacing w:line="360" w:lineRule="exact"/>
        <w:ind w:firstLine="578"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7.2评委会判定投标文件的响应性只根据投标文件本身的内容，而不寻求外部的证据，但投标有不真实不正确的内容时除外。</w:t>
      </w:r>
    </w:p>
    <w:p w14:paraId="6F469331">
      <w:pPr>
        <w:keepNext w:val="0"/>
        <w:keepLines w:val="0"/>
        <w:pageBreakBefore w:val="0"/>
        <w:widowControl w:val="0"/>
        <w:kinsoku/>
        <w:wordWrap/>
        <w:overflowPunct/>
        <w:topLinePunct w:val="0"/>
        <w:bidi w:val="0"/>
        <w:snapToGrid/>
        <w:spacing w:line="360" w:lineRule="exact"/>
        <w:ind w:firstLine="578"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7.3如果投标文件实质上没有响应采购文件的要求，评委会将予以拒绝，供应商不得通过修正或撤销不符合要求的偏离或保留，而使其投标成为实质上响应的投标。</w:t>
      </w:r>
    </w:p>
    <w:p w14:paraId="4E7DFAC5">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7.4供应商可在现场20分钟内对评标委员会的评审结论提出异议，评标委员会根据采购文件及有关规定对供应商的异议进行复议</w:t>
      </w:r>
    </w:p>
    <w:p w14:paraId="3AE20B0F">
      <w:pPr>
        <w:keepNext w:val="0"/>
        <w:keepLines w:val="0"/>
        <w:pageBreakBefore w:val="0"/>
        <w:widowControl w:val="0"/>
        <w:kinsoku/>
        <w:wordWrap/>
        <w:overflowPunct/>
        <w:topLinePunct w:val="0"/>
        <w:bidi w:val="0"/>
        <w:snapToGrid/>
        <w:spacing w:line="360" w:lineRule="exact"/>
        <w:ind w:firstLine="600" w:firstLineChars="2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7.5只有通过初审的供应商才能进入下一步评标程序。</w:t>
      </w:r>
    </w:p>
    <w:p w14:paraId="64AC6FFD">
      <w:pPr>
        <w:keepNext w:val="0"/>
        <w:keepLines w:val="0"/>
        <w:pageBreakBefore w:val="0"/>
        <w:widowControl w:val="0"/>
        <w:kinsoku/>
        <w:wordWrap/>
        <w:overflowPunct/>
        <w:topLinePunct w:val="0"/>
        <w:bidi w:val="0"/>
        <w:snapToGrid/>
        <w:spacing w:line="360" w:lineRule="exact"/>
        <w:ind w:firstLine="482" w:firstLineChars="200"/>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5112128B">
      <w:pPr>
        <w:keepNext w:val="0"/>
        <w:keepLines w:val="0"/>
        <w:pageBreakBefore w:val="0"/>
        <w:widowControl w:val="0"/>
        <w:kinsoku/>
        <w:wordWrap/>
        <w:overflowPunct/>
        <w:topLinePunct w:val="0"/>
        <w:bidi w:val="0"/>
        <w:snapToGrid/>
        <w:spacing w:beforeLines="50" w:line="360" w:lineRule="exact"/>
        <w:jc w:val="center"/>
        <w:textAlignment w:val="auto"/>
        <w:outlineLvl w:val="1"/>
        <w:rPr>
          <w:rFonts w:ascii="仿宋" w:hAnsi="仿宋" w:eastAsia="仿宋" w:cs="仿宋"/>
          <w:b/>
          <w:color w:val="auto"/>
          <w:highlight w:val="none"/>
          <w:lang w:eastAsia="zh-CN"/>
        </w:rPr>
      </w:pPr>
      <w:bookmarkStart w:id="40" w:name="_Toc469495734"/>
      <w:bookmarkStart w:id="41" w:name="_Toc362983803"/>
      <w:r>
        <w:rPr>
          <w:rFonts w:hint="eastAsia" w:ascii="仿宋" w:hAnsi="仿宋" w:eastAsia="仿宋" w:cs="仿宋"/>
          <w:b/>
          <w:color w:val="auto"/>
          <w:highlight w:val="none"/>
          <w:lang w:eastAsia="zh-CN"/>
        </w:rPr>
        <w:t xml:space="preserve">三 </w:t>
      </w:r>
      <w:r>
        <w:rPr>
          <w:rFonts w:hint="eastAsia" w:ascii="仿宋" w:hAnsi="仿宋" w:eastAsia="仿宋" w:cs="仿宋"/>
          <w:b/>
          <w:color w:val="auto"/>
          <w:sz w:val="28"/>
          <w:szCs w:val="28"/>
          <w:highlight w:val="none"/>
          <w:lang w:eastAsia="zh-CN"/>
        </w:rPr>
        <w:t xml:space="preserve"> </w:t>
      </w:r>
      <w:r>
        <w:rPr>
          <w:rFonts w:hint="eastAsia" w:ascii="仿宋" w:hAnsi="仿宋" w:eastAsia="仿宋" w:cs="仿宋"/>
          <w:b/>
          <w:color w:val="auto"/>
          <w:highlight w:val="none"/>
          <w:lang w:eastAsia="zh-CN"/>
        </w:rPr>
        <w:t>投标文件的澄清和补正</w:t>
      </w:r>
      <w:bookmarkEnd w:id="40"/>
      <w:bookmarkEnd w:id="41"/>
    </w:p>
    <w:p w14:paraId="358A1A61">
      <w:pPr>
        <w:keepNext w:val="0"/>
        <w:keepLines w:val="0"/>
        <w:pageBreakBefore w:val="0"/>
        <w:widowControl w:val="0"/>
        <w:kinsoku/>
        <w:wordWrap/>
        <w:overflowPunct/>
        <w:topLinePunct w:val="0"/>
        <w:bidi w:val="0"/>
        <w:snapToGrid/>
        <w:spacing w:line="360" w:lineRule="exact"/>
        <w:ind w:firstLine="240"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8．澄清、说明或补正的形式</w:t>
      </w:r>
    </w:p>
    <w:p w14:paraId="7F6C503C">
      <w:pPr>
        <w:keepNext w:val="0"/>
        <w:keepLines w:val="0"/>
        <w:pageBreakBefore w:val="0"/>
        <w:widowControl w:val="0"/>
        <w:kinsoku/>
        <w:wordWrap/>
        <w:overflowPunct/>
        <w:topLinePunct w:val="0"/>
        <w:bidi w:val="0"/>
        <w:snapToGrid/>
        <w:spacing w:line="360" w:lineRule="exact"/>
        <w:ind w:firstLine="240"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EA864E0">
      <w:pPr>
        <w:keepNext w:val="0"/>
        <w:keepLines w:val="0"/>
        <w:pageBreakBefore w:val="0"/>
        <w:widowControl w:val="0"/>
        <w:kinsoku/>
        <w:wordWrap/>
        <w:overflowPunct/>
        <w:topLinePunct w:val="0"/>
        <w:bidi w:val="0"/>
        <w:snapToGrid/>
        <w:spacing w:line="360" w:lineRule="exact"/>
        <w:ind w:firstLine="240"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2F68F4F5">
      <w:pPr>
        <w:keepNext w:val="0"/>
        <w:keepLines w:val="0"/>
        <w:pageBreakBefore w:val="0"/>
        <w:widowControl w:val="0"/>
        <w:kinsoku/>
        <w:wordWrap/>
        <w:overflowPunct/>
        <w:topLinePunct w:val="0"/>
        <w:bidi w:val="0"/>
        <w:snapToGrid/>
        <w:spacing w:line="360" w:lineRule="exact"/>
        <w:ind w:firstLine="240"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345801A">
      <w:pPr>
        <w:keepNext w:val="0"/>
        <w:keepLines w:val="0"/>
        <w:pageBreakBefore w:val="0"/>
        <w:widowControl w:val="0"/>
        <w:kinsoku/>
        <w:wordWrap/>
        <w:overflowPunct/>
        <w:topLinePunct w:val="0"/>
        <w:bidi w:val="0"/>
        <w:snapToGrid/>
        <w:spacing w:line="360" w:lineRule="exact"/>
        <w:ind w:firstLine="240"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9．错误修正的原则</w:t>
      </w:r>
    </w:p>
    <w:p w14:paraId="3C23F836">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电子交易平台客户端里开标一览表录入的投标报价或下浮率与扫描上传的报价文件信息不一致的，以扫描上传的报价文件信息为准进行修正。</w:t>
      </w:r>
    </w:p>
    <w:p w14:paraId="55582F39">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7D07B409">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投标函中表述的内容与</w:t>
      </w:r>
      <w:r>
        <w:rPr>
          <w:rFonts w:hint="eastAsia" w:ascii="仿宋" w:hAnsi="仿宋" w:eastAsia="仿宋" w:cs="仿宋"/>
          <w:color w:val="auto"/>
          <w:szCs w:val="21"/>
          <w:highlight w:val="none"/>
          <w:lang w:val="en-US" w:eastAsia="zh-CN"/>
        </w:rPr>
        <w:t>开标一览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下浮率</w:t>
      </w:r>
      <w:r>
        <w:rPr>
          <w:rFonts w:hint="eastAsia" w:ascii="仿宋" w:hAnsi="仿宋" w:eastAsia="仿宋" w:cs="仿宋"/>
          <w:color w:val="auto"/>
          <w:szCs w:val="21"/>
          <w:highlight w:val="none"/>
          <w:lang w:eastAsia="zh-CN"/>
        </w:rPr>
        <w:t>）中不一致的，以</w:t>
      </w:r>
      <w:r>
        <w:rPr>
          <w:rFonts w:hint="eastAsia" w:ascii="仿宋" w:hAnsi="仿宋" w:eastAsia="仿宋" w:cs="仿宋"/>
          <w:color w:val="auto"/>
          <w:szCs w:val="21"/>
          <w:highlight w:val="none"/>
          <w:lang w:val="en-US" w:eastAsia="zh-CN"/>
        </w:rPr>
        <w:t>上传投标文件开标一览</w:t>
      </w:r>
      <w:r>
        <w:rPr>
          <w:rFonts w:hint="eastAsia" w:ascii="仿宋" w:hAnsi="仿宋" w:eastAsia="仿宋" w:cs="仿宋"/>
          <w:color w:val="auto"/>
          <w:szCs w:val="21"/>
          <w:highlight w:val="none"/>
          <w:lang w:eastAsia="zh-CN"/>
        </w:rPr>
        <w:t>表为准；</w:t>
      </w:r>
    </w:p>
    <w:p w14:paraId="08E34903">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755D4526">
      <w:pPr>
        <w:keepNext w:val="0"/>
        <w:keepLines w:val="0"/>
        <w:pageBreakBefore w:val="0"/>
        <w:widowControl w:val="0"/>
        <w:kinsoku/>
        <w:wordWrap/>
        <w:overflowPunct/>
        <w:topLinePunct w:val="0"/>
        <w:bidi w:val="0"/>
        <w:snapToGrid/>
        <w:spacing w:line="360" w:lineRule="exact"/>
        <w:jc w:val="center"/>
        <w:textAlignment w:val="auto"/>
        <w:outlineLvl w:val="1"/>
        <w:rPr>
          <w:rFonts w:ascii="仿宋" w:hAnsi="仿宋" w:eastAsia="仿宋" w:cs="仿宋"/>
          <w:b/>
          <w:color w:val="auto"/>
          <w:highlight w:val="none"/>
          <w:lang w:eastAsia="zh-CN"/>
        </w:rPr>
      </w:pPr>
      <w:bookmarkStart w:id="42" w:name="_Toc469495735"/>
      <w:r>
        <w:rPr>
          <w:rFonts w:hint="eastAsia" w:ascii="仿宋" w:hAnsi="仿宋" w:eastAsia="仿宋" w:cs="仿宋"/>
          <w:b/>
          <w:color w:val="auto"/>
          <w:highlight w:val="none"/>
          <w:lang w:eastAsia="zh-CN"/>
        </w:rPr>
        <w:t>四 比较与评价</w:t>
      </w:r>
      <w:bookmarkEnd w:id="42"/>
    </w:p>
    <w:p w14:paraId="14D62FA5">
      <w:pPr>
        <w:keepNext w:val="0"/>
        <w:keepLines w:val="0"/>
        <w:pageBreakBefore w:val="0"/>
        <w:widowControl w:val="0"/>
        <w:tabs>
          <w:tab w:val="left" w:pos="720"/>
        </w:tabs>
        <w:kinsoku/>
        <w:wordWrap/>
        <w:overflowPunct/>
        <w:topLinePunct w:val="0"/>
        <w:bidi w:val="0"/>
        <w:snapToGrid/>
        <w:spacing w:line="360" w:lineRule="exact"/>
        <w:ind w:firstLine="480" w:firstLineChars="200"/>
        <w:textAlignment w:val="auto"/>
        <w:rPr>
          <w:rFonts w:ascii="仿宋" w:hAnsi="仿宋" w:eastAsia="仿宋" w:cs="仿宋"/>
          <w:color w:val="auto"/>
          <w:szCs w:val="21"/>
          <w:highlight w:val="none"/>
          <w:lang w:eastAsia="zh-CN" w:bidi="ar-SA"/>
        </w:rPr>
      </w:pPr>
      <w:bookmarkStart w:id="43" w:name="_Toc469495736"/>
      <w:bookmarkStart w:id="44" w:name="_Toc362983805"/>
      <w:r>
        <w:rPr>
          <w:rFonts w:hint="eastAsia" w:ascii="仿宋" w:hAnsi="仿宋" w:eastAsia="仿宋" w:cs="仿宋"/>
          <w:color w:val="auto"/>
          <w:szCs w:val="21"/>
          <w:highlight w:val="none"/>
          <w:lang w:eastAsia="zh-CN" w:bidi="ar-SA"/>
        </w:rPr>
        <w:t>10.1评标委员会按招标文件中规定的评标方法和标准，对资格性检查和符合性检查合格的投标文件进行商务和技术评估、综合比较与评价。</w:t>
      </w:r>
    </w:p>
    <w:p w14:paraId="05EABFBD">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10.2评标委员会根据商务和技术评估的结果，采用综合评分法，分别对投标文件的商务、技术、价格等内容进行打分。其中，商务评估、技术评估、价格评估的评分权值（详见附件1）。</w:t>
      </w:r>
    </w:p>
    <w:p w14:paraId="303008EE">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bCs/>
          <w:color w:val="auto"/>
          <w:szCs w:val="21"/>
          <w:highlight w:val="none"/>
          <w:lang w:eastAsia="zh-CN" w:bidi="ar-SA"/>
        </w:rPr>
      </w:pPr>
      <w:r>
        <w:rPr>
          <w:rFonts w:hint="eastAsia" w:ascii="仿宋" w:hAnsi="仿宋" w:eastAsia="仿宋" w:cs="仿宋"/>
          <w:color w:val="auto"/>
          <w:szCs w:val="21"/>
          <w:highlight w:val="none"/>
          <w:lang w:eastAsia="zh-CN" w:bidi="ar-SA"/>
        </w:rPr>
        <w:t>10.</w:t>
      </w:r>
      <w:r>
        <w:rPr>
          <w:rFonts w:hint="eastAsia" w:ascii="仿宋" w:hAnsi="仿宋" w:eastAsia="仿宋" w:cs="仿宋"/>
          <w:bCs/>
          <w:color w:val="auto"/>
          <w:szCs w:val="21"/>
          <w:highlight w:val="none"/>
          <w:lang w:eastAsia="zh-CN" w:bidi="ar-SA"/>
        </w:rPr>
        <w:t>2.1评委打分办法</w:t>
      </w:r>
    </w:p>
    <w:p w14:paraId="1664768F">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bCs/>
          <w:color w:val="auto"/>
          <w:szCs w:val="21"/>
          <w:highlight w:val="none"/>
          <w:lang w:eastAsia="zh-CN" w:bidi="ar-SA"/>
        </w:rPr>
        <w:t>（1）</w:t>
      </w:r>
      <w:r>
        <w:rPr>
          <w:rFonts w:hint="eastAsia" w:ascii="仿宋" w:hAnsi="仿宋" w:eastAsia="仿宋" w:cs="仿宋"/>
          <w:color w:val="auto"/>
          <w:szCs w:val="21"/>
          <w:highlight w:val="none"/>
          <w:lang w:eastAsia="zh-CN" w:bidi="ar-SA"/>
        </w:rPr>
        <w:t>参加评分的评委应尽力体现客观、实事求是，避免学派偏见和个人偏好。</w:t>
      </w:r>
    </w:p>
    <w:p w14:paraId="0B9BD93B">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（2）衡量、对比的依据，应以招标文件、投标文件、提供的正式试验数据、质询澄清中的文字为准，口头回答和收集的资料只作为参考。</w:t>
      </w:r>
    </w:p>
    <w:p w14:paraId="77224D78">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（3）评分主要是为比较各供应商的价格、商务和技术综合排序。</w:t>
      </w:r>
    </w:p>
    <w:p w14:paraId="398CB98F">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（4）评委打分采取记名形式。</w:t>
      </w:r>
    </w:p>
    <w:p w14:paraId="6F3642EC">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（5）各评委根据提供的技术打分表独立自主打分，任何人不得要求评委统一打分或统一确定等次顺序。</w:t>
      </w:r>
    </w:p>
    <w:p w14:paraId="67504E0A">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（6）对打分表中的每项条款，各评委应根据投标文件、澄清材料、招标文件要求，按满足的程度给供应商打分。</w:t>
      </w:r>
    </w:p>
    <w:p w14:paraId="3C323EA2">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（7）评分程序</w:t>
      </w:r>
    </w:p>
    <w:p w14:paraId="47B51E13">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1)就供应商的投标文件对照整理出商务、技术评标因素对比表、偏差表，并在经过校核的基础上逐项打分。</w:t>
      </w:r>
    </w:p>
    <w:p w14:paraId="1A93B34A">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2)各评委独立完成打分后，将评分表交给代理机构，由代理机构组织进行分数统计。</w:t>
      </w:r>
    </w:p>
    <w:p w14:paraId="6AECE4C3">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3)最终汇总表中各供应商得分应为评委打分的算术平均值。</w:t>
      </w:r>
    </w:p>
    <w:p w14:paraId="4642D8EA">
      <w:pPr>
        <w:pStyle w:val="6"/>
        <w:keepNext w:val="0"/>
        <w:keepLines w:val="0"/>
        <w:pageBreakBefore w:val="0"/>
        <w:widowControl w:val="0"/>
        <w:kinsoku/>
        <w:wordWrap/>
        <w:overflowPunct/>
        <w:topLinePunct w:val="0"/>
        <w:bidi w:val="0"/>
        <w:snapToGrid/>
        <w:spacing w:line="360" w:lineRule="exact"/>
        <w:jc w:val="left"/>
        <w:textAlignment w:val="auto"/>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（8）评分标准和细则（综合评分法评分标准）</w:t>
      </w:r>
    </w:p>
    <w:p w14:paraId="506ECB5A">
      <w:pPr>
        <w:pStyle w:val="6"/>
        <w:jc w:val="cente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评分标准</w:t>
      </w:r>
    </w:p>
    <w:tbl>
      <w:tblPr>
        <w:tblStyle w:val="24"/>
        <w:tblW w:w="10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764"/>
        <w:gridCol w:w="7013"/>
      </w:tblGrid>
      <w:tr w14:paraId="59E7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48" w:type="dxa"/>
            <w:noWrap w:val="0"/>
            <w:vAlign w:val="center"/>
          </w:tcPr>
          <w:p w14:paraId="02B69D51">
            <w:pPr>
              <w:spacing w:line="440" w:lineRule="exact"/>
              <w:jc w:val="center"/>
              <w:rPr>
                <w:rFonts w:hint="eastAsia" w:ascii="仿宋" w:hAnsi="仿宋" w:eastAsia="仿宋" w:cs="仿宋"/>
                <w:color w:val="auto"/>
                <w:sz w:val="21"/>
                <w:szCs w:val="21"/>
                <w:highlight w:val="none"/>
                <w:lang w:eastAsia="zh-CN" w:bidi="ar-SA"/>
              </w:rPr>
            </w:pPr>
            <w:r>
              <w:rPr>
                <w:rFonts w:hint="eastAsia" w:ascii="仿宋" w:hAnsi="仿宋" w:eastAsia="仿宋" w:cs="仿宋"/>
                <w:color w:val="auto"/>
                <w:sz w:val="21"/>
                <w:szCs w:val="21"/>
                <w:highlight w:val="none"/>
                <w:lang w:eastAsia="zh-CN" w:bidi="ar-SA"/>
              </w:rPr>
              <w:t>评分因素</w:t>
            </w:r>
          </w:p>
        </w:tc>
        <w:tc>
          <w:tcPr>
            <w:tcW w:w="1764" w:type="dxa"/>
            <w:noWrap w:val="0"/>
            <w:vAlign w:val="center"/>
          </w:tcPr>
          <w:p w14:paraId="2D4494D3">
            <w:pPr>
              <w:spacing w:line="440" w:lineRule="exact"/>
              <w:jc w:val="center"/>
              <w:rPr>
                <w:rFonts w:hint="eastAsia" w:ascii="仿宋" w:hAnsi="仿宋" w:eastAsia="仿宋" w:cs="仿宋"/>
                <w:color w:val="auto"/>
                <w:sz w:val="21"/>
                <w:szCs w:val="21"/>
                <w:highlight w:val="none"/>
                <w:lang w:eastAsia="zh-CN" w:bidi="ar-SA"/>
              </w:rPr>
            </w:pPr>
            <w:r>
              <w:rPr>
                <w:rFonts w:hint="eastAsia" w:ascii="仿宋" w:hAnsi="仿宋" w:eastAsia="仿宋" w:cs="仿宋"/>
                <w:color w:val="auto"/>
                <w:sz w:val="21"/>
                <w:szCs w:val="21"/>
                <w:highlight w:val="none"/>
                <w:lang w:eastAsia="zh-CN" w:bidi="ar-SA"/>
              </w:rPr>
              <w:t>分值</w:t>
            </w:r>
          </w:p>
        </w:tc>
        <w:tc>
          <w:tcPr>
            <w:tcW w:w="7013" w:type="dxa"/>
            <w:noWrap w:val="0"/>
            <w:vAlign w:val="center"/>
          </w:tcPr>
          <w:p w14:paraId="5817814A">
            <w:pPr>
              <w:spacing w:line="440" w:lineRule="exact"/>
              <w:jc w:val="center"/>
              <w:rPr>
                <w:rFonts w:hint="eastAsia" w:ascii="仿宋" w:hAnsi="仿宋" w:eastAsia="仿宋" w:cs="仿宋"/>
                <w:color w:val="auto"/>
                <w:sz w:val="21"/>
                <w:szCs w:val="21"/>
                <w:highlight w:val="none"/>
                <w:lang w:eastAsia="zh-CN" w:bidi="ar-SA"/>
              </w:rPr>
            </w:pPr>
            <w:r>
              <w:rPr>
                <w:rFonts w:hint="eastAsia" w:ascii="仿宋" w:hAnsi="仿宋" w:eastAsia="仿宋" w:cs="仿宋"/>
                <w:color w:val="auto"/>
                <w:sz w:val="21"/>
                <w:szCs w:val="21"/>
                <w:highlight w:val="none"/>
                <w:lang w:eastAsia="zh-CN" w:bidi="ar-SA"/>
              </w:rPr>
              <w:t>说明</w:t>
            </w:r>
          </w:p>
        </w:tc>
      </w:tr>
      <w:tr w14:paraId="1B58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48" w:type="dxa"/>
            <w:noWrap w:val="0"/>
            <w:vAlign w:val="center"/>
          </w:tcPr>
          <w:p w14:paraId="3BD7AD3B">
            <w:pPr>
              <w:spacing w:line="440" w:lineRule="exact"/>
              <w:jc w:val="center"/>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报价</w:t>
            </w:r>
          </w:p>
        </w:tc>
        <w:tc>
          <w:tcPr>
            <w:tcW w:w="1764" w:type="dxa"/>
            <w:noWrap w:val="0"/>
            <w:vAlign w:val="center"/>
          </w:tcPr>
          <w:p w14:paraId="13DAE86B">
            <w:pPr>
              <w:spacing w:line="440" w:lineRule="exact"/>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30分</w:t>
            </w:r>
          </w:p>
        </w:tc>
        <w:tc>
          <w:tcPr>
            <w:tcW w:w="7013" w:type="dxa"/>
            <w:noWrap w:val="0"/>
            <w:vAlign w:val="top"/>
          </w:tcPr>
          <w:p w14:paraId="3C5F43D0">
            <w:pPr>
              <w:spacing w:line="440" w:lineRule="exact"/>
              <w:jc w:val="left"/>
              <w:rPr>
                <w:rFonts w:hint="eastAsia" w:ascii="仿宋" w:hAnsi="仿宋" w:eastAsia="仿宋" w:cs="仿宋"/>
                <w:b/>
                <w:bCs/>
                <w:color w:val="auto"/>
                <w:sz w:val="21"/>
                <w:szCs w:val="21"/>
                <w:highlight w:val="none"/>
                <w:lang w:val="en-US" w:eastAsia="zh-CN" w:bidi="ar-SA"/>
              </w:rPr>
            </w:pPr>
            <w:r>
              <w:rPr>
                <w:rFonts w:hint="eastAsia" w:ascii="仿宋" w:hAnsi="仿宋" w:eastAsia="仿宋" w:cs="仿宋"/>
                <w:b/>
                <w:bCs/>
                <w:color w:val="auto"/>
                <w:sz w:val="21"/>
                <w:szCs w:val="21"/>
                <w:highlight w:val="none"/>
                <w:lang w:val="en-US" w:eastAsia="zh-CN" w:bidi="ar-SA"/>
              </w:rPr>
              <w:t>以经评审小组一致认定满足招标文件要求，且投标综合下浮率最高（优惠最多）投标报价为评标基准价；标报价得分=(投标下浮率/评标基准价)×8×100%，标报价得分=(投标下浮率/评标基准价)×4×100%，标报价得分=(投标下浮率/评标基准价)×1×100%，注:投标报价为:(1-下浮率)，共7项，①牛奶（学生奶）酸奶营养餐和③新鲜蔬菜各类每项8分， ④米面油 ⑤</w:t>
            </w:r>
            <w:r>
              <w:rPr>
                <w:rFonts w:hint="eastAsia" w:ascii="仿宋" w:hAnsi="仿宋" w:eastAsia="仿宋" w:cs="仿宋"/>
                <w:b/>
                <w:bCs/>
                <w:color w:val="auto"/>
                <w:spacing w:val="0"/>
                <w:position w:val="0"/>
                <w:sz w:val="21"/>
                <w:szCs w:val="21"/>
                <w:highlight w:val="none"/>
                <w:shd w:val="clear" w:fill="auto"/>
                <w:lang w:eastAsia="zh-CN"/>
              </w:rPr>
              <w:t>副食调味</w:t>
            </w:r>
            <w:r>
              <w:rPr>
                <w:rFonts w:hint="eastAsia" w:ascii="仿宋" w:hAnsi="仿宋" w:eastAsia="仿宋" w:cs="仿宋"/>
                <w:b/>
                <w:bCs/>
                <w:color w:val="auto"/>
                <w:spacing w:val="0"/>
                <w:position w:val="0"/>
                <w:sz w:val="21"/>
                <w:szCs w:val="21"/>
                <w:highlight w:val="none"/>
                <w:shd w:val="clear" w:fill="auto"/>
                <w:lang w:val="en-US" w:eastAsia="zh-CN"/>
              </w:rPr>
              <w:t xml:space="preserve"> ⑥</w:t>
            </w:r>
            <w:r>
              <w:rPr>
                <w:rFonts w:hint="eastAsia" w:ascii="仿宋" w:hAnsi="仿宋" w:eastAsia="仿宋" w:cs="仿宋"/>
                <w:b/>
                <w:bCs/>
                <w:color w:val="auto"/>
                <w:spacing w:val="0"/>
                <w:position w:val="0"/>
                <w:sz w:val="21"/>
                <w:szCs w:val="21"/>
                <w:highlight w:val="none"/>
                <w:shd w:val="clear" w:color="auto" w:fill="auto"/>
                <w:lang w:eastAsia="zh-CN"/>
              </w:rPr>
              <w:t>禽蛋</w:t>
            </w:r>
            <w:r>
              <w:rPr>
                <w:rFonts w:hint="eastAsia" w:ascii="仿宋" w:hAnsi="仿宋" w:eastAsia="仿宋" w:cs="仿宋"/>
                <w:b/>
                <w:bCs/>
                <w:color w:val="auto"/>
                <w:spacing w:val="0"/>
                <w:position w:val="0"/>
                <w:sz w:val="21"/>
                <w:szCs w:val="21"/>
                <w:highlight w:val="none"/>
                <w:shd w:val="clear" w:color="auto" w:fill="auto"/>
                <w:lang w:val="en-US" w:eastAsia="zh-CN"/>
              </w:rPr>
              <w:t>鸡肉 各</w:t>
            </w:r>
            <w:r>
              <w:rPr>
                <w:rFonts w:hint="eastAsia" w:ascii="仿宋" w:hAnsi="仿宋" w:eastAsia="仿宋" w:cs="仿宋"/>
                <w:b/>
                <w:bCs/>
                <w:color w:val="auto"/>
                <w:sz w:val="21"/>
                <w:szCs w:val="21"/>
                <w:highlight w:val="none"/>
                <w:lang w:val="en-US" w:eastAsia="zh-CN" w:bidi="ar-SA"/>
              </w:rPr>
              <w:t xml:space="preserve">类每项4分，②新鲜水果 </w:t>
            </w:r>
            <w:r>
              <w:rPr>
                <w:rFonts w:hint="eastAsia" w:ascii="仿宋" w:hAnsi="仿宋" w:eastAsia="仿宋" w:cs="仿宋"/>
                <w:b/>
                <w:bCs/>
                <w:color w:val="auto"/>
                <w:spacing w:val="0"/>
                <w:position w:val="0"/>
                <w:sz w:val="21"/>
                <w:szCs w:val="21"/>
                <w:highlight w:val="none"/>
                <w:shd w:val="clear" w:color="auto" w:fill="auto"/>
                <w:lang w:val="en-US" w:eastAsia="zh-CN"/>
              </w:rPr>
              <w:t>⑦海鲜类，</w:t>
            </w:r>
            <w:r>
              <w:rPr>
                <w:rFonts w:hint="eastAsia" w:ascii="仿宋" w:hAnsi="仿宋" w:eastAsia="仿宋" w:cs="仿宋"/>
                <w:b/>
                <w:bCs/>
                <w:color w:val="auto"/>
                <w:sz w:val="21"/>
                <w:szCs w:val="21"/>
                <w:highlight w:val="none"/>
                <w:lang w:val="en-US" w:eastAsia="zh-CN" w:bidi="ar-SA"/>
              </w:rPr>
              <w:t>各类每项1分，共计30分。因落实政府采购政策进行价格调整的，以调整后的价格计算评标基准价和投标报价。</w:t>
            </w:r>
          </w:p>
          <w:p w14:paraId="6AC47041">
            <w:pPr>
              <w:spacing w:line="440" w:lineRule="exact"/>
              <w:jc w:val="left"/>
              <w:rPr>
                <w:rFonts w:hint="default" w:ascii="仿宋" w:hAnsi="仿宋" w:eastAsia="仿宋" w:cs="仿宋"/>
                <w:color w:val="auto"/>
                <w:sz w:val="21"/>
                <w:szCs w:val="21"/>
                <w:highlight w:val="none"/>
                <w:lang w:val="en-US" w:eastAsia="zh-CN" w:bidi="ar-SA"/>
              </w:rPr>
            </w:pPr>
            <w:r>
              <w:rPr>
                <w:rFonts w:hint="eastAsia" w:ascii="仿宋" w:hAnsi="仿宋" w:eastAsia="仿宋" w:cs="仿宋"/>
                <w:b/>
                <w:bCs/>
                <w:color w:val="auto"/>
                <w:sz w:val="21"/>
                <w:szCs w:val="21"/>
                <w:highlight w:val="none"/>
                <w:lang w:val="en-US" w:eastAsia="zh-CN" w:bidi="ar-SA"/>
              </w:rPr>
              <w:t>产品分类;①牛奶（学生奶）酸奶营养餐 ②新鲜水果 ③新鲜蔬菜 ④米面油类⑤</w:t>
            </w:r>
            <w:r>
              <w:rPr>
                <w:rFonts w:hint="eastAsia" w:ascii="仿宋" w:hAnsi="仿宋" w:eastAsia="仿宋" w:cs="仿宋"/>
                <w:b/>
                <w:bCs/>
                <w:color w:val="auto"/>
                <w:spacing w:val="0"/>
                <w:position w:val="0"/>
                <w:sz w:val="21"/>
                <w:szCs w:val="21"/>
                <w:highlight w:val="none"/>
                <w:shd w:val="clear" w:fill="auto"/>
                <w:lang w:eastAsia="zh-CN"/>
              </w:rPr>
              <w:t>副食调味</w:t>
            </w:r>
            <w:r>
              <w:rPr>
                <w:rFonts w:hint="eastAsia" w:ascii="仿宋" w:hAnsi="仿宋" w:eastAsia="仿宋" w:cs="仿宋"/>
                <w:b/>
                <w:bCs/>
                <w:color w:val="auto"/>
                <w:spacing w:val="0"/>
                <w:position w:val="0"/>
                <w:sz w:val="21"/>
                <w:szCs w:val="21"/>
                <w:highlight w:val="none"/>
                <w:shd w:val="clear" w:fill="auto"/>
                <w:lang w:val="en-US" w:eastAsia="zh-CN"/>
              </w:rPr>
              <w:t xml:space="preserve">  ⑥</w:t>
            </w:r>
            <w:r>
              <w:rPr>
                <w:rFonts w:hint="eastAsia" w:ascii="仿宋" w:hAnsi="仿宋" w:eastAsia="仿宋" w:cs="仿宋"/>
                <w:b/>
                <w:bCs/>
                <w:color w:val="auto"/>
                <w:spacing w:val="0"/>
                <w:position w:val="0"/>
                <w:sz w:val="21"/>
                <w:szCs w:val="21"/>
                <w:highlight w:val="none"/>
                <w:shd w:val="clear" w:color="auto" w:fill="auto"/>
                <w:lang w:eastAsia="zh-CN"/>
              </w:rPr>
              <w:t>禽蛋</w:t>
            </w:r>
            <w:r>
              <w:rPr>
                <w:rFonts w:hint="eastAsia" w:ascii="仿宋" w:hAnsi="仿宋" w:eastAsia="仿宋" w:cs="仿宋"/>
                <w:b/>
                <w:bCs/>
                <w:color w:val="auto"/>
                <w:spacing w:val="0"/>
                <w:position w:val="0"/>
                <w:sz w:val="21"/>
                <w:szCs w:val="21"/>
                <w:highlight w:val="none"/>
                <w:shd w:val="clear" w:color="auto" w:fill="auto"/>
                <w:lang w:val="en-US" w:eastAsia="zh-CN"/>
              </w:rPr>
              <w:t>鸡肉 ⑦海鲜类</w:t>
            </w:r>
          </w:p>
        </w:tc>
      </w:tr>
      <w:tr w14:paraId="28A3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1448" w:type="dxa"/>
            <w:vMerge w:val="restart"/>
            <w:noWrap w:val="0"/>
            <w:vAlign w:val="center"/>
          </w:tcPr>
          <w:p w14:paraId="5E1D80DF">
            <w:pPr>
              <w:spacing w:line="440" w:lineRule="exact"/>
              <w:ind w:firstLine="539" w:firstLineChars="257"/>
              <w:rPr>
                <w:rFonts w:hint="eastAsia" w:ascii="仿宋" w:hAnsi="仿宋" w:eastAsia="仿宋" w:cs="仿宋"/>
                <w:color w:val="auto"/>
                <w:sz w:val="21"/>
                <w:szCs w:val="21"/>
                <w:highlight w:val="none"/>
                <w:lang w:eastAsia="zh-CN" w:bidi="ar-SA"/>
              </w:rPr>
            </w:pPr>
          </w:p>
        </w:tc>
        <w:tc>
          <w:tcPr>
            <w:tcW w:w="1764" w:type="dxa"/>
            <w:shd w:val="clear" w:color="auto" w:fill="FFFFFF" w:themeFill="background1"/>
            <w:noWrap w:val="0"/>
            <w:vAlign w:val="center"/>
          </w:tcPr>
          <w:p w14:paraId="6F654775">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shd w:val="clear" w:fill="FFFFFF" w:themeFill="background1"/>
                <w:lang w:val="en-US" w:eastAsia="zh-CN" w:bidi="ar-SA"/>
              </w:rPr>
              <w:t>企业综合实力</w:t>
            </w:r>
            <w:r>
              <w:rPr>
                <w:rFonts w:hint="eastAsia" w:ascii="仿宋" w:hAnsi="仿宋" w:eastAsia="仿宋" w:cs="仿宋"/>
                <w:color w:val="auto"/>
                <w:sz w:val="21"/>
                <w:szCs w:val="21"/>
                <w:highlight w:val="none"/>
                <w:lang w:val="zh-CN" w:eastAsia="zh-CN" w:bidi="ar-SA"/>
              </w:rPr>
              <w:t>（</w:t>
            </w:r>
            <w:r>
              <w:rPr>
                <w:rFonts w:hint="eastAsia" w:ascii="仿宋" w:hAnsi="仿宋" w:eastAsia="仿宋" w:cs="仿宋"/>
                <w:color w:val="auto"/>
                <w:sz w:val="21"/>
                <w:szCs w:val="21"/>
                <w:highlight w:val="none"/>
                <w:lang w:val="en-US" w:eastAsia="zh-CN" w:bidi="ar-SA"/>
              </w:rPr>
              <w:t>6分</w:t>
            </w:r>
            <w:r>
              <w:rPr>
                <w:rFonts w:hint="eastAsia" w:ascii="仿宋" w:hAnsi="仿宋" w:eastAsia="仿宋" w:cs="仿宋"/>
                <w:color w:val="auto"/>
                <w:sz w:val="21"/>
                <w:szCs w:val="21"/>
                <w:highlight w:val="none"/>
                <w:lang w:val="zh-CN" w:eastAsia="zh-CN" w:bidi="ar-SA"/>
              </w:rPr>
              <w:t>）</w:t>
            </w:r>
          </w:p>
        </w:tc>
        <w:tc>
          <w:tcPr>
            <w:tcW w:w="7013" w:type="dxa"/>
            <w:shd w:val="clear" w:color="auto" w:fill="FFFFFF" w:themeFill="background1"/>
            <w:noWrap w:val="0"/>
            <w:vAlign w:val="center"/>
          </w:tcPr>
          <w:p w14:paraId="628DB90A">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配送货车不低于</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CN"/>
              </w:rPr>
              <w:t>辆（提供相关证明材料</w:t>
            </w:r>
            <w:r>
              <w:rPr>
                <w:rFonts w:hint="eastAsia" w:ascii="仿宋" w:hAnsi="仿宋" w:eastAsia="仿宋" w:cs="仿宋"/>
                <w:color w:val="auto"/>
                <w:sz w:val="21"/>
                <w:szCs w:val="21"/>
                <w:highlight w:val="none"/>
                <w:lang w:val="en-US" w:eastAsia="zh-CN"/>
              </w:rPr>
              <w:t>如</w:t>
            </w:r>
            <w:r>
              <w:rPr>
                <w:rFonts w:hint="eastAsia" w:ascii="仿宋" w:hAnsi="仿宋" w:eastAsia="仿宋" w:cs="仿宋"/>
                <w:color w:val="auto"/>
                <w:sz w:val="21"/>
                <w:szCs w:val="21"/>
                <w:highlight w:val="none"/>
                <w:lang w:val="zh-CN"/>
              </w:rPr>
              <w:t>冷藏箱式货车提供彩图、车辆所属文件、行驶证等证明材料））</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rPr>
              <w:t>分</w:t>
            </w:r>
            <w:r>
              <w:rPr>
                <w:rFonts w:hint="eastAsia" w:ascii="仿宋" w:hAnsi="仿宋" w:eastAsia="仿宋" w:cs="仿宋"/>
                <w:color w:val="auto"/>
                <w:sz w:val="21"/>
                <w:szCs w:val="21"/>
                <w:highlight w:val="none"/>
                <w:lang w:val="zh-CN" w:eastAsia="zh-CN"/>
              </w:rPr>
              <w:t>，</w:t>
            </w:r>
            <w:r>
              <w:rPr>
                <w:rFonts w:hint="eastAsia" w:ascii="仿宋" w:hAnsi="仿宋" w:eastAsia="仿宋" w:cs="仿宋"/>
                <w:color w:val="auto"/>
                <w:sz w:val="21"/>
                <w:szCs w:val="21"/>
                <w:highlight w:val="none"/>
                <w:lang w:val="en-US" w:eastAsia="zh-CN"/>
              </w:rPr>
              <w:t>少提供一辆扣0.25分，无</w:t>
            </w:r>
            <w:r>
              <w:rPr>
                <w:rFonts w:hint="eastAsia" w:ascii="仿宋" w:hAnsi="仿宋" w:eastAsia="仿宋" w:cs="仿宋"/>
                <w:color w:val="auto"/>
                <w:sz w:val="21"/>
                <w:szCs w:val="21"/>
                <w:highlight w:val="none"/>
                <w:lang w:val="zh-CN"/>
              </w:rPr>
              <w:t>配送货车</w:t>
            </w:r>
            <w:r>
              <w:rPr>
                <w:rFonts w:hint="eastAsia" w:ascii="仿宋" w:hAnsi="仿宋" w:eastAsia="仿宋" w:cs="仿宋"/>
                <w:color w:val="auto"/>
                <w:sz w:val="21"/>
                <w:szCs w:val="21"/>
                <w:highlight w:val="none"/>
                <w:lang w:val="en-US" w:eastAsia="zh-CN"/>
              </w:rPr>
              <w:t>得0分。</w:t>
            </w:r>
          </w:p>
          <w:p w14:paraId="56750804">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具有专业配送人员，不少于</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人（提供健康证）</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rPr>
              <w:t>分。</w:t>
            </w:r>
            <w:r>
              <w:rPr>
                <w:rFonts w:hint="eastAsia" w:ascii="仿宋" w:hAnsi="仿宋" w:eastAsia="仿宋" w:cs="仿宋"/>
                <w:color w:val="auto"/>
                <w:sz w:val="21"/>
                <w:szCs w:val="21"/>
                <w:highlight w:val="none"/>
                <w:lang w:val="en-US" w:eastAsia="zh-CN"/>
              </w:rPr>
              <w:t>少一人扣1分，无</w:t>
            </w:r>
            <w:r>
              <w:rPr>
                <w:rFonts w:hint="eastAsia" w:ascii="仿宋" w:hAnsi="仿宋" w:eastAsia="仿宋" w:cs="仿宋"/>
                <w:color w:val="auto"/>
                <w:sz w:val="21"/>
                <w:szCs w:val="21"/>
                <w:highlight w:val="none"/>
                <w:lang w:val="zh-CN"/>
              </w:rPr>
              <w:t>专业配送人员</w:t>
            </w:r>
            <w:r>
              <w:rPr>
                <w:rFonts w:hint="eastAsia" w:ascii="仿宋" w:hAnsi="仿宋" w:eastAsia="仿宋" w:cs="仿宋"/>
                <w:color w:val="auto"/>
                <w:sz w:val="21"/>
                <w:szCs w:val="21"/>
                <w:highlight w:val="none"/>
                <w:lang w:val="en-US" w:eastAsia="zh-CN"/>
              </w:rPr>
              <w:t>得0分。</w:t>
            </w:r>
          </w:p>
          <w:p w14:paraId="5F93B170">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3.配备专职的快速检测人员，并实行AB岗工作制度，提供检测相关专业毕业证书和技能证书，每配备1名符合要求的快速检测人员得2分，满分2分。</w:t>
            </w:r>
          </w:p>
          <w:p w14:paraId="7B5EB230">
            <w:pPr>
              <w:pStyle w:val="4"/>
              <w:jc w:val="both"/>
              <w:rPr>
                <w:rFonts w:hint="default"/>
                <w:color w:val="auto"/>
                <w:highlight w:val="none"/>
                <w:lang w:val="en-US" w:eastAsia="zh-CN"/>
              </w:rPr>
            </w:pPr>
            <w:r>
              <w:rPr>
                <w:rFonts w:hint="eastAsia" w:ascii="仿宋" w:hAnsi="仿宋" w:eastAsia="仿宋" w:cs="仿宋"/>
                <w:b w:val="0"/>
                <w:color w:val="auto"/>
                <w:sz w:val="21"/>
                <w:szCs w:val="21"/>
                <w:highlight w:val="none"/>
                <w:lang w:val="en-US" w:eastAsia="zh-CN" w:bidi="en-US"/>
              </w:rPr>
              <w:t>4.仓储条件：提供场所租赁合同或产权证明材料扫描件等相关证明材料，得1分，不提供不得分。</w:t>
            </w:r>
          </w:p>
        </w:tc>
      </w:tr>
      <w:tr w14:paraId="7A04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448" w:type="dxa"/>
            <w:vMerge w:val="continue"/>
            <w:noWrap w:val="0"/>
            <w:vAlign w:val="center"/>
          </w:tcPr>
          <w:p w14:paraId="628D317E">
            <w:pPr>
              <w:spacing w:line="440" w:lineRule="exact"/>
              <w:ind w:firstLine="539" w:firstLineChars="257"/>
              <w:rPr>
                <w:rFonts w:hint="eastAsia" w:ascii="仿宋" w:hAnsi="仿宋" w:eastAsia="仿宋" w:cs="仿宋"/>
                <w:color w:val="auto"/>
                <w:sz w:val="21"/>
                <w:szCs w:val="21"/>
                <w:highlight w:val="none"/>
                <w:lang w:eastAsia="zh-CN" w:bidi="ar-SA"/>
              </w:rPr>
            </w:pPr>
          </w:p>
        </w:tc>
        <w:tc>
          <w:tcPr>
            <w:tcW w:w="1764" w:type="dxa"/>
            <w:shd w:val="clear" w:color="auto" w:fill="FFFFFF" w:themeFill="background1"/>
            <w:noWrap w:val="0"/>
            <w:vAlign w:val="center"/>
          </w:tcPr>
          <w:p w14:paraId="22DACAD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项目配送服务方案（15分）</w:t>
            </w:r>
          </w:p>
        </w:tc>
        <w:tc>
          <w:tcPr>
            <w:tcW w:w="7013" w:type="dxa"/>
            <w:shd w:val="clear" w:color="auto" w:fill="FFFFFF" w:themeFill="background1"/>
            <w:noWrap w:val="0"/>
            <w:vAlign w:val="center"/>
          </w:tcPr>
          <w:p w14:paraId="483266E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项目配送服务方案：第1-3项全部提供得9分，每缺一小项扣1分（每有一小项表述混乱或不完善扣0.5分）；第4项最高得6分。</w:t>
            </w:r>
          </w:p>
          <w:p w14:paraId="7E801D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1.投标人对货物运输的具体方案（3分）。①针对运输服务方案、正确处理、完美解决问题的方式；②具有完善的运输组织模式；③针对项目运输方案实施提出措施建议，确保项目顺利实施。</w:t>
            </w:r>
          </w:p>
          <w:p w14:paraId="29280B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2.投标人对货物配送的具体方案（3分）。①出入库管理②货物交接③配送时间安排。</w:t>
            </w:r>
          </w:p>
          <w:p w14:paraId="1475543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3.投标人对货物装卸的具体方案（3分）。①货物装卸流程②货物装卸工具③装卸管理。</w:t>
            </w:r>
          </w:p>
          <w:p w14:paraId="341EB47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4.采购人提出的调整计划、临时采购计划以及对不合格的补发调换等要求打分（6分）：①有具体可行措施及承诺予以响应的，得6分；②有承诺但措施不够具体可行的得3分；③未提供的不得分。</w:t>
            </w:r>
          </w:p>
        </w:tc>
      </w:tr>
      <w:tr w14:paraId="795F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448" w:type="dxa"/>
            <w:vMerge w:val="continue"/>
            <w:noWrap w:val="0"/>
            <w:vAlign w:val="center"/>
          </w:tcPr>
          <w:p w14:paraId="5BB30BAA">
            <w:pPr>
              <w:spacing w:line="440" w:lineRule="exact"/>
              <w:ind w:firstLine="539" w:firstLineChars="257"/>
              <w:rPr>
                <w:rFonts w:hint="eastAsia" w:ascii="仿宋" w:hAnsi="仿宋" w:eastAsia="仿宋" w:cs="仿宋"/>
                <w:color w:val="auto"/>
                <w:sz w:val="21"/>
                <w:szCs w:val="21"/>
                <w:highlight w:val="none"/>
                <w:lang w:eastAsia="zh-CN" w:bidi="ar-SA"/>
              </w:rPr>
            </w:pPr>
          </w:p>
        </w:tc>
        <w:tc>
          <w:tcPr>
            <w:tcW w:w="1764" w:type="dxa"/>
            <w:shd w:val="clear" w:color="auto" w:fill="FFFFFF" w:themeFill="background1"/>
            <w:noWrap w:val="0"/>
            <w:vAlign w:val="center"/>
          </w:tcPr>
          <w:p w14:paraId="3BC7EC59">
            <w:pPr>
              <w:spacing w:line="44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质量安全管理</w:t>
            </w:r>
          </w:p>
          <w:p w14:paraId="01E72EB7">
            <w:pPr>
              <w:spacing w:line="44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（12分）</w:t>
            </w:r>
          </w:p>
        </w:tc>
        <w:tc>
          <w:tcPr>
            <w:tcW w:w="7013" w:type="dxa"/>
            <w:shd w:val="clear" w:color="auto" w:fill="FFFFFF" w:themeFill="background1"/>
            <w:noWrap w:val="0"/>
            <w:vAlign w:val="center"/>
          </w:tcPr>
          <w:p w14:paraId="0F03C235">
            <w:pPr>
              <w:spacing w:line="44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针对仓储管理、安全生产制度、进货渠道进行评审，全部提供得12分，每缺一小项扣1分（每有一小项表述混乱或不完善扣0.5分）</w:t>
            </w:r>
          </w:p>
          <w:p w14:paraId="49B8C97F">
            <w:pPr>
              <w:spacing w:line="44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1.仓储安全管理（4分）。①具有仓储卫生管理制度②配置仓储安全设施（包括但不限于温度测量、湿度测量、挡鼠板、备用电机等，须提供照片相关证明材料）。</w:t>
            </w:r>
          </w:p>
          <w:p w14:paraId="2092AC09">
            <w:pPr>
              <w:spacing w:line="44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2.安全生产制度（4分）。①具有完善的安全制度②具有完善的安全标准。</w:t>
            </w:r>
          </w:p>
          <w:p w14:paraId="57B61BA6">
            <w:pPr>
              <w:spacing w:line="44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3.进货渠道（4分）。①具有正规的进货渠道②品种具有多样性、货源充足、产品质量具有优质性。</w:t>
            </w:r>
          </w:p>
        </w:tc>
      </w:tr>
      <w:tr w14:paraId="2C4D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448" w:type="dxa"/>
            <w:vMerge w:val="continue"/>
            <w:noWrap w:val="0"/>
            <w:vAlign w:val="center"/>
          </w:tcPr>
          <w:p w14:paraId="6B832CAE">
            <w:pPr>
              <w:spacing w:line="440" w:lineRule="exact"/>
              <w:ind w:firstLine="539" w:firstLineChars="257"/>
              <w:rPr>
                <w:rFonts w:hint="eastAsia" w:ascii="仿宋" w:hAnsi="仿宋" w:eastAsia="仿宋" w:cs="仿宋"/>
                <w:color w:val="auto"/>
                <w:sz w:val="21"/>
                <w:szCs w:val="21"/>
                <w:highlight w:val="none"/>
                <w:lang w:eastAsia="zh-CN" w:bidi="ar-SA"/>
              </w:rPr>
            </w:pPr>
          </w:p>
        </w:tc>
        <w:tc>
          <w:tcPr>
            <w:tcW w:w="1764" w:type="dxa"/>
            <w:shd w:val="clear" w:color="auto" w:fill="FFFFFF" w:themeFill="background1"/>
            <w:noWrap w:val="0"/>
            <w:vAlign w:val="center"/>
          </w:tcPr>
          <w:p w14:paraId="2E6BF6E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保障措施</w:t>
            </w:r>
          </w:p>
          <w:p w14:paraId="653B096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仿宋" w:hAnsi="仿宋" w:eastAsia="仿宋" w:cs="仿宋"/>
                <w:color w:val="auto"/>
                <w:sz w:val="21"/>
                <w:szCs w:val="21"/>
                <w:highlight w:val="none"/>
                <w:lang w:val="en-US" w:eastAsia="zh-CN" w:bidi="en-US"/>
              </w:rPr>
            </w:pPr>
            <w:r>
              <w:rPr>
                <w:rFonts w:hint="eastAsia" w:ascii="仿宋" w:hAnsi="仿宋" w:eastAsia="仿宋" w:cs="仿宋"/>
                <w:color w:val="auto"/>
                <w:spacing w:val="6"/>
                <w:sz w:val="21"/>
                <w:szCs w:val="21"/>
                <w:highlight w:val="none"/>
              </w:rPr>
              <w:t>（</w:t>
            </w:r>
            <w:r>
              <w:rPr>
                <w:rFonts w:hint="eastAsia" w:ascii="仿宋" w:hAnsi="仿宋" w:eastAsia="仿宋" w:cs="仿宋"/>
                <w:color w:val="auto"/>
                <w:spacing w:val="6"/>
                <w:sz w:val="21"/>
                <w:szCs w:val="21"/>
                <w:highlight w:val="none"/>
                <w:lang w:val="en-US" w:eastAsia="zh-CN"/>
              </w:rPr>
              <w:t>9</w:t>
            </w:r>
            <w:r>
              <w:rPr>
                <w:rFonts w:hint="eastAsia" w:ascii="仿宋" w:hAnsi="仿宋" w:eastAsia="仿宋" w:cs="仿宋"/>
                <w:color w:val="auto"/>
                <w:spacing w:val="6"/>
                <w:sz w:val="21"/>
                <w:szCs w:val="21"/>
                <w:highlight w:val="none"/>
              </w:rPr>
              <w:t>分）</w:t>
            </w:r>
          </w:p>
        </w:tc>
        <w:tc>
          <w:tcPr>
            <w:tcW w:w="7013" w:type="dxa"/>
            <w:shd w:val="clear" w:color="auto" w:fill="FFFFFF" w:themeFill="background1"/>
            <w:noWrap w:val="0"/>
            <w:vAlign w:val="center"/>
          </w:tcPr>
          <w:p w14:paraId="1EB5BFC0">
            <w:pPr>
              <w:keepNext w:val="0"/>
              <w:keepLines w:val="0"/>
              <w:pageBreakBefore w:val="0"/>
              <w:widowControl/>
              <w:numPr>
                <w:ilvl w:val="0"/>
                <w:numId w:val="8"/>
              </w:numPr>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仓储安全管理。 </w:t>
            </w:r>
          </w:p>
          <w:p w14:paraId="60ECB48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①具有仓储卫生管理制度；  </w:t>
            </w:r>
          </w:p>
          <w:p w14:paraId="20E533E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②配置仓储安全设施（包括但不限于温度测量、湿度测量、挡鼠板、 备用电机须提供照片相关证明材料）。 </w:t>
            </w:r>
          </w:p>
          <w:p w14:paraId="1B6A8DC5">
            <w:pPr>
              <w:keepNext w:val="0"/>
              <w:keepLines w:val="0"/>
              <w:pageBreakBefore w:val="0"/>
              <w:widowControl/>
              <w:numPr>
                <w:ilvl w:val="0"/>
                <w:numId w:val="8"/>
              </w:numPr>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安全质量制度。 </w:t>
            </w:r>
          </w:p>
          <w:p w14:paraId="780948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①具有完善的安全制度； </w:t>
            </w:r>
          </w:p>
          <w:p w14:paraId="62FB20B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②具有完善的安全标准。</w:t>
            </w:r>
          </w:p>
          <w:p w14:paraId="796EB6D8">
            <w:pPr>
              <w:keepNext w:val="0"/>
              <w:keepLines w:val="0"/>
              <w:pageBreakBefore w:val="0"/>
              <w:widowControl/>
              <w:numPr>
                <w:ilvl w:val="0"/>
                <w:numId w:val="8"/>
              </w:numPr>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进货渠道。</w:t>
            </w:r>
          </w:p>
          <w:p w14:paraId="2B1BDED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①具有正规的进货渠道；</w:t>
            </w:r>
          </w:p>
          <w:p w14:paraId="508BD4C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仿宋" w:hAnsi="仿宋" w:eastAsia="仿宋" w:cs="仿宋"/>
                <w:color w:val="auto"/>
                <w:sz w:val="21"/>
                <w:szCs w:val="21"/>
                <w:highlight w:val="none"/>
                <w:lang w:val="en-US" w:eastAsia="zh-CN" w:bidi="en-US"/>
              </w:rPr>
            </w:pPr>
            <w:r>
              <w:rPr>
                <w:rFonts w:hint="eastAsia" w:ascii="仿宋" w:hAnsi="仿宋" w:eastAsia="仿宋" w:cs="仿宋"/>
                <w:color w:val="auto"/>
                <w:sz w:val="21"/>
                <w:szCs w:val="21"/>
                <w:highlight w:val="none"/>
              </w:rPr>
              <w:t>②品种具有多样性、货源充足、产品质量具有优质性。 注：以上内容都包含且满足采购需求的得</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 xml:space="preserve">分；每缺少一项内容的 扣 </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分；每有一处缺陷的扣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分；扣完为止，未提供不得分。（缺 陷是指：存在不适用该项目实际情况的情形、凭空编造、内容前后不一致、前后逻辑错误、涉及的规范及标准错误、地点区域错误、内容失不符合采购需求的任意一项）</w:t>
            </w:r>
          </w:p>
        </w:tc>
      </w:tr>
      <w:tr w14:paraId="3AD3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448" w:type="dxa"/>
            <w:vMerge w:val="continue"/>
            <w:noWrap w:val="0"/>
            <w:vAlign w:val="center"/>
          </w:tcPr>
          <w:p w14:paraId="3A630178">
            <w:pPr>
              <w:spacing w:line="440" w:lineRule="exact"/>
              <w:ind w:firstLine="539" w:firstLineChars="257"/>
              <w:rPr>
                <w:rFonts w:hint="eastAsia" w:ascii="仿宋" w:hAnsi="仿宋" w:eastAsia="仿宋" w:cs="仿宋"/>
                <w:color w:val="auto"/>
                <w:sz w:val="21"/>
                <w:szCs w:val="21"/>
                <w:highlight w:val="none"/>
                <w:lang w:eastAsia="zh-CN" w:bidi="ar-SA"/>
              </w:rPr>
            </w:pPr>
          </w:p>
        </w:tc>
        <w:tc>
          <w:tcPr>
            <w:tcW w:w="1764" w:type="dxa"/>
            <w:shd w:val="clear" w:color="auto" w:fill="FFFFFF" w:themeFill="background1"/>
            <w:noWrap w:val="0"/>
            <w:vAlign w:val="center"/>
          </w:tcPr>
          <w:p w14:paraId="7AB8358F">
            <w:pPr>
              <w:spacing w:line="44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类似业绩（3分）</w:t>
            </w:r>
          </w:p>
        </w:tc>
        <w:tc>
          <w:tcPr>
            <w:tcW w:w="7013" w:type="dxa"/>
            <w:shd w:val="clear" w:color="auto" w:fill="FFFFFF" w:themeFill="background1"/>
            <w:noWrap w:val="0"/>
            <w:vAlign w:val="center"/>
          </w:tcPr>
          <w:p w14:paraId="520E76DA">
            <w:pPr>
              <w:spacing w:line="44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近三年（2022年1月1日年至今）具有类似的1个业绩得1分，最多得3分。</w:t>
            </w:r>
          </w:p>
          <w:p w14:paraId="7F7E740E">
            <w:pPr>
              <w:spacing w:line="44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评分认定标准：投标人须提供相关业绩合同及中标通知书（成交通知书）证明材料的复印件。</w:t>
            </w:r>
          </w:p>
        </w:tc>
      </w:tr>
      <w:tr w14:paraId="3887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448" w:type="dxa"/>
            <w:vMerge w:val="continue"/>
            <w:noWrap w:val="0"/>
            <w:vAlign w:val="center"/>
          </w:tcPr>
          <w:p w14:paraId="0CDD210D">
            <w:pPr>
              <w:spacing w:line="440" w:lineRule="exact"/>
              <w:ind w:firstLine="539" w:firstLineChars="257"/>
              <w:rPr>
                <w:rFonts w:hint="eastAsia" w:ascii="仿宋" w:hAnsi="仿宋" w:eastAsia="仿宋" w:cs="仿宋"/>
                <w:color w:val="auto"/>
                <w:sz w:val="21"/>
                <w:szCs w:val="21"/>
                <w:highlight w:val="none"/>
                <w:lang w:eastAsia="zh-CN" w:bidi="ar-SA"/>
              </w:rPr>
            </w:pPr>
          </w:p>
        </w:tc>
        <w:tc>
          <w:tcPr>
            <w:tcW w:w="1764" w:type="dxa"/>
            <w:tcBorders>
              <w:bottom w:val="single" w:color="auto" w:sz="4" w:space="0"/>
            </w:tcBorders>
            <w:shd w:val="clear" w:color="auto" w:fill="FFFFFF" w:themeFill="background1"/>
            <w:noWrap w:val="0"/>
            <w:vAlign w:val="center"/>
          </w:tcPr>
          <w:p w14:paraId="745F56AF">
            <w:pPr>
              <w:spacing w:line="44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食品安全及应急预案保障</w:t>
            </w:r>
          </w:p>
          <w:p w14:paraId="5D1407EA">
            <w:pPr>
              <w:spacing w:line="44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（15分）</w:t>
            </w:r>
          </w:p>
        </w:tc>
        <w:tc>
          <w:tcPr>
            <w:tcW w:w="7013" w:type="dxa"/>
            <w:tcBorders>
              <w:bottom w:val="single" w:color="auto" w:sz="4" w:space="0"/>
            </w:tcBorders>
            <w:shd w:val="clear" w:color="auto" w:fill="FFFFFF" w:themeFill="background1"/>
            <w:noWrap w:val="0"/>
            <w:vAlign w:val="center"/>
          </w:tcPr>
          <w:p w14:paraId="563EE9C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投标人需制定食品安全保障方案，主要包括进货①食材供应、运输、服务等方面突发事件应急处置程序、具体措施、注意事项、相关记录等要点；②渠道选择；③质量保证措施；④食品安全检测；⑤出现产品质量问题后的应急处理方案等。满分15分；内容每缺失一项扣3分，扣完为止；内容模糊不清、逻辑性差、不符合实际的，每有一条扣1分，扣完为止，不提供的不得分。</w:t>
            </w:r>
          </w:p>
        </w:tc>
      </w:tr>
      <w:tr w14:paraId="328F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448" w:type="dxa"/>
            <w:vMerge w:val="continue"/>
            <w:noWrap w:val="0"/>
            <w:vAlign w:val="center"/>
          </w:tcPr>
          <w:p w14:paraId="68ABB057">
            <w:pPr>
              <w:spacing w:line="440" w:lineRule="exact"/>
              <w:ind w:firstLine="539" w:firstLineChars="257"/>
              <w:rPr>
                <w:rFonts w:hint="eastAsia" w:ascii="仿宋" w:hAnsi="仿宋" w:eastAsia="仿宋" w:cs="仿宋"/>
                <w:color w:val="auto"/>
                <w:sz w:val="21"/>
                <w:szCs w:val="21"/>
                <w:highlight w:val="none"/>
                <w:lang w:eastAsia="zh-CN" w:bidi="ar-SA"/>
              </w:rPr>
            </w:pPr>
          </w:p>
        </w:tc>
        <w:tc>
          <w:tcPr>
            <w:tcW w:w="1764" w:type="dxa"/>
            <w:tcBorders>
              <w:top w:val="single" w:color="auto" w:sz="4" w:space="0"/>
              <w:bottom w:val="single" w:color="auto" w:sz="4" w:space="0"/>
            </w:tcBorders>
            <w:noWrap w:val="0"/>
            <w:vAlign w:val="center"/>
          </w:tcPr>
          <w:p w14:paraId="0B0A8D97">
            <w:pPr>
              <w:spacing w:line="44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售后服务方案</w:t>
            </w:r>
          </w:p>
          <w:p w14:paraId="2184E786">
            <w:pPr>
              <w:spacing w:line="44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c>
          <w:tcPr>
            <w:tcW w:w="7013" w:type="dxa"/>
            <w:tcBorders>
              <w:top w:val="single" w:color="auto" w:sz="4" w:space="0"/>
              <w:bottom w:val="single" w:color="auto" w:sz="4" w:space="0"/>
            </w:tcBorders>
            <w:noWrap w:val="0"/>
            <w:vAlign w:val="center"/>
          </w:tcPr>
          <w:p w14:paraId="6ED4AC1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1.售后服务方案（3分）。①针对服务中出现产品各项问题的解决办法 ;②项目售后服务组织措施。③保证及时供货和调换货时间响应的相关证明材料，全部提供得3分，每缺一小项扣1分（每有一小项表述混乱或不完善扣0.5分）</w:t>
            </w:r>
          </w:p>
          <w:p w14:paraId="6F37A04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2.专职服务团队（2分）。针对本项目配备2名专职服务人员，须提供人员的身份证、健康证、劳动合同及近6个月的任意一个月社保证明，全部满足得2分,未提供或者证明资料不全不得分。</w:t>
            </w:r>
          </w:p>
        </w:tc>
      </w:tr>
      <w:tr w14:paraId="3B57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448" w:type="dxa"/>
            <w:noWrap w:val="0"/>
            <w:vAlign w:val="center"/>
          </w:tcPr>
          <w:p w14:paraId="61CC51C3">
            <w:pPr>
              <w:spacing w:line="440" w:lineRule="exact"/>
              <w:ind w:firstLine="539" w:firstLineChars="257"/>
              <w:rPr>
                <w:rFonts w:hint="eastAsia" w:ascii="仿宋" w:hAnsi="仿宋" w:eastAsia="仿宋" w:cs="仿宋"/>
                <w:color w:val="auto"/>
                <w:sz w:val="21"/>
                <w:szCs w:val="21"/>
                <w:highlight w:val="none"/>
                <w:lang w:eastAsia="zh-CN" w:bidi="ar-SA"/>
              </w:rPr>
            </w:pPr>
          </w:p>
        </w:tc>
        <w:tc>
          <w:tcPr>
            <w:tcW w:w="1764" w:type="dxa"/>
            <w:tcBorders>
              <w:top w:val="single" w:color="auto" w:sz="4" w:space="0"/>
            </w:tcBorders>
            <w:noWrap w:val="0"/>
            <w:vAlign w:val="center"/>
          </w:tcPr>
          <w:p w14:paraId="590FBF0D">
            <w:pPr>
              <w:spacing w:line="44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档案追溯（5分）</w:t>
            </w:r>
          </w:p>
          <w:p w14:paraId="16CA9BBE">
            <w:pPr>
              <w:spacing w:line="440" w:lineRule="exact"/>
              <w:jc w:val="center"/>
              <w:rPr>
                <w:rFonts w:hint="eastAsia" w:ascii="仿宋" w:hAnsi="仿宋" w:eastAsia="仿宋" w:cs="仿宋"/>
                <w:color w:val="auto"/>
                <w:kern w:val="2"/>
                <w:sz w:val="21"/>
                <w:szCs w:val="21"/>
                <w:highlight w:val="none"/>
                <w:lang w:val="en-US" w:eastAsia="zh-CN" w:bidi="ar-SA"/>
              </w:rPr>
            </w:pPr>
          </w:p>
        </w:tc>
        <w:tc>
          <w:tcPr>
            <w:tcW w:w="7013" w:type="dxa"/>
            <w:tcBorders>
              <w:top w:val="single" w:color="auto" w:sz="4" w:space="0"/>
            </w:tcBorders>
            <w:noWrap w:val="0"/>
            <w:vAlign w:val="center"/>
          </w:tcPr>
          <w:p w14:paraId="5FBAF308">
            <w:pPr>
              <w:keepNext w:val="0"/>
              <w:keepLines w:val="0"/>
              <w:widowControl/>
              <w:suppressLineNumbers w:val="0"/>
              <w:jc w:val="left"/>
              <w:rPr>
                <w:color w:val="auto"/>
                <w:highlight w:val="none"/>
              </w:rPr>
            </w:pPr>
            <w:r>
              <w:rPr>
                <w:rFonts w:ascii="仿宋" w:hAnsi="仿宋" w:eastAsia="仿宋" w:cs="仿宋"/>
                <w:color w:val="auto"/>
                <w:kern w:val="0"/>
                <w:sz w:val="24"/>
                <w:szCs w:val="24"/>
                <w:highlight w:val="none"/>
                <w:lang w:val="en-US" w:eastAsia="zh-CN" w:bidi="ar"/>
              </w:rPr>
              <w:t>投标人承诺建立配送采购人食材的追踪溯源体系及专门台</w:t>
            </w:r>
            <w:r>
              <w:rPr>
                <w:rFonts w:hint="eastAsia" w:ascii="仿宋" w:hAnsi="仿宋" w:eastAsia="仿宋" w:cs="仿宋"/>
                <w:color w:val="auto"/>
                <w:kern w:val="0"/>
                <w:sz w:val="24"/>
                <w:szCs w:val="24"/>
                <w:highlight w:val="none"/>
                <w:lang w:val="en-US" w:eastAsia="zh-CN" w:bidi="ar"/>
              </w:rPr>
              <w:t>账档案，提供承诺函加盖公章得5分，未提供不得分。</w:t>
            </w:r>
          </w:p>
          <w:p w14:paraId="2923FA0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color w:val="auto"/>
                <w:kern w:val="2"/>
                <w:sz w:val="21"/>
                <w:szCs w:val="21"/>
                <w:highlight w:val="none"/>
                <w:lang w:val="en-US" w:eastAsia="zh-CN" w:bidi="ar-SA"/>
              </w:rPr>
            </w:pPr>
          </w:p>
        </w:tc>
      </w:tr>
    </w:tbl>
    <w:p w14:paraId="1854E023">
      <w:pPr>
        <w:pStyle w:val="7"/>
        <w:rPr>
          <w:rFonts w:hint="eastAsia"/>
          <w:color w:val="auto"/>
          <w:highlight w:val="none"/>
          <w:lang w:val="en-US" w:eastAsia="zh-CN"/>
        </w:rPr>
      </w:pPr>
    </w:p>
    <w:p w14:paraId="6E9FD47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22DEA6D1">
      <w:pPr>
        <w:pStyle w:val="45"/>
        <w:keepNext w:val="0"/>
        <w:keepLines w:val="0"/>
        <w:pageBreakBefore w:val="0"/>
        <w:widowControl w:val="0"/>
        <w:tabs>
          <w:tab w:val="left" w:pos="1701"/>
        </w:tabs>
        <w:kinsoku/>
        <w:wordWrap/>
        <w:overflowPunct/>
        <w:topLinePunct w:val="0"/>
        <w:autoSpaceDE/>
        <w:autoSpaceDN/>
        <w:bidi w:val="0"/>
        <w:adjustRightInd/>
        <w:snapToGrid/>
        <w:spacing w:line="400" w:lineRule="exact"/>
        <w:ind w:left="0"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10.2.2价格评分方法</w:t>
      </w:r>
    </w:p>
    <w:p w14:paraId="1F1308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满足招标文件技术要求且</w:t>
      </w:r>
      <w:r>
        <w:rPr>
          <w:rFonts w:hint="eastAsia" w:ascii="仿宋" w:hAnsi="仿宋" w:eastAsia="仿宋" w:cs="仿宋"/>
          <w:color w:val="auto"/>
          <w:szCs w:val="21"/>
          <w:highlight w:val="none"/>
          <w:lang w:val="en-US" w:eastAsia="zh-CN" w:bidi="ar-SA"/>
        </w:rPr>
        <w:t>优惠最多</w:t>
      </w:r>
      <w:r>
        <w:rPr>
          <w:rFonts w:hint="eastAsia" w:ascii="仿宋" w:hAnsi="仿宋" w:eastAsia="仿宋" w:cs="仿宋"/>
          <w:color w:val="auto"/>
          <w:szCs w:val="21"/>
          <w:highlight w:val="none"/>
          <w:lang w:eastAsia="zh-CN" w:bidi="ar-SA"/>
        </w:rPr>
        <w:t>的投标报价（</w:t>
      </w:r>
      <w:r>
        <w:rPr>
          <w:rFonts w:hint="eastAsia" w:ascii="仿宋" w:hAnsi="仿宋" w:eastAsia="仿宋" w:cs="仿宋"/>
          <w:color w:val="auto"/>
          <w:szCs w:val="21"/>
          <w:highlight w:val="none"/>
          <w:lang w:val="en-US" w:eastAsia="zh-CN" w:bidi="ar-SA"/>
        </w:rPr>
        <w:t>下浮率）</w:t>
      </w:r>
      <w:r>
        <w:rPr>
          <w:rFonts w:hint="eastAsia" w:ascii="仿宋" w:hAnsi="仿宋" w:eastAsia="仿宋" w:cs="仿宋"/>
          <w:color w:val="auto"/>
          <w:szCs w:val="21"/>
          <w:highlight w:val="none"/>
          <w:lang w:eastAsia="zh-CN" w:bidi="ar-SA"/>
        </w:rPr>
        <w:t>为评标基准价，其价格分为满分。其他供应商的价格分别按照下列公式计算： 投标报价得分=（</w:t>
      </w:r>
      <w:bookmarkStart w:id="66" w:name="_GoBack"/>
      <w:bookmarkEnd w:id="66"/>
      <w:r>
        <w:rPr>
          <w:rFonts w:hint="eastAsia" w:ascii="仿宋" w:hAnsi="仿宋" w:eastAsia="仿宋" w:cs="仿宋"/>
          <w:color w:val="auto"/>
          <w:szCs w:val="21"/>
          <w:highlight w:val="none"/>
          <w:lang w:eastAsia="zh-CN" w:bidi="ar-SA"/>
        </w:rPr>
        <w:t>评标基准价/投标报价）×价格权重，</w:t>
      </w:r>
      <w:r>
        <w:rPr>
          <w:rFonts w:hint="eastAsia" w:ascii="仿宋" w:hAnsi="仿宋" w:eastAsia="仿宋" w:cs="仿宋"/>
          <w:color w:val="auto"/>
          <w:szCs w:val="21"/>
          <w:highlight w:val="none"/>
          <w:lang w:val="en-US" w:eastAsia="zh-CN" w:bidi="ar-SA"/>
        </w:rPr>
        <w:t>投标报价为:(1-下浮率)。</w:t>
      </w:r>
    </w:p>
    <w:p w14:paraId="7B0C4F43">
      <w:pPr>
        <w:spacing w:beforeLines="50" w:line="400" w:lineRule="exact"/>
        <w:jc w:val="center"/>
        <w:outlineLvl w:val="1"/>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五  推荐中标候选人</w:t>
      </w:r>
      <w:bookmarkEnd w:id="43"/>
      <w:bookmarkEnd w:id="44"/>
    </w:p>
    <w:p w14:paraId="75224AE7">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11.1评标委员会推荐3名中标候选人，并标明排序。</w:t>
      </w:r>
    </w:p>
    <w:p w14:paraId="164D9BD3">
      <w:pPr>
        <w:spacing w:line="400" w:lineRule="exact"/>
        <w:ind w:firstLine="470"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11.2如出现报价相同情况，则由招标人现场抽签确定中标候选人排名顺序。</w:t>
      </w:r>
    </w:p>
    <w:bookmarkEnd w:id="38"/>
    <w:p w14:paraId="7F45C016">
      <w:pPr>
        <w:snapToGrid w:val="0"/>
        <w:spacing w:line="40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12.无效投标条款</w:t>
      </w:r>
    </w:p>
    <w:p w14:paraId="1D393ED2">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12.1投标文件有下列情形之一的,其投标文件拒收:</w:t>
      </w:r>
    </w:p>
    <w:p w14:paraId="28AC615C">
      <w:pPr>
        <w:snapToGrid w:val="0"/>
        <w:spacing w:line="400" w:lineRule="exact"/>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 xml:space="preserve">   </w:t>
      </w:r>
      <w:r>
        <w:rPr>
          <w:rFonts w:hint="eastAsia" w:ascii="仿宋" w:hAnsi="仿宋" w:eastAsia="仿宋" w:cs="仿宋"/>
          <w:b/>
          <w:bCs/>
          <w:color w:val="auto"/>
          <w:szCs w:val="21"/>
          <w:highlight w:val="none"/>
          <w:lang w:eastAsia="zh-CN"/>
        </w:rPr>
        <w:t xml:space="preserve"> (1) 未在开标截止时间前通过网上招标投标系统递交有效电子投标文件的，开标系统不予接收。</w:t>
      </w:r>
    </w:p>
    <w:p w14:paraId="14EB09AF">
      <w:pPr>
        <w:snapToGrid w:val="0"/>
        <w:spacing w:line="400" w:lineRule="exact"/>
        <w:ind w:firstLine="482" w:firstLineChars="200"/>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w:t>
      </w:r>
      <w:r>
        <w:rPr>
          <w:rFonts w:hint="eastAsia" w:ascii="仿宋" w:hAnsi="仿宋" w:eastAsia="仿宋" w:cs="仿宋"/>
          <w:b/>
          <w:color w:val="auto"/>
          <w:szCs w:val="21"/>
          <w:highlight w:val="none"/>
          <w:lang w:eastAsia="zh-CN"/>
        </w:rPr>
        <w:t>所有供应商应在规定时间里完成投标文件的解密工作</w:t>
      </w:r>
      <w:r>
        <w:rPr>
          <w:rFonts w:hint="eastAsia" w:ascii="仿宋" w:hAnsi="仿宋" w:eastAsia="仿宋" w:cs="仿宋"/>
          <w:b/>
          <w:bCs/>
          <w:color w:val="auto"/>
          <w:szCs w:val="21"/>
          <w:highlight w:val="none"/>
          <w:lang w:eastAsia="zh-CN"/>
        </w:rPr>
        <w:t>【供应商使用其有效加密锁（CA锁）进行解密（因供应商原因未能提供有效CA锁对其投标文件进行解密的，其投标文件按无效标处理）</w:t>
      </w:r>
      <w:r>
        <w:rPr>
          <w:rFonts w:hint="eastAsia" w:ascii="仿宋" w:hAnsi="仿宋" w:eastAsia="仿宋" w:cs="仿宋"/>
          <w:b/>
          <w:color w:val="auto"/>
          <w:szCs w:val="21"/>
          <w:highlight w:val="none"/>
          <w:lang w:eastAsia="zh-CN"/>
        </w:rPr>
        <w:t>。</w:t>
      </w:r>
    </w:p>
    <w:p w14:paraId="29F00DAE">
      <w:pPr>
        <w:snapToGrid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12.2供应商有下列情形之一的,资格审查后其投标作无效投标处理：</w:t>
      </w:r>
    </w:p>
    <w:p w14:paraId="3473C5E3">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(1)法定代表人参加开标会议未携带有效的法定代表人身份证明原件和本人身份证的；委托代理人参加开标会议未携带有效的法定代表人授权书和本人身份证；</w:t>
      </w:r>
    </w:p>
    <w:p w14:paraId="13FECAFE">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(2)供应商为本项目提供招标代理服务的；</w:t>
      </w:r>
    </w:p>
    <w:p w14:paraId="0700929C">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(3)供应商与在本项目代理机构存在相互任职或工作的；</w:t>
      </w:r>
    </w:p>
    <w:p w14:paraId="0C34B45E">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(4)投标保证金未按规定要求缴纳的；</w:t>
      </w:r>
    </w:p>
    <w:p w14:paraId="5E5976E6">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(5)评标专家无法查看并检验电子标书中相关资料的；</w:t>
      </w:r>
    </w:p>
    <w:p w14:paraId="441D2BE4">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(6)供应商超出营业范围投标的；</w:t>
      </w:r>
    </w:p>
    <w:p w14:paraId="02CFE9A7">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(7)联合体投标未提交联合体协议的；</w:t>
      </w:r>
    </w:p>
    <w:p w14:paraId="76085372">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(8)被暂停营业的；</w:t>
      </w:r>
    </w:p>
    <w:p w14:paraId="10177A67">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(9)被暂停或取消投标资格的；</w:t>
      </w:r>
    </w:p>
    <w:p w14:paraId="77CBFF17">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(10)财产被接管或冻结的；</w:t>
      </w:r>
    </w:p>
    <w:p w14:paraId="18BEB342">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(11)供应商单位负责人为同一人或者存在控股、管理关系的不同单位的；</w:t>
      </w:r>
    </w:p>
    <w:p w14:paraId="5155757C">
      <w:pPr>
        <w:snapToGrid w:val="0"/>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（12）供应商基本资格条件和特定资格条件中有一项及以上不符合要求的；</w:t>
      </w:r>
    </w:p>
    <w:p w14:paraId="2FD318A4">
      <w:pPr>
        <w:snapToGrid w:val="0"/>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（13）供应商使用相同的MAC地址进行报名的；</w:t>
      </w:r>
    </w:p>
    <w:p w14:paraId="4EB1DFCE">
      <w:pPr>
        <w:snapToGrid w:val="0"/>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（14）其它情形，经评标委员会提出按无效投标处理，并经公共资源交易监督部门核准的；</w:t>
      </w:r>
    </w:p>
    <w:p w14:paraId="5D7D4031">
      <w:pPr>
        <w:snapToGrid w:val="0"/>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（15）供应商使用相同IP地址报名的，一经发现，监管部门将进一步核实，查实后按串通投标处理；</w:t>
      </w:r>
    </w:p>
    <w:p w14:paraId="05A4FAF5">
      <w:pPr>
        <w:snapToGrid w:val="0"/>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（16）采购文件规定的其它无效投标情形。</w:t>
      </w:r>
    </w:p>
    <w:p w14:paraId="6173158B">
      <w:pPr>
        <w:snapToGrid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12.3 供应商有下列情形之一的,符合性审查后其投标按无效投标处理：</w:t>
      </w:r>
    </w:p>
    <w:p w14:paraId="005FFB3B">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 投标文件签章、盖章不全，经评标委员会一致认定对开评标内容有实质性影响并经监督部门核准的；</w:t>
      </w:r>
    </w:p>
    <w:p w14:paraId="3B10EACC">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(2)未按规定的格式填写，实质性内容不全或关键字迹模糊、无法辨认; 经监督部门核准的；</w:t>
      </w:r>
    </w:p>
    <w:p w14:paraId="2B9D310D">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(4)同一供应商提交两个以上不同的投标文件或者投标报价，但采购文件规定提交备选方案的除外；</w:t>
      </w:r>
    </w:p>
    <w:p w14:paraId="20582E6C">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(3)投标文件没有对采购文件的实质性要求和条件作出响应;</w:t>
      </w:r>
    </w:p>
    <w:p w14:paraId="5BC6256A">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(4)投标报价超出规定的投标限价或公布的采购预算的；</w:t>
      </w:r>
    </w:p>
    <w:p w14:paraId="2A27ADE3">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(5)不按评标委员会要求澄清、说明或补正的，或者评标委员会根据采购文件的规定对采购文件的计算错误进行修正后，供应商不接受修正的投标报价的。</w:t>
      </w:r>
    </w:p>
    <w:p w14:paraId="293A64FA">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（6）其它情形，经评标委员会委提出按无效投标处理，并经公共资源交易监督部门核准的；</w:t>
      </w:r>
    </w:p>
    <w:p w14:paraId="12AC1ED4">
      <w:pPr>
        <w:widowControl/>
        <w:spacing w:line="5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shd w:val="clear" w:color="auto" w:fill="FFFFFF"/>
          <w:lang w:eastAsia="zh-CN"/>
        </w:rPr>
        <w:t>未按照招标文件的规定提交投标保证金的；</w:t>
      </w:r>
    </w:p>
    <w:p w14:paraId="1079BCEA">
      <w:pPr>
        <w:widowControl/>
        <w:spacing w:line="5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shd w:val="clear" w:color="auto" w:fill="FFFFFF"/>
          <w:lang w:eastAsia="zh-CN"/>
        </w:rPr>
        <w:t>投标文件含有采购人不能接受的附加条件的;</w:t>
      </w:r>
    </w:p>
    <w:p w14:paraId="7B54CEF2">
      <w:pPr>
        <w:tabs>
          <w:tab w:val="left" w:pos="1123"/>
        </w:tabs>
        <w:snapToGrid w:val="0"/>
        <w:spacing w:line="5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（9）采购文件规定的其它无效投标情形。</w:t>
      </w:r>
    </w:p>
    <w:p w14:paraId="1CFC27B5">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12.4 供应商有下列情形之一的, 详细评审后其投标按无效投标处理：</w:t>
      </w:r>
    </w:p>
    <w:p w14:paraId="30014599">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(1)投标产品不符合必须强制执行的国家标准的；</w:t>
      </w:r>
    </w:p>
    <w:p w14:paraId="5BE741F8">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(2)供应商有串通投标、弄虚作假、行贿等违法行为；</w:t>
      </w:r>
    </w:p>
    <w:p w14:paraId="3A6CFDA7">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(3)投标文件含有违反国家法律、法规的内容，或附有招标人不能接受的条件的；</w:t>
      </w:r>
    </w:p>
    <w:p w14:paraId="3487C501">
      <w:pPr>
        <w:spacing w:line="360" w:lineRule="auto"/>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（4）在同一项目（或同一标段）中有多个供应商有效投标报价接近最高限价，且评标委员会认为报价出现异常的，可以宣布其投标无效；</w:t>
      </w:r>
    </w:p>
    <w:p w14:paraId="4E21FFF2">
      <w:pPr>
        <w:spacing w:line="360" w:lineRule="auto"/>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（5）报价明显低于其他供应商，且不能证明报价合理性的投标无效；</w:t>
      </w:r>
    </w:p>
    <w:p w14:paraId="271FFB20">
      <w:pPr>
        <w:spacing w:line="360" w:lineRule="auto"/>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（6）拒不确认评标委员会评审修正的投标无效；</w:t>
      </w:r>
    </w:p>
    <w:p w14:paraId="1B0EF7BF">
      <w:pPr>
        <w:spacing w:line="360" w:lineRule="auto"/>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（7）其它情形，经评标委员会委提出按无效投标处理，并经公共资源交易监督部门核准的；</w:t>
      </w:r>
    </w:p>
    <w:p w14:paraId="1EEDD7B2">
      <w:pPr>
        <w:spacing w:line="360" w:lineRule="auto"/>
        <w:ind w:firstLine="360" w:firstLineChars="15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（8）采购文件规定的其它无效投标情形。</w:t>
      </w:r>
      <w:bookmarkStart w:id="45" w:name="OLE_LINK4"/>
      <w:bookmarkStart w:id="46" w:name="_Toc469495737"/>
    </w:p>
    <w:p w14:paraId="525D9E60">
      <w:pPr>
        <w:rPr>
          <w:rFonts w:hint="eastAsia"/>
          <w:color w:val="auto"/>
          <w:highlight w:val="none"/>
          <w:lang w:eastAsia="zh-CN"/>
        </w:rPr>
      </w:pPr>
      <w:r>
        <w:rPr>
          <w:rFonts w:hint="eastAsia"/>
          <w:color w:val="auto"/>
          <w:highlight w:val="none"/>
          <w:lang w:eastAsia="zh-CN"/>
        </w:rPr>
        <w:br w:type="page"/>
      </w:r>
    </w:p>
    <w:bookmarkEnd w:id="39"/>
    <w:bookmarkEnd w:id="45"/>
    <w:bookmarkEnd w:id="46"/>
    <w:p w14:paraId="474EE076">
      <w:pPr>
        <w:numPr>
          <w:ilvl w:val="0"/>
          <w:numId w:val="2"/>
        </w:numPr>
        <w:ind w:left="0" w:leftChars="0" w:firstLine="0" w:firstLineChars="0"/>
        <w:jc w:val="center"/>
        <w:rPr>
          <w:rFonts w:hint="eastAsia" w:ascii="仿宋" w:hAnsi="仿宋" w:eastAsia="仿宋" w:cs="仿宋"/>
          <w:b/>
          <w:bCs w:val="0"/>
          <w:color w:val="auto"/>
          <w:sz w:val="32"/>
          <w:szCs w:val="32"/>
          <w:highlight w:val="none"/>
          <w:lang w:eastAsia="zh-CN"/>
        </w:rPr>
      </w:pPr>
      <w:bookmarkStart w:id="47" w:name="_Toc340225294"/>
      <w:bookmarkStart w:id="48" w:name="_Toc267320052"/>
      <w:r>
        <w:rPr>
          <w:rFonts w:hint="eastAsia" w:ascii="仿宋" w:hAnsi="仿宋" w:eastAsia="仿宋" w:cs="仿宋"/>
          <w:b/>
          <w:bCs w:val="0"/>
          <w:color w:val="auto"/>
          <w:sz w:val="32"/>
          <w:szCs w:val="32"/>
          <w:highlight w:val="none"/>
          <w:lang w:eastAsia="zh-CN"/>
        </w:rPr>
        <w:t>技术规格、数量及质量要求</w:t>
      </w:r>
    </w:p>
    <w:p w14:paraId="65FCAA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imes New Roman" w:cs="Times New Roman"/>
          <w:b/>
          <w:color w:val="auto"/>
          <w:sz w:val="24"/>
          <w:highlight w:val="none"/>
          <w:lang w:val="en-US" w:eastAsia="zh-CN"/>
        </w:rPr>
      </w:pPr>
      <w:r>
        <w:rPr>
          <w:rFonts w:hint="eastAsia" w:ascii="宋体" w:hAnsi="宋体" w:cs="Times New Roman"/>
          <w:b/>
          <w:color w:val="auto"/>
          <w:sz w:val="24"/>
          <w:highlight w:val="none"/>
          <w:lang w:val="en-US" w:eastAsia="zh-CN"/>
        </w:rPr>
        <w:t>一、</w:t>
      </w:r>
      <w:r>
        <w:rPr>
          <w:rFonts w:hint="eastAsia" w:ascii="宋体" w:hAnsi="宋体" w:eastAsia="Times New Roman" w:cs="Times New Roman"/>
          <w:b/>
          <w:color w:val="auto"/>
          <w:sz w:val="24"/>
          <w:highlight w:val="none"/>
          <w:lang w:val="en-US" w:eastAsia="zh-CN"/>
        </w:rPr>
        <w:t>采购要求：</w:t>
      </w:r>
    </w:p>
    <w:p w14:paraId="4B7251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1、供应商应为有以人为本理念、公益服务认识、社会责任明确的企业，愿意为学生提供优质食品供应服务。</w:t>
      </w:r>
    </w:p>
    <w:p w14:paraId="6157ED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2、具有独立承担民事责任的能力，有较强的经济实力，近 3 年内无食品安全违法经营和投诉现象，信誉度较高，具有相应固 定的食品生产或经营场所，按要求及时进行物资配送的能力。</w:t>
      </w:r>
    </w:p>
    <w:p w14:paraId="18EF74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3、具备齐全的《企业法人营业执照》或《企业法人组织机构 代码证》、《税务登记证》、《食品生产许可证》或《食品经营 许可证》， 并且年审有效。</w:t>
      </w:r>
    </w:p>
    <w:p w14:paraId="449257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4、能按时提供所配送食品生产商的《食品生产许可证》、《企 业法人营业执照》、质检机构年度抽检报告、分批次生产厂家自检报告等。</w:t>
      </w:r>
    </w:p>
    <w:p w14:paraId="60671F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5、具有相适应的食品配送车辆，车辆箱体保持清洁、定期消 毒，并做到专车专用。严禁用食品配送车辆装运有毒有害，影响食品安全的物品。</w:t>
      </w:r>
    </w:p>
    <w:p w14:paraId="021773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6、具有相应的贮存能力、其贮存（仓库）符合相关的食品安全和食品卫生要求。</w:t>
      </w:r>
    </w:p>
    <w:p w14:paraId="2AF897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7、配送的食品必须符合国家规定标准及强制性规定要求，供应商不得提供含有亚硝酸盐（包括亚硝酸钠、亚硝酸钾）等食品添加剂食品。</w:t>
      </w:r>
    </w:p>
    <w:p w14:paraId="1B361A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8、严格执行和各学校签订的学校配送合同书；不得私自更换配送食品的种类， 不得超范 围配送食品 ； 由于某种原因需 退出学校配送时，应当在做出退出决定的 1 月前向县教育局、 政府采购中心提出申请。</w:t>
      </w:r>
    </w:p>
    <w:p w14:paraId="6B6889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9、该项目要求供应商所供食品接触人员必须要持有健康证。</w:t>
      </w:r>
    </w:p>
    <w:p w14:paraId="3BC1658D">
      <w:pPr>
        <w:pStyle w:val="2"/>
        <w:rPr>
          <w:rFonts w:hint="default" w:ascii="宋体" w:hAnsi="宋体" w:eastAsia="Times New Roman" w:cs="Times New Roman"/>
          <w:b/>
          <w:color w:val="auto"/>
          <w:sz w:val="24"/>
          <w:szCs w:val="24"/>
          <w:highlight w:val="none"/>
          <w:lang w:val="en-US" w:eastAsia="zh-CN" w:bidi="en-US"/>
        </w:rPr>
      </w:pPr>
      <w:r>
        <w:rPr>
          <w:rFonts w:hint="eastAsia" w:ascii="宋体" w:hAnsi="宋体" w:eastAsia="Times New Roman" w:cs="Times New Roman"/>
          <w:b/>
          <w:color w:val="auto"/>
          <w:sz w:val="24"/>
          <w:szCs w:val="24"/>
          <w:highlight w:val="none"/>
          <w:lang w:val="en-US" w:eastAsia="zh-CN" w:bidi="en-US"/>
        </w:rPr>
        <w:t>二、产品质量要求</w:t>
      </w:r>
      <w:r>
        <w:rPr>
          <w:rFonts w:hint="eastAsia" w:hAnsi="宋体" w:eastAsia="Times New Roman" w:cs="Times New Roman"/>
          <w:b/>
          <w:color w:val="auto"/>
          <w:sz w:val="24"/>
          <w:szCs w:val="24"/>
          <w:highlight w:val="none"/>
          <w:lang w:val="en-US" w:eastAsia="zh-CN" w:bidi="en-US"/>
        </w:rPr>
        <w:t>。</w:t>
      </w:r>
    </w:p>
    <w:p w14:paraId="1E040BAC">
      <w:pPr>
        <w:snapToGrid w:val="0"/>
        <w:spacing w:line="440" w:lineRule="exact"/>
        <w:ind w:firstLine="480" w:firstLineChars="200"/>
        <w:rPr>
          <w:rFonts w:ascii="宋体" w:hAnsi="宋体"/>
          <w:bCs/>
          <w:color w:val="auto"/>
          <w:sz w:val="24"/>
          <w:szCs w:val="24"/>
          <w:highlight w:val="none"/>
        </w:rPr>
      </w:pPr>
      <w:r>
        <w:rPr>
          <w:rFonts w:hint="eastAsia" w:ascii="宋体" w:hAnsi="宋体"/>
          <w:b/>
          <w:bCs w:val="0"/>
          <w:color w:val="auto"/>
          <w:sz w:val="24"/>
          <w:szCs w:val="24"/>
          <w:highlight w:val="none"/>
        </w:rPr>
        <w:t>一、</w:t>
      </w:r>
      <w:r>
        <w:rPr>
          <w:rFonts w:hint="eastAsia" w:ascii="宋体" w:hAnsi="宋体" w:eastAsia="宋体"/>
          <w:b/>
          <w:bCs w:val="0"/>
          <w:color w:val="auto"/>
          <w:sz w:val="24"/>
          <w:szCs w:val="24"/>
          <w:highlight w:val="none"/>
          <w:lang w:val="en-US" w:eastAsia="zh-CN"/>
        </w:rPr>
        <w:t>大米、面粉、</w:t>
      </w:r>
      <w:r>
        <w:rPr>
          <w:rFonts w:hint="eastAsia" w:ascii="宋体" w:hAnsi="宋体"/>
          <w:b/>
          <w:bCs w:val="0"/>
          <w:color w:val="auto"/>
          <w:sz w:val="24"/>
          <w:szCs w:val="24"/>
          <w:highlight w:val="none"/>
        </w:rPr>
        <w:t>粮油类</w:t>
      </w:r>
      <w:r>
        <w:rPr>
          <w:rFonts w:hint="eastAsia" w:ascii="宋体" w:hAnsi="宋体" w:eastAsia="宋体"/>
          <w:b/>
          <w:bCs w:val="0"/>
          <w:color w:val="auto"/>
          <w:sz w:val="24"/>
          <w:szCs w:val="24"/>
          <w:highlight w:val="none"/>
          <w:lang w:eastAsia="zh-CN"/>
        </w:rPr>
        <w:t>：</w:t>
      </w:r>
      <w:r>
        <w:rPr>
          <w:rFonts w:hint="eastAsia" w:ascii="宋体" w:hAnsi="宋体"/>
          <w:bCs/>
          <w:color w:val="auto"/>
          <w:sz w:val="24"/>
          <w:szCs w:val="24"/>
          <w:highlight w:val="none"/>
        </w:rPr>
        <w:t>大米、面粉、食用油由生产厂家使用符合国家食品卫生要求的包装袋进行完整包装，不得含有任何有毒有害原料，包装标识清楚，包装袋上要有生产日期、保质期、生产厂家、联系电话等，生产日期临期或过期、包装破损甲方有权不予以接收。供应产品无不良气味以及其他酸败的现象，不许添加陈化粮成分。面粉内不许添加任何增白剂、防腐剂等添加剂，保证无污染、零添加。保证其配送的每一个批次的货物符合上述质量标准及相应的安全标准。提供所需证件及产品检验报告单。实施投标书中的产品质量标准、检验报告、并保证使用前不被污染，保证使用标准和优质、卫生，供应商提供符合标准的批量检测报告。</w:t>
      </w:r>
    </w:p>
    <w:p w14:paraId="49BFDA3E">
      <w:pPr>
        <w:snapToGrid w:val="0"/>
        <w:spacing w:line="440" w:lineRule="exact"/>
        <w:ind w:firstLine="480" w:firstLineChars="200"/>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rPr>
        <w:t>1、大米：同一质量标准的、一年内的新米、颗粒晶莹，适用于抓饭或米饭制作。国标一级，质量达到 GB/T 1354-2018 标准，拥有 SC 食品质量安全认证</w:t>
      </w:r>
      <w:r>
        <w:rPr>
          <w:rFonts w:hint="eastAsia" w:ascii="宋体" w:hAnsi="宋体" w:eastAsia="宋体"/>
          <w:bCs/>
          <w:color w:val="auto"/>
          <w:sz w:val="24"/>
          <w:szCs w:val="24"/>
          <w:highlight w:val="none"/>
          <w:lang w:eastAsia="zh-CN"/>
        </w:rPr>
        <w:t>。米质颗粒饱满，有清香味，无麸皮等杂质，严禁提供陈化米，</w:t>
      </w:r>
      <w:r>
        <w:rPr>
          <w:rFonts w:hint="eastAsia" w:ascii="宋体" w:hAnsi="宋体" w:eastAsia="宋体"/>
          <w:bCs/>
          <w:color w:val="auto"/>
          <w:sz w:val="24"/>
          <w:szCs w:val="24"/>
          <w:highlight w:val="none"/>
          <w:lang w:val="en-US" w:eastAsia="zh-CN"/>
        </w:rPr>
        <w:t>符合应有品种的色泽，呈透明、半透明或白色，有光泽，具有新鲜米的特有香气，无异味。</w:t>
      </w:r>
    </w:p>
    <w:p w14:paraId="6E08B145">
      <w:pPr>
        <w:snapToGrid w:val="0"/>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2、面粉：适用于馍馍、花卷、烤馕，国标一级，质量达到 GB/T 1355-2021  标准，拥有 SC  食品质量安全认证，须袋装。干净无害，无异味、 异物、结块、杂质或霉点。严禁提供陈旧面粉。</w:t>
      </w:r>
      <w:r>
        <w:rPr>
          <w:rFonts w:hint="eastAsia" w:ascii="宋体" w:hAnsi="宋体"/>
          <w:bCs/>
          <w:color w:val="auto"/>
          <w:sz w:val="24"/>
          <w:szCs w:val="24"/>
          <w:highlight w:val="none"/>
          <w:lang w:val="en-US" w:eastAsia="zh-CN"/>
        </w:rPr>
        <w:t>面粉呈白色或微黄色，不发暗、无杂色，具有面粉固有的清香味。</w:t>
      </w:r>
    </w:p>
    <w:p w14:paraId="145C2986">
      <w:pPr>
        <w:snapToGrid w:val="0"/>
        <w:spacing w:line="440" w:lineRule="exact"/>
        <w:ind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3、</w:t>
      </w:r>
      <w:r>
        <w:rPr>
          <w:rFonts w:hint="eastAsia" w:ascii="宋体" w:hAnsi="宋体" w:eastAsia="宋体"/>
          <w:bCs/>
          <w:color w:val="auto"/>
          <w:sz w:val="24"/>
          <w:szCs w:val="24"/>
          <w:highlight w:val="none"/>
          <w:lang w:val="en-US" w:eastAsia="zh-CN"/>
        </w:rPr>
        <w:t>食用油</w:t>
      </w:r>
      <w:r>
        <w:rPr>
          <w:rFonts w:hint="eastAsia" w:ascii="宋体" w:hAnsi="宋体"/>
          <w:bCs/>
          <w:color w:val="auto"/>
          <w:sz w:val="24"/>
          <w:szCs w:val="24"/>
          <w:highlight w:val="none"/>
        </w:rPr>
        <w:t>：质量达到 GB1536-2004  标准，国标</w:t>
      </w:r>
      <w:r>
        <w:rPr>
          <w:rFonts w:hint="eastAsia" w:ascii="宋体" w:hAnsi="宋体"/>
          <w:bCs/>
          <w:color w:val="auto"/>
          <w:sz w:val="24"/>
          <w:szCs w:val="24"/>
          <w:highlight w:val="none"/>
          <w:lang w:val="en-US" w:eastAsia="zh-CN"/>
        </w:rPr>
        <w:t>一</w:t>
      </w:r>
      <w:r>
        <w:rPr>
          <w:rFonts w:hint="eastAsia" w:ascii="宋体" w:hAnsi="宋体"/>
          <w:bCs/>
          <w:color w:val="auto"/>
          <w:sz w:val="24"/>
          <w:szCs w:val="24"/>
          <w:highlight w:val="none"/>
        </w:rPr>
        <w:t>级及以上</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lang w:val="en-US" w:eastAsia="zh-CN"/>
        </w:rPr>
        <w:t>呈黄色至棕色，清澈透明，无沉淀物或有微量沉淀物。</w:t>
      </w:r>
    </w:p>
    <w:p w14:paraId="16EA93ED">
      <w:pPr>
        <w:snapToGrid w:val="0"/>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二、</w:t>
      </w:r>
      <w:r>
        <w:rPr>
          <w:rFonts w:hint="eastAsia" w:ascii="宋体" w:hAnsi="宋体"/>
          <w:b/>
          <w:bCs w:val="0"/>
          <w:color w:val="auto"/>
          <w:sz w:val="24"/>
          <w:szCs w:val="24"/>
          <w:highlight w:val="none"/>
        </w:rPr>
        <w:t>调料</w:t>
      </w:r>
      <w:r>
        <w:rPr>
          <w:rFonts w:hint="eastAsia" w:ascii="宋体" w:hAnsi="宋体" w:eastAsia="宋体"/>
          <w:b/>
          <w:bCs w:val="0"/>
          <w:color w:val="auto"/>
          <w:sz w:val="24"/>
          <w:szCs w:val="24"/>
          <w:highlight w:val="none"/>
          <w:lang w:val="en-US" w:eastAsia="zh-CN"/>
        </w:rPr>
        <w:t>副食</w:t>
      </w:r>
      <w:r>
        <w:rPr>
          <w:rFonts w:hint="eastAsia" w:ascii="宋体" w:hAnsi="宋体"/>
          <w:b/>
          <w:bCs w:val="0"/>
          <w:color w:val="auto"/>
          <w:sz w:val="24"/>
          <w:szCs w:val="24"/>
          <w:highlight w:val="none"/>
        </w:rPr>
        <w:t>类</w:t>
      </w:r>
    </w:p>
    <w:p w14:paraId="5E6C778F">
      <w:pPr>
        <w:snapToGrid w:val="0"/>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1.干货调料：包装袋要牢固、防潮、整洁，无漏气、 无破损</w:t>
      </w:r>
      <w:r>
        <w:rPr>
          <w:rFonts w:hint="eastAsia" w:ascii="宋体" w:hAnsi="宋体" w:eastAsia="宋体"/>
          <w:bCs/>
          <w:color w:val="auto"/>
          <w:sz w:val="24"/>
          <w:szCs w:val="24"/>
          <w:highlight w:val="none"/>
          <w:lang w:eastAsia="zh-CN"/>
        </w:rPr>
        <w:t>，</w:t>
      </w:r>
      <w:r>
        <w:rPr>
          <w:rFonts w:hint="eastAsia" w:ascii="宋体" w:hAnsi="宋体"/>
          <w:bCs/>
          <w:color w:val="auto"/>
          <w:sz w:val="24"/>
          <w:szCs w:val="24"/>
          <w:highlight w:val="none"/>
        </w:rPr>
        <w:t>无可见杂质</w:t>
      </w:r>
      <w:r>
        <w:rPr>
          <w:rFonts w:hint="eastAsia" w:ascii="宋体" w:hAnsi="宋体" w:eastAsia="宋体"/>
          <w:bCs/>
          <w:color w:val="auto"/>
          <w:sz w:val="24"/>
          <w:szCs w:val="24"/>
          <w:highlight w:val="none"/>
          <w:lang w:eastAsia="zh-CN"/>
        </w:rPr>
        <w:t>，</w:t>
      </w:r>
      <w:r>
        <w:rPr>
          <w:rFonts w:hint="eastAsia" w:ascii="宋体" w:hAnsi="宋体"/>
          <w:bCs/>
          <w:color w:val="auto"/>
          <w:sz w:val="24"/>
          <w:szCs w:val="24"/>
          <w:highlight w:val="none"/>
        </w:rPr>
        <w:t>无霉变，正常色泽，质优，规格符合标准，正常发制后达到要求，干果仁类原辅料要严格进行筛选，清洗，去掉杂质，泥沙，供应商提供符合标准的批量检测报告。</w:t>
      </w:r>
    </w:p>
    <w:p w14:paraId="3DF4586D">
      <w:pPr>
        <w:snapToGrid w:val="0"/>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2.香味，无不良气味以及其他酸败的现象，并保证使用前不被污染，保证使用标准和优质、卫生，供应商提供符合标准的批量检测报告。</w:t>
      </w:r>
    </w:p>
    <w:p w14:paraId="7D29F33A">
      <w:pPr>
        <w:snapToGrid w:val="0"/>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3.糖类原料的选择，调味（制馅）糖应晶粒均匀，干燥松散，颜色洁白，不含带色糖粒或糖块，质地绵松细腻，有固有的甜味，无异味、无杂质、不结块；冰糖应为均匀洁白色或稍带黄色，呈半透明，有晶体光泽，甜味纯正，无异味，无明显杂质，水溶后糖液清晰明亮，无沉淀、无昆虫、无异物。供应商提供符合标准的批量检测报告。</w:t>
      </w:r>
    </w:p>
    <w:p w14:paraId="5B1AD55D">
      <w:pPr>
        <w:snapToGrid w:val="0"/>
        <w:spacing w:line="440" w:lineRule="exact"/>
        <w:ind w:firstLine="480" w:firstLineChars="200"/>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rPr>
        <w:t>三、蔬果类</w:t>
      </w:r>
      <w:r>
        <w:rPr>
          <w:rFonts w:hint="eastAsia" w:ascii="宋体" w:hAnsi="宋体" w:eastAsia="宋体"/>
          <w:bCs/>
          <w:color w:val="auto"/>
          <w:sz w:val="24"/>
          <w:szCs w:val="24"/>
          <w:highlight w:val="none"/>
          <w:lang w:eastAsia="zh-CN"/>
        </w:rPr>
        <w:t>：</w:t>
      </w:r>
      <w:r>
        <w:rPr>
          <w:rFonts w:hint="eastAsia" w:ascii="宋体" w:hAnsi="宋体"/>
          <w:bCs/>
          <w:color w:val="auto"/>
          <w:sz w:val="24"/>
          <w:szCs w:val="24"/>
          <w:highlight w:val="none"/>
        </w:rPr>
        <w:t>水果、蔬菜，质量必须符合国家食品卫生管理规定</w:t>
      </w:r>
      <w:r>
        <w:rPr>
          <w:rFonts w:hint="eastAsia" w:ascii="宋体" w:hAnsi="宋体" w:eastAsia="宋体"/>
          <w:bCs/>
          <w:color w:val="auto"/>
          <w:sz w:val="24"/>
          <w:szCs w:val="24"/>
          <w:highlight w:val="none"/>
          <w:lang w:eastAsia="zh-CN"/>
        </w:rPr>
        <w:t>，供货方应提供有关食品农产品的《承诺达标合格证》；</w:t>
      </w:r>
      <w:r>
        <w:rPr>
          <w:rFonts w:hint="eastAsia" w:ascii="宋体" w:hAnsi="宋体"/>
          <w:bCs/>
          <w:color w:val="auto"/>
          <w:sz w:val="24"/>
          <w:szCs w:val="24"/>
          <w:highlight w:val="none"/>
        </w:rPr>
        <w:t>投标人供货时应当根据需求方要求出具农药残留检测报告</w:t>
      </w:r>
      <w:r>
        <w:rPr>
          <w:rFonts w:hint="eastAsia" w:ascii="宋体" w:hAnsi="宋体" w:eastAsia="宋体"/>
          <w:bCs/>
          <w:color w:val="auto"/>
          <w:sz w:val="24"/>
          <w:szCs w:val="24"/>
          <w:highlight w:val="none"/>
          <w:lang w:eastAsia="zh-CN"/>
        </w:rPr>
        <w:t>。</w:t>
      </w:r>
      <w:r>
        <w:rPr>
          <w:rFonts w:hint="eastAsia" w:ascii="宋体" w:hAnsi="宋体"/>
          <w:bCs/>
          <w:color w:val="auto"/>
          <w:sz w:val="24"/>
          <w:szCs w:val="24"/>
          <w:highlight w:val="none"/>
        </w:rPr>
        <w:t>蔬菜无黄叶、枯死叶、无虫、无杂质，原菜须保证菜面干净、无明显泥土、码放整齐、无破损、大小基本统一、不得过熟或欠熟；净菜须保证菜面完全干净、无泥土、按统一标准加工、码放整齐、无须二次处理可以直接进行熟加工</w:t>
      </w:r>
      <w:r>
        <w:rPr>
          <w:rFonts w:hint="eastAsia" w:ascii="宋体" w:hAnsi="宋体" w:eastAsia="宋体"/>
          <w:bCs/>
          <w:color w:val="auto"/>
          <w:sz w:val="24"/>
          <w:szCs w:val="24"/>
          <w:highlight w:val="none"/>
          <w:lang w:eastAsia="zh-CN"/>
        </w:rPr>
        <w:t>含水量符合国家标准，蔬菜水果，叶类菜要求新鲜，无黄叶；茄果类无空心，黑心，无黄斑， 内部变稀等；企业须对蔬菜和水果进行抽样农残检测，凡是超标的蔬菜水果品种严禁配送。</w:t>
      </w:r>
      <w:r>
        <w:rPr>
          <w:rFonts w:hint="eastAsia" w:ascii="宋体" w:hAnsi="宋体" w:eastAsia="宋体"/>
          <w:bCs/>
          <w:color w:val="auto"/>
          <w:sz w:val="24"/>
          <w:szCs w:val="24"/>
          <w:highlight w:val="none"/>
          <w:lang w:val="en-US" w:eastAsia="zh-CN"/>
        </w:rPr>
        <w:t>叶片青菜</w:t>
      </w:r>
      <w:r>
        <w:rPr>
          <w:rFonts w:hint="eastAsia"/>
          <w:color w:val="auto"/>
          <w:szCs w:val="21"/>
          <w:highlight w:val="none"/>
        </w:rPr>
        <w:t>颜色鲜艳淡绿，叶子水分充足、</w:t>
      </w:r>
      <w:r>
        <w:rPr>
          <w:rFonts w:hint="eastAsia" w:eastAsia="宋体"/>
          <w:color w:val="auto"/>
          <w:szCs w:val="21"/>
          <w:highlight w:val="none"/>
          <w:lang w:val="en-US" w:eastAsia="zh-CN"/>
        </w:rPr>
        <w:t>茎干脆嫩多汁</w:t>
      </w:r>
      <w:r>
        <w:rPr>
          <w:rFonts w:hint="eastAsia"/>
          <w:color w:val="auto"/>
          <w:szCs w:val="21"/>
          <w:highlight w:val="none"/>
        </w:rPr>
        <w:t>。</w:t>
      </w:r>
      <w:r>
        <w:rPr>
          <w:rFonts w:hint="eastAsia" w:eastAsia="宋体"/>
          <w:color w:val="auto"/>
          <w:szCs w:val="21"/>
          <w:highlight w:val="none"/>
          <w:lang w:val="en-US" w:eastAsia="zh-CN"/>
        </w:rPr>
        <w:t>果实类蔬菜，表面光滑，果实饱满，色泽明亮，</w:t>
      </w:r>
      <w:r>
        <w:rPr>
          <w:rFonts w:hint="eastAsia" w:ascii="宋体" w:hAnsi="宋体"/>
          <w:bCs/>
          <w:color w:val="auto"/>
          <w:sz w:val="24"/>
          <w:szCs w:val="24"/>
          <w:highlight w:val="none"/>
        </w:rPr>
        <w:t>水果果型匀称，色泽均匀，无干疤、斑点、裂口、腐烂，口感好</w:t>
      </w:r>
      <w:r>
        <w:rPr>
          <w:rFonts w:hint="eastAsia" w:ascii="宋体" w:hAnsi="宋体" w:eastAsia="宋体"/>
          <w:bCs/>
          <w:color w:val="auto"/>
          <w:sz w:val="24"/>
          <w:szCs w:val="24"/>
          <w:highlight w:val="none"/>
          <w:lang w:eastAsia="zh-CN"/>
        </w:rPr>
        <w:t>。</w:t>
      </w:r>
    </w:p>
    <w:p w14:paraId="61238020">
      <w:pPr>
        <w:snapToGrid w:val="0"/>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四、肉蛋类</w:t>
      </w:r>
    </w:p>
    <w:p w14:paraId="05D41BE5">
      <w:pPr>
        <w:snapToGrid w:val="0"/>
        <w:spacing w:line="440" w:lineRule="exact"/>
        <w:ind w:firstLine="480" w:firstLineChars="200"/>
        <w:rPr>
          <w:rFonts w:hint="eastAsia" w:ascii="宋体" w:hAnsi="宋体"/>
          <w:bCs/>
          <w:color w:val="auto"/>
          <w:sz w:val="24"/>
          <w:szCs w:val="24"/>
          <w:highlight w:val="none"/>
          <w:lang w:eastAsia="zh-CN"/>
        </w:rPr>
      </w:pPr>
      <w:r>
        <w:rPr>
          <w:rFonts w:hint="eastAsia" w:ascii="宋体" w:hAnsi="宋体" w:eastAsia="宋体"/>
          <w:bCs/>
          <w:color w:val="auto"/>
          <w:sz w:val="24"/>
          <w:szCs w:val="24"/>
          <w:highlight w:val="none"/>
          <w:lang w:val="en-US" w:eastAsia="zh-CN"/>
        </w:rPr>
        <w:t>鸡、鸭禽</w:t>
      </w:r>
      <w:r>
        <w:rPr>
          <w:rFonts w:hint="eastAsia" w:ascii="宋体" w:hAnsi="宋体"/>
          <w:bCs/>
          <w:color w:val="auto"/>
          <w:sz w:val="24"/>
          <w:szCs w:val="24"/>
          <w:highlight w:val="none"/>
        </w:rPr>
        <w:t>肉类：具有动物检验检疫合格证明，且符合食品卫生安全 法要求。鸡</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鸭</w:t>
      </w:r>
      <w:r>
        <w:rPr>
          <w:rFonts w:hint="eastAsia" w:ascii="宋体" w:hAnsi="宋体"/>
          <w:bCs/>
          <w:color w:val="auto"/>
          <w:sz w:val="24"/>
          <w:szCs w:val="24"/>
          <w:highlight w:val="none"/>
        </w:rPr>
        <w:t>肉</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去爪、去头</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腿肉、翅、胸肉</w:t>
      </w:r>
      <w:r>
        <w:rPr>
          <w:rFonts w:hint="eastAsia" w:ascii="宋体" w:hAnsi="宋体"/>
          <w:bCs/>
          <w:color w:val="auto"/>
          <w:sz w:val="24"/>
          <w:szCs w:val="24"/>
          <w:highlight w:val="none"/>
        </w:rPr>
        <w:t>等）。</w:t>
      </w:r>
      <w:r>
        <w:rPr>
          <w:rFonts w:hint="eastAsia" w:ascii="宋体" w:hAnsi="宋体"/>
          <w:bCs/>
          <w:color w:val="auto"/>
          <w:sz w:val="24"/>
          <w:szCs w:val="24"/>
          <w:highlight w:val="none"/>
          <w:lang w:val="en-US" w:eastAsia="zh-CN"/>
        </w:rPr>
        <w:t>新鲜光禽肌肉结实，有弹性，有光泽，颈、腿部肌肉呈玫瑰红色。变质的光禽肌肉松驰，湿润发粘，色变暗红，有明显腐败气味；无残羽、无黄衣、无伤斑和溃烂，无血水，正常气味</w:t>
      </w:r>
    </w:p>
    <w:p w14:paraId="2538278B">
      <w:pPr>
        <w:snapToGrid w:val="0"/>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蛋类</w:t>
      </w:r>
      <w:r>
        <w:rPr>
          <w:rFonts w:hint="eastAsia" w:ascii="宋体" w:hAnsi="宋体" w:eastAsia="宋体"/>
          <w:bCs/>
          <w:color w:val="auto"/>
          <w:sz w:val="24"/>
          <w:szCs w:val="24"/>
          <w:highlight w:val="none"/>
          <w:lang w:eastAsia="zh-CN"/>
        </w:rPr>
        <w:t>：</w:t>
      </w:r>
      <w:r>
        <w:rPr>
          <w:rFonts w:hint="eastAsia" w:ascii="宋体" w:hAnsi="宋体"/>
          <w:bCs/>
          <w:color w:val="auto"/>
          <w:sz w:val="24"/>
          <w:szCs w:val="24"/>
          <w:highlight w:val="none"/>
        </w:rPr>
        <w:t>质量达到 GB/T37108-2018 标准，农残不超标，并可溯源。有产地证明、检疫合格证的无公害产品，包装成一板（箱）或整件配送。要求外壳完好、新 鲜，大小均匀，无破损、霉变、病斑、陈腐味。</w:t>
      </w:r>
      <w:r>
        <w:rPr>
          <w:rFonts w:hint="eastAsia" w:ascii="宋体" w:hAnsi="宋体"/>
          <w:bCs/>
          <w:color w:val="auto"/>
          <w:sz w:val="24"/>
          <w:szCs w:val="24"/>
          <w:highlight w:val="none"/>
          <w:lang w:val="en-US" w:eastAsia="zh-CN"/>
        </w:rPr>
        <w:t>蛋壳清洁、无破裂、打开后蛋壳凸起、完整、有韧性，蛋白澄清透明，稀稠分明，无杂质，内容不得有血块及其他鸡组织异物，无杂质，内容不得有血块及其他鸡组织异物。</w:t>
      </w:r>
    </w:p>
    <w:p w14:paraId="25832377">
      <w:pPr>
        <w:pStyle w:val="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Times New Roman" w:cs="Times New Roman"/>
          <w:bCs/>
          <w:color w:val="auto"/>
          <w:sz w:val="24"/>
          <w:szCs w:val="24"/>
          <w:highlight w:val="none"/>
          <w:lang w:val="en-US" w:eastAsia="en-US" w:bidi="en-US"/>
        </w:rPr>
      </w:pPr>
      <w:r>
        <w:rPr>
          <w:rFonts w:hint="eastAsia" w:hAnsi="宋体" w:eastAsia="宋体" w:cs="Times New Roman"/>
          <w:bCs/>
          <w:color w:val="auto"/>
          <w:sz w:val="24"/>
          <w:szCs w:val="24"/>
          <w:highlight w:val="none"/>
          <w:lang w:val="en-US" w:eastAsia="zh-CN" w:bidi="en-US"/>
        </w:rPr>
        <w:t>五</w:t>
      </w:r>
      <w:r>
        <w:rPr>
          <w:rFonts w:hint="eastAsia" w:ascii="宋体" w:hAnsi="宋体" w:eastAsia="Times New Roman" w:cs="Times New Roman"/>
          <w:bCs/>
          <w:color w:val="auto"/>
          <w:sz w:val="24"/>
          <w:szCs w:val="24"/>
          <w:highlight w:val="none"/>
          <w:lang w:val="en-US" w:eastAsia="en-US" w:bidi="en-US"/>
        </w:rPr>
        <w:t>、营养餐：</w:t>
      </w:r>
    </w:p>
    <w:p w14:paraId="2967AC50">
      <w:pPr>
        <w:pStyle w:val="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Times New Roman" w:cs="Times New Roman"/>
          <w:bCs/>
          <w:color w:val="auto"/>
          <w:sz w:val="24"/>
          <w:szCs w:val="24"/>
          <w:highlight w:val="none"/>
          <w:lang w:val="en-US" w:eastAsia="en-US" w:bidi="en-US"/>
        </w:rPr>
      </w:pPr>
      <w:r>
        <w:rPr>
          <w:rFonts w:hint="eastAsia" w:ascii="宋体" w:hAnsi="宋体" w:eastAsia="Times New Roman" w:cs="Times New Roman"/>
          <w:bCs/>
          <w:color w:val="auto"/>
          <w:sz w:val="24"/>
          <w:szCs w:val="24"/>
          <w:highlight w:val="none"/>
          <w:lang w:val="en-US" w:eastAsia="en-US" w:bidi="en-US"/>
        </w:rPr>
        <w:t>糕点进行定量包装，水果根据定量需新鲜产品符合卫生要求且符合《食品安全法》要求标准配送。糕点：</w:t>
      </w:r>
      <w:r>
        <w:rPr>
          <w:rFonts w:hint="eastAsia" w:hAnsi="宋体" w:eastAsia="宋体" w:cs="Times New Roman"/>
          <w:bCs/>
          <w:color w:val="auto"/>
          <w:sz w:val="24"/>
          <w:szCs w:val="24"/>
          <w:highlight w:val="none"/>
          <w:lang w:val="en-US" w:eastAsia="zh-CN" w:bidi="en-US"/>
        </w:rPr>
        <w:t>供货时供应商</w:t>
      </w:r>
      <w:r>
        <w:rPr>
          <w:rFonts w:hint="eastAsia" w:ascii="宋体" w:hAnsi="宋体" w:eastAsia="Times New Roman" w:cs="Times New Roman"/>
          <w:bCs/>
          <w:color w:val="auto"/>
          <w:sz w:val="24"/>
          <w:szCs w:val="24"/>
          <w:highlight w:val="none"/>
          <w:lang w:val="en-US" w:eastAsia="en-US" w:bidi="en-US"/>
        </w:rPr>
        <w:t>须提供生产企业营业执照、生产许可证、产品检验报告或合格证明以及品名、产地、厂名、生产日期、保存期（保质期）等法定标志。</w:t>
      </w:r>
      <w:r>
        <w:rPr>
          <w:rFonts w:hint="eastAsia" w:hAnsi="宋体" w:eastAsia="宋体" w:cs="Times New Roman"/>
          <w:bCs/>
          <w:color w:val="auto"/>
          <w:sz w:val="24"/>
          <w:szCs w:val="24"/>
          <w:highlight w:val="none"/>
          <w:lang w:val="en-US" w:eastAsia="zh-CN" w:bidi="en-US"/>
        </w:rPr>
        <w:t>糕点</w:t>
      </w:r>
      <w:r>
        <w:rPr>
          <w:rFonts w:hint="eastAsia" w:ascii="宋体" w:hAnsi="宋体" w:eastAsia="Times New Roman" w:cs="Times New Roman"/>
          <w:bCs/>
          <w:color w:val="auto"/>
          <w:sz w:val="24"/>
          <w:szCs w:val="24"/>
          <w:highlight w:val="none"/>
          <w:lang w:val="en-US" w:eastAsia="en-US" w:bidi="en-US"/>
        </w:rPr>
        <w:t>以面粉或米粉、糖、油脂、 蛋、乳品等为主要原料， 配以各种辅料、馅料和调味料，初制成型，再经蒸、烤、 炸、炒等方式加工制成，不含防腐剂，</w:t>
      </w:r>
      <w:r>
        <w:rPr>
          <w:rFonts w:hint="eastAsia" w:hAnsi="宋体" w:eastAsia="宋体" w:cs="Times New Roman"/>
          <w:bCs/>
          <w:color w:val="auto"/>
          <w:sz w:val="24"/>
          <w:szCs w:val="24"/>
          <w:highlight w:val="none"/>
          <w:lang w:val="en-US" w:eastAsia="zh-CN" w:bidi="en-US"/>
        </w:rPr>
        <w:t>重量</w:t>
      </w:r>
      <w:r>
        <w:rPr>
          <w:rFonts w:hint="eastAsia" w:ascii="宋体" w:hAnsi="宋体" w:eastAsia="Times New Roman" w:cs="Times New Roman"/>
          <w:bCs/>
          <w:color w:val="auto"/>
          <w:sz w:val="24"/>
          <w:szCs w:val="24"/>
          <w:highlight w:val="none"/>
          <w:lang w:val="en-US" w:eastAsia="en-US" w:bidi="en-US"/>
        </w:rPr>
        <w:t>≥50克。</w:t>
      </w:r>
    </w:p>
    <w:p w14:paraId="4BD7C418">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Times New Roman"/>
          <w:bCs/>
          <w:color w:val="auto"/>
          <w:sz w:val="24"/>
          <w:szCs w:val="24"/>
          <w:highlight w:val="none"/>
          <w:lang w:val="en-US" w:eastAsia="zh-CN" w:bidi="en-US"/>
        </w:rPr>
      </w:pPr>
      <w:r>
        <w:rPr>
          <w:rFonts w:hint="eastAsia" w:ascii="宋体" w:hAnsi="宋体" w:eastAsia="宋体" w:cs="Times New Roman"/>
          <w:bCs/>
          <w:color w:val="auto"/>
          <w:sz w:val="24"/>
          <w:szCs w:val="24"/>
          <w:highlight w:val="none"/>
          <w:lang w:val="en-US" w:eastAsia="zh-CN" w:bidi="en-US"/>
        </w:rPr>
        <w:t>牛奶（学生奶）、酸奶</w:t>
      </w:r>
      <w:r>
        <w:rPr>
          <w:rFonts w:hint="eastAsia" w:ascii="宋体" w:hAnsi="宋体" w:eastAsia="Times New Roman" w:cs="Times New Roman"/>
          <w:bCs/>
          <w:color w:val="auto"/>
          <w:sz w:val="24"/>
          <w:szCs w:val="24"/>
          <w:highlight w:val="none"/>
          <w:lang w:val="en-US" w:eastAsia="en-US" w:bidi="en-US"/>
        </w:rPr>
        <w:t>符合相关乳制品食品安全国家标准。牛奶颜色乳白， 乳香清淡， 口感稀薄，闻起来香味很淡，入口后有 淡淡的奶香。加热后不挂杯</w:t>
      </w:r>
      <w:r>
        <w:rPr>
          <w:rFonts w:hint="default" w:ascii="Arial" w:hAnsi="Arial" w:eastAsia="Arial" w:cs="Arial"/>
          <w:snapToGrid w:val="0"/>
          <w:color w:val="auto"/>
          <w:kern w:val="0"/>
          <w:sz w:val="21"/>
          <w:szCs w:val="20"/>
          <w:highlight w:val="none"/>
          <w:lang w:val="en-US" w:eastAsia="zh-CN" w:bidi="ar-SA"/>
        </w:rPr>
        <w:t>。</w:t>
      </w:r>
      <w:r>
        <w:rPr>
          <w:rFonts w:hint="default" w:ascii="宋体" w:hAnsi="宋体" w:eastAsia="Times New Roman" w:cs="Times New Roman"/>
          <w:bCs/>
          <w:color w:val="auto"/>
          <w:sz w:val="24"/>
          <w:szCs w:val="24"/>
          <w:highlight w:val="none"/>
          <w:lang w:val="en-US" w:eastAsia="zh-CN" w:bidi="en-US"/>
        </w:rPr>
        <w:t xml:space="preserve"> 饮品类分为牛奶（200ml 独立包装）和酸奶（普通发酵酸奶，</w:t>
      </w:r>
      <w:r>
        <w:rPr>
          <w:rFonts w:hint="eastAsia" w:ascii="宋体" w:hAnsi="宋体" w:cs="Times New Roman"/>
          <w:bCs/>
          <w:color w:val="auto"/>
          <w:sz w:val="24"/>
          <w:szCs w:val="24"/>
          <w:highlight w:val="none"/>
          <w:lang w:val="en-US" w:eastAsia="zh-CN" w:bidi="en-US"/>
        </w:rPr>
        <w:t>≥100ml/g</w:t>
      </w:r>
      <w:r>
        <w:rPr>
          <w:rFonts w:hint="default" w:ascii="宋体" w:hAnsi="宋体" w:eastAsia="Times New Roman" w:cs="Times New Roman"/>
          <w:bCs/>
          <w:color w:val="auto"/>
          <w:sz w:val="24"/>
          <w:szCs w:val="24"/>
          <w:highlight w:val="none"/>
          <w:lang w:val="en-US" w:eastAsia="zh-CN" w:bidi="en-US"/>
        </w:rPr>
        <w:t xml:space="preserve">）。 </w:t>
      </w:r>
      <w:r>
        <w:rPr>
          <w:rFonts w:hint="eastAsia" w:ascii="宋体" w:hAnsi="宋体" w:cs="Times New Roman"/>
          <w:bCs/>
          <w:color w:val="auto"/>
          <w:sz w:val="24"/>
          <w:szCs w:val="24"/>
          <w:highlight w:val="none"/>
          <w:lang w:val="en-US" w:eastAsia="zh-CN" w:bidi="en-US"/>
        </w:rPr>
        <w:t>酸奶</w:t>
      </w:r>
      <w:r>
        <w:rPr>
          <w:rFonts w:hint="eastAsia"/>
          <w:color w:val="auto"/>
          <w:highlight w:val="none"/>
          <w:vertAlign w:val="baseline"/>
          <w:lang w:val="en-US" w:eastAsia="zh-CN"/>
        </w:rPr>
        <w:t>呈</w:t>
      </w:r>
      <w:r>
        <w:rPr>
          <w:rFonts w:hint="eastAsia"/>
          <w:color w:val="auto"/>
          <w:highlight w:val="none"/>
          <w:vertAlign w:val="baseline"/>
          <w:lang w:eastAsia="zh-CN"/>
        </w:rPr>
        <w:t>乳白色或乳黄色，凝乳均匀细腻，无气泡，少量黄色脂膜和少量乳清。具备乳的正常滋气味，不得有苦、咸、涩、臭等异味。</w:t>
      </w:r>
      <w:r>
        <w:rPr>
          <w:rFonts w:hint="eastAsia" w:ascii="宋体" w:hAnsi="宋体" w:eastAsia="Times New Roman" w:cs="Times New Roman"/>
          <w:bCs/>
          <w:color w:val="auto"/>
          <w:sz w:val="24"/>
          <w:szCs w:val="24"/>
          <w:highlight w:val="none"/>
          <w:lang w:val="en-US" w:eastAsia="zh-CN" w:bidi="en-US"/>
        </w:rPr>
        <w:t>糕点</w:t>
      </w:r>
      <w:r>
        <w:rPr>
          <w:rFonts w:hint="eastAsia" w:ascii="宋体" w:hAnsi="宋体" w:eastAsia="Times New Roman" w:cs="Times New Roman"/>
          <w:bCs/>
          <w:color w:val="auto"/>
          <w:sz w:val="24"/>
          <w:szCs w:val="24"/>
          <w:highlight w:val="none"/>
          <w:lang w:val="en-US" w:eastAsia="en-US" w:bidi="en-US"/>
        </w:rPr>
        <w:t>符合 GB7099-2015食品安全国家标准（糕点、面包）</w:t>
      </w:r>
      <w:r>
        <w:rPr>
          <w:rFonts w:hint="eastAsia" w:ascii="宋体" w:hAnsi="宋体" w:eastAsia="宋体" w:cs="Times New Roman"/>
          <w:bCs/>
          <w:color w:val="auto"/>
          <w:sz w:val="24"/>
          <w:szCs w:val="24"/>
          <w:highlight w:val="none"/>
          <w:lang w:val="en-US" w:eastAsia="zh-CN" w:bidi="en-US"/>
        </w:rPr>
        <w:t>.</w:t>
      </w:r>
    </w:p>
    <w:p w14:paraId="42366714">
      <w:pPr>
        <w:keepNext w:val="0"/>
        <w:keepLines w:val="0"/>
        <w:pageBreakBefore w:val="0"/>
        <w:widowControl w:val="0"/>
        <w:kinsoku/>
        <w:wordWrap/>
        <w:overflowPunct/>
        <w:topLinePunct w:val="0"/>
        <w:bidi w:val="0"/>
        <w:snapToGrid/>
        <w:spacing w:line="360" w:lineRule="auto"/>
        <w:textAlignment w:val="auto"/>
        <w:rPr>
          <w:rFonts w:hint="eastAsia" w:ascii="宋体" w:hAnsi="宋体" w:eastAsia="Times New Roman" w:cs="Times New Roman"/>
          <w:bCs/>
          <w:color w:val="auto"/>
          <w:sz w:val="24"/>
          <w:szCs w:val="24"/>
          <w:highlight w:val="none"/>
          <w:lang w:val="en-US" w:eastAsia="en-US" w:bidi="en-US"/>
        </w:rPr>
      </w:pPr>
      <w:r>
        <w:rPr>
          <w:rFonts w:hint="eastAsia" w:ascii="宋体" w:hAnsi="宋体" w:eastAsia="宋体" w:cs="Times New Roman"/>
          <w:bCs/>
          <w:color w:val="auto"/>
          <w:sz w:val="24"/>
          <w:szCs w:val="24"/>
          <w:highlight w:val="none"/>
          <w:lang w:val="en-US" w:eastAsia="zh-CN" w:bidi="en-US"/>
        </w:rPr>
        <w:t>六、海鲜类：冰冻海鲜外表冰薄且裹得较为均匀的且无干裂现象，正常气味。</w:t>
      </w:r>
    </w:p>
    <w:p w14:paraId="5C1AAA84">
      <w:pPr>
        <w:rPr>
          <w:rFonts w:hint="eastAsia"/>
          <w:color w:val="auto"/>
          <w:highlight w:val="none"/>
          <w:lang w:val="en-US" w:eastAsia="zh-CN"/>
        </w:rPr>
      </w:pPr>
    </w:p>
    <w:p w14:paraId="4E2C1F70">
      <w:pPr>
        <w:pStyle w:val="2"/>
        <w:rPr>
          <w:rFonts w:hint="eastAsia"/>
          <w:color w:val="auto"/>
          <w:highlight w:val="none"/>
          <w:lang w:val="en-US" w:eastAsia="zh-CN"/>
        </w:rPr>
      </w:pPr>
    </w:p>
    <w:p w14:paraId="4B9CBFFA">
      <w:pPr>
        <w:rPr>
          <w:rFonts w:hint="eastAsia"/>
          <w:color w:val="auto"/>
          <w:highlight w:val="none"/>
          <w:lang w:val="en-US" w:eastAsia="zh-CN"/>
        </w:rPr>
      </w:pPr>
    </w:p>
    <w:p w14:paraId="2C6A67D9">
      <w:pPr>
        <w:pStyle w:val="2"/>
        <w:rPr>
          <w:rFonts w:hint="eastAsia"/>
          <w:color w:val="auto"/>
          <w:highlight w:val="none"/>
          <w:lang w:val="en-US" w:eastAsia="zh-CN"/>
        </w:rPr>
      </w:pPr>
    </w:p>
    <w:p w14:paraId="37E107D4">
      <w:pPr>
        <w:rPr>
          <w:rFonts w:hint="eastAsia"/>
          <w:color w:val="auto"/>
          <w:highlight w:val="none"/>
          <w:lang w:val="en-US" w:eastAsia="zh-CN"/>
        </w:rPr>
      </w:pPr>
    </w:p>
    <w:p w14:paraId="0E720E07">
      <w:pPr>
        <w:spacing w:before="215" w:line="226" w:lineRule="auto"/>
        <w:rPr>
          <w:rFonts w:ascii="黑体" w:hAnsi="黑体" w:eastAsia="黑体" w:cs="黑体"/>
          <w:color w:val="auto"/>
          <w:spacing w:val="8"/>
          <w:sz w:val="35"/>
          <w:szCs w:val="35"/>
          <w:highlight w:val="none"/>
        </w:rPr>
      </w:pPr>
    </w:p>
    <w:p w14:paraId="0E348A38">
      <w:pPr>
        <w:pStyle w:val="9"/>
        <w:numPr>
          <w:ilvl w:val="0"/>
          <w:numId w:val="0"/>
        </w:numPr>
        <w:ind w:leftChars="0"/>
        <w:rPr>
          <w:color w:val="auto"/>
          <w:highlight w:val="none"/>
        </w:rPr>
      </w:pPr>
    </w:p>
    <w:p w14:paraId="4D552D04">
      <w:pPr>
        <w:spacing w:before="215" w:line="226" w:lineRule="auto"/>
        <w:ind w:left="1339"/>
        <w:rPr>
          <w:rFonts w:ascii="黑体" w:hAnsi="黑体" w:eastAsia="黑体" w:cs="黑体"/>
          <w:color w:val="auto"/>
          <w:sz w:val="35"/>
          <w:szCs w:val="35"/>
          <w:highlight w:val="none"/>
        </w:rPr>
      </w:pPr>
      <w:r>
        <w:rPr>
          <w:rFonts w:ascii="黑体" w:hAnsi="黑体" w:eastAsia="黑体" w:cs="黑体"/>
          <w:color w:val="auto"/>
          <w:spacing w:val="8"/>
          <w:sz w:val="35"/>
          <w:szCs w:val="35"/>
          <w:highlight w:val="none"/>
        </w:rPr>
        <w:t>学校大宗食材原（辅）料技术及质量要求表</w:t>
      </w:r>
    </w:p>
    <w:p w14:paraId="184F4F9A">
      <w:pPr>
        <w:spacing w:line="64" w:lineRule="exact"/>
        <w:rPr>
          <w:color w:val="auto"/>
          <w:highlight w:val="none"/>
        </w:rPr>
      </w:pPr>
    </w:p>
    <w:tbl>
      <w:tblPr>
        <w:tblStyle w:val="49"/>
        <w:tblW w:w="94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2064"/>
        <w:gridCol w:w="6475"/>
      </w:tblGrid>
      <w:tr w14:paraId="26951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923" w:type="dxa"/>
            <w:noWrap w:val="0"/>
            <w:vAlign w:val="top"/>
          </w:tcPr>
          <w:p w14:paraId="662D7BA8">
            <w:pPr>
              <w:spacing w:before="248" w:line="224" w:lineRule="auto"/>
              <w:ind w:left="189"/>
              <w:rPr>
                <w:rFonts w:ascii="黑体" w:hAnsi="黑体" w:eastAsia="黑体" w:cs="黑体"/>
                <w:color w:val="auto"/>
                <w:sz w:val="28"/>
                <w:szCs w:val="28"/>
                <w:highlight w:val="none"/>
              </w:rPr>
            </w:pPr>
            <w:r>
              <w:rPr>
                <w:rFonts w:ascii="黑体" w:hAnsi="黑体" w:eastAsia="黑体" w:cs="黑体"/>
                <w:color w:val="auto"/>
                <w:spacing w:val="-5"/>
                <w:sz w:val="28"/>
                <w:szCs w:val="28"/>
                <w:highlight w:val="none"/>
              </w:rPr>
              <w:t>序号</w:t>
            </w:r>
          </w:p>
        </w:tc>
        <w:tc>
          <w:tcPr>
            <w:tcW w:w="2064" w:type="dxa"/>
            <w:noWrap w:val="0"/>
            <w:vAlign w:val="top"/>
          </w:tcPr>
          <w:p w14:paraId="203332AB">
            <w:pPr>
              <w:spacing w:before="248" w:line="222" w:lineRule="auto"/>
              <w:ind w:left="477"/>
              <w:rPr>
                <w:rFonts w:ascii="黑体" w:hAnsi="黑体" w:eastAsia="黑体" w:cs="黑体"/>
                <w:color w:val="auto"/>
                <w:sz w:val="28"/>
                <w:szCs w:val="28"/>
                <w:highlight w:val="none"/>
              </w:rPr>
            </w:pPr>
            <w:r>
              <w:rPr>
                <w:rFonts w:ascii="黑体" w:hAnsi="黑体" w:eastAsia="黑体" w:cs="黑体"/>
                <w:color w:val="auto"/>
                <w:spacing w:val="-3"/>
                <w:sz w:val="28"/>
                <w:szCs w:val="28"/>
                <w:highlight w:val="none"/>
              </w:rPr>
              <w:t>材料名称</w:t>
            </w:r>
          </w:p>
        </w:tc>
        <w:tc>
          <w:tcPr>
            <w:tcW w:w="6475" w:type="dxa"/>
            <w:noWrap w:val="0"/>
            <w:vAlign w:val="top"/>
          </w:tcPr>
          <w:p w14:paraId="48846EF2">
            <w:pPr>
              <w:spacing w:before="248" w:line="223" w:lineRule="auto"/>
              <w:ind w:left="2264"/>
              <w:rPr>
                <w:rFonts w:ascii="黑体" w:hAnsi="黑体" w:eastAsia="黑体" w:cs="黑体"/>
                <w:color w:val="auto"/>
                <w:sz w:val="28"/>
                <w:szCs w:val="28"/>
                <w:highlight w:val="none"/>
              </w:rPr>
            </w:pPr>
            <w:r>
              <w:rPr>
                <w:rFonts w:ascii="黑体" w:hAnsi="黑体" w:eastAsia="黑体" w:cs="黑体"/>
                <w:color w:val="auto"/>
                <w:spacing w:val="-2"/>
                <w:sz w:val="28"/>
                <w:szCs w:val="28"/>
                <w:highlight w:val="none"/>
              </w:rPr>
              <w:t>技术及质量要求</w:t>
            </w:r>
          </w:p>
        </w:tc>
      </w:tr>
      <w:tr w14:paraId="22C1C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23" w:type="dxa"/>
            <w:noWrap w:val="0"/>
            <w:vAlign w:val="top"/>
          </w:tcPr>
          <w:p w14:paraId="225FE627">
            <w:pPr>
              <w:pStyle w:val="65"/>
              <w:spacing w:line="257" w:lineRule="auto"/>
              <w:rPr>
                <w:color w:val="auto"/>
                <w:highlight w:val="none"/>
              </w:rPr>
            </w:pPr>
          </w:p>
          <w:p w14:paraId="4680635B">
            <w:pPr>
              <w:pStyle w:val="65"/>
              <w:spacing w:line="258" w:lineRule="auto"/>
              <w:rPr>
                <w:color w:val="auto"/>
                <w:highlight w:val="none"/>
              </w:rPr>
            </w:pPr>
          </w:p>
          <w:p w14:paraId="176CA247">
            <w:pPr>
              <w:spacing w:before="80" w:line="189" w:lineRule="auto"/>
              <w:ind w:left="420"/>
              <w:rPr>
                <w:rFonts w:ascii="Times New Roman" w:hAnsi="Times New Roman" w:eastAsia="Times New Roman" w:cs="Times New Roman"/>
                <w:color w:val="auto"/>
                <w:sz w:val="28"/>
                <w:szCs w:val="28"/>
                <w:highlight w:val="none"/>
              </w:rPr>
            </w:pPr>
            <w:r>
              <w:rPr>
                <w:rFonts w:ascii="Times New Roman" w:hAnsi="Times New Roman" w:eastAsia="Times New Roman" w:cs="Times New Roman"/>
                <w:color w:val="auto"/>
                <w:sz w:val="28"/>
                <w:szCs w:val="28"/>
                <w:highlight w:val="none"/>
              </w:rPr>
              <w:t>1</w:t>
            </w:r>
          </w:p>
        </w:tc>
        <w:tc>
          <w:tcPr>
            <w:tcW w:w="2064" w:type="dxa"/>
            <w:noWrap w:val="0"/>
            <w:vAlign w:val="top"/>
          </w:tcPr>
          <w:p w14:paraId="7F3D0D91">
            <w:pPr>
              <w:spacing w:before="332" w:line="276" w:lineRule="auto"/>
              <w:ind w:left="205" w:right="105" w:hanging="79"/>
              <w:rPr>
                <w:rFonts w:ascii="仿宋" w:hAnsi="仿宋" w:eastAsia="仿宋" w:cs="仿宋"/>
                <w:color w:val="auto"/>
                <w:sz w:val="28"/>
                <w:szCs w:val="28"/>
                <w:highlight w:val="none"/>
              </w:rPr>
            </w:pPr>
            <w:r>
              <w:rPr>
                <w:rFonts w:ascii="仿宋" w:hAnsi="仿宋" w:eastAsia="仿宋" w:cs="仿宋"/>
                <w:color w:val="auto"/>
                <w:spacing w:val="-19"/>
                <w:sz w:val="28"/>
                <w:szCs w:val="28"/>
                <w:highlight w:val="none"/>
              </w:rPr>
              <w:t>大米（籼米、粳</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米、糯米等）</w:t>
            </w:r>
          </w:p>
        </w:tc>
        <w:tc>
          <w:tcPr>
            <w:tcW w:w="6475" w:type="dxa"/>
            <w:noWrap w:val="0"/>
            <w:vAlign w:val="top"/>
          </w:tcPr>
          <w:p w14:paraId="7CA38DD0">
            <w:pPr>
              <w:spacing w:before="112" w:line="264" w:lineRule="auto"/>
              <w:ind w:left="123" w:right="102" w:firstLine="17"/>
              <w:jc w:val="both"/>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 xml:space="preserve">国标一级，质量达到 </w:t>
            </w:r>
            <w:r>
              <w:rPr>
                <w:rFonts w:ascii="Times New Roman" w:hAnsi="Times New Roman" w:eastAsia="Times New Roman" w:cs="Times New Roman"/>
                <w:color w:val="auto"/>
                <w:sz w:val="28"/>
                <w:szCs w:val="28"/>
                <w:highlight w:val="none"/>
              </w:rPr>
              <w:t>GB</w:t>
            </w:r>
            <w:r>
              <w:rPr>
                <w:rFonts w:ascii="Times New Roman" w:hAnsi="Times New Roman" w:eastAsia="Times New Roman" w:cs="Times New Roman"/>
                <w:color w:val="auto"/>
                <w:spacing w:val="1"/>
                <w:sz w:val="28"/>
                <w:szCs w:val="28"/>
                <w:highlight w:val="none"/>
              </w:rPr>
              <w:t>/T</w:t>
            </w:r>
            <w:r>
              <w:rPr>
                <w:rFonts w:ascii="Times New Roman" w:hAnsi="Times New Roman" w:eastAsia="Times New Roman" w:cs="Times New Roman"/>
                <w:color w:val="auto"/>
                <w:spacing w:val="34"/>
                <w:w w:val="101"/>
                <w:sz w:val="28"/>
                <w:szCs w:val="28"/>
                <w:highlight w:val="none"/>
              </w:rPr>
              <w:t xml:space="preserve"> </w:t>
            </w:r>
            <w:r>
              <w:rPr>
                <w:rFonts w:ascii="Times New Roman" w:hAnsi="Times New Roman" w:eastAsia="Times New Roman" w:cs="Times New Roman"/>
                <w:color w:val="auto"/>
                <w:spacing w:val="1"/>
                <w:sz w:val="28"/>
                <w:szCs w:val="28"/>
                <w:highlight w:val="none"/>
              </w:rPr>
              <w:t>1354</w:t>
            </w:r>
            <w:r>
              <w:rPr>
                <w:rFonts w:ascii="仿宋" w:hAnsi="仿宋" w:eastAsia="仿宋" w:cs="仿宋"/>
                <w:color w:val="auto"/>
                <w:spacing w:val="1"/>
                <w:sz w:val="28"/>
                <w:szCs w:val="28"/>
                <w:highlight w:val="none"/>
              </w:rPr>
              <w:t>-</w:t>
            </w:r>
            <w:r>
              <w:rPr>
                <w:rFonts w:ascii="Times New Roman" w:hAnsi="Times New Roman" w:eastAsia="Times New Roman" w:cs="Times New Roman"/>
                <w:color w:val="auto"/>
                <w:spacing w:val="1"/>
                <w:sz w:val="28"/>
                <w:szCs w:val="28"/>
                <w:highlight w:val="none"/>
              </w:rPr>
              <w:t xml:space="preserve">2018 </w:t>
            </w:r>
            <w:r>
              <w:rPr>
                <w:rFonts w:ascii="仿宋" w:hAnsi="仿宋" w:eastAsia="仿宋" w:cs="仿宋"/>
                <w:color w:val="auto"/>
                <w:sz w:val="28"/>
                <w:szCs w:val="28"/>
                <w:highlight w:val="none"/>
              </w:rPr>
              <w:t xml:space="preserve">标准，拥有 </w:t>
            </w:r>
            <w:r>
              <w:rPr>
                <w:rFonts w:ascii="Times New Roman" w:hAnsi="Times New Roman" w:eastAsia="Times New Roman" w:cs="Times New Roman"/>
                <w:color w:val="auto"/>
                <w:spacing w:val="-5"/>
                <w:sz w:val="28"/>
                <w:szCs w:val="28"/>
                <w:highlight w:val="none"/>
              </w:rPr>
              <w:t xml:space="preserve">SC </w:t>
            </w:r>
            <w:r>
              <w:rPr>
                <w:rFonts w:ascii="仿宋" w:hAnsi="仿宋" w:eastAsia="仿宋" w:cs="仿宋"/>
                <w:color w:val="auto"/>
                <w:spacing w:val="-5"/>
                <w:sz w:val="28"/>
                <w:szCs w:val="28"/>
                <w:highlight w:val="none"/>
              </w:rPr>
              <w:t>食品质量安全认证，须袋装。米质颗粒饱满，有</w:t>
            </w:r>
            <w:r>
              <w:rPr>
                <w:rFonts w:ascii="仿宋" w:hAnsi="仿宋" w:eastAsia="仿宋" w:cs="仿宋"/>
                <w:color w:val="auto"/>
                <w:spacing w:val="3"/>
                <w:sz w:val="28"/>
                <w:szCs w:val="28"/>
                <w:highlight w:val="none"/>
              </w:rPr>
              <w:t xml:space="preserve"> </w:t>
            </w:r>
            <w:r>
              <w:rPr>
                <w:rFonts w:ascii="仿宋" w:hAnsi="仿宋" w:eastAsia="仿宋" w:cs="仿宋"/>
                <w:color w:val="auto"/>
                <w:spacing w:val="-1"/>
                <w:sz w:val="28"/>
                <w:szCs w:val="28"/>
                <w:highlight w:val="none"/>
              </w:rPr>
              <w:t>清香味，无麸皮等杂质，严禁提供陈化米。</w:t>
            </w:r>
          </w:p>
        </w:tc>
      </w:tr>
      <w:tr w14:paraId="4B41D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923" w:type="dxa"/>
            <w:noWrap w:val="0"/>
            <w:vAlign w:val="top"/>
          </w:tcPr>
          <w:p w14:paraId="003315E3">
            <w:pPr>
              <w:pStyle w:val="65"/>
              <w:spacing w:line="316" w:lineRule="auto"/>
              <w:rPr>
                <w:color w:val="auto"/>
                <w:highlight w:val="none"/>
              </w:rPr>
            </w:pPr>
          </w:p>
          <w:p w14:paraId="2AAED530">
            <w:pPr>
              <w:pStyle w:val="65"/>
              <w:spacing w:line="316" w:lineRule="auto"/>
              <w:rPr>
                <w:color w:val="auto"/>
                <w:highlight w:val="none"/>
              </w:rPr>
            </w:pPr>
          </w:p>
          <w:p w14:paraId="2EE025F1">
            <w:pPr>
              <w:spacing w:before="81" w:line="189" w:lineRule="auto"/>
              <w:ind w:left="393"/>
              <w:rPr>
                <w:rFonts w:ascii="Times New Roman" w:hAnsi="Times New Roman" w:eastAsia="Times New Roman" w:cs="Times New Roman"/>
                <w:color w:val="auto"/>
                <w:sz w:val="28"/>
                <w:szCs w:val="28"/>
                <w:highlight w:val="none"/>
              </w:rPr>
            </w:pPr>
            <w:r>
              <w:rPr>
                <w:rFonts w:ascii="Times New Roman" w:hAnsi="Times New Roman" w:eastAsia="Times New Roman" w:cs="Times New Roman"/>
                <w:color w:val="auto"/>
                <w:sz w:val="28"/>
                <w:szCs w:val="28"/>
                <w:highlight w:val="none"/>
              </w:rPr>
              <w:t>2</w:t>
            </w:r>
          </w:p>
        </w:tc>
        <w:tc>
          <w:tcPr>
            <w:tcW w:w="2064" w:type="dxa"/>
            <w:noWrap w:val="0"/>
            <w:vAlign w:val="top"/>
          </w:tcPr>
          <w:p w14:paraId="1916594F">
            <w:pPr>
              <w:pStyle w:val="65"/>
              <w:spacing w:line="287" w:lineRule="auto"/>
              <w:rPr>
                <w:color w:val="auto"/>
                <w:highlight w:val="none"/>
              </w:rPr>
            </w:pPr>
          </w:p>
          <w:p w14:paraId="292C4867">
            <w:pPr>
              <w:pStyle w:val="65"/>
              <w:spacing w:line="287" w:lineRule="auto"/>
              <w:rPr>
                <w:color w:val="auto"/>
                <w:highlight w:val="none"/>
              </w:rPr>
            </w:pPr>
          </w:p>
          <w:p w14:paraId="11D177D8">
            <w:pPr>
              <w:spacing w:before="91" w:line="219" w:lineRule="auto"/>
              <w:ind w:left="630"/>
              <w:rPr>
                <w:rFonts w:ascii="仿宋" w:hAnsi="仿宋" w:eastAsia="仿宋" w:cs="仿宋"/>
                <w:color w:val="auto"/>
                <w:sz w:val="28"/>
                <w:szCs w:val="28"/>
                <w:highlight w:val="none"/>
              </w:rPr>
            </w:pPr>
            <w:r>
              <w:rPr>
                <w:rFonts w:ascii="仿宋" w:hAnsi="仿宋" w:eastAsia="仿宋" w:cs="仿宋"/>
                <w:color w:val="auto"/>
                <w:spacing w:val="-12"/>
                <w:sz w:val="28"/>
                <w:szCs w:val="28"/>
                <w:highlight w:val="none"/>
              </w:rPr>
              <w:t>面</w:t>
            </w:r>
            <w:r>
              <w:rPr>
                <w:rFonts w:ascii="仿宋" w:hAnsi="仿宋" w:eastAsia="仿宋" w:cs="仿宋"/>
                <w:color w:val="auto"/>
                <w:spacing w:val="7"/>
                <w:sz w:val="28"/>
                <w:szCs w:val="28"/>
                <w:highlight w:val="none"/>
              </w:rPr>
              <w:t xml:space="preserve">  </w:t>
            </w:r>
            <w:r>
              <w:rPr>
                <w:rFonts w:ascii="仿宋" w:hAnsi="仿宋" w:eastAsia="仿宋" w:cs="仿宋"/>
                <w:color w:val="auto"/>
                <w:spacing w:val="-12"/>
                <w:sz w:val="28"/>
                <w:szCs w:val="28"/>
                <w:highlight w:val="none"/>
              </w:rPr>
              <w:t>粉</w:t>
            </w:r>
          </w:p>
        </w:tc>
        <w:tc>
          <w:tcPr>
            <w:tcW w:w="6475" w:type="dxa"/>
            <w:noWrap w:val="0"/>
            <w:vAlign w:val="top"/>
          </w:tcPr>
          <w:p w14:paraId="688A16A1">
            <w:pPr>
              <w:spacing w:before="228" w:line="281" w:lineRule="auto"/>
              <w:ind w:left="123" w:right="15" w:firstLine="17"/>
              <w:jc w:val="both"/>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 xml:space="preserve">国标一级，质量达到 </w:t>
            </w:r>
            <w:r>
              <w:rPr>
                <w:rFonts w:ascii="Times New Roman" w:hAnsi="Times New Roman" w:eastAsia="Times New Roman" w:cs="Times New Roman"/>
                <w:color w:val="auto"/>
                <w:sz w:val="28"/>
                <w:szCs w:val="28"/>
                <w:highlight w:val="none"/>
              </w:rPr>
              <w:t>GB</w:t>
            </w:r>
            <w:r>
              <w:rPr>
                <w:rFonts w:ascii="Times New Roman" w:hAnsi="Times New Roman" w:eastAsia="Times New Roman" w:cs="Times New Roman"/>
                <w:color w:val="auto"/>
                <w:spacing w:val="1"/>
                <w:sz w:val="28"/>
                <w:szCs w:val="28"/>
                <w:highlight w:val="none"/>
              </w:rPr>
              <w:t>/T</w:t>
            </w:r>
            <w:r>
              <w:rPr>
                <w:rFonts w:ascii="Times New Roman" w:hAnsi="Times New Roman" w:eastAsia="Times New Roman" w:cs="Times New Roman"/>
                <w:color w:val="auto"/>
                <w:spacing w:val="34"/>
                <w:w w:val="101"/>
                <w:sz w:val="28"/>
                <w:szCs w:val="28"/>
                <w:highlight w:val="none"/>
              </w:rPr>
              <w:t xml:space="preserve"> </w:t>
            </w:r>
            <w:r>
              <w:rPr>
                <w:rFonts w:ascii="Times New Roman" w:hAnsi="Times New Roman" w:eastAsia="Times New Roman" w:cs="Times New Roman"/>
                <w:color w:val="auto"/>
                <w:spacing w:val="1"/>
                <w:sz w:val="28"/>
                <w:szCs w:val="28"/>
                <w:highlight w:val="none"/>
              </w:rPr>
              <w:t>1355</w:t>
            </w:r>
            <w:r>
              <w:rPr>
                <w:rFonts w:ascii="仿宋" w:hAnsi="仿宋" w:eastAsia="仿宋" w:cs="仿宋"/>
                <w:color w:val="auto"/>
                <w:spacing w:val="1"/>
                <w:sz w:val="28"/>
                <w:szCs w:val="28"/>
                <w:highlight w:val="none"/>
              </w:rPr>
              <w:t>-</w:t>
            </w:r>
            <w:r>
              <w:rPr>
                <w:rFonts w:ascii="Times New Roman" w:hAnsi="Times New Roman" w:eastAsia="Times New Roman" w:cs="Times New Roman"/>
                <w:color w:val="auto"/>
                <w:spacing w:val="1"/>
                <w:sz w:val="28"/>
                <w:szCs w:val="28"/>
                <w:highlight w:val="none"/>
              </w:rPr>
              <w:t xml:space="preserve">2021 </w:t>
            </w:r>
            <w:r>
              <w:rPr>
                <w:rFonts w:ascii="仿宋" w:hAnsi="仿宋" w:eastAsia="仿宋" w:cs="仿宋"/>
                <w:color w:val="auto"/>
                <w:sz w:val="28"/>
                <w:szCs w:val="28"/>
                <w:highlight w:val="none"/>
              </w:rPr>
              <w:t xml:space="preserve">标准，拥有 </w:t>
            </w:r>
            <w:r>
              <w:rPr>
                <w:rFonts w:ascii="Times New Roman" w:hAnsi="Times New Roman" w:eastAsia="Times New Roman" w:cs="Times New Roman"/>
                <w:color w:val="auto"/>
                <w:spacing w:val="-12"/>
                <w:sz w:val="28"/>
                <w:szCs w:val="28"/>
                <w:highlight w:val="none"/>
              </w:rPr>
              <w:t xml:space="preserve">SC </w:t>
            </w:r>
            <w:r>
              <w:rPr>
                <w:rFonts w:ascii="仿宋" w:hAnsi="仿宋" w:eastAsia="仿宋" w:cs="仿宋"/>
                <w:color w:val="auto"/>
                <w:spacing w:val="-12"/>
                <w:sz w:val="28"/>
                <w:szCs w:val="28"/>
                <w:highlight w:val="none"/>
              </w:rPr>
              <w:t>食品质量安全认证，须袋装。干净无害，无异味、</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异物、结块、杂质或霉点。严禁提供陈旧面粉。</w:t>
            </w:r>
          </w:p>
        </w:tc>
      </w:tr>
      <w:tr w14:paraId="40F51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4" w:hRule="atLeast"/>
        </w:trPr>
        <w:tc>
          <w:tcPr>
            <w:tcW w:w="923" w:type="dxa"/>
            <w:noWrap w:val="0"/>
            <w:vAlign w:val="top"/>
          </w:tcPr>
          <w:p w14:paraId="1D9D2F38">
            <w:pPr>
              <w:pStyle w:val="65"/>
              <w:spacing w:line="318" w:lineRule="auto"/>
              <w:rPr>
                <w:color w:val="auto"/>
                <w:highlight w:val="none"/>
              </w:rPr>
            </w:pPr>
          </w:p>
          <w:p w14:paraId="52F45146">
            <w:pPr>
              <w:pStyle w:val="65"/>
              <w:spacing w:line="318" w:lineRule="auto"/>
              <w:rPr>
                <w:color w:val="auto"/>
                <w:highlight w:val="none"/>
              </w:rPr>
            </w:pPr>
          </w:p>
          <w:p w14:paraId="66A13455">
            <w:pPr>
              <w:spacing w:before="80" w:line="189" w:lineRule="auto"/>
              <w:ind w:firstLine="560" w:firstLineChars="200"/>
              <w:rPr>
                <w:rFonts w:ascii="Times New Roman" w:hAnsi="Times New Roman" w:eastAsia="Times New Roman" w:cs="Times New Roman"/>
                <w:color w:val="auto"/>
                <w:sz w:val="28"/>
                <w:szCs w:val="28"/>
                <w:highlight w:val="none"/>
              </w:rPr>
            </w:pPr>
            <w:r>
              <w:rPr>
                <w:rFonts w:ascii="Times New Roman" w:hAnsi="Times New Roman" w:eastAsia="Times New Roman" w:cs="Times New Roman"/>
                <w:color w:val="auto"/>
                <w:sz w:val="28"/>
                <w:szCs w:val="28"/>
                <w:highlight w:val="none"/>
              </w:rPr>
              <w:t>3</w:t>
            </w:r>
          </w:p>
        </w:tc>
        <w:tc>
          <w:tcPr>
            <w:tcW w:w="2064" w:type="dxa"/>
            <w:noWrap w:val="0"/>
            <w:vAlign w:val="top"/>
          </w:tcPr>
          <w:p w14:paraId="02F4F9DF">
            <w:pPr>
              <w:pStyle w:val="65"/>
              <w:spacing w:line="249" w:lineRule="auto"/>
              <w:rPr>
                <w:color w:val="auto"/>
                <w:highlight w:val="none"/>
              </w:rPr>
            </w:pPr>
          </w:p>
          <w:p w14:paraId="01307E8E">
            <w:pPr>
              <w:pStyle w:val="65"/>
              <w:spacing w:line="249" w:lineRule="auto"/>
              <w:rPr>
                <w:color w:val="auto"/>
                <w:highlight w:val="none"/>
              </w:rPr>
            </w:pPr>
          </w:p>
          <w:p w14:paraId="6031F9A8">
            <w:pPr>
              <w:spacing w:before="91" w:line="219" w:lineRule="auto"/>
              <w:ind w:firstLine="540" w:firstLineChars="200"/>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食用油</w:t>
            </w:r>
          </w:p>
        </w:tc>
        <w:tc>
          <w:tcPr>
            <w:tcW w:w="6475" w:type="dxa"/>
            <w:noWrap w:val="0"/>
            <w:vAlign w:val="top"/>
          </w:tcPr>
          <w:p w14:paraId="3C73BB21">
            <w:pPr>
              <w:spacing w:before="216" w:line="284" w:lineRule="auto"/>
              <w:ind w:left="116" w:right="18" w:firstLine="1"/>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 xml:space="preserve">质量达到 </w:t>
            </w:r>
            <w:r>
              <w:rPr>
                <w:rFonts w:ascii="Times New Roman" w:hAnsi="Times New Roman" w:eastAsia="Times New Roman" w:cs="Times New Roman"/>
                <w:color w:val="auto"/>
                <w:sz w:val="28"/>
                <w:szCs w:val="28"/>
                <w:highlight w:val="none"/>
              </w:rPr>
              <w:t>GB</w:t>
            </w:r>
            <w:r>
              <w:rPr>
                <w:rFonts w:ascii="Times New Roman" w:hAnsi="Times New Roman" w:eastAsia="Times New Roman" w:cs="Times New Roman"/>
                <w:color w:val="auto"/>
                <w:spacing w:val="6"/>
                <w:sz w:val="28"/>
                <w:szCs w:val="28"/>
                <w:highlight w:val="none"/>
              </w:rPr>
              <w:t>1536</w:t>
            </w:r>
            <w:r>
              <w:rPr>
                <w:rFonts w:ascii="仿宋" w:hAnsi="仿宋" w:eastAsia="仿宋" w:cs="仿宋"/>
                <w:color w:val="auto"/>
                <w:spacing w:val="6"/>
                <w:sz w:val="28"/>
                <w:szCs w:val="28"/>
                <w:highlight w:val="none"/>
              </w:rPr>
              <w:t>-</w:t>
            </w:r>
            <w:r>
              <w:rPr>
                <w:rFonts w:ascii="Times New Roman" w:hAnsi="Times New Roman" w:eastAsia="Times New Roman" w:cs="Times New Roman"/>
                <w:color w:val="auto"/>
                <w:spacing w:val="6"/>
                <w:sz w:val="28"/>
                <w:szCs w:val="28"/>
                <w:highlight w:val="none"/>
              </w:rPr>
              <w:t xml:space="preserve">2004 </w:t>
            </w:r>
            <w:r>
              <w:rPr>
                <w:rFonts w:ascii="仿宋" w:hAnsi="仿宋" w:eastAsia="仿宋" w:cs="仿宋"/>
                <w:color w:val="auto"/>
                <w:spacing w:val="6"/>
                <w:sz w:val="28"/>
                <w:szCs w:val="28"/>
                <w:highlight w:val="none"/>
              </w:rPr>
              <w:t>标准，</w:t>
            </w:r>
            <w:r>
              <w:rPr>
                <w:rFonts w:ascii="仿宋" w:hAnsi="仿宋" w:eastAsia="仿宋" w:cs="仿宋"/>
                <w:color w:val="auto"/>
                <w:spacing w:val="5"/>
                <w:sz w:val="28"/>
                <w:szCs w:val="28"/>
                <w:highlight w:val="none"/>
              </w:rPr>
              <w:t>国标</w:t>
            </w:r>
            <w:r>
              <w:rPr>
                <w:rFonts w:hint="eastAsia" w:ascii="仿宋" w:hAnsi="仿宋" w:eastAsia="仿宋" w:cs="仿宋"/>
                <w:color w:val="auto"/>
                <w:spacing w:val="5"/>
                <w:sz w:val="28"/>
                <w:szCs w:val="28"/>
                <w:highlight w:val="none"/>
                <w:lang w:val="en-US" w:eastAsia="zh-CN"/>
              </w:rPr>
              <w:t>一</w:t>
            </w:r>
            <w:r>
              <w:rPr>
                <w:rFonts w:ascii="仿宋" w:hAnsi="仿宋" w:eastAsia="仿宋" w:cs="仿宋"/>
                <w:color w:val="auto"/>
                <w:spacing w:val="5"/>
                <w:sz w:val="28"/>
                <w:szCs w:val="28"/>
                <w:highlight w:val="none"/>
              </w:rPr>
              <w:t>级及以上，</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 xml:space="preserve">并拥 </w:t>
            </w:r>
            <w:r>
              <w:rPr>
                <w:rFonts w:ascii="Times New Roman" w:hAnsi="Times New Roman" w:eastAsia="Times New Roman" w:cs="Times New Roman"/>
                <w:color w:val="auto"/>
                <w:spacing w:val="-4"/>
                <w:sz w:val="28"/>
                <w:szCs w:val="28"/>
                <w:highlight w:val="none"/>
              </w:rPr>
              <w:t xml:space="preserve">SC </w:t>
            </w:r>
            <w:r>
              <w:rPr>
                <w:rFonts w:ascii="仿宋" w:hAnsi="仿宋" w:eastAsia="仿宋" w:cs="仿宋"/>
                <w:color w:val="auto"/>
                <w:spacing w:val="-4"/>
                <w:sz w:val="28"/>
                <w:szCs w:val="28"/>
                <w:highlight w:val="none"/>
              </w:rPr>
              <w:t>食品质量安全认证</w:t>
            </w:r>
            <w:r>
              <w:rPr>
                <w:rFonts w:ascii="仿宋" w:hAnsi="仿宋" w:eastAsia="仿宋" w:cs="仿宋"/>
                <w:color w:val="auto"/>
                <w:spacing w:val="4"/>
                <w:sz w:val="28"/>
                <w:szCs w:val="28"/>
                <w:highlight w:val="none"/>
              </w:rPr>
              <w:t>。</w:t>
            </w:r>
          </w:p>
        </w:tc>
      </w:tr>
      <w:tr w14:paraId="3C422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4" w:hRule="atLeast"/>
        </w:trPr>
        <w:tc>
          <w:tcPr>
            <w:tcW w:w="923" w:type="dxa"/>
            <w:noWrap w:val="0"/>
            <w:vAlign w:val="top"/>
          </w:tcPr>
          <w:p w14:paraId="54D06C7B">
            <w:pPr>
              <w:pStyle w:val="65"/>
              <w:spacing w:line="318" w:lineRule="auto"/>
              <w:rPr>
                <w:color w:val="auto"/>
                <w:highlight w:val="none"/>
              </w:rPr>
            </w:pPr>
          </w:p>
          <w:p w14:paraId="7879F567">
            <w:pPr>
              <w:pStyle w:val="65"/>
              <w:spacing w:line="318" w:lineRule="auto"/>
              <w:rPr>
                <w:color w:val="auto"/>
                <w:highlight w:val="none"/>
              </w:rPr>
            </w:pPr>
          </w:p>
          <w:p w14:paraId="3A1E2449">
            <w:pPr>
              <w:pStyle w:val="65"/>
              <w:spacing w:line="319" w:lineRule="auto"/>
              <w:rPr>
                <w:color w:val="auto"/>
                <w:highlight w:val="none"/>
              </w:rPr>
            </w:pPr>
          </w:p>
          <w:p w14:paraId="4677790F">
            <w:pPr>
              <w:spacing w:before="81" w:line="189" w:lineRule="auto"/>
              <w:ind w:left="392"/>
              <w:rPr>
                <w:rFonts w:ascii="Times New Roman" w:hAnsi="Times New Roman" w:eastAsia="Times New Roman" w:cs="Times New Roman"/>
                <w:color w:val="auto"/>
                <w:sz w:val="28"/>
                <w:szCs w:val="28"/>
                <w:highlight w:val="none"/>
              </w:rPr>
            </w:pPr>
            <w:r>
              <w:rPr>
                <w:rFonts w:ascii="Times New Roman" w:hAnsi="Times New Roman" w:eastAsia="Times New Roman" w:cs="Times New Roman"/>
                <w:color w:val="auto"/>
                <w:sz w:val="28"/>
                <w:szCs w:val="28"/>
                <w:highlight w:val="none"/>
              </w:rPr>
              <w:t>4</w:t>
            </w:r>
          </w:p>
        </w:tc>
        <w:tc>
          <w:tcPr>
            <w:tcW w:w="2064" w:type="dxa"/>
            <w:noWrap w:val="0"/>
            <w:vAlign w:val="top"/>
          </w:tcPr>
          <w:p w14:paraId="63E30859">
            <w:pPr>
              <w:pStyle w:val="65"/>
              <w:spacing w:line="300" w:lineRule="auto"/>
              <w:rPr>
                <w:color w:val="auto"/>
                <w:highlight w:val="none"/>
              </w:rPr>
            </w:pPr>
          </w:p>
          <w:p w14:paraId="1BBB67AF">
            <w:pPr>
              <w:pStyle w:val="65"/>
              <w:spacing w:line="300" w:lineRule="auto"/>
              <w:rPr>
                <w:color w:val="auto"/>
                <w:highlight w:val="none"/>
              </w:rPr>
            </w:pPr>
          </w:p>
          <w:p w14:paraId="6A4E0A06">
            <w:pPr>
              <w:pStyle w:val="65"/>
              <w:spacing w:line="301" w:lineRule="auto"/>
              <w:rPr>
                <w:color w:val="auto"/>
                <w:highlight w:val="none"/>
              </w:rPr>
            </w:pPr>
          </w:p>
          <w:p w14:paraId="647A8616">
            <w:pPr>
              <w:spacing w:before="91" w:line="213" w:lineRule="auto"/>
              <w:ind w:left="348"/>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蔬菜、水果</w:t>
            </w:r>
          </w:p>
        </w:tc>
        <w:tc>
          <w:tcPr>
            <w:tcW w:w="6475" w:type="dxa"/>
            <w:noWrap w:val="0"/>
            <w:vAlign w:val="top"/>
          </w:tcPr>
          <w:p w14:paraId="21880D37">
            <w:pPr>
              <w:spacing w:before="244" w:line="284" w:lineRule="auto"/>
              <w:ind w:right="105"/>
              <w:rPr>
                <w:rFonts w:ascii="仿宋" w:hAnsi="仿宋" w:eastAsia="仿宋" w:cs="仿宋"/>
                <w:color w:val="auto"/>
                <w:sz w:val="28"/>
                <w:szCs w:val="28"/>
                <w:highlight w:val="none"/>
              </w:rPr>
            </w:pPr>
            <w:r>
              <w:rPr>
                <w:rFonts w:ascii="仿宋" w:hAnsi="仿宋" w:eastAsia="仿宋" w:cs="仿宋"/>
                <w:color w:val="auto"/>
                <w:spacing w:val="17"/>
                <w:sz w:val="28"/>
                <w:szCs w:val="28"/>
                <w:highlight w:val="none"/>
              </w:rPr>
              <w:t>供货方应提供有关食品农产品的《承诺达标合格</w:t>
            </w:r>
            <w:r>
              <w:rPr>
                <w:rFonts w:ascii="仿宋" w:hAnsi="仿宋" w:eastAsia="仿宋" w:cs="仿宋"/>
                <w:color w:val="auto"/>
                <w:spacing w:val="3"/>
                <w:sz w:val="28"/>
                <w:szCs w:val="28"/>
                <w:highlight w:val="none"/>
              </w:rPr>
              <w:t>证》；含水量符合国家标准，蔬菜水果，叶类菜要</w:t>
            </w:r>
            <w:r>
              <w:rPr>
                <w:rFonts w:ascii="仿宋" w:hAnsi="仿宋" w:eastAsia="仿宋" w:cs="仿宋"/>
                <w:color w:val="auto"/>
                <w:spacing w:val="10"/>
                <w:sz w:val="28"/>
                <w:szCs w:val="28"/>
                <w:highlight w:val="none"/>
              </w:rPr>
              <w:t xml:space="preserve"> </w:t>
            </w:r>
            <w:r>
              <w:rPr>
                <w:rFonts w:ascii="仿宋" w:hAnsi="仿宋" w:eastAsia="仿宋" w:cs="仿宋"/>
                <w:color w:val="auto"/>
                <w:spacing w:val="3"/>
                <w:sz w:val="28"/>
                <w:szCs w:val="28"/>
                <w:highlight w:val="none"/>
              </w:rPr>
              <w:t>求新鲜，无黄叶；茄果类无空心，黑心，无黄斑，内部变稀等；企业须对蔬菜和水果进行抽样农残检</w:t>
            </w:r>
            <w:r>
              <w:rPr>
                <w:rFonts w:ascii="仿宋" w:hAnsi="仿宋" w:eastAsia="仿宋" w:cs="仿宋"/>
                <w:color w:val="auto"/>
                <w:spacing w:val="-1"/>
                <w:sz w:val="28"/>
                <w:szCs w:val="28"/>
                <w:highlight w:val="none"/>
              </w:rPr>
              <w:t>测，凡是超标的蔬菜水果品种严禁配送。</w:t>
            </w:r>
          </w:p>
        </w:tc>
      </w:tr>
      <w:tr w14:paraId="355CA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trPr>
        <w:tc>
          <w:tcPr>
            <w:tcW w:w="923" w:type="dxa"/>
            <w:noWrap w:val="0"/>
            <w:vAlign w:val="top"/>
          </w:tcPr>
          <w:p w14:paraId="7337CBE6">
            <w:pPr>
              <w:pStyle w:val="65"/>
              <w:spacing w:line="252" w:lineRule="auto"/>
              <w:rPr>
                <w:color w:val="auto"/>
                <w:highlight w:val="none"/>
              </w:rPr>
            </w:pPr>
          </w:p>
          <w:p w14:paraId="5F92B1C6">
            <w:pPr>
              <w:pStyle w:val="65"/>
              <w:spacing w:line="252" w:lineRule="auto"/>
              <w:rPr>
                <w:color w:val="auto"/>
                <w:highlight w:val="none"/>
              </w:rPr>
            </w:pPr>
          </w:p>
          <w:p w14:paraId="30E2EE8C">
            <w:pPr>
              <w:spacing w:before="80" w:line="186" w:lineRule="auto"/>
              <w:ind w:firstLine="280" w:firstLineChars="100"/>
              <w:rPr>
                <w:rFonts w:ascii="Times New Roman" w:hAnsi="Times New Roman" w:eastAsia="Times New Roman" w:cs="Times New Roman"/>
                <w:color w:val="auto"/>
                <w:sz w:val="28"/>
                <w:szCs w:val="28"/>
                <w:highlight w:val="none"/>
              </w:rPr>
            </w:pPr>
            <w:r>
              <w:rPr>
                <w:rFonts w:ascii="Times New Roman" w:hAnsi="Times New Roman" w:eastAsia="Times New Roman" w:cs="Times New Roman"/>
                <w:color w:val="auto"/>
                <w:sz w:val="28"/>
                <w:szCs w:val="28"/>
                <w:highlight w:val="none"/>
              </w:rPr>
              <w:t>5</w:t>
            </w:r>
          </w:p>
        </w:tc>
        <w:tc>
          <w:tcPr>
            <w:tcW w:w="2064" w:type="dxa"/>
            <w:noWrap w:val="0"/>
            <w:vAlign w:val="top"/>
          </w:tcPr>
          <w:p w14:paraId="16F81D82">
            <w:pPr>
              <w:pStyle w:val="65"/>
              <w:spacing w:line="317" w:lineRule="auto"/>
              <w:rPr>
                <w:color w:val="auto"/>
                <w:highlight w:val="none"/>
              </w:rPr>
            </w:pPr>
          </w:p>
          <w:p w14:paraId="15947098">
            <w:pPr>
              <w:spacing w:before="91" w:line="219" w:lineRule="auto"/>
              <w:ind w:firstLine="708" w:firstLineChars="300"/>
              <w:rPr>
                <w:rFonts w:ascii="仿宋" w:hAnsi="仿宋" w:eastAsia="仿宋" w:cs="仿宋"/>
                <w:color w:val="auto"/>
                <w:sz w:val="28"/>
                <w:szCs w:val="28"/>
                <w:highlight w:val="none"/>
              </w:rPr>
            </w:pPr>
            <w:r>
              <w:rPr>
                <w:rFonts w:hint="eastAsia" w:ascii="仿宋" w:hAnsi="仿宋" w:eastAsia="仿宋" w:cs="仿宋"/>
                <w:color w:val="auto"/>
                <w:spacing w:val="-22"/>
                <w:sz w:val="28"/>
                <w:szCs w:val="28"/>
                <w:highlight w:val="none"/>
                <w:lang w:val="en-US" w:eastAsia="zh-CN"/>
              </w:rPr>
              <w:t>禽</w:t>
            </w:r>
            <w:r>
              <w:rPr>
                <w:rFonts w:ascii="仿宋" w:hAnsi="仿宋" w:eastAsia="仿宋" w:cs="仿宋"/>
                <w:color w:val="auto"/>
                <w:spacing w:val="13"/>
                <w:sz w:val="28"/>
                <w:szCs w:val="28"/>
                <w:highlight w:val="none"/>
              </w:rPr>
              <w:t xml:space="preserve"> </w:t>
            </w:r>
            <w:r>
              <w:rPr>
                <w:rFonts w:ascii="仿宋" w:hAnsi="仿宋" w:eastAsia="仿宋" w:cs="仿宋"/>
                <w:color w:val="auto"/>
                <w:spacing w:val="-22"/>
                <w:sz w:val="28"/>
                <w:szCs w:val="28"/>
                <w:highlight w:val="none"/>
              </w:rPr>
              <w:t>类</w:t>
            </w:r>
          </w:p>
        </w:tc>
        <w:tc>
          <w:tcPr>
            <w:tcW w:w="6475" w:type="dxa"/>
            <w:noWrap w:val="0"/>
            <w:vAlign w:val="top"/>
          </w:tcPr>
          <w:p w14:paraId="127BD5A0">
            <w:pPr>
              <w:spacing w:before="166" w:line="281" w:lineRule="auto"/>
              <w:ind w:left="126" w:right="18" w:hanging="1"/>
              <w:jc w:val="both"/>
              <w:rPr>
                <w:rFonts w:hint="eastAsia" w:ascii="仿宋" w:hAnsi="仿宋" w:eastAsia="仿宋" w:cs="仿宋"/>
                <w:color w:val="auto"/>
                <w:sz w:val="28"/>
                <w:szCs w:val="28"/>
                <w:highlight w:val="none"/>
                <w:lang w:eastAsia="zh-CN"/>
              </w:rPr>
            </w:pPr>
            <w:r>
              <w:rPr>
                <w:rFonts w:ascii="仿宋" w:hAnsi="仿宋" w:eastAsia="仿宋" w:cs="仿宋"/>
                <w:color w:val="auto"/>
                <w:spacing w:val="3"/>
                <w:sz w:val="28"/>
                <w:szCs w:val="28"/>
                <w:highlight w:val="none"/>
              </w:rPr>
              <w:t>具有动物检验检疫合格证明，且符合食品卫生安全</w:t>
            </w:r>
            <w:r>
              <w:rPr>
                <w:rFonts w:ascii="仿宋" w:hAnsi="仿宋" w:eastAsia="仿宋" w:cs="仿宋"/>
                <w:color w:val="auto"/>
                <w:spacing w:val="12"/>
                <w:sz w:val="28"/>
                <w:szCs w:val="28"/>
                <w:highlight w:val="none"/>
              </w:rPr>
              <w:t xml:space="preserve"> </w:t>
            </w:r>
            <w:r>
              <w:rPr>
                <w:rFonts w:ascii="仿宋" w:hAnsi="仿宋" w:eastAsia="仿宋" w:cs="仿宋"/>
                <w:color w:val="auto"/>
                <w:spacing w:val="3"/>
                <w:sz w:val="28"/>
                <w:szCs w:val="28"/>
                <w:highlight w:val="none"/>
              </w:rPr>
              <w:t>法要求。鸡</w:t>
            </w:r>
            <w:r>
              <w:rPr>
                <w:rFonts w:hint="eastAsia" w:ascii="仿宋" w:hAnsi="仿宋" w:eastAsia="仿宋" w:cs="仿宋"/>
                <w:color w:val="auto"/>
                <w:spacing w:val="3"/>
                <w:sz w:val="28"/>
                <w:szCs w:val="28"/>
                <w:highlight w:val="none"/>
                <w:lang w:eastAsia="zh-CN"/>
              </w:rPr>
              <w:t>、</w:t>
            </w:r>
            <w:r>
              <w:rPr>
                <w:rFonts w:hint="eastAsia" w:ascii="仿宋" w:hAnsi="仿宋" w:eastAsia="仿宋" w:cs="仿宋"/>
                <w:color w:val="auto"/>
                <w:spacing w:val="3"/>
                <w:sz w:val="28"/>
                <w:szCs w:val="28"/>
                <w:highlight w:val="none"/>
                <w:lang w:val="en-US" w:eastAsia="zh-CN"/>
              </w:rPr>
              <w:t>鸭</w:t>
            </w:r>
            <w:r>
              <w:rPr>
                <w:rFonts w:ascii="仿宋" w:hAnsi="仿宋" w:eastAsia="仿宋" w:cs="仿宋"/>
                <w:color w:val="auto"/>
                <w:spacing w:val="3"/>
                <w:sz w:val="28"/>
                <w:szCs w:val="28"/>
                <w:highlight w:val="none"/>
              </w:rPr>
              <w:t>肉</w:t>
            </w:r>
            <w:r>
              <w:rPr>
                <w:rFonts w:hint="eastAsia" w:ascii="仿宋" w:hAnsi="仿宋" w:eastAsia="仿宋" w:cs="仿宋"/>
                <w:color w:val="auto"/>
                <w:spacing w:val="3"/>
                <w:sz w:val="28"/>
                <w:szCs w:val="28"/>
                <w:highlight w:val="none"/>
                <w:lang w:eastAsia="zh-CN"/>
              </w:rPr>
              <w:t>（</w:t>
            </w:r>
            <w:r>
              <w:rPr>
                <w:rFonts w:hint="eastAsia" w:ascii="仿宋" w:hAnsi="仿宋" w:eastAsia="仿宋" w:cs="仿宋"/>
                <w:color w:val="auto"/>
                <w:spacing w:val="3"/>
                <w:sz w:val="28"/>
                <w:szCs w:val="28"/>
                <w:highlight w:val="none"/>
                <w:lang w:val="en-US" w:eastAsia="zh-CN"/>
              </w:rPr>
              <w:t>去爪、去头</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w:t>
            </w:r>
            <w:r>
              <w:rPr>
                <w:rFonts w:hint="eastAsia" w:ascii="仿宋" w:hAnsi="仿宋" w:eastAsia="仿宋" w:cs="仿宋"/>
                <w:color w:val="auto"/>
                <w:spacing w:val="3"/>
                <w:sz w:val="28"/>
                <w:szCs w:val="28"/>
                <w:highlight w:val="none"/>
                <w:lang w:val="en-US" w:eastAsia="zh-CN"/>
              </w:rPr>
              <w:t>腿肉、翅、胸肉</w:t>
            </w:r>
            <w:r>
              <w:rPr>
                <w:rFonts w:ascii="仿宋" w:hAnsi="仿宋" w:eastAsia="仿宋" w:cs="仿宋"/>
                <w:color w:val="auto"/>
                <w:spacing w:val="1"/>
                <w:sz w:val="28"/>
                <w:szCs w:val="28"/>
                <w:highlight w:val="none"/>
              </w:rPr>
              <w:t>等</w:t>
            </w:r>
            <w:r>
              <w:rPr>
                <w:rFonts w:ascii="仿宋" w:hAnsi="仿宋" w:eastAsia="仿宋" w:cs="仿宋"/>
                <w:color w:val="auto"/>
                <w:spacing w:val="28"/>
                <w:sz w:val="28"/>
                <w:szCs w:val="28"/>
                <w:highlight w:val="none"/>
              </w:rPr>
              <w:t>）</w:t>
            </w:r>
            <w:r>
              <w:rPr>
                <w:rFonts w:ascii="仿宋" w:hAnsi="仿宋" w:eastAsia="仿宋" w:cs="仿宋"/>
                <w:color w:val="auto"/>
                <w:spacing w:val="-6"/>
                <w:sz w:val="28"/>
                <w:szCs w:val="28"/>
                <w:highlight w:val="none"/>
              </w:rPr>
              <w:t>。</w:t>
            </w:r>
            <w:r>
              <w:rPr>
                <w:rFonts w:hint="eastAsia" w:ascii="仿宋" w:hAnsi="仿宋" w:eastAsia="仿宋" w:cs="仿宋"/>
                <w:color w:val="auto"/>
                <w:spacing w:val="-6"/>
                <w:sz w:val="28"/>
                <w:szCs w:val="28"/>
                <w:highlight w:val="none"/>
                <w:lang w:eastAsia="zh-CN"/>
              </w:rPr>
              <w:t>（</w:t>
            </w:r>
            <w:r>
              <w:rPr>
                <w:rFonts w:hint="eastAsia" w:ascii="仿宋" w:hAnsi="仿宋" w:eastAsia="仿宋" w:cs="仿宋"/>
                <w:color w:val="auto"/>
                <w:spacing w:val="-6"/>
                <w:sz w:val="28"/>
                <w:szCs w:val="28"/>
                <w:highlight w:val="none"/>
                <w:lang w:val="en-US" w:eastAsia="zh-CN"/>
              </w:rPr>
              <w:t>具体要求</w:t>
            </w:r>
            <w:r>
              <w:rPr>
                <w:rFonts w:hint="eastAsia" w:ascii="仿宋" w:hAnsi="仿宋" w:eastAsia="仿宋" w:cs="仿宋"/>
                <w:color w:val="auto"/>
                <w:spacing w:val="-6"/>
                <w:sz w:val="28"/>
                <w:szCs w:val="28"/>
                <w:highlight w:val="none"/>
                <w:lang w:eastAsia="zh-CN"/>
              </w:rPr>
              <w:t>）</w:t>
            </w:r>
          </w:p>
        </w:tc>
      </w:tr>
    </w:tbl>
    <w:p w14:paraId="144F1920">
      <w:pPr>
        <w:rPr>
          <w:rFonts w:ascii="Arial" w:hAnsi="Arial" w:eastAsia="Arial" w:cs="Arial"/>
          <w:color w:val="auto"/>
          <w:sz w:val="21"/>
          <w:szCs w:val="21"/>
          <w:highlight w:val="none"/>
        </w:rPr>
        <w:sectPr>
          <w:footerReference r:id="rId6" w:type="default"/>
          <w:pgSz w:w="11906" w:h="16839"/>
          <w:pgMar w:top="400" w:right="1163" w:bottom="1666" w:left="1275" w:header="0" w:footer="1388" w:gutter="0"/>
          <w:cols w:space="720" w:num="1"/>
        </w:sectPr>
      </w:pPr>
    </w:p>
    <w:p w14:paraId="66C6C917">
      <w:pPr>
        <w:spacing w:before="1"/>
        <w:rPr>
          <w:color w:val="auto"/>
          <w:highlight w:val="none"/>
        </w:rPr>
      </w:pPr>
    </w:p>
    <w:p w14:paraId="680D46F2">
      <w:pPr>
        <w:spacing w:before="1"/>
        <w:rPr>
          <w:color w:val="auto"/>
          <w:highlight w:val="none"/>
        </w:rPr>
      </w:pPr>
    </w:p>
    <w:p w14:paraId="263517EA">
      <w:pPr>
        <w:spacing w:before="1"/>
        <w:rPr>
          <w:color w:val="auto"/>
          <w:highlight w:val="none"/>
        </w:rPr>
      </w:pPr>
    </w:p>
    <w:p w14:paraId="5C50DB77">
      <w:pPr>
        <w:spacing w:before="1"/>
        <w:rPr>
          <w:color w:val="auto"/>
          <w:highlight w:val="none"/>
        </w:rPr>
      </w:pPr>
    </w:p>
    <w:tbl>
      <w:tblPr>
        <w:tblStyle w:val="49"/>
        <w:tblW w:w="94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2064"/>
        <w:gridCol w:w="6475"/>
      </w:tblGrid>
      <w:tr w14:paraId="0F07D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8" w:hRule="atLeast"/>
        </w:trPr>
        <w:tc>
          <w:tcPr>
            <w:tcW w:w="923" w:type="dxa"/>
            <w:noWrap w:val="0"/>
            <w:vAlign w:val="top"/>
          </w:tcPr>
          <w:p w14:paraId="706749F0">
            <w:pPr>
              <w:pStyle w:val="65"/>
              <w:spacing w:line="246" w:lineRule="auto"/>
              <w:rPr>
                <w:color w:val="auto"/>
                <w:highlight w:val="none"/>
              </w:rPr>
            </w:pPr>
          </w:p>
          <w:p w14:paraId="447B9A55">
            <w:pPr>
              <w:pStyle w:val="65"/>
              <w:spacing w:line="246" w:lineRule="auto"/>
              <w:rPr>
                <w:color w:val="auto"/>
                <w:highlight w:val="none"/>
              </w:rPr>
            </w:pPr>
          </w:p>
          <w:p w14:paraId="54E66E88">
            <w:pPr>
              <w:pStyle w:val="65"/>
              <w:spacing w:line="247" w:lineRule="auto"/>
              <w:rPr>
                <w:color w:val="auto"/>
                <w:highlight w:val="none"/>
              </w:rPr>
            </w:pPr>
          </w:p>
          <w:p w14:paraId="33E4C927">
            <w:pPr>
              <w:spacing w:before="81" w:line="189" w:lineRule="auto"/>
              <w:ind w:left="399"/>
              <w:rPr>
                <w:rFonts w:ascii="Times New Roman" w:hAnsi="Times New Roman" w:eastAsia="Times New Roman" w:cs="Times New Roman"/>
                <w:color w:val="auto"/>
                <w:sz w:val="28"/>
                <w:szCs w:val="28"/>
                <w:highlight w:val="none"/>
              </w:rPr>
            </w:pPr>
            <w:r>
              <w:rPr>
                <w:rFonts w:ascii="Times New Roman" w:hAnsi="Times New Roman" w:eastAsia="Times New Roman" w:cs="Times New Roman"/>
                <w:color w:val="auto"/>
                <w:sz w:val="28"/>
                <w:szCs w:val="28"/>
                <w:highlight w:val="none"/>
              </w:rPr>
              <w:t>6</w:t>
            </w:r>
          </w:p>
        </w:tc>
        <w:tc>
          <w:tcPr>
            <w:tcW w:w="2064" w:type="dxa"/>
            <w:noWrap w:val="0"/>
            <w:vAlign w:val="top"/>
          </w:tcPr>
          <w:p w14:paraId="43C0ED2E">
            <w:pPr>
              <w:pStyle w:val="65"/>
              <w:spacing w:line="341" w:lineRule="auto"/>
              <w:rPr>
                <w:color w:val="auto"/>
                <w:highlight w:val="none"/>
              </w:rPr>
            </w:pPr>
          </w:p>
          <w:p w14:paraId="166E97D7">
            <w:pPr>
              <w:pStyle w:val="65"/>
              <w:spacing w:line="341" w:lineRule="auto"/>
              <w:rPr>
                <w:color w:val="auto"/>
                <w:highlight w:val="none"/>
              </w:rPr>
            </w:pPr>
          </w:p>
          <w:p w14:paraId="05705CC7">
            <w:pPr>
              <w:spacing w:before="91" w:line="220" w:lineRule="auto"/>
              <w:ind w:left="620"/>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禽</w:t>
            </w:r>
            <w:r>
              <w:rPr>
                <w:rFonts w:ascii="仿宋" w:hAnsi="仿宋" w:eastAsia="仿宋" w:cs="仿宋"/>
                <w:color w:val="auto"/>
                <w:spacing w:val="8"/>
                <w:sz w:val="28"/>
                <w:szCs w:val="28"/>
                <w:highlight w:val="none"/>
              </w:rPr>
              <w:t xml:space="preserve">  </w:t>
            </w:r>
            <w:r>
              <w:rPr>
                <w:rFonts w:ascii="仿宋" w:hAnsi="仿宋" w:eastAsia="仿宋" w:cs="仿宋"/>
                <w:color w:val="auto"/>
                <w:spacing w:val="-7"/>
                <w:sz w:val="28"/>
                <w:szCs w:val="28"/>
                <w:highlight w:val="none"/>
              </w:rPr>
              <w:t>蛋</w:t>
            </w:r>
          </w:p>
        </w:tc>
        <w:tc>
          <w:tcPr>
            <w:tcW w:w="6475" w:type="dxa"/>
            <w:noWrap w:val="0"/>
            <w:vAlign w:val="top"/>
          </w:tcPr>
          <w:p w14:paraId="73A8F969">
            <w:pPr>
              <w:keepNext w:val="0"/>
              <w:keepLines w:val="0"/>
              <w:pageBreakBefore w:val="0"/>
              <w:widowControl w:val="0"/>
              <w:kinsoku/>
              <w:wordWrap/>
              <w:overflowPunct/>
              <w:topLinePunct w:val="0"/>
              <w:autoSpaceDE/>
              <w:autoSpaceDN/>
              <w:bidi w:val="0"/>
              <w:adjustRightInd/>
              <w:snapToGrid/>
              <w:spacing w:before="120" w:line="600" w:lineRule="atLeast"/>
              <w:ind w:left="108" w:right="108" w:firstLine="11"/>
              <w:textAlignment w:val="auto"/>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质量达到</w:t>
            </w:r>
            <w:r>
              <w:rPr>
                <w:rFonts w:ascii="仿宋" w:hAnsi="仿宋" w:eastAsia="仿宋" w:cs="仿宋"/>
                <w:color w:val="auto"/>
                <w:spacing w:val="-48"/>
                <w:sz w:val="28"/>
                <w:szCs w:val="28"/>
                <w:highlight w:val="none"/>
              </w:rPr>
              <w:t xml:space="preserve"> </w:t>
            </w:r>
            <w:r>
              <w:rPr>
                <w:rFonts w:ascii="Times New Roman" w:hAnsi="Times New Roman" w:eastAsia="Times New Roman" w:cs="Times New Roman"/>
                <w:color w:val="auto"/>
                <w:sz w:val="28"/>
                <w:szCs w:val="28"/>
                <w:highlight w:val="none"/>
              </w:rPr>
              <w:t>GB</w:t>
            </w:r>
            <w:r>
              <w:rPr>
                <w:rFonts w:ascii="Times New Roman" w:hAnsi="Times New Roman" w:eastAsia="Times New Roman" w:cs="Times New Roman"/>
                <w:color w:val="auto"/>
                <w:spacing w:val="2"/>
                <w:sz w:val="28"/>
                <w:szCs w:val="28"/>
                <w:highlight w:val="none"/>
              </w:rPr>
              <w:t>/T37108</w:t>
            </w:r>
            <w:r>
              <w:rPr>
                <w:rFonts w:ascii="仿宋" w:hAnsi="仿宋" w:eastAsia="仿宋" w:cs="仿宋"/>
                <w:color w:val="auto"/>
                <w:spacing w:val="2"/>
                <w:sz w:val="28"/>
                <w:szCs w:val="28"/>
                <w:highlight w:val="none"/>
              </w:rPr>
              <w:t>-</w:t>
            </w:r>
            <w:r>
              <w:rPr>
                <w:rFonts w:ascii="Times New Roman" w:hAnsi="Times New Roman" w:eastAsia="Times New Roman" w:cs="Times New Roman"/>
                <w:color w:val="auto"/>
                <w:spacing w:val="2"/>
                <w:sz w:val="28"/>
                <w:szCs w:val="28"/>
                <w:highlight w:val="none"/>
              </w:rPr>
              <w:t xml:space="preserve">2018 </w:t>
            </w:r>
            <w:r>
              <w:rPr>
                <w:rFonts w:ascii="仿宋" w:hAnsi="仿宋" w:eastAsia="仿宋" w:cs="仿宋"/>
                <w:color w:val="auto"/>
                <w:spacing w:val="2"/>
                <w:sz w:val="28"/>
                <w:szCs w:val="28"/>
                <w:highlight w:val="none"/>
              </w:rPr>
              <w:t>标准，农残不超标，并</w:t>
            </w:r>
            <w:r>
              <w:rPr>
                <w:rFonts w:ascii="仿宋" w:hAnsi="仿宋" w:eastAsia="仿宋" w:cs="仿宋"/>
                <w:color w:val="auto"/>
                <w:spacing w:val="4"/>
                <w:sz w:val="28"/>
                <w:szCs w:val="28"/>
                <w:highlight w:val="none"/>
              </w:rPr>
              <w:t>可溯源。有产地证明、检疫合格证的无公害产品，包装成一板（箱）或整件配送</w:t>
            </w:r>
            <w:r>
              <w:rPr>
                <w:rFonts w:hint="eastAsia" w:ascii="仿宋" w:hAnsi="仿宋" w:eastAsia="仿宋" w:cs="仿宋"/>
                <w:color w:val="auto"/>
                <w:spacing w:val="4"/>
                <w:sz w:val="28"/>
                <w:szCs w:val="28"/>
                <w:highlight w:val="none"/>
                <w:lang w:eastAsia="zh-CN"/>
              </w:rPr>
              <w:t>（</w:t>
            </w:r>
            <w:r>
              <w:rPr>
                <w:rFonts w:hint="eastAsia" w:ascii="仿宋" w:hAnsi="仿宋" w:eastAsia="仿宋" w:cs="仿宋"/>
                <w:color w:val="auto"/>
                <w:spacing w:val="4"/>
                <w:sz w:val="28"/>
                <w:szCs w:val="28"/>
                <w:highlight w:val="none"/>
              </w:rPr>
              <w:t>结算时按照实际重量结算</w:t>
            </w:r>
            <w:r>
              <w:rPr>
                <w:rFonts w:hint="eastAsia" w:ascii="仿宋" w:hAnsi="仿宋" w:eastAsia="仿宋" w:cs="仿宋"/>
                <w:color w:val="auto"/>
                <w:spacing w:val="4"/>
                <w:sz w:val="28"/>
                <w:szCs w:val="28"/>
                <w:highlight w:val="none"/>
                <w:lang w:eastAsia="zh-CN"/>
              </w:rPr>
              <w:t>）</w:t>
            </w:r>
            <w:r>
              <w:rPr>
                <w:rFonts w:ascii="仿宋" w:hAnsi="仿宋" w:eastAsia="仿宋" w:cs="仿宋"/>
                <w:color w:val="auto"/>
                <w:spacing w:val="4"/>
                <w:sz w:val="28"/>
                <w:szCs w:val="28"/>
                <w:highlight w:val="none"/>
              </w:rPr>
              <w:t>。要求外壳完好、新</w:t>
            </w:r>
            <w:r>
              <w:rPr>
                <w:rFonts w:ascii="仿宋" w:hAnsi="仿宋" w:eastAsia="仿宋" w:cs="仿宋"/>
                <w:color w:val="auto"/>
                <w:spacing w:val="7"/>
                <w:sz w:val="28"/>
                <w:szCs w:val="28"/>
                <w:highlight w:val="none"/>
              </w:rPr>
              <w:t xml:space="preserve"> </w:t>
            </w:r>
            <w:r>
              <w:rPr>
                <w:rFonts w:ascii="仿宋" w:hAnsi="仿宋" w:eastAsia="仿宋" w:cs="仿宋"/>
                <w:color w:val="auto"/>
                <w:sz w:val="28"/>
                <w:szCs w:val="28"/>
                <w:highlight w:val="none"/>
              </w:rPr>
              <w:t>鲜，大小均匀，无破损、霉变、病斑、陈腐</w:t>
            </w:r>
            <w:r>
              <w:rPr>
                <w:rFonts w:ascii="仿宋" w:hAnsi="仿宋" w:eastAsia="仿宋" w:cs="仿宋"/>
                <w:color w:val="auto"/>
                <w:spacing w:val="-1"/>
                <w:sz w:val="28"/>
                <w:szCs w:val="28"/>
                <w:highlight w:val="none"/>
              </w:rPr>
              <w:t>味。</w:t>
            </w:r>
          </w:p>
        </w:tc>
      </w:tr>
      <w:tr w14:paraId="4C50C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1" w:hRule="atLeast"/>
        </w:trPr>
        <w:tc>
          <w:tcPr>
            <w:tcW w:w="923" w:type="dxa"/>
            <w:noWrap w:val="0"/>
            <w:vAlign w:val="top"/>
          </w:tcPr>
          <w:p w14:paraId="7916917B">
            <w:pPr>
              <w:pStyle w:val="65"/>
              <w:spacing w:line="345" w:lineRule="auto"/>
              <w:rPr>
                <w:color w:val="auto"/>
                <w:highlight w:val="none"/>
              </w:rPr>
            </w:pPr>
          </w:p>
          <w:p w14:paraId="52BF9C48">
            <w:pPr>
              <w:pStyle w:val="65"/>
              <w:spacing w:line="346" w:lineRule="auto"/>
              <w:rPr>
                <w:color w:val="auto"/>
                <w:highlight w:val="none"/>
              </w:rPr>
            </w:pPr>
          </w:p>
          <w:p w14:paraId="2B6D2DB4">
            <w:pPr>
              <w:spacing w:before="81" w:line="186" w:lineRule="auto"/>
              <w:ind w:left="398"/>
              <w:rPr>
                <w:rFonts w:ascii="Times New Roman" w:hAnsi="Times New Roman" w:eastAsia="Times New Roman" w:cs="Times New Roman"/>
                <w:color w:val="auto"/>
                <w:sz w:val="28"/>
                <w:szCs w:val="28"/>
                <w:highlight w:val="none"/>
              </w:rPr>
            </w:pPr>
            <w:r>
              <w:rPr>
                <w:rFonts w:ascii="Times New Roman" w:hAnsi="Times New Roman" w:eastAsia="Times New Roman" w:cs="Times New Roman"/>
                <w:color w:val="auto"/>
                <w:sz w:val="28"/>
                <w:szCs w:val="28"/>
                <w:highlight w:val="none"/>
              </w:rPr>
              <w:t>7</w:t>
            </w:r>
          </w:p>
        </w:tc>
        <w:tc>
          <w:tcPr>
            <w:tcW w:w="2064" w:type="dxa"/>
            <w:noWrap w:val="0"/>
            <w:vAlign w:val="top"/>
          </w:tcPr>
          <w:p w14:paraId="4C119B39">
            <w:pPr>
              <w:spacing w:before="289" w:line="280" w:lineRule="auto"/>
              <w:ind w:left="149" w:right="18" w:hanging="35"/>
              <w:jc w:val="both"/>
              <w:rPr>
                <w:rFonts w:ascii="仿宋" w:hAnsi="仿宋" w:eastAsia="仿宋" w:cs="仿宋"/>
                <w:color w:val="auto"/>
                <w:sz w:val="28"/>
                <w:szCs w:val="28"/>
                <w:highlight w:val="none"/>
              </w:rPr>
            </w:pPr>
            <w:r>
              <w:rPr>
                <w:rFonts w:ascii="仿宋" w:hAnsi="仿宋" w:eastAsia="仿宋" w:cs="仿宋"/>
                <w:color w:val="auto"/>
                <w:spacing w:val="-18"/>
                <w:sz w:val="28"/>
                <w:szCs w:val="28"/>
                <w:highlight w:val="none"/>
              </w:rPr>
              <w:t>其他（包含调味</w:t>
            </w:r>
            <w:r>
              <w:rPr>
                <w:rFonts w:ascii="仿宋" w:hAnsi="仿宋" w:eastAsia="仿宋" w:cs="仿宋"/>
                <w:color w:val="auto"/>
                <w:spacing w:val="4"/>
                <w:sz w:val="28"/>
                <w:szCs w:val="28"/>
                <w:highlight w:val="none"/>
              </w:rPr>
              <w:t xml:space="preserve"> </w:t>
            </w:r>
            <w:r>
              <w:rPr>
                <w:rFonts w:ascii="仿宋" w:hAnsi="仿宋" w:eastAsia="仿宋" w:cs="仿宋"/>
                <w:color w:val="auto"/>
                <w:spacing w:val="-44"/>
                <w:sz w:val="28"/>
                <w:szCs w:val="28"/>
                <w:highlight w:val="none"/>
              </w:rPr>
              <w:t>品、豆制品、米、</w:t>
            </w:r>
            <w:r>
              <w:rPr>
                <w:rFonts w:ascii="仿宋" w:hAnsi="仿宋" w:eastAsia="仿宋" w:cs="仿宋"/>
                <w:color w:val="auto"/>
                <w:spacing w:val="2"/>
                <w:sz w:val="28"/>
                <w:szCs w:val="28"/>
                <w:highlight w:val="none"/>
              </w:rPr>
              <w:t xml:space="preserve"> </w:t>
            </w:r>
            <w:r>
              <w:rPr>
                <w:rFonts w:ascii="仿宋" w:hAnsi="仿宋" w:eastAsia="仿宋" w:cs="仿宋"/>
                <w:color w:val="auto"/>
                <w:spacing w:val="6"/>
                <w:sz w:val="28"/>
                <w:szCs w:val="28"/>
                <w:highlight w:val="none"/>
              </w:rPr>
              <w:t>面、米粉等）</w:t>
            </w:r>
          </w:p>
        </w:tc>
        <w:tc>
          <w:tcPr>
            <w:tcW w:w="6475" w:type="dxa"/>
            <w:noWrap w:val="0"/>
            <w:vAlign w:val="top"/>
          </w:tcPr>
          <w:p w14:paraId="7B3F81BD">
            <w:pPr>
              <w:keepNext w:val="0"/>
              <w:keepLines w:val="0"/>
              <w:pageBreakBefore w:val="0"/>
              <w:widowControl w:val="0"/>
              <w:kinsoku/>
              <w:wordWrap/>
              <w:overflowPunct/>
              <w:topLinePunct w:val="0"/>
              <w:autoSpaceDE/>
              <w:autoSpaceDN/>
              <w:bidi w:val="0"/>
              <w:adjustRightInd/>
              <w:snapToGrid/>
              <w:spacing w:before="120" w:line="600" w:lineRule="atLeast"/>
              <w:ind w:left="108" w:right="108" w:firstLine="11"/>
              <w:textAlignment w:val="auto"/>
              <w:rPr>
                <w:rFonts w:hint="eastAsia" w:ascii="仿宋" w:hAnsi="仿宋" w:eastAsia="仿宋" w:cs="仿宋"/>
                <w:color w:val="auto"/>
                <w:spacing w:val="4"/>
                <w:sz w:val="28"/>
                <w:szCs w:val="28"/>
                <w:highlight w:val="none"/>
              </w:rPr>
            </w:pPr>
            <w:r>
              <w:rPr>
                <w:rFonts w:ascii="仿宋" w:hAnsi="仿宋" w:eastAsia="仿宋" w:cs="仿宋"/>
                <w:color w:val="auto"/>
                <w:spacing w:val="4"/>
                <w:sz w:val="28"/>
                <w:szCs w:val="28"/>
                <w:highlight w:val="none"/>
              </w:rPr>
              <w:t>符</w:t>
            </w:r>
            <w:r>
              <w:rPr>
                <w:rFonts w:hint="eastAsia" w:ascii="仿宋" w:hAnsi="仿宋" w:eastAsia="仿宋" w:cs="仿宋"/>
                <w:color w:val="auto"/>
                <w:spacing w:val="4"/>
                <w:sz w:val="28"/>
                <w:szCs w:val="28"/>
                <w:highlight w:val="none"/>
              </w:rPr>
              <w:t>合相关食品安全国家标准。</w:t>
            </w:r>
          </w:p>
          <w:p w14:paraId="60DE97A8">
            <w:pPr>
              <w:keepNext w:val="0"/>
              <w:keepLines w:val="0"/>
              <w:pageBreakBefore w:val="0"/>
              <w:widowControl w:val="0"/>
              <w:kinsoku/>
              <w:wordWrap/>
              <w:overflowPunct/>
              <w:topLinePunct w:val="0"/>
              <w:autoSpaceDE/>
              <w:autoSpaceDN/>
              <w:bidi w:val="0"/>
              <w:adjustRightInd/>
              <w:snapToGrid/>
              <w:spacing w:before="120" w:line="600" w:lineRule="atLeast"/>
              <w:ind w:left="108" w:right="108" w:firstLine="11"/>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pacing w:val="4"/>
                <w:sz w:val="28"/>
                <w:szCs w:val="28"/>
                <w:highlight w:val="none"/>
              </w:rPr>
              <w:t>调味品类产品，供应商需提供 3个以上（含3个）品牌供采购学校自主选择。</w:t>
            </w:r>
          </w:p>
        </w:tc>
      </w:tr>
      <w:tr w14:paraId="33C42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8" w:hRule="atLeast"/>
        </w:trPr>
        <w:tc>
          <w:tcPr>
            <w:tcW w:w="923" w:type="dxa"/>
            <w:noWrap w:val="0"/>
            <w:vAlign w:val="top"/>
          </w:tcPr>
          <w:p w14:paraId="43B5BC88">
            <w:pPr>
              <w:pStyle w:val="65"/>
              <w:spacing w:line="248" w:lineRule="auto"/>
              <w:rPr>
                <w:color w:val="auto"/>
                <w:highlight w:val="none"/>
              </w:rPr>
            </w:pPr>
          </w:p>
          <w:p w14:paraId="1213909C">
            <w:pPr>
              <w:pStyle w:val="65"/>
              <w:spacing w:line="248" w:lineRule="auto"/>
              <w:rPr>
                <w:color w:val="auto"/>
                <w:highlight w:val="none"/>
              </w:rPr>
            </w:pPr>
          </w:p>
          <w:p w14:paraId="4F7B6527">
            <w:pPr>
              <w:pStyle w:val="65"/>
              <w:spacing w:line="248" w:lineRule="auto"/>
              <w:rPr>
                <w:color w:val="auto"/>
                <w:highlight w:val="none"/>
              </w:rPr>
            </w:pPr>
          </w:p>
          <w:p w14:paraId="5E0C44DF">
            <w:pPr>
              <w:spacing w:before="80" w:line="189" w:lineRule="auto"/>
              <w:ind w:left="404"/>
              <w:rPr>
                <w:rFonts w:ascii="Times New Roman" w:hAnsi="Times New Roman" w:eastAsia="Times New Roman" w:cs="Times New Roman"/>
                <w:color w:val="auto"/>
                <w:sz w:val="28"/>
                <w:szCs w:val="28"/>
                <w:highlight w:val="none"/>
              </w:rPr>
            </w:pPr>
            <w:r>
              <w:rPr>
                <w:rFonts w:ascii="Times New Roman" w:hAnsi="Times New Roman" w:eastAsia="Times New Roman" w:cs="Times New Roman"/>
                <w:color w:val="auto"/>
                <w:sz w:val="28"/>
                <w:szCs w:val="28"/>
                <w:highlight w:val="none"/>
              </w:rPr>
              <w:t>8</w:t>
            </w:r>
          </w:p>
        </w:tc>
        <w:tc>
          <w:tcPr>
            <w:tcW w:w="2064" w:type="dxa"/>
            <w:noWrap w:val="0"/>
            <w:vAlign w:val="top"/>
          </w:tcPr>
          <w:p w14:paraId="4DEFAB8F">
            <w:pPr>
              <w:pStyle w:val="65"/>
              <w:spacing w:line="343" w:lineRule="auto"/>
              <w:rPr>
                <w:color w:val="auto"/>
                <w:highlight w:val="none"/>
              </w:rPr>
            </w:pPr>
          </w:p>
          <w:p w14:paraId="725E71CD">
            <w:pPr>
              <w:pStyle w:val="65"/>
              <w:spacing w:line="344" w:lineRule="auto"/>
              <w:rPr>
                <w:color w:val="auto"/>
                <w:highlight w:val="none"/>
              </w:rPr>
            </w:pPr>
          </w:p>
          <w:p w14:paraId="1A9CE8C7">
            <w:pPr>
              <w:spacing w:before="91" w:line="217" w:lineRule="auto"/>
              <w:ind w:left="626"/>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乳制品</w:t>
            </w:r>
          </w:p>
        </w:tc>
        <w:tc>
          <w:tcPr>
            <w:tcW w:w="6475" w:type="dxa"/>
            <w:noWrap w:val="0"/>
            <w:vAlign w:val="top"/>
          </w:tcPr>
          <w:p w14:paraId="00BEC62B">
            <w:pPr>
              <w:spacing w:before="91" w:line="280" w:lineRule="auto"/>
              <w:ind w:right="30"/>
              <w:jc w:val="both"/>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符合相关乳制品食品安全国家标准。牛奶颜色乳白，</w:t>
            </w:r>
            <w:r>
              <w:rPr>
                <w:rFonts w:ascii="仿宋" w:hAnsi="仿宋" w:eastAsia="仿宋" w:cs="仿宋"/>
                <w:color w:val="auto"/>
                <w:spacing w:val="12"/>
                <w:sz w:val="28"/>
                <w:szCs w:val="28"/>
                <w:highlight w:val="none"/>
              </w:rPr>
              <w:t xml:space="preserve"> </w:t>
            </w:r>
            <w:r>
              <w:rPr>
                <w:rFonts w:ascii="仿宋" w:hAnsi="仿宋" w:eastAsia="仿宋" w:cs="仿宋"/>
                <w:color w:val="auto"/>
                <w:sz w:val="28"/>
                <w:szCs w:val="28"/>
                <w:highlight w:val="none"/>
              </w:rPr>
              <w:t>乳香清淡，</w:t>
            </w:r>
            <w:r>
              <w:rPr>
                <w:rFonts w:ascii="仿宋" w:hAnsi="仿宋" w:eastAsia="仿宋" w:cs="仿宋"/>
                <w:color w:val="auto"/>
                <w:spacing w:val="-62"/>
                <w:sz w:val="28"/>
                <w:szCs w:val="28"/>
                <w:highlight w:val="none"/>
              </w:rPr>
              <w:t xml:space="preserve"> </w:t>
            </w:r>
            <w:r>
              <w:rPr>
                <w:rFonts w:ascii="仿宋" w:hAnsi="仿宋" w:eastAsia="仿宋" w:cs="仿宋"/>
                <w:color w:val="auto"/>
                <w:sz w:val="28"/>
                <w:szCs w:val="28"/>
                <w:highlight w:val="none"/>
              </w:rPr>
              <w:t xml:space="preserve">口感稀薄，闻起来香味很淡，入口后有 </w:t>
            </w:r>
            <w:r>
              <w:rPr>
                <w:rFonts w:ascii="仿宋" w:hAnsi="仿宋" w:eastAsia="仿宋" w:cs="仿宋"/>
                <w:color w:val="auto"/>
                <w:spacing w:val="-2"/>
                <w:sz w:val="28"/>
                <w:szCs w:val="28"/>
                <w:highlight w:val="none"/>
              </w:rPr>
              <w:t>淡淡的奶香。加热后不挂杯。</w:t>
            </w:r>
          </w:p>
        </w:tc>
      </w:tr>
      <w:tr w14:paraId="04D66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923" w:type="dxa"/>
            <w:noWrap w:val="0"/>
            <w:vAlign w:val="top"/>
          </w:tcPr>
          <w:p w14:paraId="272CC2A1">
            <w:pPr>
              <w:pStyle w:val="65"/>
              <w:spacing w:line="384" w:lineRule="auto"/>
              <w:rPr>
                <w:color w:val="auto"/>
                <w:highlight w:val="none"/>
              </w:rPr>
            </w:pPr>
          </w:p>
          <w:p w14:paraId="44FE664F">
            <w:pPr>
              <w:spacing w:before="80" w:line="189" w:lineRule="auto"/>
              <w:ind w:left="399"/>
              <w:rPr>
                <w:rFonts w:ascii="Times New Roman" w:hAnsi="Times New Roman" w:eastAsia="Times New Roman" w:cs="Times New Roman"/>
                <w:color w:val="auto"/>
                <w:sz w:val="28"/>
                <w:szCs w:val="28"/>
                <w:highlight w:val="none"/>
              </w:rPr>
            </w:pPr>
            <w:r>
              <w:rPr>
                <w:rFonts w:ascii="Times New Roman" w:hAnsi="Times New Roman" w:eastAsia="Times New Roman" w:cs="Times New Roman"/>
                <w:color w:val="auto"/>
                <w:sz w:val="28"/>
                <w:szCs w:val="28"/>
                <w:highlight w:val="none"/>
              </w:rPr>
              <w:t>9</w:t>
            </w:r>
          </w:p>
        </w:tc>
        <w:tc>
          <w:tcPr>
            <w:tcW w:w="2064" w:type="dxa"/>
            <w:noWrap w:val="0"/>
            <w:vAlign w:val="top"/>
          </w:tcPr>
          <w:p w14:paraId="409C1D4C">
            <w:pPr>
              <w:pStyle w:val="65"/>
              <w:spacing w:line="329" w:lineRule="auto"/>
              <w:rPr>
                <w:color w:val="auto"/>
                <w:highlight w:val="none"/>
              </w:rPr>
            </w:pPr>
          </w:p>
          <w:p w14:paraId="559D28B8">
            <w:pPr>
              <w:spacing w:before="91" w:line="219" w:lineRule="auto"/>
              <w:ind w:left="620"/>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糕</w:t>
            </w:r>
            <w:r>
              <w:rPr>
                <w:rFonts w:ascii="仿宋" w:hAnsi="仿宋" w:eastAsia="仿宋" w:cs="仿宋"/>
                <w:color w:val="auto"/>
                <w:spacing w:val="18"/>
                <w:sz w:val="28"/>
                <w:szCs w:val="28"/>
                <w:highlight w:val="none"/>
              </w:rPr>
              <w:t xml:space="preserve">  </w:t>
            </w:r>
            <w:r>
              <w:rPr>
                <w:rFonts w:ascii="仿宋" w:hAnsi="仿宋" w:eastAsia="仿宋" w:cs="仿宋"/>
                <w:color w:val="auto"/>
                <w:spacing w:val="-7"/>
                <w:sz w:val="28"/>
                <w:szCs w:val="28"/>
                <w:highlight w:val="none"/>
              </w:rPr>
              <w:t>点</w:t>
            </w:r>
          </w:p>
        </w:tc>
        <w:tc>
          <w:tcPr>
            <w:tcW w:w="6475" w:type="dxa"/>
            <w:noWrap w:val="0"/>
            <w:vAlign w:val="top"/>
          </w:tcPr>
          <w:p w14:paraId="01A103AA">
            <w:pPr>
              <w:spacing w:before="201" w:line="279" w:lineRule="auto"/>
              <w:ind w:left="107" w:right="237" w:firstLine="16"/>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 xml:space="preserve">符合 </w:t>
            </w:r>
            <w:r>
              <w:rPr>
                <w:rFonts w:ascii="Times New Roman" w:hAnsi="Times New Roman" w:eastAsia="Times New Roman" w:cs="Times New Roman"/>
                <w:color w:val="auto"/>
                <w:spacing w:val="-1"/>
                <w:sz w:val="28"/>
                <w:szCs w:val="28"/>
                <w:highlight w:val="none"/>
              </w:rPr>
              <w:t>GB7099</w:t>
            </w:r>
            <w:r>
              <w:rPr>
                <w:rFonts w:ascii="仿宋" w:hAnsi="仿宋" w:eastAsia="仿宋" w:cs="仿宋"/>
                <w:color w:val="auto"/>
                <w:spacing w:val="-1"/>
                <w:sz w:val="28"/>
                <w:szCs w:val="28"/>
                <w:highlight w:val="none"/>
              </w:rPr>
              <w:t>-</w:t>
            </w:r>
            <w:r>
              <w:rPr>
                <w:rFonts w:ascii="Times New Roman" w:hAnsi="Times New Roman" w:eastAsia="Times New Roman" w:cs="Times New Roman"/>
                <w:color w:val="auto"/>
                <w:spacing w:val="-1"/>
                <w:sz w:val="28"/>
                <w:szCs w:val="28"/>
                <w:highlight w:val="none"/>
              </w:rPr>
              <w:t xml:space="preserve">2015  </w:t>
            </w:r>
            <w:r>
              <w:rPr>
                <w:rFonts w:ascii="仿宋" w:hAnsi="仿宋" w:eastAsia="仿宋" w:cs="仿宋"/>
                <w:color w:val="auto"/>
                <w:spacing w:val="-1"/>
                <w:sz w:val="28"/>
                <w:szCs w:val="28"/>
                <w:highlight w:val="none"/>
              </w:rPr>
              <w:t>食品安全国家标准（糕点、面</w:t>
            </w:r>
            <w:r>
              <w:rPr>
                <w:rFonts w:ascii="仿宋" w:hAnsi="仿宋" w:eastAsia="仿宋" w:cs="仿宋"/>
                <w:color w:val="auto"/>
                <w:spacing w:val="7"/>
                <w:sz w:val="28"/>
                <w:szCs w:val="28"/>
                <w:highlight w:val="none"/>
              </w:rPr>
              <w:t xml:space="preserve"> </w:t>
            </w:r>
            <w:r>
              <w:rPr>
                <w:rFonts w:ascii="仿宋" w:hAnsi="仿宋" w:eastAsia="仿宋" w:cs="仿宋"/>
                <w:color w:val="auto"/>
                <w:spacing w:val="17"/>
                <w:sz w:val="28"/>
                <w:szCs w:val="28"/>
                <w:highlight w:val="none"/>
              </w:rPr>
              <w:t>包）</w:t>
            </w:r>
          </w:p>
        </w:tc>
      </w:tr>
    </w:tbl>
    <w:p w14:paraId="28513EDF">
      <w:pPr>
        <w:pStyle w:val="9"/>
        <w:numPr>
          <w:ilvl w:val="0"/>
          <w:numId w:val="0"/>
        </w:numPr>
        <w:spacing w:before="241" w:line="366" w:lineRule="auto"/>
        <w:ind w:leftChars="200" w:right="312" w:rightChars="0"/>
        <w:rPr>
          <w:color w:val="auto"/>
          <w:sz w:val="24"/>
          <w:szCs w:val="24"/>
          <w:highlight w:val="none"/>
        </w:rPr>
      </w:pPr>
      <w:r>
        <w:rPr>
          <w:color w:val="auto"/>
          <w:spacing w:val="9"/>
          <w:sz w:val="24"/>
          <w:szCs w:val="24"/>
          <w:highlight w:val="none"/>
        </w:rPr>
        <w:t>备注：</w:t>
      </w:r>
      <w:r>
        <w:rPr>
          <w:rFonts w:ascii="Times New Roman" w:hAnsi="Times New Roman" w:eastAsia="Times New Roman" w:cs="Times New Roman"/>
          <w:color w:val="auto"/>
          <w:spacing w:val="9"/>
          <w:sz w:val="24"/>
          <w:szCs w:val="24"/>
          <w:highlight w:val="none"/>
        </w:rPr>
        <w:t>1</w:t>
      </w:r>
      <w:r>
        <w:rPr>
          <w:rFonts w:ascii="Times New Roman" w:hAnsi="Times New Roman" w:eastAsia="Times New Roman" w:cs="Times New Roman"/>
          <w:color w:val="auto"/>
          <w:spacing w:val="-31"/>
          <w:sz w:val="24"/>
          <w:szCs w:val="24"/>
          <w:highlight w:val="none"/>
        </w:rPr>
        <w:t xml:space="preserve"> </w:t>
      </w:r>
      <w:r>
        <w:rPr>
          <w:color w:val="auto"/>
          <w:spacing w:val="9"/>
          <w:sz w:val="24"/>
          <w:szCs w:val="24"/>
          <w:highlight w:val="none"/>
        </w:rPr>
        <w:t>、上述标准实行过程中如国家发布新的标准，则按</w:t>
      </w:r>
      <w:r>
        <w:rPr>
          <w:color w:val="auto"/>
          <w:spacing w:val="3"/>
          <w:sz w:val="24"/>
          <w:szCs w:val="24"/>
          <w:highlight w:val="none"/>
        </w:rPr>
        <w:t>照新标准执行。</w:t>
      </w:r>
    </w:p>
    <w:p w14:paraId="23008D2D">
      <w:pPr>
        <w:pStyle w:val="9"/>
        <w:numPr>
          <w:ilvl w:val="0"/>
          <w:numId w:val="0"/>
        </w:numPr>
        <w:spacing w:before="48" w:line="366" w:lineRule="auto"/>
        <w:ind w:leftChars="200" w:right="312" w:rightChars="0"/>
        <w:rPr>
          <w:color w:val="auto"/>
          <w:highlight w:val="none"/>
        </w:rPr>
      </w:pPr>
      <w:r>
        <w:rPr>
          <w:rFonts w:ascii="Times New Roman" w:hAnsi="Times New Roman" w:eastAsia="Times New Roman" w:cs="Times New Roman"/>
          <w:color w:val="auto"/>
          <w:spacing w:val="9"/>
          <w:sz w:val="24"/>
          <w:szCs w:val="24"/>
          <w:highlight w:val="none"/>
        </w:rPr>
        <w:t>2</w:t>
      </w:r>
      <w:r>
        <w:rPr>
          <w:rFonts w:ascii="Times New Roman" w:hAnsi="Times New Roman" w:eastAsia="Times New Roman" w:cs="Times New Roman"/>
          <w:color w:val="auto"/>
          <w:spacing w:val="-25"/>
          <w:sz w:val="24"/>
          <w:szCs w:val="24"/>
          <w:highlight w:val="none"/>
        </w:rPr>
        <w:t xml:space="preserve"> </w:t>
      </w:r>
      <w:r>
        <w:rPr>
          <w:color w:val="auto"/>
          <w:spacing w:val="9"/>
          <w:sz w:val="24"/>
          <w:szCs w:val="24"/>
          <w:highlight w:val="none"/>
        </w:rPr>
        <w:t>、上述标准为最低标准和要求，合同双方方可在高</w:t>
      </w:r>
      <w:r>
        <w:rPr>
          <w:color w:val="auto"/>
          <w:spacing w:val="8"/>
          <w:sz w:val="24"/>
          <w:szCs w:val="24"/>
          <w:highlight w:val="none"/>
        </w:rPr>
        <w:t>于上述标准之上进行合同约定并明确标注。</w:t>
      </w:r>
    </w:p>
    <w:p w14:paraId="43E7D4E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1"/>
          <w:highlight w:val="none"/>
          <w:lang w:val="en-US" w:eastAsia="zh-CN" w:bidi="en-US"/>
        </w:rPr>
      </w:pPr>
    </w:p>
    <w:p w14:paraId="65B5EA68">
      <w:pPr>
        <w:pStyle w:val="9"/>
        <w:numPr>
          <w:ilvl w:val="0"/>
          <w:numId w:val="0"/>
        </w:numPr>
        <w:ind w:leftChars="0"/>
        <w:rPr>
          <w:rFonts w:hint="default"/>
          <w:color w:val="auto"/>
          <w:highlight w:val="none"/>
          <w:lang w:val="en-US" w:eastAsia="zh-CN"/>
        </w:rPr>
      </w:pPr>
    </w:p>
    <w:p w14:paraId="176F8915">
      <w:pPr>
        <w:rPr>
          <w:rFonts w:hint="default"/>
          <w:color w:val="auto"/>
          <w:highlight w:val="none"/>
          <w:lang w:val="en-US" w:eastAsia="zh-CN"/>
        </w:rPr>
      </w:pPr>
    </w:p>
    <w:p w14:paraId="0227ABEE">
      <w:pPr>
        <w:pStyle w:val="2"/>
        <w:rPr>
          <w:rFonts w:hint="default"/>
          <w:color w:val="auto"/>
          <w:highlight w:val="none"/>
          <w:lang w:val="en-US" w:eastAsia="zh-CN"/>
        </w:rPr>
      </w:pPr>
    </w:p>
    <w:tbl>
      <w:tblPr>
        <w:tblStyle w:val="24"/>
        <w:tblW w:w="88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2"/>
        <w:gridCol w:w="975"/>
        <w:gridCol w:w="1110"/>
        <w:gridCol w:w="4969"/>
        <w:gridCol w:w="256"/>
      </w:tblGrid>
      <w:tr w14:paraId="53AC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82" w:type="dxa"/>
            <w:tcBorders>
              <w:top w:val="single" w:color="000000" w:sz="8" w:space="0"/>
              <w:left w:val="single" w:color="000000" w:sz="8" w:space="0"/>
              <w:bottom w:val="single" w:color="000000" w:sz="8" w:space="0"/>
              <w:right w:val="single" w:color="000000" w:sz="4" w:space="0"/>
            </w:tcBorders>
            <w:shd w:val="clear" w:color="auto" w:fill="auto"/>
            <w:noWrap/>
            <w:vAlign w:val="center"/>
          </w:tcPr>
          <w:p w14:paraId="58206B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类别</w:t>
            </w:r>
          </w:p>
        </w:tc>
        <w:tc>
          <w:tcPr>
            <w:tcW w:w="975" w:type="dxa"/>
            <w:tcBorders>
              <w:top w:val="single" w:color="000000" w:sz="8" w:space="0"/>
              <w:left w:val="nil"/>
              <w:bottom w:val="single" w:color="000000" w:sz="8" w:space="0"/>
              <w:right w:val="single" w:color="000000" w:sz="8" w:space="0"/>
            </w:tcBorders>
            <w:shd w:val="clear" w:color="auto" w:fill="auto"/>
            <w:noWrap/>
            <w:vAlign w:val="center"/>
          </w:tcPr>
          <w:p w14:paraId="509B820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序号</w:t>
            </w:r>
          </w:p>
        </w:tc>
        <w:tc>
          <w:tcPr>
            <w:tcW w:w="1110" w:type="dxa"/>
            <w:tcBorders>
              <w:top w:val="single" w:color="000000" w:sz="8" w:space="0"/>
              <w:left w:val="nil"/>
              <w:bottom w:val="single" w:color="000000" w:sz="8" w:space="0"/>
              <w:right w:val="nil"/>
            </w:tcBorders>
            <w:shd w:val="clear" w:color="auto" w:fill="auto"/>
            <w:noWrap/>
            <w:vAlign w:val="center"/>
          </w:tcPr>
          <w:p w14:paraId="27EF96E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名称</w:t>
            </w:r>
          </w:p>
        </w:tc>
        <w:tc>
          <w:tcPr>
            <w:tcW w:w="4969"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5C7FDC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单位规格</w:t>
            </w:r>
          </w:p>
        </w:tc>
        <w:tc>
          <w:tcPr>
            <w:tcW w:w="256" w:type="dxa"/>
            <w:tcBorders>
              <w:top w:val="nil"/>
              <w:left w:val="nil"/>
              <w:bottom w:val="nil"/>
              <w:right w:val="nil"/>
            </w:tcBorders>
            <w:shd w:val="clear" w:color="auto" w:fill="auto"/>
            <w:noWrap/>
            <w:vAlign w:val="center"/>
          </w:tcPr>
          <w:p w14:paraId="2EC8555C">
            <w:pPr>
              <w:rPr>
                <w:rFonts w:hint="eastAsia" w:ascii="宋体" w:hAnsi="宋体" w:eastAsia="宋体" w:cs="宋体"/>
                <w:i w:val="0"/>
                <w:iCs w:val="0"/>
                <w:color w:val="auto"/>
                <w:sz w:val="24"/>
                <w:szCs w:val="24"/>
                <w:highlight w:val="none"/>
                <w:u w:val="none"/>
              </w:rPr>
            </w:pPr>
          </w:p>
        </w:tc>
      </w:tr>
      <w:tr w14:paraId="11F2E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restart"/>
            <w:tcBorders>
              <w:top w:val="nil"/>
              <w:left w:val="single" w:color="000000" w:sz="4" w:space="0"/>
              <w:bottom w:val="single" w:color="000000" w:sz="4" w:space="0"/>
              <w:right w:val="single" w:color="000000" w:sz="4" w:space="0"/>
            </w:tcBorders>
            <w:shd w:val="clear" w:color="auto" w:fill="auto"/>
            <w:vAlign w:val="center"/>
          </w:tcPr>
          <w:p w14:paraId="60F295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米、粮油、面粉</w:t>
            </w:r>
          </w:p>
        </w:tc>
        <w:tc>
          <w:tcPr>
            <w:tcW w:w="975" w:type="dxa"/>
            <w:tcBorders>
              <w:top w:val="nil"/>
              <w:left w:val="single" w:color="000000" w:sz="4" w:space="0"/>
              <w:bottom w:val="single" w:color="000000" w:sz="4" w:space="0"/>
              <w:right w:val="single" w:color="000000" w:sz="4" w:space="0"/>
            </w:tcBorders>
            <w:shd w:val="clear" w:color="auto" w:fill="auto"/>
            <w:noWrap/>
            <w:vAlign w:val="center"/>
          </w:tcPr>
          <w:p w14:paraId="7731C5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10" w:type="dxa"/>
            <w:tcBorders>
              <w:top w:val="nil"/>
              <w:left w:val="single" w:color="000000" w:sz="4" w:space="0"/>
              <w:bottom w:val="single" w:color="000000" w:sz="4" w:space="0"/>
              <w:right w:val="nil"/>
            </w:tcBorders>
            <w:shd w:val="clear" w:color="auto" w:fill="auto"/>
            <w:vAlign w:val="center"/>
          </w:tcPr>
          <w:p w14:paraId="140E01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特一面粉</w:t>
            </w:r>
          </w:p>
        </w:tc>
        <w:tc>
          <w:tcPr>
            <w:tcW w:w="4969" w:type="dxa"/>
            <w:tcBorders>
              <w:top w:val="nil"/>
              <w:left w:val="single" w:color="000000" w:sz="4" w:space="0"/>
              <w:bottom w:val="single" w:color="000000" w:sz="4" w:space="0"/>
              <w:right w:val="nil"/>
            </w:tcBorders>
            <w:shd w:val="clear" w:color="auto" w:fill="auto"/>
            <w:noWrap/>
            <w:vAlign w:val="center"/>
          </w:tcPr>
          <w:p w14:paraId="7789C9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5kg/10kg/25kg袋装</w:t>
            </w:r>
          </w:p>
        </w:tc>
        <w:tc>
          <w:tcPr>
            <w:tcW w:w="256" w:type="dxa"/>
            <w:tcBorders>
              <w:top w:val="nil"/>
              <w:left w:val="nil"/>
              <w:bottom w:val="nil"/>
              <w:right w:val="nil"/>
            </w:tcBorders>
            <w:shd w:val="clear" w:color="auto" w:fill="auto"/>
            <w:noWrap/>
            <w:vAlign w:val="center"/>
          </w:tcPr>
          <w:p w14:paraId="402DEDC4">
            <w:pPr>
              <w:rPr>
                <w:rFonts w:hint="eastAsia" w:ascii="宋体" w:hAnsi="宋体" w:eastAsia="宋体" w:cs="宋体"/>
                <w:i w:val="0"/>
                <w:iCs w:val="0"/>
                <w:color w:val="auto"/>
                <w:sz w:val="24"/>
                <w:szCs w:val="24"/>
                <w:highlight w:val="none"/>
                <w:u w:val="none"/>
              </w:rPr>
            </w:pPr>
          </w:p>
        </w:tc>
      </w:tr>
      <w:tr w14:paraId="60F15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nil"/>
              <w:left w:val="single" w:color="000000" w:sz="4" w:space="0"/>
              <w:bottom w:val="single" w:color="000000" w:sz="4" w:space="0"/>
              <w:right w:val="single" w:color="000000" w:sz="4" w:space="0"/>
            </w:tcBorders>
            <w:shd w:val="clear" w:color="auto" w:fill="auto"/>
            <w:vAlign w:val="center"/>
          </w:tcPr>
          <w:p w14:paraId="0F2B3CEE">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B9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5643EC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一级精米</w:t>
            </w:r>
          </w:p>
        </w:tc>
        <w:tc>
          <w:tcPr>
            <w:tcW w:w="4969" w:type="dxa"/>
            <w:tcBorders>
              <w:top w:val="single" w:color="000000" w:sz="4" w:space="0"/>
              <w:left w:val="single" w:color="000000" w:sz="4" w:space="0"/>
              <w:bottom w:val="single" w:color="000000" w:sz="4" w:space="0"/>
              <w:right w:val="nil"/>
            </w:tcBorders>
            <w:shd w:val="clear" w:color="auto" w:fill="auto"/>
            <w:noWrap/>
            <w:vAlign w:val="center"/>
          </w:tcPr>
          <w:p w14:paraId="4AF8E2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5kg/10kg/25kg袋装</w:t>
            </w:r>
          </w:p>
        </w:tc>
        <w:tc>
          <w:tcPr>
            <w:tcW w:w="256" w:type="dxa"/>
            <w:tcBorders>
              <w:top w:val="nil"/>
              <w:left w:val="nil"/>
              <w:bottom w:val="nil"/>
              <w:right w:val="nil"/>
            </w:tcBorders>
            <w:shd w:val="clear" w:color="auto" w:fill="auto"/>
            <w:noWrap/>
            <w:vAlign w:val="center"/>
          </w:tcPr>
          <w:p w14:paraId="273DEB55">
            <w:pPr>
              <w:rPr>
                <w:rFonts w:hint="eastAsia" w:ascii="宋体" w:hAnsi="宋体" w:eastAsia="宋体" w:cs="宋体"/>
                <w:i w:val="0"/>
                <w:iCs w:val="0"/>
                <w:color w:val="auto"/>
                <w:sz w:val="24"/>
                <w:szCs w:val="24"/>
                <w:highlight w:val="none"/>
                <w:u w:val="none"/>
              </w:rPr>
            </w:pPr>
          </w:p>
        </w:tc>
      </w:tr>
      <w:tr w14:paraId="4B21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nil"/>
              <w:left w:val="single" w:color="000000" w:sz="4" w:space="0"/>
              <w:bottom w:val="single" w:color="000000" w:sz="4" w:space="0"/>
              <w:right w:val="single" w:color="000000" w:sz="4" w:space="0"/>
            </w:tcBorders>
            <w:shd w:val="clear" w:color="auto" w:fill="auto"/>
            <w:vAlign w:val="center"/>
          </w:tcPr>
          <w:p w14:paraId="57580F69">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D0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92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食用油</w:t>
            </w:r>
          </w:p>
        </w:tc>
        <w:tc>
          <w:tcPr>
            <w:tcW w:w="4969" w:type="dxa"/>
            <w:tcBorders>
              <w:top w:val="single" w:color="000000" w:sz="4" w:space="0"/>
              <w:left w:val="single" w:color="000000" w:sz="4" w:space="0"/>
              <w:bottom w:val="single" w:color="000000" w:sz="4" w:space="0"/>
              <w:right w:val="nil"/>
            </w:tcBorders>
            <w:shd w:val="clear" w:color="auto" w:fill="auto"/>
            <w:noWrap/>
            <w:vAlign w:val="center"/>
          </w:tcPr>
          <w:p w14:paraId="1E2453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一级及以上标准5L/10L/25L桶装</w:t>
            </w:r>
          </w:p>
        </w:tc>
        <w:tc>
          <w:tcPr>
            <w:tcW w:w="256" w:type="dxa"/>
            <w:tcBorders>
              <w:top w:val="nil"/>
              <w:left w:val="nil"/>
              <w:bottom w:val="nil"/>
              <w:right w:val="nil"/>
            </w:tcBorders>
            <w:shd w:val="clear" w:color="auto" w:fill="auto"/>
            <w:noWrap/>
            <w:vAlign w:val="center"/>
          </w:tcPr>
          <w:p w14:paraId="604F7F1A">
            <w:pPr>
              <w:rPr>
                <w:rFonts w:hint="eastAsia" w:ascii="宋体" w:hAnsi="宋体" w:eastAsia="宋体" w:cs="宋体"/>
                <w:i w:val="0"/>
                <w:iCs w:val="0"/>
                <w:color w:val="auto"/>
                <w:sz w:val="24"/>
                <w:szCs w:val="24"/>
                <w:highlight w:val="none"/>
                <w:u w:val="none"/>
              </w:rPr>
            </w:pPr>
          </w:p>
        </w:tc>
      </w:tr>
      <w:tr w14:paraId="09FE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D68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禽蛋鸡肉类</w:t>
            </w:r>
          </w:p>
        </w:tc>
        <w:tc>
          <w:tcPr>
            <w:tcW w:w="975" w:type="dxa"/>
            <w:tcBorders>
              <w:top w:val="single" w:color="000000" w:sz="4" w:space="0"/>
              <w:left w:val="single" w:color="000000" w:sz="4" w:space="0"/>
              <w:bottom w:val="single" w:color="000000" w:sz="4" w:space="0"/>
              <w:right w:val="nil"/>
            </w:tcBorders>
            <w:shd w:val="clear" w:color="auto" w:fill="auto"/>
            <w:vAlign w:val="center"/>
          </w:tcPr>
          <w:p w14:paraId="0CB642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3E2F58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w:t>
            </w:r>
          </w:p>
        </w:tc>
        <w:tc>
          <w:tcPr>
            <w:tcW w:w="4969" w:type="dxa"/>
            <w:tcBorders>
              <w:top w:val="single" w:color="000000" w:sz="4" w:space="0"/>
              <w:left w:val="single" w:color="000000" w:sz="4" w:space="0"/>
              <w:bottom w:val="single" w:color="000000" w:sz="4" w:space="0"/>
              <w:right w:val="nil"/>
            </w:tcBorders>
            <w:shd w:val="clear" w:color="auto" w:fill="auto"/>
            <w:vAlign w:val="center"/>
          </w:tcPr>
          <w:p w14:paraId="528AB3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只/kg</w:t>
            </w:r>
          </w:p>
        </w:tc>
        <w:tc>
          <w:tcPr>
            <w:tcW w:w="256" w:type="dxa"/>
            <w:tcBorders>
              <w:top w:val="nil"/>
              <w:left w:val="nil"/>
              <w:bottom w:val="nil"/>
              <w:right w:val="nil"/>
            </w:tcBorders>
            <w:shd w:val="clear" w:color="auto" w:fill="auto"/>
            <w:noWrap/>
            <w:vAlign w:val="center"/>
          </w:tcPr>
          <w:p w14:paraId="55078209">
            <w:pPr>
              <w:rPr>
                <w:rFonts w:hint="eastAsia" w:ascii="宋体" w:hAnsi="宋体" w:eastAsia="宋体" w:cs="宋体"/>
                <w:i w:val="0"/>
                <w:iCs w:val="0"/>
                <w:color w:val="auto"/>
                <w:sz w:val="24"/>
                <w:szCs w:val="24"/>
                <w:highlight w:val="none"/>
                <w:u w:val="none"/>
              </w:rPr>
            </w:pPr>
          </w:p>
        </w:tc>
      </w:tr>
      <w:tr w14:paraId="72FBF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02A88">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nil"/>
            </w:tcBorders>
            <w:shd w:val="clear" w:color="auto" w:fill="auto"/>
            <w:vAlign w:val="center"/>
          </w:tcPr>
          <w:p w14:paraId="22F574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4BB155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鸭</w:t>
            </w:r>
          </w:p>
        </w:tc>
        <w:tc>
          <w:tcPr>
            <w:tcW w:w="4969" w:type="dxa"/>
            <w:tcBorders>
              <w:top w:val="single" w:color="000000" w:sz="4" w:space="0"/>
              <w:left w:val="single" w:color="000000" w:sz="4" w:space="0"/>
              <w:bottom w:val="single" w:color="000000" w:sz="4" w:space="0"/>
              <w:right w:val="nil"/>
            </w:tcBorders>
            <w:shd w:val="clear" w:color="auto" w:fill="auto"/>
            <w:vAlign w:val="center"/>
          </w:tcPr>
          <w:p w14:paraId="1C7602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只/kg</w:t>
            </w:r>
          </w:p>
        </w:tc>
        <w:tc>
          <w:tcPr>
            <w:tcW w:w="256" w:type="dxa"/>
            <w:tcBorders>
              <w:top w:val="nil"/>
              <w:left w:val="nil"/>
              <w:bottom w:val="nil"/>
              <w:right w:val="nil"/>
            </w:tcBorders>
            <w:shd w:val="clear" w:color="auto" w:fill="auto"/>
            <w:noWrap/>
            <w:vAlign w:val="center"/>
          </w:tcPr>
          <w:p w14:paraId="23599BFF">
            <w:pPr>
              <w:rPr>
                <w:rFonts w:hint="eastAsia" w:ascii="宋体" w:hAnsi="宋体" w:eastAsia="宋体" w:cs="宋体"/>
                <w:i w:val="0"/>
                <w:iCs w:val="0"/>
                <w:color w:val="auto"/>
                <w:sz w:val="24"/>
                <w:szCs w:val="24"/>
                <w:highlight w:val="none"/>
                <w:u w:val="none"/>
              </w:rPr>
            </w:pPr>
          </w:p>
        </w:tc>
      </w:tr>
      <w:tr w14:paraId="0BEE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0662F">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nil"/>
            </w:tcBorders>
            <w:shd w:val="clear" w:color="auto" w:fill="auto"/>
            <w:vAlign w:val="center"/>
          </w:tcPr>
          <w:p w14:paraId="7A1AAC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08C12B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鱼</w:t>
            </w:r>
          </w:p>
        </w:tc>
        <w:tc>
          <w:tcPr>
            <w:tcW w:w="4969" w:type="dxa"/>
            <w:tcBorders>
              <w:top w:val="single" w:color="000000" w:sz="4" w:space="0"/>
              <w:left w:val="single" w:color="000000" w:sz="4" w:space="0"/>
              <w:bottom w:val="single" w:color="000000" w:sz="4" w:space="0"/>
              <w:right w:val="nil"/>
            </w:tcBorders>
            <w:shd w:val="clear" w:color="auto" w:fill="auto"/>
            <w:vAlign w:val="center"/>
          </w:tcPr>
          <w:p w14:paraId="40C27C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只/kg</w:t>
            </w:r>
          </w:p>
        </w:tc>
        <w:tc>
          <w:tcPr>
            <w:tcW w:w="256" w:type="dxa"/>
            <w:tcBorders>
              <w:top w:val="nil"/>
              <w:left w:val="nil"/>
              <w:bottom w:val="nil"/>
              <w:right w:val="nil"/>
            </w:tcBorders>
            <w:shd w:val="clear" w:color="auto" w:fill="auto"/>
            <w:noWrap/>
            <w:vAlign w:val="center"/>
          </w:tcPr>
          <w:p w14:paraId="114725A0">
            <w:pPr>
              <w:rPr>
                <w:rFonts w:hint="eastAsia" w:ascii="宋体" w:hAnsi="宋体" w:eastAsia="宋体" w:cs="宋体"/>
                <w:i w:val="0"/>
                <w:iCs w:val="0"/>
                <w:color w:val="auto"/>
                <w:sz w:val="24"/>
                <w:szCs w:val="24"/>
                <w:highlight w:val="none"/>
                <w:u w:val="none"/>
              </w:rPr>
            </w:pPr>
          </w:p>
        </w:tc>
      </w:tr>
      <w:tr w14:paraId="5310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9702E">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nil"/>
            </w:tcBorders>
            <w:shd w:val="clear" w:color="auto" w:fill="auto"/>
            <w:vAlign w:val="center"/>
          </w:tcPr>
          <w:p w14:paraId="0C875E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4CA7CA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鸭边腿</w:t>
            </w:r>
          </w:p>
        </w:tc>
        <w:tc>
          <w:tcPr>
            <w:tcW w:w="4969" w:type="dxa"/>
            <w:tcBorders>
              <w:top w:val="single" w:color="000000" w:sz="4" w:space="0"/>
              <w:left w:val="single" w:color="000000" w:sz="4" w:space="0"/>
              <w:bottom w:val="single" w:color="000000" w:sz="4" w:space="0"/>
              <w:right w:val="nil"/>
            </w:tcBorders>
            <w:shd w:val="clear" w:color="auto" w:fill="auto"/>
            <w:vAlign w:val="center"/>
          </w:tcPr>
          <w:p w14:paraId="050A48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箱装</w:t>
            </w:r>
          </w:p>
        </w:tc>
        <w:tc>
          <w:tcPr>
            <w:tcW w:w="256" w:type="dxa"/>
            <w:tcBorders>
              <w:top w:val="nil"/>
              <w:left w:val="nil"/>
              <w:bottom w:val="nil"/>
              <w:right w:val="nil"/>
            </w:tcBorders>
            <w:shd w:val="clear" w:color="auto" w:fill="auto"/>
            <w:noWrap/>
            <w:vAlign w:val="center"/>
          </w:tcPr>
          <w:p w14:paraId="501B0160">
            <w:pPr>
              <w:rPr>
                <w:rFonts w:hint="eastAsia" w:ascii="宋体" w:hAnsi="宋体" w:eastAsia="宋体" w:cs="宋体"/>
                <w:i w:val="0"/>
                <w:iCs w:val="0"/>
                <w:color w:val="auto"/>
                <w:sz w:val="24"/>
                <w:szCs w:val="24"/>
                <w:highlight w:val="none"/>
                <w:u w:val="none"/>
              </w:rPr>
            </w:pPr>
          </w:p>
        </w:tc>
      </w:tr>
      <w:tr w14:paraId="44B8D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9A45E">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nil"/>
            </w:tcBorders>
            <w:shd w:val="clear" w:color="auto" w:fill="auto"/>
            <w:vAlign w:val="center"/>
          </w:tcPr>
          <w:p w14:paraId="208F66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3D4378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鸡边腿</w:t>
            </w:r>
          </w:p>
        </w:tc>
        <w:tc>
          <w:tcPr>
            <w:tcW w:w="4969" w:type="dxa"/>
            <w:tcBorders>
              <w:top w:val="single" w:color="000000" w:sz="4" w:space="0"/>
              <w:left w:val="single" w:color="000000" w:sz="4" w:space="0"/>
              <w:bottom w:val="single" w:color="000000" w:sz="4" w:space="0"/>
              <w:right w:val="nil"/>
            </w:tcBorders>
            <w:shd w:val="clear" w:color="auto" w:fill="auto"/>
            <w:vAlign w:val="center"/>
          </w:tcPr>
          <w:p w14:paraId="0B0ACF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箱装</w:t>
            </w:r>
          </w:p>
        </w:tc>
        <w:tc>
          <w:tcPr>
            <w:tcW w:w="256" w:type="dxa"/>
            <w:tcBorders>
              <w:top w:val="nil"/>
              <w:left w:val="nil"/>
              <w:bottom w:val="nil"/>
              <w:right w:val="nil"/>
            </w:tcBorders>
            <w:shd w:val="clear" w:color="auto" w:fill="auto"/>
            <w:noWrap/>
            <w:vAlign w:val="center"/>
          </w:tcPr>
          <w:p w14:paraId="2C24F682">
            <w:pPr>
              <w:rPr>
                <w:rFonts w:hint="eastAsia" w:ascii="宋体" w:hAnsi="宋体" w:eastAsia="宋体" w:cs="宋体"/>
                <w:i w:val="0"/>
                <w:iCs w:val="0"/>
                <w:color w:val="auto"/>
                <w:sz w:val="24"/>
                <w:szCs w:val="24"/>
                <w:highlight w:val="none"/>
                <w:u w:val="none"/>
              </w:rPr>
            </w:pPr>
          </w:p>
        </w:tc>
      </w:tr>
      <w:tr w14:paraId="2A09C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387B9">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nil"/>
            </w:tcBorders>
            <w:shd w:val="clear" w:color="auto" w:fill="auto"/>
            <w:vAlign w:val="center"/>
          </w:tcPr>
          <w:p w14:paraId="775587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110" w:type="dxa"/>
            <w:tcBorders>
              <w:top w:val="single" w:color="000000" w:sz="4" w:space="0"/>
              <w:left w:val="single" w:color="000000" w:sz="4" w:space="0"/>
              <w:bottom w:val="single" w:color="000000" w:sz="4" w:space="0"/>
              <w:right w:val="nil"/>
            </w:tcBorders>
            <w:shd w:val="clear" w:color="auto" w:fill="auto"/>
            <w:vAlign w:val="center"/>
          </w:tcPr>
          <w:p w14:paraId="3B8159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鲜鸡蛋</w:t>
            </w:r>
          </w:p>
        </w:tc>
        <w:tc>
          <w:tcPr>
            <w:tcW w:w="4969" w:type="dxa"/>
            <w:tcBorders>
              <w:top w:val="single" w:color="000000" w:sz="4" w:space="0"/>
              <w:left w:val="single" w:color="000000" w:sz="4" w:space="0"/>
              <w:bottom w:val="single" w:color="000000" w:sz="4" w:space="0"/>
              <w:right w:val="nil"/>
            </w:tcBorders>
            <w:shd w:val="clear" w:color="auto" w:fill="auto"/>
            <w:vAlign w:val="center"/>
          </w:tcPr>
          <w:p w14:paraId="754019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板装</w:t>
            </w:r>
          </w:p>
        </w:tc>
        <w:tc>
          <w:tcPr>
            <w:tcW w:w="256" w:type="dxa"/>
            <w:tcBorders>
              <w:top w:val="nil"/>
              <w:left w:val="nil"/>
              <w:bottom w:val="nil"/>
              <w:right w:val="nil"/>
            </w:tcBorders>
            <w:shd w:val="clear" w:color="auto" w:fill="auto"/>
            <w:noWrap/>
            <w:vAlign w:val="center"/>
          </w:tcPr>
          <w:p w14:paraId="5BEAD85F">
            <w:pPr>
              <w:rPr>
                <w:rFonts w:hint="eastAsia" w:ascii="宋体" w:hAnsi="宋体" w:eastAsia="宋体" w:cs="宋体"/>
                <w:i w:val="0"/>
                <w:iCs w:val="0"/>
                <w:color w:val="auto"/>
                <w:sz w:val="24"/>
                <w:szCs w:val="24"/>
                <w:highlight w:val="none"/>
                <w:u w:val="none"/>
              </w:rPr>
            </w:pPr>
          </w:p>
        </w:tc>
      </w:tr>
      <w:tr w14:paraId="2F576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A72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牛奶（学生奶）酸奶类</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E8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BD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牛奶（学生奶）</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3A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袋/200克/ml</w:t>
            </w:r>
          </w:p>
        </w:tc>
        <w:tc>
          <w:tcPr>
            <w:tcW w:w="256" w:type="dxa"/>
            <w:tcBorders>
              <w:top w:val="nil"/>
              <w:left w:val="nil"/>
              <w:bottom w:val="nil"/>
              <w:right w:val="nil"/>
            </w:tcBorders>
            <w:shd w:val="clear" w:color="auto" w:fill="auto"/>
            <w:noWrap/>
            <w:vAlign w:val="center"/>
          </w:tcPr>
          <w:p w14:paraId="3A2B9197">
            <w:pPr>
              <w:rPr>
                <w:rFonts w:hint="eastAsia" w:ascii="宋体" w:hAnsi="宋体" w:eastAsia="宋体" w:cs="宋体"/>
                <w:i w:val="0"/>
                <w:iCs w:val="0"/>
                <w:color w:val="auto"/>
                <w:sz w:val="24"/>
                <w:szCs w:val="24"/>
                <w:highlight w:val="none"/>
                <w:u w:val="none"/>
              </w:rPr>
            </w:pPr>
          </w:p>
        </w:tc>
      </w:tr>
      <w:tr w14:paraId="7D87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68970">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5D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B9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酸奶</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20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r>
              <w:rPr>
                <w:rFonts w:hint="default" w:ascii="Times New Roman" w:hAnsi="Times New Roman" w:eastAsia="宋体" w:cs="Times New Roman"/>
                <w:i w:val="0"/>
                <w:iCs w:val="0"/>
                <w:color w:val="auto"/>
                <w:kern w:val="0"/>
                <w:sz w:val="24"/>
                <w:szCs w:val="24"/>
                <w:highlight w:val="none"/>
                <w:u w:val="none"/>
                <w:lang w:val="en-US" w:eastAsia="zh-CN" w:bidi="ar"/>
              </w:rPr>
              <w:t>≥1</w:t>
            </w:r>
            <w:r>
              <w:rPr>
                <w:rFonts w:hint="eastAsia" w:eastAsia="宋体" w:cs="Times New Roman"/>
                <w:i w:val="0"/>
                <w:iCs w:val="0"/>
                <w:color w:val="auto"/>
                <w:kern w:val="0"/>
                <w:sz w:val="24"/>
                <w:szCs w:val="24"/>
                <w:highlight w:val="none"/>
                <w:u w:val="none"/>
                <w:lang w:val="en-US" w:eastAsia="zh-CN" w:bidi="ar"/>
              </w:rPr>
              <w:t>0</w:t>
            </w:r>
            <w:r>
              <w:rPr>
                <w:rFonts w:hint="default" w:ascii="Times New Roman" w:hAnsi="Times New Roman" w:eastAsia="宋体" w:cs="Times New Roman"/>
                <w:i w:val="0"/>
                <w:iCs w:val="0"/>
                <w:color w:val="auto"/>
                <w:kern w:val="0"/>
                <w:sz w:val="24"/>
                <w:szCs w:val="24"/>
                <w:highlight w:val="none"/>
                <w:u w:val="none"/>
                <w:lang w:val="en-US" w:eastAsia="zh-CN" w:bidi="ar"/>
              </w:rPr>
              <w:t>0</w:t>
            </w:r>
            <w:r>
              <w:rPr>
                <w:rFonts w:ascii="Arial" w:hAnsi="Arial" w:eastAsia="宋体" w:cs="Arial"/>
                <w:i w:val="0"/>
                <w:iCs w:val="0"/>
                <w:color w:val="auto"/>
                <w:kern w:val="0"/>
                <w:sz w:val="24"/>
                <w:szCs w:val="24"/>
                <w:highlight w:val="none"/>
                <w:u w:val="none"/>
                <w:lang w:val="en-US" w:eastAsia="zh-CN" w:bidi="ar"/>
              </w:rPr>
              <w:t>ml/</w:t>
            </w:r>
            <w:r>
              <w:rPr>
                <w:rFonts w:hint="eastAsia" w:ascii="宋体" w:hAnsi="宋体" w:eastAsia="宋体" w:cs="宋体"/>
                <w:i w:val="0"/>
                <w:iCs w:val="0"/>
                <w:color w:val="auto"/>
                <w:kern w:val="0"/>
                <w:sz w:val="24"/>
                <w:szCs w:val="24"/>
                <w:highlight w:val="none"/>
                <w:u w:val="none"/>
                <w:lang w:val="en-US" w:eastAsia="zh-CN" w:bidi="ar"/>
              </w:rPr>
              <w:t>克</w:t>
            </w:r>
          </w:p>
        </w:tc>
        <w:tc>
          <w:tcPr>
            <w:tcW w:w="256" w:type="dxa"/>
            <w:tcBorders>
              <w:top w:val="nil"/>
              <w:left w:val="nil"/>
              <w:bottom w:val="nil"/>
              <w:right w:val="nil"/>
            </w:tcBorders>
            <w:shd w:val="clear" w:color="auto" w:fill="auto"/>
            <w:noWrap/>
            <w:vAlign w:val="center"/>
          </w:tcPr>
          <w:p w14:paraId="1B062594">
            <w:pPr>
              <w:rPr>
                <w:rFonts w:hint="eastAsia" w:ascii="宋体" w:hAnsi="宋体" w:eastAsia="宋体" w:cs="宋体"/>
                <w:i w:val="0"/>
                <w:iCs w:val="0"/>
                <w:color w:val="auto"/>
                <w:sz w:val="24"/>
                <w:szCs w:val="24"/>
                <w:highlight w:val="none"/>
                <w:u w:val="none"/>
              </w:rPr>
            </w:pPr>
          </w:p>
        </w:tc>
      </w:tr>
      <w:tr w14:paraId="5C24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EA331">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1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23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糕点</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62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袋装</w:t>
            </w:r>
            <w:r>
              <w:rPr>
                <w:rFonts w:hint="default" w:ascii="Times New Roman" w:hAnsi="Times New Roman" w:eastAsia="宋体" w:cs="Times New Roman"/>
                <w:i w:val="0"/>
                <w:iCs w:val="0"/>
                <w:color w:val="auto"/>
                <w:kern w:val="0"/>
                <w:sz w:val="24"/>
                <w:szCs w:val="24"/>
                <w:highlight w:val="none"/>
                <w:u w:val="none"/>
                <w:lang w:val="en-US" w:eastAsia="zh-CN" w:bidi="ar"/>
              </w:rPr>
              <w:t>≥50</w:t>
            </w:r>
            <w:r>
              <w:rPr>
                <w:rFonts w:hint="eastAsia" w:ascii="宋体" w:hAnsi="宋体" w:eastAsia="宋体" w:cs="宋体"/>
                <w:i w:val="0"/>
                <w:iCs w:val="0"/>
                <w:color w:val="auto"/>
                <w:kern w:val="0"/>
                <w:sz w:val="24"/>
                <w:szCs w:val="24"/>
                <w:highlight w:val="none"/>
                <w:u w:val="none"/>
                <w:lang w:val="en-US" w:eastAsia="zh-CN" w:bidi="ar"/>
              </w:rPr>
              <w:t>克</w:t>
            </w:r>
          </w:p>
        </w:tc>
        <w:tc>
          <w:tcPr>
            <w:tcW w:w="256" w:type="dxa"/>
            <w:tcBorders>
              <w:top w:val="nil"/>
              <w:left w:val="nil"/>
              <w:bottom w:val="nil"/>
              <w:right w:val="nil"/>
            </w:tcBorders>
            <w:shd w:val="clear" w:color="auto" w:fill="auto"/>
            <w:noWrap/>
            <w:vAlign w:val="center"/>
          </w:tcPr>
          <w:p w14:paraId="1C4463B7">
            <w:pPr>
              <w:rPr>
                <w:rFonts w:hint="eastAsia" w:ascii="宋体" w:hAnsi="宋体" w:eastAsia="宋体" w:cs="宋体"/>
                <w:i w:val="0"/>
                <w:iCs w:val="0"/>
                <w:color w:val="auto"/>
                <w:sz w:val="24"/>
                <w:szCs w:val="24"/>
                <w:highlight w:val="none"/>
                <w:u w:val="none"/>
              </w:rPr>
            </w:pPr>
          </w:p>
        </w:tc>
      </w:tr>
      <w:tr w14:paraId="64A7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D2BCA">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7F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21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坚果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A1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袋装</w:t>
            </w:r>
          </w:p>
        </w:tc>
        <w:tc>
          <w:tcPr>
            <w:tcW w:w="256" w:type="dxa"/>
            <w:tcBorders>
              <w:top w:val="nil"/>
              <w:left w:val="nil"/>
              <w:bottom w:val="nil"/>
              <w:right w:val="nil"/>
            </w:tcBorders>
            <w:shd w:val="clear" w:color="auto" w:fill="auto"/>
            <w:noWrap/>
            <w:vAlign w:val="center"/>
          </w:tcPr>
          <w:p w14:paraId="3A988431">
            <w:pPr>
              <w:rPr>
                <w:rFonts w:hint="eastAsia" w:ascii="宋体" w:hAnsi="宋体" w:eastAsia="宋体" w:cs="宋体"/>
                <w:i w:val="0"/>
                <w:iCs w:val="0"/>
                <w:color w:val="auto"/>
                <w:sz w:val="24"/>
                <w:szCs w:val="24"/>
                <w:highlight w:val="none"/>
                <w:u w:val="none"/>
              </w:rPr>
            </w:pPr>
          </w:p>
        </w:tc>
      </w:tr>
      <w:tr w14:paraId="1BDB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8A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蔬菜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96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03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小白菜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A9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33653D1A">
            <w:pPr>
              <w:rPr>
                <w:rFonts w:hint="eastAsia" w:ascii="宋体" w:hAnsi="宋体" w:eastAsia="宋体" w:cs="宋体"/>
                <w:i w:val="0"/>
                <w:iCs w:val="0"/>
                <w:color w:val="auto"/>
                <w:sz w:val="24"/>
                <w:szCs w:val="24"/>
                <w:highlight w:val="none"/>
                <w:u w:val="none"/>
              </w:rPr>
            </w:pPr>
          </w:p>
        </w:tc>
      </w:tr>
      <w:tr w14:paraId="75799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E207">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24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1E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DC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1881671C">
            <w:pPr>
              <w:rPr>
                <w:rFonts w:hint="eastAsia" w:ascii="宋体" w:hAnsi="宋体" w:eastAsia="宋体" w:cs="宋体"/>
                <w:i w:val="0"/>
                <w:iCs w:val="0"/>
                <w:color w:val="auto"/>
                <w:sz w:val="24"/>
                <w:szCs w:val="24"/>
                <w:highlight w:val="none"/>
                <w:u w:val="none"/>
              </w:rPr>
            </w:pPr>
          </w:p>
        </w:tc>
      </w:tr>
      <w:tr w14:paraId="2953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49C1">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04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6F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韭菜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DB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6477B6D0">
            <w:pPr>
              <w:rPr>
                <w:rFonts w:hint="eastAsia" w:ascii="宋体" w:hAnsi="宋体" w:eastAsia="宋体" w:cs="宋体"/>
                <w:i w:val="0"/>
                <w:iCs w:val="0"/>
                <w:color w:val="auto"/>
                <w:sz w:val="24"/>
                <w:szCs w:val="24"/>
                <w:highlight w:val="none"/>
                <w:u w:val="none"/>
              </w:rPr>
            </w:pPr>
          </w:p>
        </w:tc>
      </w:tr>
      <w:tr w14:paraId="30705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AE92">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47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32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西芹</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C7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6EDD1A4B">
            <w:pPr>
              <w:rPr>
                <w:rFonts w:hint="eastAsia" w:ascii="宋体" w:hAnsi="宋体" w:eastAsia="宋体" w:cs="宋体"/>
                <w:i w:val="0"/>
                <w:iCs w:val="0"/>
                <w:color w:val="auto"/>
                <w:sz w:val="24"/>
                <w:szCs w:val="24"/>
                <w:highlight w:val="none"/>
                <w:u w:val="none"/>
              </w:rPr>
            </w:pPr>
          </w:p>
        </w:tc>
      </w:tr>
      <w:tr w14:paraId="42AD9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17FE">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A4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99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菠菜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A3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05621A8A">
            <w:pPr>
              <w:rPr>
                <w:rFonts w:hint="eastAsia" w:ascii="宋体" w:hAnsi="宋体" w:eastAsia="宋体" w:cs="宋体"/>
                <w:i w:val="0"/>
                <w:iCs w:val="0"/>
                <w:color w:val="auto"/>
                <w:sz w:val="24"/>
                <w:szCs w:val="24"/>
                <w:highlight w:val="none"/>
                <w:u w:val="none"/>
              </w:rPr>
            </w:pPr>
          </w:p>
        </w:tc>
      </w:tr>
      <w:tr w14:paraId="4E0F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2B08">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45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9D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1D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3D1FF8A2">
            <w:pPr>
              <w:rPr>
                <w:rFonts w:hint="eastAsia" w:ascii="宋体" w:hAnsi="宋体" w:eastAsia="宋体" w:cs="宋体"/>
                <w:i w:val="0"/>
                <w:iCs w:val="0"/>
                <w:color w:val="auto"/>
                <w:sz w:val="24"/>
                <w:szCs w:val="24"/>
                <w:highlight w:val="none"/>
                <w:u w:val="none"/>
              </w:rPr>
            </w:pPr>
          </w:p>
        </w:tc>
      </w:tr>
      <w:tr w14:paraId="7088A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4A33">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56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66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空心菜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13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72609E26">
            <w:pPr>
              <w:rPr>
                <w:rFonts w:hint="eastAsia" w:ascii="宋体" w:hAnsi="宋体" w:eastAsia="宋体" w:cs="宋体"/>
                <w:i w:val="0"/>
                <w:iCs w:val="0"/>
                <w:color w:val="auto"/>
                <w:sz w:val="24"/>
                <w:szCs w:val="24"/>
                <w:highlight w:val="none"/>
                <w:u w:val="none"/>
              </w:rPr>
            </w:pPr>
          </w:p>
        </w:tc>
      </w:tr>
      <w:tr w14:paraId="68B01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C726">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FD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01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芥蓝</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4E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4F0B5E91">
            <w:pPr>
              <w:rPr>
                <w:rFonts w:hint="eastAsia" w:ascii="宋体" w:hAnsi="宋体" w:eastAsia="宋体" w:cs="宋体"/>
                <w:i w:val="0"/>
                <w:iCs w:val="0"/>
                <w:color w:val="auto"/>
                <w:sz w:val="24"/>
                <w:szCs w:val="24"/>
                <w:highlight w:val="none"/>
                <w:u w:val="none"/>
              </w:rPr>
            </w:pPr>
          </w:p>
        </w:tc>
      </w:tr>
      <w:tr w14:paraId="637B8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02C1">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73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C0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小葱</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B2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2A83AF29">
            <w:pPr>
              <w:rPr>
                <w:rFonts w:hint="eastAsia" w:ascii="宋体" w:hAnsi="宋体" w:eastAsia="宋体" w:cs="宋体"/>
                <w:i w:val="0"/>
                <w:iCs w:val="0"/>
                <w:color w:val="auto"/>
                <w:sz w:val="24"/>
                <w:szCs w:val="24"/>
                <w:highlight w:val="none"/>
                <w:u w:val="none"/>
              </w:rPr>
            </w:pPr>
          </w:p>
        </w:tc>
      </w:tr>
      <w:tr w14:paraId="0FE3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F77A">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F9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CC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6E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5A0779A6">
            <w:pPr>
              <w:rPr>
                <w:rFonts w:hint="eastAsia" w:ascii="宋体" w:hAnsi="宋体" w:eastAsia="宋体" w:cs="宋体"/>
                <w:i w:val="0"/>
                <w:iCs w:val="0"/>
                <w:color w:val="auto"/>
                <w:sz w:val="24"/>
                <w:szCs w:val="24"/>
                <w:highlight w:val="none"/>
                <w:u w:val="none"/>
              </w:rPr>
            </w:pPr>
          </w:p>
        </w:tc>
      </w:tr>
      <w:tr w14:paraId="6D5B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E5F0">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FF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D2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青椒</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7A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36553768">
            <w:pPr>
              <w:rPr>
                <w:rFonts w:hint="eastAsia" w:ascii="宋体" w:hAnsi="宋体" w:eastAsia="宋体" w:cs="宋体"/>
                <w:i w:val="0"/>
                <w:iCs w:val="0"/>
                <w:color w:val="auto"/>
                <w:sz w:val="24"/>
                <w:szCs w:val="24"/>
                <w:highlight w:val="none"/>
                <w:u w:val="none"/>
              </w:rPr>
            </w:pPr>
          </w:p>
        </w:tc>
      </w:tr>
      <w:tr w14:paraId="0F12B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0B81">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14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93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尖椒</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F0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18EE6207">
            <w:pPr>
              <w:rPr>
                <w:rFonts w:hint="eastAsia" w:ascii="宋体" w:hAnsi="宋体" w:eastAsia="宋体" w:cs="宋体"/>
                <w:i w:val="0"/>
                <w:iCs w:val="0"/>
                <w:color w:val="auto"/>
                <w:sz w:val="24"/>
                <w:szCs w:val="24"/>
                <w:highlight w:val="none"/>
                <w:u w:val="none"/>
              </w:rPr>
            </w:pPr>
          </w:p>
        </w:tc>
      </w:tr>
      <w:tr w14:paraId="7EBA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BD76">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58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16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西红柿</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A6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0BD5FB68">
            <w:pPr>
              <w:rPr>
                <w:rFonts w:hint="eastAsia" w:ascii="宋体" w:hAnsi="宋体" w:eastAsia="宋体" w:cs="宋体"/>
                <w:i w:val="0"/>
                <w:iCs w:val="0"/>
                <w:color w:val="auto"/>
                <w:sz w:val="24"/>
                <w:szCs w:val="24"/>
                <w:highlight w:val="none"/>
                <w:u w:val="none"/>
              </w:rPr>
            </w:pPr>
          </w:p>
        </w:tc>
      </w:tr>
      <w:tr w14:paraId="59051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A5F1">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C3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C9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大白菜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8F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49A60DBC">
            <w:pPr>
              <w:rPr>
                <w:rFonts w:hint="eastAsia" w:ascii="宋体" w:hAnsi="宋体" w:eastAsia="宋体" w:cs="宋体"/>
                <w:i w:val="0"/>
                <w:iCs w:val="0"/>
                <w:color w:val="auto"/>
                <w:sz w:val="24"/>
                <w:szCs w:val="24"/>
                <w:highlight w:val="none"/>
                <w:u w:val="none"/>
              </w:rPr>
            </w:pPr>
          </w:p>
        </w:tc>
      </w:tr>
      <w:tr w14:paraId="33E06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5623">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29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0F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大葱</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97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1E13AF00">
            <w:pPr>
              <w:rPr>
                <w:rFonts w:hint="eastAsia" w:ascii="宋体" w:hAnsi="宋体" w:eastAsia="宋体" w:cs="宋体"/>
                <w:i w:val="0"/>
                <w:iCs w:val="0"/>
                <w:color w:val="auto"/>
                <w:sz w:val="24"/>
                <w:szCs w:val="24"/>
                <w:highlight w:val="none"/>
                <w:u w:val="none"/>
              </w:rPr>
            </w:pPr>
          </w:p>
        </w:tc>
      </w:tr>
      <w:tr w14:paraId="5FCEF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E104">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5B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5D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茄子</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BC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7EC7AC5F">
            <w:pPr>
              <w:rPr>
                <w:rFonts w:hint="eastAsia" w:ascii="宋体" w:hAnsi="宋体" w:eastAsia="宋体" w:cs="宋体"/>
                <w:i w:val="0"/>
                <w:iCs w:val="0"/>
                <w:color w:val="auto"/>
                <w:sz w:val="24"/>
                <w:szCs w:val="24"/>
                <w:highlight w:val="none"/>
                <w:u w:val="none"/>
              </w:rPr>
            </w:pPr>
          </w:p>
        </w:tc>
      </w:tr>
      <w:tr w14:paraId="6763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2E25">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4E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A3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莴笋</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9B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4D85B8BE">
            <w:pPr>
              <w:rPr>
                <w:rFonts w:hint="eastAsia" w:ascii="宋体" w:hAnsi="宋体" w:eastAsia="宋体" w:cs="宋体"/>
                <w:i w:val="0"/>
                <w:iCs w:val="0"/>
                <w:color w:val="auto"/>
                <w:sz w:val="24"/>
                <w:szCs w:val="24"/>
                <w:highlight w:val="none"/>
                <w:u w:val="none"/>
              </w:rPr>
            </w:pPr>
          </w:p>
        </w:tc>
      </w:tr>
      <w:tr w14:paraId="3557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0388">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1B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00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蒜苔</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97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515B54DD">
            <w:pPr>
              <w:rPr>
                <w:rFonts w:hint="eastAsia" w:ascii="宋体" w:hAnsi="宋体" w:eastAsia="宋体" w:cs="宋体"/>
                <w:i w:val="0"/>
                <w:iCs w:val="0"/>
                <w:color w:val="auto"/>
                <w:sz w:val="24"/>
                <w:szCs w:val="24"/>
                <w:highlight w:val="none"/>
                <w:u w:val="none"/>
              </w:rPr>
            </w:pPr>
          </w:p>
        </w:tc>
      </w:tr>
      <w:tr w14:paraId="15CED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4923">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25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25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菜花</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FF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2C96042D">
            <w:pPr>
              <w:rPr>
                <w:rFonts w:hint="eastAsia" w:ascii="宋体" w:hAnsi="宋体" w:eastAsia="宋体" w:cs="宋体"/>
                <w:i w:val="0"/>
                <w:iCs w:val="0"/>
                <w:color w:val="auto"/>
                <w:sz w:val="24"/>
                <w:szCs w:val="24"/>
                <w:highlight w:val="none"/>
                <w:u w:val="none"/>
              </w:rPr>
            </w:pPr>
          </w:p>
        </w:tc>
      </w:tr>
      <w:tr w14:paraId="06574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D71A">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6A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C1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（花椰菜）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72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46BE7BFA">
            <w:pPr>
              <w:rPr>
                <w:rFonts w:hint="eastAsia" w:ascii="宋体" w:hAnsi="宋体" w:eastAsia="宋体" w:cs="宋体"/>
                <w:i w:val="0"/>
                <w:iCs w:val="0"/>
                <w:color w:val="auto"/>
                <w:sz w:val="24"/>
                <w:szCs w:val="24"/>
                <w:highlight w:val="none"/>
                <w:u w:val="none"/>
              </w:rPr>
            </w:pPr>
          </w:p>
        </w:tc>
      </w:tr>
      <w:tr w14:paraId="2BE7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A834">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C9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E9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西兰花</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B7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12FB02A0">
            <w:pPr>
              <w:rPr>
                <w:rFonts w:hint="eastAsia" w:ascii="宋体" w:hAnsi="宋体" w:eastAsia="宋体" w:cs="宋体"/>
                <w:i w:val="0"/>
                <w:iCs w:val="0"/>
                <w:color w:val="auto"/>
                <w:sz w:val="24"/>
                <w:szCs w:val="24"/>
                <w:highlight w:val="none"/>
                <w:u w:val="none"/>
              </w:rPr>
            </w:pPr>
          </w:p>
        </w:tc>
      </w:tr>
      <w:tr w14:paraId="018F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C2F6">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91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A2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83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0B03FF44">
            <w:pPr>
              <w:rPr>
                <w:rFonts w:hint="eastAsia" w:ascii="宋体" w:hAnsi="宋体" w:eastAsia="宋体" w:cs="宋体"/>
                <w:i w:val="0"/>
                <w:iCs w:val="0"/>
                <w:color w:val="auto"/>
                <w:sz w:val="24"/>
                <w:szCs w:val="24"/>
                <w:highlight w:val="none"/>
                <w:u w:val="none"/>
              </w:rPr>
            </w:pPr>
          </w:p>
        </w:tc>
      </w:tr>
      <w:tr w14:paraId="77D86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3177">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67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2B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冬瓜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32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0C6B6C89">
            <w:pPr>
              <w:rPr>
                <w:rFonts w:hint="eastAsia" w:ascii="宋体" w:hAnsi="宋体" w:eastAsia="宋体" w:cs="宋体"/>
                <w:i w:val="0"/>
                <w:iCs w:val="0"/>
                <w:color w:val="auto"/>
                <w:sz w:val="24"/>
                <w:szCs w:val="24"/>
                <w:highlight w:val="none"/>
                <w:u w:val="none"/>
              </w:rPr>
            </w:pPr>
          </w:p>
        </w:tc>
      </w:tr>
      <w:tr w14:paraId="11DA7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02D9">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B5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54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丝瓜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A0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328FBBB4">
            <w:pPr>
              <w:rPr>
                <w:rFonts w:hint="eastAsia" w:ascii="宋体" w:hAnsi="宋体" w:eastAsia="宋体" w:cs="宋体"/>
                <w:i w:val="0"/>
                <w:iCs w:val="0"/>
                <w:color w:val="auto"/>
                <w:sz w:val="24"/>
                <w:szCs w:val="24"/>
                <w:highlight w:val="none"/>
                <w:u w:val="none"/>
              </w:rPr>
            </w:pPr>
          </w:p>
        </w:tc>
      </w:tr>
      <w:tr w14:paraId="3B28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91CF">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F1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52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苦瓜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91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03DA02A3">
            <w:pPr>
              <w:rPr>
                <w:rFonts w:hint="eastAsia" w:ascii="宋体" w:hAnsi="宋体" w:eastAsia="宋体" w:cs="宋体"/>
                <w:i w:val="0"/>
                <w:iCs w:val="0"/>
                <w:color w:val="auto"/>
                <w:sz w:val="24"/>
                <w:szCs w:val="24"/>
                <w:highlight w:val="none"/>
                <w:u w:val="none"/>
              </w:rPr>
            </w:pPr>
          </w:p>
        </w:tc>
      </w:tr>
      <w:tr w14:paraId="0417D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1AF0">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9D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F1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82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4D8DA5C9">
            <w:pPr>
              <w:rPr>
                <w:rFonts w:hint="eastAsia" w:ascii="宋体" w:hAnsi="宋体" w:eastAsia="宋体" w:cs="宋体"/>
                <w:i w:val="0"/>
                <w:iCs w:val="0"/>
                <w:color w:val="auto"/>
                <w:sz w:val="24"/>
                <w:szCs w:val="24"/>
                <w:highlight w:val="none"/>
                <w:u w:val="none"/>
              </w:rPr>
            </w:pPr>
          </w:p>
        </w:tc>
      </w:tr>
      <w:tr w14:paraId="59BC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AA3A">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B9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62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豇豆</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50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2BD68B24">
            <w:pPr>
              <w:rPr>
                <w:rFonts w:hint="eastAsia" w:ascii="宋体" w:hAnsi="宋体" w:eastAsia="宋体" w:cs="宋体"/>
                <w:i w:val="0"/>
                <w:iCs w:val="0"/>
                <w:color w:val="auto"/>
                <w:sz w:val="24"/>
                <w:szCs w:val="24"/>
                <w:highlight w:val="none"/>
                <w:u w:val="none"/>
              </w:rPr>
            </w:pPr>
          </w:p>
        </w:tc>
      </w:tr>
      <w:tr w14:paraId="612E6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69B2">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4D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AF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毛豆</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23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0EA934B6">
            <w:pPr>
              <w:rPr>
                <w:rFonts w:hint="eastAsia" w:ascii="宋体" w:hAnsi="宋体" w:eastAsia="宋体" w:cs="宋体"/>
                <w:i w:val="0"/>
                <w:iCs w:val="0"/>
                <w:color w:val="auto"/>
                <w:sz w:val="24"/>
                <w:szCs w:val="24"/>
                <w:highlight w:val="none"/>
                <w:u w:val="none"/>
              </w:rPr>
            </w:pPr>
          </w:p>
        </w:tc>
      </w:tr>
      <w:tr w14:paraId="5C617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C6F1">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49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93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豌豆</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A0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3C818B39">
            <w:pPr>
              <w:rPr>
                <w:rFonts w:hint="eastAsia" w:ascii="宋体" w:hAnsi="宋体" w:eastAsia="宋体" w:cs="宋体"/>
                <w:i w:val="0"/>
                <w:iCs w:val="0"/>
                <w:color w:val="auto"/>
                <w:sz w:val="24"/>
                <w:szCs w:val="24"/>
                <w:highlight w:val="none"/>
                <w:u w:val="none"/>
              </w:rPr>
            </w:pPr>
          </w:p>
        </w:tc>
      </w:tr>
      <w:tr w14:paraId="0452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F800">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AD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3B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四季豆</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A5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5AB0E964">
            <w:pPr>
              <w:rPr>
                <w:rFonts w:hint="eastAsia" w:ascii="宋体" w:hAnsi="宋体" w:eastAsia="宋体" w:cs="宋体"/>
                <w:i w:val="0"/>
                <w:iCs w:val="0"/>
                <w:color w:val="auto"/>
                <w:sz w:val="24"/>
                <w:szCs w:val="24"/>
                <w:highlight w:val="none"/>
                <w:u w:val="none"/>
              </w:rPr>
            </w:pPr>
          </w:p>
        </w:tc>
      </w:tr>
      <w:tr w14:paraId="505B8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98B3">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56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2A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黄豆芽</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74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16CB0C2A">
            <w:pPr>
              <w:rPr>
                <w:rFonts w:hint="eastAsia" w:ascii="宋体" w:hAnsi="宋体" w:eastAsia="宋体" w:cs="宋体"/>
                <w:i w:val="0"/>
                <w:iCs w:val="0"/>
                <w:color w:val="auto"/>
                <w:sz w:val="24"/>
                <w:szCs w:val="24"/>
                <w:highlight w:val="none"/>
                <w:u w:val="none"/>
              </w:rPr>
            </w:pPr>
          </w:p>
        </w:tc>
      </w:tr>
      <w:tr w14:paraId="2C722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DB9A">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29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1B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绿豆芽</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B3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279596B6">
            <w:pPr>
              <w:rPr>
                <w:rFonts w:hint="eastAsia" w:ascii="宋体" w:hAnsi="宋体" w:eastAsia="宋体" w:cs="宋体"/>
                <w:i w:val="0"/>
                <w:iCs w:val="0"/>
                <w:color w:val="auto"/>
                <w:sz w:val="24"/>
                <w:szCs w:val="24"/>
                <w:highlight w:val="none"/>
                <w:u w:val="none"/>
              </w:rPr>
            </w:pPr>
          </w:p>
        </w:tc>
      </w:tr>
      <w:tr w14:paraId="444D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7C66">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B1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F1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土豆</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8E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6CAD9B84">
            <w:pPr>
              <w:rPr>
                <w:rFonts w:hint="eastAsia" w:ascii="宋体" w:hAnsi="宋体" w:eastAsia="宋体" w:cs="宋体"/>
                <w:i w:val="0"/>
                <w:iCs w:val="0"/>
                <w:color w:val="auto"/>
                <w:sz w:val="24"/>
                <w:szCs w:val="24"/>
                <w:highlight w:val="none"/>
                <w:u w:val="none"/>
              </w:rPr>
            </w:pPr>
          </w:p>
        </w:tc>
      </w:tr>
      <w:tr w14:paraId="4AE1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5F10">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E4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AA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洋葱</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55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1FC7CA97">
            <w:pPr>
              <w:rPr>
                <w:rFonts w:hint="eastAsia" w:ascii="宋体" w:hAnsi="宋体" w:eastAsia="宋体" w:cs="宋体"/>
                <w:i w:val="0"/>
                <w:iCs w:val="0"/>
                <w:color w:val="auto"/>
                <w:sz w:val="24"/>
                <w:szCs w:val="24"/>
                <w:highlight w:val="none"/>
                <w:u w:val="none"/>
              </w:rPr>
            </w:pPr>
          </w:p>
        </w:tc>
      </w:tr>
      <w:tr w14:paraId="11F6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4B54">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63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D7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红薯</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45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13812DCD">
            <w:pPr>
              <w:rPr>
                <w:rFonts w:hint="eastAsia" w:ascii="宋体" w:hAnsi="宋体" w:eastAsia="宋体" w:cs="宋体"/>
                <w:i w:val="0"/>
                <w:iCs w:val="0"/>
                <w:color w:val="auto"/>
                <w:sz w:val="24"/>
                <w:szCs w:val="24"/>
                <w:highlight w:val="none"/>
                <w:u w:val="none"/>
              </w:rPr>
            </w:pPr>
          </w:p>
        </w:tc>
      </w:tr>
      <w:tr w14:paraId="5E9D3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90BF">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03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20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50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2262F9C3">
            <w:pPr>
              <w:rPr>
                <w:rFonts w:hint="eastAsia" w:ascii="宋体" w:hAnsi="宋体" w:eastAsia="宋体" w:cs="宋体"/>
                <w:i w:val="0"/>
                <w:iCs w:val="0"/>
                <w:color w:val="auto"/>
                <w:sz w:val="24"/>
                <w:szCs w:val="24"/>
                <w:highlight w:val="none"/>
                <w:u w:val="none"/>
              </w:rPr>
            </w:pPr>
          </w:p>
        </w:tc>
      </w:tr>
      <w:tr w14:paraId="3F5C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905C">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2C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D5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蒜头</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F1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5512F24C">
            <w:pPr>
              <w:rPr>
                <w:rFonts w:hint="eastAsia" w:ascii="宋体" w:hAnsi="宋体" w:eastAsia="宋体" w:cs="宋体"/>
                <w:i w:val="0"/>
                <w:iCs w:val="0"/>
                <w:color w:val="auto"/>
                <w:sz w:val="24"/>
                <w:szCs w:val="24"/>
                <w:highlight w:val="none"/>
                <w:u w:val="none"/>
              </w:rPr>
            </w:pPr>
          </w:p>
        </w:tc>
      </w:tr>
      <w:tr w14:paraId="52CB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5903">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84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C9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胡萝卜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CD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04DA915E">
            <w:pPr>
              <w:rPr>
                <w:rFonts w:hint="eastAsia" w:ascii="宋体" w:hAnsi="宋体" w:eastAsia="宋体" w:cs="宋体"/>
                <w:i w:val="0"/>
                <w:iCs w:val="0"/>
                <w:color w:val="auto"/>
                <w:sz w:val="24"/>
                <w:szCs w:val="24"/>
                <w:highlight w:val="none"/>
                <w:u w:val="none"/>
              </w:rPr>
            </w:pPr>
          </w:p>
        </w:tc>
      </w:tr>
      <w:tr w14:paraId="1C423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985C">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3E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8C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青萝卜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A3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1EDEF289">
            <w:pPr>
              <w:rPr>
                <w:rFonts w:hint="eastAsia" w:ascii="宋体" w:hAnsi="宋体" w:eastAsia="宋体" w:cs="宋体"/>
                <w:i w:val="0"/>
                <w:iCs w:val="0"/>
                <w:color w:val="auto"/>
                <w:sz w:val="24"/>
                <w:szCs w:val="24"/>
                <w:highlight w:val="none"/>
                <w:u w:val="none"/>
              </w:rPr>
            </w:pPr>
          </w:p>
        </w:tc>
      </w:tr>
      <w:tr w14:paraId="2C44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8D08">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2A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9F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白萝卜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55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6ACE758B">
            <w:pPr>
              <w:rPr>
                <w:rFonts w:hint="eastAsia" w:ascii="宋体" w:hAnsi="宋体" w:eastAsia="宋体" w:cs="宋体"/>
                <w:i w:val="0"/>
                <w:iCs w:val="0"/>
                <w:color w:val="auto"/>
                <w:sz w:val="24"/>
                <w:szCs w:val="24"/>
                <w:highlight w:val="none"/>
                <w:u w:val="none"/>
              </w:rPr>
            </w:pPr>
          </w:p>
        </w:tc>
      </w:tr>
      <w:tr w14:paraId="76E50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B965">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56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F6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藕</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DF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054061A4">
            <w:pPr>
              <w:rPr>
                <w:rFonts w:hint="eastAsia" w:ascii="宋体" w:hAnsi="宋体" w:eastAsia="宋体" w:cs="宋体"/>
                <w:i w:val="0"/>
                <w:iCs w:val="0"/>
                <w:color w:val="auto"/>
                <w:sz w:val="24"/>
                <w:szCs w:val="24"/>
                <w:highlight w:val="none"/>
                <w:u w:val="none"/>
              </w:rPr>
            </w:pPr>
          </w:p>
        </w:tc>
      </w:tr>
      <w:tr w14:paraId="2C05E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F5AD">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39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66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金针菇</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8C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0F6E4EBF">
            <w:pPr>
              <w:rPr>
                <w:rFonts w:hint="eastAsia" w:ascii="宋体" w:hAnsi="宋体" w:eastAsia="宋体" w:cs="宋体"/>
                <w:i w:val="0"/>
                <w:iCs w:val="0"/>
                <w:color w:val="auto"/>
                <w:sz w:val="24"/>
                <w:szCs w:val="24"/>
                <w:highlight w:val="none"/>
                <w:u w:val="none"/>
              </w:rPr>
            </w:pPr>
          </w:p>
        </w:tc>
      </w:tr>
      <w:tr w14:paraId="29A1B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7C9F">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28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8A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芹菜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3B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3DEA0B23">
            <w:pPr>
              <w:rPr>
                <w:rFonts w:hint="eastAsia" w:ascii="宋体" w:hAnsi="宋体" w:eastAsia="宋体" w:cs="宋体"/>
                <w:i w:val="0"/>
                <w:iCs w:val="0"/>
                <w:color w:val="auto"/>
                <w:sz w:val="24"/>
                <w:szCs w:val="24"/>
                <w:highlight w:val="none"/>
                <w:u w:val="none"/>
              </w:rPr>
            </w:pPr>
          </w:p>
        </w:tc>
      </w:tr>
      <w:tr w14:paraId="5A2FA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43D8">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91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3A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山药</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1A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248C5968">
            <w:pPr>
              <w:rPr>
                <w:rFonts w:hint="eastAsia" w:ascii="宋体" w:hAnsi="宋体" w:eastAsia="宋体" w:cs="宋体"/>
                <w:i w:val="0"/>
                <w:iCs w:val="0"/>
                <w:color w:val="auto"/>
                <w:sz w:val="24"/>
                <w:szCs w:val="24"/>
                <w:highlight w:val="none"/>
                <w:u w:val="none"/>
              </w:rPr>
            </w:pPr>
          </w:p>
        </w:tc>
      </w:tr>
      <w:tr w14:paraId="794A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B02D">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E0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E6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水萝卜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22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713DE7AB">
            <w:pPr>
              <w:rPr>
                <w:rFonts w:hint="eastAsia" w:ascii="宋体" w:hAnsi="宋体" w:eastAsia="宋体" w:cs="宋体"/>
                <w:i w:val="0"/>
                <w:iCs w:val="0"/>
                <w:color w:val="auto"/>
                <w:sz w:val="24"/>
                <w:szCs w:val="24"/>
                <w:highlight w:val="none"/>
                <w:u w:val="none"/>
              </w:rPr>
            </w:pPr>
          </w:p>
        </w:tc>
      </w:tr>
      <w:tr w14:paraId="0F1DD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C776">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21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2E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7A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47131E50">
            <w:pPr>
              <w:rPr>
                <w:rFonts w:hint="eastAsia" w:ascii="宋体" w:hAnsi="宋体" w:eastAsia="宋体" w:cs="宋体"/>
                <w:i w:val="0"/>
                <w:iCs w:val="0"/>
                <w:color w:val="auto"/>
                <w:sz w:val="24"/>
                <w:szCs w:val="24"/>
                <w:highlight w:val="none"/>
                <w:u w:val="none"/>
              </w:rPr>
            </w:pPr>
          </w:p>
        </w:tc>
      </w:tr>
      <w:tr w14:paraId="50C2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94B5">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F0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9E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杭椒</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0F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7DDBA0BF">
            <w:pPr>
              <w:rPr>
                <w:rFonts w:hint="eastAsia" w:ascii="宋体" w:hAnsi="宋体" w:eastAsia="宋体" w:cs="宋体"/>
                <w:i w:val="0"/>
                <w:iCs w:val="0"/>
                <w:color w:val="auto"/>
                <w:sz w:val="24"/>
                <w:szCs w:val="24"/>
                <w:highlight w:val="none"/>
                <w:u w:val="none"/>
              </w:rPr>
            </w:pPr>
          </w:p>
        </w:tc>
      </w:tr>
      <w:tr w14:paraId="744B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6A2E">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95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2D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杏鲍菇</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52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4D57565B">
            <w:pPr>
              <w:rPr>
                <w:rFonts w:hint="eastAsia" w:ascii="宋体" w:hAnsi="宋体" w:eastAsia="宋体" w:cs="宋体"/>
                <w:i w:val="0"/>
                <w:iCs w:val="0"/>
                <w:color w:val="auto"/>
                <w:sz w:val="24"/>
                <w:szCs w:val="24"/>
                <w:highlight w:val="none"/>
                <w:u w:val="none"/>
              </w:rPr>
            </w:pPr>
          </w:p>
        </w:tc>
      </w:tr>
      <w:tr w14:paraId="27FE5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0488">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D8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B3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口蘑</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24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0CB0D44E">
            <w:pPr>
              <w:rPr>
                <w:rFonts w:hint="eastAsia" w:ascii="宋体" w:hAnsi="宋体" w:eastAsia="宋体" w:cs="宋体"/>
                <w:i w:val="0"/>
                <w:iCs w:val="0"/>
                <w:color w:val="auto"/>
                <w:sz w:val="24"/>
                <w:szCs w:val="24"/>
                <w:highlight w:val="none"/>
                <w:u w:val="none"/>
              </w:rPr>
            </w:pPr>
          </w:p>
        </w:tc>
      </w:tr>
      <w:tr w14:paraId="0234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1C6F">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E9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55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平菇</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D0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0A15CD0B">
            <w:pPr>
              <w:rPr>
                <w:rFonts w:hint="eastAsia" w:ascii="宋体" w:hAnsi="宋体" w:eastAsia="宋体" w:cs="宋体"/>
                <w:i w:val="0"/>
                <w:iCs w:val="0"/>
                <w:color w:val="auto"/>
                <w:sz w:val="24"/>
                <w:szCs w:val="24"/>
                <w:highlight w:val="none"/>
                <w:u w:val="none"/>
              </w:rPr>
            </w:pPr>
          </w:p>
        </w:tc>
      </w:tr>
      <w:tr w14:paraId="6901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85EC">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FD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EB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甘蓝</w:t>
            </w:r>
          </w:p>
        </w:tc>
        <w:tc>
          <w:tcPr>
            <w:tcW w:w="4969" w:type="dxa"/>
            <w:tcBorders>
              <w:top w:val="single" w:color="000000" w:sz="4" w:space="0"/>
              <w:left w:val="single" w:color="000000" w:sz="4" w:space="0"/>
              <w:bottom w:val="nil"/>
              <w:right w:val="single" w:color="000000" w:sz="4" w:space="0"/>
            </w:tcBorders>
            <w:shd w:val="clear" w:color="auto" w:fill="auto"/>
            <w:noWrap/>
            <w:vAlign w:val="center"/>
          </w:tcPr>
          <w:p w14:paraId="706507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2CBAD468">
            <w:pPr>
              <w:rPr>
                <w:rFonts w:hint="eastAsia" w:ascii="宋体" w:hAnsi="宋体" w:eastAsia="宋体" w:cs="宋体"/>
                <w:i w:val="0"/>
                <w:iCs w:val="0"/>
                <w:color w:val="auto"/>
                <w:sz w:val="24"/>
                <w:szCs w:val="24"/>
                <w:highlight w:val="none"/>
                <w:u w:val="none"/>
              </w:rPr>
            </w:pPr>
          </w:p>
        </w:tc>
      </w:tr>
      <w:tr w14:paraId="7AA5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B7A9">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B7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B9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盒装内酯豆腐</w:t>
            </w:r>
          </w:p>
        </w:tc>
        <w:tc>
          <w:tcPr>
            <w:tcW w:w="4969" w:type="dxa"/>
            <w:tcBorders>
              <w:top w:val="single" w:color="000000" w:sz="4" w:space="0"/>
              <w:left w:val="single" w:color="000000" w:sz="4" w:space="0"/>
              <w:bottom w:val="nil"/>
              <w:right w:val="single" w:color="000000" w:sz="4" w:space="0"/>
            </w:tcBorders>
            <w:shd w:val="clear" w:color="auto" w:fill="auto"/>
            <w:noWrap/>
            <w:vAlign w:val="center"/>
          </w:tcPr>
          <w:p w14:paraId="3C0C37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256" w:type="dxa"/>
            <w:tcBorders>
              <w:top w:val="nil"/>
              <w:left w:val="nil"/>
              <w:bottom w:val="nil"/>
              <w:right w:val="nil"/>
            </w:tcBorders>
            <w:shd w:val="clear" w:color="auto" w:fill="auto"/>
            <w:noWrap/>
            <w:vAlign w:val="center"/>
          </w:tcPr>
          <w:p w14:paraId="3B3194DF">
            <w:pPr>
              <w:rPr>
                <w:rFonts w:hint="eastAsia" w:ascii="宋体" w:hAnsi="宋体" w:eastAsia="宋体" w:cs="宋体"/>
                <w:i w:val="0"/>
                <w:iCs w:val="0"/>
                <w:color w:val="auto"/>
                <w:sz w:val="24"/>
                <w:szCs w:val="24"/>
                <w:highlight w:val="none"/>
                <w:u w:val="none"/>
              </w:rPr>
            </w:pPr>
          </w:p>
        </w:tc>
      </w:tr>
      <w:tr w14:paraId="50AA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0EA7">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75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5B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薄百页</w:t>
            </w:r>
          </w:p>
        </w:tc>
        <w:tc>
          <w:tcPr>
            <w:tcW w:w="4969" w:type="dxa"/>
            <w:tcBorders>
              <w:top w:val="single" w:color="000000" w:sz="4" w:space="0"/>
              <w:left w:val="single" w:color="000000" w:sz="4" w:space="0"/>
              <w:bottom w:val="nil"/>
              <w:right w:val="single" w:color="000000" w:sz="4" w:space="0"/>
            </w:tcBorders>
            <w:shd w:val="clear" w:color="auto" w:fill="auto"/>
            <w:noWrap/>
            <w:vAlign w:val="center"/>
          </w:tcPr>
          <w:p w14:paraId="7E99AF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1F518FFF">
            <w:pPr>
              <w:rPr>
                <w:rFonts w:hint="eastAsia" w:ascii="宋体" w:hAnsi="宋体" w:eastAsia="宋体" w:cs="宋体"/>
                <w:i w:val="0"/>
                <w:iCs w:val="0"/>
                <w:color w:val="auto"/>
                <w:sz w:val="24"/>
                <w:szCs w:val="24"/>
                <w:highlight w:val="none"/>
                <w:u w:val="none"/>
              </w:rPr>
            </w:pPr>
          </w:p>
        </w:tc>
      </w:tr>
      <w:tr w14:paraId="717D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3811">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43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58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豆腐干（香干）</w:t>
            </w:r>
          </w:p>
        </w:tc>
        <w:tc>
          <w:tcPr>
            <w:tcW w:w="4969" w:type="dxa"/>
            <w:tcBorders>
              <w:top w:val="single" w:color="000000" w:sz="4" w:space="0"/>
              <w:left w:val="single" w:color="000000" w:sz="4" w:space="0"/>
              <w:bottom w:val="nil"/>
              <w:right w:val="single" w:color="000000" w:sz="4" w:space="0"/>
            </w:tcBorders>
            <w:shd w:val="clear" w:color="auto" w:fill="auto"/>
            <w:noWrap/>
            <w:vAlign w:val="center"/>
          </w:tcPr>
          <w:p w14:paraId="6813F4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6600664D">
            <w:pPr>
              <w:rPr>
                <w:rFonts w:hint="eastAsia" w:ascii="宋体" w:hAnsi="宋体" w:eastAsia="宋体" w:cs="宋体"/>
                <w:i w:val="0"/>
                <w:iCs w:val="0"/>
                <w:color w:val="auto"/>
                <w:sz w:val="24"/>
                <w:szCs w:val="24"/>
                <w:highlight w:val="none"/>
                <w:u w:val="none"/>
              </w:rPr>
            </w:pPr>
          </w:p>
        </w:tc>
      </w:tr>
      <w:tr w14:paraId="0914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5A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C9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0E0D2B0">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红富士</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68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7D2039B4">
            <w:pPr>
              <w:rPr>
                <w:rFonts w:hint="eastAsia" w:ascii="宋体" w:hAnsi="宋体" w:eastAsia="宋体" w:cs="宋体"/>
                <w:i w:val="0"/>
                <w:iCs w:val="0"/>
                <w:color w:val="auto"/>
                <w:sz w:val="24"/>
                <w:szCs w:val="24"/>
                <w:highlight w:val="none"/>
                <w:u w:val="none"/>
              </w:rPr>
            </w:pPr>
          </w:p>
        </w:tc>
      </w:tr>
      <w:tr w14:paraId="6E753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09A5">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91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08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香梨</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24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7F9D87EE">
            <w:pPr>
              <w:rPr>
                <w:rFonts w:hint="eastAsia" w:ascii="宋体" w:hAnsi="宋体" w:eastAsia="宋体" w:cs="宋体"/>
                <w:i w:val="0"/>
                <w:iCs w:val="0"/>
                <w:color w:val="auto"/>
                <w:sz w:val="24"/>
                <w:szCs w:val="24"/>
                <w:highlight w:val="none"/>
                <w:u w:val="none"/>
              </w:rPr>
            </w:pPr>
          </w:p>
        </w:tc>
      </w:tr>
      <w:tr w14:paraId="3AC6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9651">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FD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8A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大油桃</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77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0C7E846D">
            <w:pPr>
              <w:rPr>
                <w:rFonts w:hint="eastAsia" w:ascii="宋体" w:hAnsi="宋体" w:eastAsia="宋体" w:cs="宋体"/>
                <w:i w:val="0"/>
                <w:iCs w:val="0"/>
                <w:color w:val="auto"/>
                <w:sz w:val="24"/>
                <w:szCs w:val="24"/>
                <w:highlight w:val="none"/>
                <w:u w:val="none"/>
              </w:rPr>
            </w:pPr>
          </w:p>
        </w:tc>
      </w:tr>
      <w:tr w14:paraId="08D96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51A3">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9E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04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砂糖橘</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AF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77815CEE">
            <w:pPr>
              <w:rPr>
                <w:rFonts w:hint="eastAsia" w:ascii="宋体" w:hAnsi="宋体" w:eastAsia="宋体" w:cs="宋体"/>
                <w:i w:val="0"/>
                <w:iCs w:val="0"/>
                <w:color w:val="auto"/>
                <w:sz w:val="24"/>
                <w:szCs w:val="24"/>
                <w:highlight w:val="none"/>
                <w:u w:val="none"/>
              </w:rPr>
            </w:pPr>
          </w:p>
        </w:tc>
      </w:tr>
      <w:tr w14:paraId="27B0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0ECA">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4F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94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桔子</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74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08C1E8D4">
            <w:pPr>
              <w:rPr>
                <w:rFonts w:hint="eastAsia" w:ascii="宋体" w:hAnsi="宋体" w:eastAsia="宋体" w:cs="宋体"/>
                <w:i w:val="0"/>
                <w:iCs w:val="0"/>
                <w:color w:val="auto"/>
                <w:sz w:val="24"/>
                <w:szCs w:val="24"/>
                <w:highlight w:val="none"/>
                <w:u w:val="none"/>
              </w:rPr>
            </w:pPr>
          </w:p>
        </w:tc>
      </w:tr>
      <w:tr w14:paraId="27F8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C72F">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45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50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芦柑</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B8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6B27A445">
            <w:pPr>
              <w:rPr>
                <w:rFonts w:hint="eastAsia" w:ascii="宋体" w:hAnsi="宋体" w:eastAsia="宋体" w:cs="宋体"/>
                <w:i w:val="0"/>
                <w:iCs w:val="0"/>
                <w:color w:val="auto"/>
                <w:sz w:val="24"/>
                <w:szCs w:val="24"/>
                <w:highlight w:val="none"/>
                <w:u w:val="none"/>
              </w:rPr>
            </w:pPr>
          </w:p>
        </w:tc>
      </w:tr>
      <w:tr w14:paraId="3BD7B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F34D">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43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B5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脐橙</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52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569E2A26">
            <w:pPr>
              <w:rPr>
                <w:rFonts w:hint="eastAsia" w:ascii="宋体" w:hAnsi="宋体" w:eastAsia="宋体" w:cs="宋体"/>
                <w:i w:val="0"/>
                <w:iCs w:val="0"/>
                <w:color w:val="auto"/>
                <w:sz w:val="24"/>
                <w:szCs w:val="24"/>
                <w:highlight w:val="none"/>
                <w:u w:val="none"/>
              </w:rPr>
            </w:pPr>
          </w:p>
        </w:tc>
      </w:tr>
      <w:tr w14:paraId="61394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06F7">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5E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03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8B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4736FC49">
            <w:pPr>
              <w:rPr>
                <w:rFonts w:hint="eastAsia" w:ascii="宋体" w:hAnsi="宋体" w:eastAsia="宋体" w:cs="宋体"/>
                <w:i w:val="0"/>
                <w:iCs w:val="0"/>
                <w:color w:val="auto"/>
                <w:sz w:val="24"/>
                <w:szCs w:val="24"/>
                <w:highlight w:val="none"/>
                <w:u w:val="none"/>
              </w:rPr>
            </w:pPr>
          </w:p>
        </w:tc>
      </w:tr>
      <w:tr w14:paraId="175EF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6BAA">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67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76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哈密瓜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52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23CDB3B7">
            <w:pPr>
              <w:rPr>
                <w:rFonts w:hint="eastAsia" w:ascii="宋体" w:hAnsi="宋体" w:eastAsia="宋体" w:cs="宋体"/>
                <w:i w:val="0"/>
                <w:iCs w:val="0"/>
                <w:color w:val="auto"/>
                <w:sz w:val="24"/>
                <w:szCs w:val="24"/>
                <w:highlight w:val="none"/>
                <w:u w:val="none"/>
              </w:rPr>
            </w:pPr>
          </w:p>
        </w:tc>
      </w:tr>
      <w:tr w14:paraId="5FA2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E1BE">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9E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2A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甜瓜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32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51CC547B">
            <w:pPr>
              <w:rPr>
                <w:rFonts w:hint="eastAsia" w:ascii="宋体" w:hAnsi="宋体" w:eastAsia="宋体" w:cs="宋体"/>
                <w:i w:val="0"/>
                <w:iCs w:val="0"/>
                <w:color w:val="auto"/>
                <w:sz w:val="24"/>
                <w:szCs w:val="24"/>
                <w:highlight w:val="none"/>
                <w:u w:val="none"/>
              </w:rPr>
            </w:pPr>
          </w:p>
        </w:tc>
      </w:tr>
      <w:tr w14:paraId="4FA7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07F2">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DF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AE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红提葡萄</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8D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14AABB3C">
            <w:pPr>
              <w:rPr>
                <w:rFonts w:hint="eastAsia" w:ascii="宋体" w:hAnsi="宋体" w:eastAsia="宋体" w:cs="宋体"/>
                <w:i w:val="0"/>
                <w:iCs w:val="0"/>
                <w:color w:val="auto"/>
                <w:sz w:val="24"/>
                <w:szCs w:val="24"/>
                <w:highlight w:val="none"/>
                <w:u w:val="none"/>
              </w:rPr>
            </w:pPr>
          </w:p>
        </w:tc>
      </w:tr>
      <w:tr w14:paraId="1B64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A276">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4F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48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香妃葡萄</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CF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598E0868">
            <w:pPr>
              <w:rPr>
                <w:rFonts w:hint="eastAsia" w:ascii="宋体" w:hAnsi="宋体" w:eastAsia="宋体" w:cs="宋体"/>
                <w:i w:val="0"/>
                <w:iCs w:val="0"/>
                <w:color w:val="auto"/>
                <w:sz w:val="24"/>
                <w:szCs w:val="24"/>
                <w:highlight w:val="none"/>
                <w:u w:val="none"/>
              </w:rPr>
            </w:pPr>
          </w:p>
        </w:tc>
      </w:tr>
      <w:tr w14:paraId="2A125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F2B8">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45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72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草莓</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40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56CB09DF">
            <w:pPr>
              <w:rPr>
                <w:rFonts w:hint="eastAsia" w:ascii="宋体" w:hAnsi="宋体" w:eastAsia="宋体" w:cs="宋体"/>
                <w:i w:val="0"/>
                <w:iCs w:val="0"/>
                <w:color w:val="auto"/>
                <w:sz w:val="24"/>
                <w:szCs w:val="24"/>
                <w:highlight w:val="none"/>
                <w:u w:val="none"/>
              </w:rPr>
            </w:pPr>
          </w:p>
        </w:tc>
      </w:tr>
      <w:tr w14:paraId="6B913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FB70">
            <w:pPr>
              <w:jc w:val="center"/>
              <w:rPr>
                <w:rFonts w:hint="eastAsia" w:ascii="宋体" w:hAnsi="宋体" w:eastAsia="宋体" w:cs="宋体"/>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4A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FC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香蕉</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20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3F1AC88E">
            <w:pPr>
              <w:rPr>
                <w:rFonts w:hint="eastAsia" w:ascii="宋体" w:hAnsi="宋体" w:eastAsia="宋体" w:cs="宋体"/>
                <w:i w:val="0"/>
                <w:iCs w:val="0"/>
                <w:color w:val="auto"/>
                <w:sz w:val="24"/>
                <w:szCs w:val="24"/>
                <w:highlight w:val="none"/>
                <w:u w:val="none"/>
              </w:rPr>
            </w:pPr>
          </w:p>
        </w:tc>
      </w:tr>
      <w:tr w14:paraId="7F41B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8E7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副食调料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DE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25CB270">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盐</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EE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7DC10106">
            <w:pPr>
              <w:rPr>
                <w:rFonts w:hint="eastAsia" w:ascii="宋体" w:hAnsi="宋体" w:eastAsia="宋体" w:cs="宋体"/>
                <w:i w:val="0"/>
                <w:iCs w:val="0"/>
                <w:color w:val="auto"/>
                <w:sz w:val="24"/>
                <w:szCs w:val="24"/>
                <w:highlight w:val="none"/>
                <w:u w:val="none"/>
              </w:rPr>
            </w:pPr>
          </w:p>
        </w:tc>
      </w:tr>
      <w:tr w14:paraId="349F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24C6">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C5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9D38CD1">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味精</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E4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668AF889">
            <w:pPr>
              <w:rPr>
                <w:rFonts w:hint="eastAsia" w:ascii="宋体" w:hAnsi="宋体" w:eastAsia="宋体" w:cs="宋体"/>
                <w:i w:val="0"/>
                <w:iCs w:val="0"/>
                <w:color w:val="auto"/>
                <w:sz w:val="24"/>
                <w:szCs w:val="24"/>
                <w:highlight w:val="none"/>
                <w:u w:val="none"/>
              </w:rPr>
            </w:pPr>
          </w:p>
        </w:tc>
      </w:tr>
      <w:tr w14:paraId="504E8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608E">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9C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FB5BCA9">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鸡精</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C3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4890E85B">
            <w:pPr>
              <w:rPr>
                <w:rFonts w:hint="eastAsia" w:ascii="宋体" w:hAnsi="宋体" w:eastAsia="宋体" w:cs="宋体"/>
                <w:i w:val="0"/>
                <w:iCs w:val="0"/>
                <w:color w:val="auto"/>
                <w:sz w:val="24"/>
                <w:szCs w:val="24"/>
                <w:highlight w:val="none"/>
                <w:u w:val="none"/>
              </w:rPr>
            </w:pPr>
          </w:p>
        </w:tc>
      </w:tr>
      <w:tr w14:paraId="30446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FCE7">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2F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C45332C">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白糖</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57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090D12F9">
            <w:pPr>
              <w:rPr>
                <w:rFonts w:hint="eastAsia" w:ascii="宋体" w:hAnsi="宋体" w:eastAsia="宋体" w:cs="宋体"/>
                <w:i w:val="0"/>
                <w:iCs w:val="0"/>
                <w:color w:val="auto"/>
                <w:sz w:val="24"/>
                <w:szCs w:val="24"/>
                <w:highlight w:val="none"/>
                <w:u w:val="none"/>
              </w:rPr>
            </w:pPr>
          </w:p>
        </w:tc>
      </w:tr>
      <w:tr w14:paraId="0DAC6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AD0C">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B4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246AD930">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料酒</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E8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56" w:type="dxa"/>
            <w:tcBorders>
              <w:top w:val="nil"/>
              <w:left w:val="nil"/>
              <w:bottom w:val="nil"/>
              <w:right w:val="nil"/>
            </w:tcBorders>
            <w:shd w:val="clear" w:color="auto" w:fill="auto"/>
            <w:noWrap/>
            <w:vAlign w:val="center"/>
          </w:tcPr>
          <w:p w14:paraId="14D7D81E">
            <w:pPr>
              <w:rPr>
                <w:rFonts w:hint="eastAsia" w:ascii="宋体" w:hAnsi="宋体" w:eastAsia="宋体" w:cs="宋体"/>
                <w:i w:val="0"/>
                <w:iCs w:val="0"/>
                <w:color w:val="auto"/>
                <w:sz w:val="24"/>
                <w:szCs w:val="24"/>
                <w:highlight w:val="none"/>
                <w:u w:val="none"/>
              </w:rPr>
            </w:pPr>
          </w:p>
        </w:tc>
      </w:tr>
      <w:tr w14:paraId="66318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D412">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74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1A306F2">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发酵 粉</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52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546A9760">
            <w:pPr>
              <w:rPr>
                <w:rFonts w:hint="eastAsia" w:ascii="宋体" w:hAnsi="宋体" w:eastAsia="宋体" w:cs="宋体"/>
                <w:i w:val="0"/>
                <w:iCs w:val="0"/>
                <w:color w:val="auto"/>
                <w:sz w:val="24"/>
                <w:szCs w:val="24"/>
                <w:highlight w:val="none"/>
                <w:u w:val="none"/>
              </w:rPr>
            </w:pPr>
          </w:p>
        </w:tc>
      </w:tr>
      <w:tr w14:paraId="2712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2E08">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66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8C8B5E4">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十三香</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81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629C0327">
            <w:pPr>
              <w:rPr>
                <w:rFonts w:hint="eastAsia" w:ascii="宋体" w:hAnsi="宋体" w:eastAsia="宋体" w:cs="宋体"/>
                <w:i w:val="0"/>
                <w:iCs w:val="0"/>
                <w:color w:val="auto"/>
                <w:sz w:val="24"/>
                <w:szCs w:val="24"/>
                <w:highlight w:val="none"/>
                <w:u w:val="none"/>
              </w:rPr>
            </w:pPr>
          </w:p>
        </w:tc>
      </w:tr>
      <w:tr w14:paraId="45E81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8145">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42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A1F6ABD">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淀粉</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C3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1F384347">
            <w:pPr>
              <w:rPr>
                <w:rFonts w:hint="eastAsia" w:ascii="宋体" w:hAnsi="宋体" w:eastAsia="宋体" w:cs="宋体"/>
                <w:i w:val="0"/>
                <w:iCs w:val="0"/>
                <w:color w:val="auto"/>
                <w:sz w:val="24"/>
                <w:szCs w:val="24"/>
                <w:highlight w:val="none"/>
                <w:u w:val="none"/>
              </w:rPr>
            </w:pPr>
          </w:p>
        </w:tc>
      </w:tr>
      <w:tr w14:paraId="3F42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FCE4">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7C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26F90E68">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酱油</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46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56" w:type="dxa"/>
            <w:tcBorders>
              <w:top w:val="nil"/>
              <w:left w:val="nil"/>
              <w:bottom w:val="nil"/>
              <w:right w:val="nil"/>
            </w:tcBorders>
            <w:shd w:val="clear" w:color="auto" w:fill="auto"/>
            <w:noWrap/>
            <w:vAlign w:val="center"/>
          </w:tcPr>
          <w:p w14:paraId="71018409">
            <w:pPr>
              <w:rPr>
                <w:rFonts w:hint="eastAsia" w:ascii="宋体" w:hAnsi="宋体" w:eastAsia="宋体" w:cs="宋体"/>
                <w:i w:val="0"/>
                <w:iCs w:val="0"/>
                <w:color w:val="auto"/>
                <w:sz w:val="24"/>
                <w:szCs w:val="24"/>
                <w:highlight w:val="none"/>
                <w:u w:val="none"/>
              </w:rPr>
            </w:pPr>
          </w:p>
        </w:tc>
      </w:tr>
      <w:tr w14:paraId="7E0C0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12DF">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60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AA3A6C9">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2B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56" w:type="dxa"/>
            <w:tcBorders>
              <w:top w:val="nil"/>
              <w:left w:val="nil"/>
              <w:bottom w:val="nil"/>
              <w:right w:val="nil"/>
            </w:tcBorders>
            <w:shd w:val="clear" w:color="auto" w:fill="auto"/>
            <w:noWrap/>
            <w:vAlign w:val="center"/>
          </w:tcPr>
          <w:p w14:paraId="4437D233">
            <w:pPr>
              <w:rPr>
                <w:rFonts w:hint="eastAsia" w:ascii="宋体" w:hAnsi="宋体" w:eastAsia="宋体" w:cs="宋体"/>
                <w:i w:val="0"/>
                <w:iCs w:val="0"/>
                <w:color w:val="auto"/>
                <w:sz w:val="24"/>
                <w:szCs w:val="24"/>
                <w:highlight w:val="none"/>
                <w:u w:val="none"/>
              </w:rPr>
            </w:pPr>
          </w:p>
        </w:tc>
      </w:tr>
      <w:tr w14:paraId="410B3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8844">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8C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8B3BC44">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西红柿酱</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D4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罐</w:t>
            </w:r>
          </w:p>
        </w:tc>
        <w:tc>
          <w:tcPr>
            <w:tcW w:w="256" w:type="dxa"/>
            <w:tcBorders>
              <w:top w:val="nil"/>
              <w:left w:val="nil"/>
              <w:bottom w:val="nil"/>
              <w:right w:val="nil"/>
            </w:tcBorders>
            <w:shd w:val="clear" w:color="auto" w:fill="auto"/>
            <w:noWrap/>
            <w:vAlign w:val="center"/>
          </w:tcPr>
          <w:p w14:paraId="402F033B">
            <w:pPr>
              <w:rPr>
                <w:rFonts w:hint="eastAsia" w:ascii="宋体" w:hAnsi="宋体" w:eastAsia="宋体" w:cs="宋体"/>
                <w:i w:val="0"/>
                <w:iCs w:val="0"/>
                <w:color w:val="auto"/>
                <w:sz w:val="24"/>
                <w:szCs w:val="24"/>
                <w:highlight w:val="none"/>
                <w:u w:val="none"/>
              </w:rPr>
            </w:pPr>
          </w:p>
        </w:tc>
      </w:tr>
      <w:tr w14:paraId="1D27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8702">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2B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7BD625A">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豆瓣 酱</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0D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罐</w:t>
            </w:r>
          </w:p>
        </w:tc>
        <w:tc>
          <w:tcPr>
            <w:tcW w:w="256" w:type="dxa"/>
            <w:tcBorders>
              <w:top w:val="nil"/>
              <w:left w:val="nil"/>
              <w:bottom w:val="nil"/>
              <w:right w:val="nil"/>
            </w:tcBorders>
            <w:shd w:val="clear" w:color="auto" w:fill="auto"/>
            <w:noWrap/>
            <w:vAlign w:val="center"/>
          </w:tcPr>
          <w:p w14:paraId="263C85A4">
            <w:pPr>
              <w:rPr>
                <w:rFonts w:hint="eastAsia" w:ascii="宋体" w:hAnsi="宋体" w:eastAsia="宋体" w:cs="宋体"/>
                <w:i w:val="0"/>
                <w:iCs w:val="0"/>
                <w:color w:val="auto"/>
                <w:sz w:val="24"/>
                <w:szCs w:val="24"/>
                <w:highlight w:val="none"/>
                <w:u w:val="none"/>
              </w:rPr>
            </w:pPr>
          </w:p>
        </w:tc>
      </w:tr>
      <w:tr w14:paraId="2BC4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F3D8">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D2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E46821A">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甜面酱</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AD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罐/袋</w:t>
            </w:r>
          </w:p>
        </w:tc>
        <w:tc>
          <w:tcPr>
            <w:tcW w:w="256" w:type="dxa"/>
            <w:tcBorders>
              <w:top w:val="nil"/>
              <w:left w:val="nil"/>
              <w:bottom w:val="nil"/>
              <w:right w:val="nil"/>
            </w:tcBorders>
            <w:shd w:val="clear" w:color="auto" w:fill="auto"/>
            <w:noWrap/>
            <w:vAlign w:val="center"/>
          </w:tcPr>
          <w:p w14:paraId="35947413">
            <w:pPr>
              <w:rPr>
                <w:rFonts w:hint="eastAsia" w:ascii="宋体" w:hAnsi="宋体" w:eastAsia="宋体" w:cs="宋体"/>
                <w:i w:val="0"/>
                <w:iCs w:val="0"/>
                <w:color w:val="auto"/>
                <w:sz w:val="24"/>
                <w:szCs w:val="24"/>
                <w:highlight w:val="none"/>
                <w:u w:val="none"/>
              </w:rPr>
            </w:pPr>
          </w:p>
        </w:tc>
      </w:tr>
      <w:tr w14:paraId="73FA1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99C0">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30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710E8DE">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花生米</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64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66EDB01F">
            <w:pPr>
              <w:rPr>
                <w:rFonts w:hint="eastAsia" w:ascii="宋体" w:hAnsi="宋体" w:eastAsia="宋体" w:cs="宋体"/>
                <w:i w:val="0"/>
                <w:iCs w:val="0"/>
                <w:color w:val="auto"/>
                <w:sz w:val="24"/>
                <w:szCs w:val="24"/>
                <w:highlight w:val="none"/>
                <w:u w:val="none"/>
              </w:rPr>
            </w:pPr>
          </w:p>
        </w:tc>
      </w:tr>
      <w:tr w14:paraId="7FAE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67D6">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A3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2F0DC7B">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绿豆</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35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6D0870E9">
            <w:pPr>
              <w:rPr>
                <w:rFonts w:hint="eastAsia" w:ascii="宋体" w:hAnsi="宋体" w:eastAsia="宋体" w:cs="宋体"/>
                <w:i w:val="0"/>
                <w:iCs w:val="0"/>
                <w:color w:val="auto"/>
                <w:sz w:val="24"/>
                <w:szCs w:val="24"/>
                <w:highlight w:val="none"/>
                <w:u w:val="none"/>
              </w:rPr>
            </w:pPr>
          </w:p>
        </w:tc>
      </w:tr>
      <w:tr w14:paraId="1184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71EC">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49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1AFB7B3">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冰糖</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CE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256" w:type="dxa"/>
            <w:tcBorders>
              <w:top w:val="nil"/>
              <w:left w:val="nil"/>
              <w:bottom w:val="nil"/>
              <w:right w:val="nil"/>
            </w:tcBorders>
            <w:shd w:val="clear" w:color="auto" w:fill="auto"/>
            <w:noWrap/>
            <w:vAlign w:val="center"/>
          </w:tcPr>
          <w:p w14:paraId="57CBE2E7">
            <w:pPr>
              <w:rPr>
                <w:rFonts w:hint="eastAsia" w:ascii="宋体" w:hAnsi="宋体" w:eastAsia="宋体" w:cs="宋体"/>
                <w:i w:val="0"/>
                <w:iCs w:val="0"/>
                <w:color w:val="auto"/>
                <w:sz w:val="24"/>
                <w:szCs w:val="24"/>
                <w:highlight w:val="none"/>
                <w:u w:val="none"/>
              </w:rPr>
            </w:pPr>
          </w:p>
        </w:tc>
      </w:tr>
      <w:tr w14:paraId="34068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D416">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DD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7CFE4E1">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朝天椒</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83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kg/袋</w:t>
            </w:r>
          </w:p>
        </w:tc>
        <w:tc>
          <w:tcPr>
            <w:tcW w:w="256" w:type="dxa"/>
            <w:tcBorders>
              <w:top w:val="nil"/>
              <w:left w:val="nil"/>
              <w:bottom w:val="nil"/>
              <w:right w:val="nil"/>
            </w:tcBorders>
            <w:shd w:val="clear" w:color="auto" w:fill="auto"/>
            <w:noWrap/>
            <w:vAlign w:val="center"/>
          </w:tcPr>
          <w:p w14:paraId="34FD9DBD">
            <w:pPr>
              <w:rPr>
                <w:rFonts w:hint="eastAsia" w:ascii="宋体" w:hAnsi="宋体" w:eastAsia="宋体" w:cs="宋体"/>
                <w:i w:val="0"/>
                <w:iCs w:val="0"/>
                <w:color w:val="auto"/>
                <w:sz w:val="24"/>
                <w:szCs w:val="24"/>
                <w:highlight w:val="none"/>
                <w:u w:val="none"/>
              </w:rPr>
            </w:pPr>
          </w:p>
        </w:tc>
      </w:tr>
      <w:tr w14:paraId="3A1EE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F2C9">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5E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91F6073">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香油</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18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56" w:type="dxa"/>
            <w:tcBorders>
              <w:top w:val="nil"/>
              <w:left w:val="nil"/>
              <w:bottom w:val="nil"/>
              <w:right w:val="nil"/>
            </w:tcBorders>
            <w:shd w:val="clear" w:color="auto" w:fill="auto"/>
            <w:noWrap/>
            <w:vAlign w:val="center"/>
          </w:tcPr>
          <w:p w14:paraId="631CA18E">
            <w:pPr>
              <w:rPr>
                <w:rFonts w:hint="eastAsia" w:ascii="宋体" w:hAnsi="宋体" w:eastAsia="宋体" w:cs="宋体"/>
                <w:i w:val="0"/>
                <w:iCs w:val="0"/>
                <w:color w:val="auto"/>
                <w:sz w:val="24"/>
                <w:szCs w:val="24"/>
                <w:highlight w:val="none"/>
                <w:u w:val="none"/>
              </w:rPr>
            </w:pPr>
          </w:p>
        </w:tc>
      </w:tr>
      <w:tr w14:paraId="3923D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D910">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35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7764A5A">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花椒粒</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6C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5FDDF8FA">
            <w:pPr>
              <w:rPr>
                <w:rFonts w:hint="eastAsia" w:ascii="宋体" w:hAnsi="宋体" w:eastAsia="宋体" w:cs="宋体"/>
                <w:i w:val="0"/>
                <w:iCs w:val="0"/>
                <w:color w:val="auto"/>
                <w:sz w:val="24"/>
                <w:szCs w:val="24"/>
                <w:highlight w:val="none"/>
                <w:u w:val="none"/>
              </w:rPr>
            </w:pPr>
          </w:p>
        </w:tc>
      </w:tr>
      <w:tr w14:paraId="719E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7646">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E0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8D7606C">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粗辣椒面</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58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7540F925">
            <w:pPr>
              <w:rPr>
                <w:rFonts w:hint="eastAsia" w:ascii="宋体" w:hAnsi="宋体" w:eastAsia="宋体" w:cs="宋体"/>
                <w:i w:val="0"/>
                <w:iCs w:val="0"/>
                <w:color w:val="auto"/>
                <w:sz w:val="24"/>
                <w:szCs w:val="24"/>
                <w:highlight w:val="none"/>
                <w:u w:val="none"/>
              </w:rPr>
            </w:pPr>
          </w:p>
        </w:tc>
      </w:tr>
      <w:tr w14:paraId="1A9D3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CDAE">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49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313B074">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花椒面</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25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32A95EE9">
            <w:pPr>
              <w:rPr>
                <w:rFonts w:hint="eastAsia" w:ascii="宋体" w:hAnsi="宋体" w:eastAsia="宋体" w:cs="宋体"/>
                <w:i w:val="0"/>
                <w:iCs w:val="0"/>
                <w:color w:val="auto"/>
                <w:sz w:val="24"/>
                <w:szCs w:val="24"/>
                <w:highlight w:val="none"/>
                <w:u w:val="none"/>
              </w:rPr>
            </w:pPr>
          </w:p>
        </w:tc>
      </w:tr>
      <w:tr w14:paraId="4FA61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0CBF">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E0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A3BA8D9">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八角</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C2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29E8E646">
            <w:pPr>
              <w:rPr>
                <w:rFonts w:hint="eastAsia" w:ascii="宋体" w:hAnsi="宋体" w:eastAsia="宋体" w:cs="宋体"/>
                <w:i w:val="0"/>
                <w:iCs w:val="0"/>
                <w:color w:val="auto"/>
                <w:sz w:val="24"/>
                <w:szCs w:val="24"/>
                <w:highlight w:val="none"/>
                <w:u w:val="none"/>
              </w:rPr>
            </w:pPr>
          </w:p>
        </w:tc>
      </w:tr>
      <w:tr w14:paraId="3FA12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FF29">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64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885FCCF">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孜然粉</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5A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10B5AD26">
            <w:pPr>
              <w:rPr>
                <w:rFonts w:hint="eastAsia" w:ascii="宋体" w:hAnsi="宋体" w:eastAsia="宋体" w:cs="宋体"/>
                <w:i w:val="0"/>
                <w:iCs w:val="0"/>
                <w:color w:val="auto"/>
                <w:sz w:val="24"/>
                <w:szCs w:val="24"/>
                <w:highlight w:val="none"/>
                <w:u w:val="none"/>
              </w:rPr>
            </w:pPr>
          </w:p>
        </w:tc>
      </w:tr>
      <w:tr w14:paraId="260E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4043">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BD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2623B06A">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香叶</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0B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535508B6">
            <w:pPr>
              <w:rPr>
                <w:rFonts w:hint="eastAsia" w:ascii="宋体" w:hAnsi="宋体" w:eastAsia="宋体" w:cs="宋体"/>
                <w:i w:val="0"/>
                <w:iCs w:val="0"/>
                <w:color w:val="auto"/>
                <w:sz w:val="24"/>
                <w:szCs w:val="24"/>
                <w:highlight w:val="none"/>
                <w:u w:val="none"/>
              </w:rPr>
            </w:pPr>
          </w:p>
        </w:tc>
      </w:tr>
      <w:tr w14:paraId="2B3CF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1E08">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B4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3F5D562">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桂皮</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4F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4A227154">
            <w:pPr>
              <w:rPr>
                <w:rFonts w:hint="eastAsia" w:ascii="宋体" w:hAnsi="宋体" w:eastAsia="宋体" w:cs="宋体"/>
                <w:i w:val="0"/>
                <w:iCs w:val="0"/>
                <w:color w:val="auto"/>
                <w:sz w:val="24"/>
                <w:szCs w:val="24"/>
                <w:highlight w:val="none"/>
                <w:u w:val="none"/>
              </w:rPr>
            </w:pPr>
          </w:p>
        </w:tc>
      </w:tr>
      <w:tr w14:paraId="236A0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42DF">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90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1B737869">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细辣椒面</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70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7BED5C65">
            <w:pPr>
              <w:rPr>
                <w:rFonts w:hint="eastAsia" w:ascii="宋体" w:hAnsi="宋体" w:eastAsia="宋体" w:cs="宋体"/>
                <w:i w:val="0"/>
                <w:iCs w:val="0"/>
                <w:color w:val="auto"/>
                <w:sz w:val="24"/>
                <w:szCs w:val="24"/>
                <w:highlight w:val="none"/>
                <w:u w:val="none"/>
              </w:rPr>
            </w:pPr>
          </w:p>
        </w:tc>
      </w:tr>
      <w:tr w14:paraId="31051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CBAF">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94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9A49F1E">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陈皮</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60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2EA593FB">
            <w:pPr>
              <w:rPr>
                <w:rFonts w:hint="eastAsia" w:ascii="宋体" w:hAnsi="宋体" w:eastAsia="宋体" w:cs="宋体"/>
                <w:i w:val="0"/>
                <w:iCs w:val="0"/>
                <w:color w:val="auto"/>
                <w:sz w:val="24"/>
                <w:szCs w:val="24"/>
                <w:highlight w:val="none"/>
                <w:u w:val="none"/>
              </w:rPr>
            </w:pPr>
          </w:p>
        </w:tc>
      </w:tr>
      <w:tr w14:paraId="112C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67B9">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E5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B44D604">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香豆粉</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32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115AB538">
            <w:pPr>
              <w:rPr>
                <w:rFonts w:hint="eastAsia" w:ascii="宋体" w:hAnsi="宋体" w:eastAsia="宋体" w:cs="宋体"/>
                <w:i w:val="0"/>
                <w:iCs w:val="0"/>
                <w:color w:val="auto"/>
                <w:sz w:val="24"/>
                <w:szCs w:val="24"/>
                <w:highlight w:val="none"/>
                <w:u w:val="none"/>
              </w:rPr>
            </w:pPr>
          </w:p>
        </w:tc>
      </w:tr>
      <w:tr w14:paraId="7D7E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8397">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04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1D23149A">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干木耳</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13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13C8281F">
            <w:pPr>
              <w:rPr>
                <w:rFonts w:hint="eastAsia" w:ascii="宋体" w:hAnsi="宋体" w:eastAsia="宋体" w:cs="宋体"/>
                <w:i w:val="0"/>
                <w:iCs w:val="0"/>
                <w:color w:val="auto"/>
                <w:sz w:val="24"/>
                <w:szCs w:val="24"/>
                <w:highlight w:val="none"/>
                <w:u w:val="none"/>
              </w:rPr>
            </w:pPr>
          </w:p>
        </w:tc>
      </w:tr>
      <w:tr w14:paraId="2F37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EBAA">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82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4258498">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粉条</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87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2D2DE660">
            <w:pPr>
              <w:rPr>
                <w:rFonts w:hint="eastAsia" w:ascii="宋体" w:hAnsi="宋体" w:eastAsia="宋体" w:cs="宋体"/>
                <w:i w:val="0"/>
                <w:iCs w:val="0"/>
                <w:color w:val="auto"/>
                <w:sz w:val="24"/>
                <w:szCs w:val="24"/>
                <w:highlight w:val="none"/>
                <w:u w:val="none"/>
              </w:rPr>
            </w:pPr>
          </w:p>
        </w:tc>
      </w:tr>
      <w:tr w14:paraId="4573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BC11">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93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206633A3">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干香菇</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14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6E15F026">
            <w:pPr>
              <w:rPr>
                <w:rFonts w:hint="eastAsia" w:ascii="宋体" w:hAnsi="宋体" w:eastAsia="宋体" w:cs="宋体"/>
                <w:i w:val="0"/>
                <w:iCs w:val="0"/>
                <w:color w:val="auto"/>
                <w:sz w:val="24"/>
                <w:szCs w:val="24"/>
                <w:highlight w:val="none"/>
                <w:u w:val="none"/>
              </w:rPr>
            </w:pPr>
          </w:p>
        </w:tc>
      </w:tr>
      <w:tr w14:paraId="5A0D1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AA3F">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4C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514FBCE">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白胡椒面</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40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3CA8E243">
            <w:pPr>
              <w:rPr>
                <w:rFonts w:hint="eastAsia" w:ascii="宋体" w:hAnsi="宋体" w:eastAsia="宋体" w:cs="宋体"/>
                <w:i w:val="0"/>
                <w:iCs w:val="0"/>
                <w:color w:val="auto"/>
                <w:sz w:val="24"/>
                <w:szCs w:val="24"/>
                <w:highlight w:val="none"/>
                <w:u w:val="none"/>
              </w:rPr>
            </w:pPr>
          </w:p>
        </w:tc>
      </w:tr>
      <w:tr w14:paraId="7C5F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5DEE">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FF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93F772B">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姜粉</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71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0F650CAA">
            <w:pPr>
              <w:rPr>
                <w:rFonts w:hint="eastAsia" w:ascii="宋体" w:hAnsi="宋体" w:eastAsia="宋体" w:cs="宋体"/>
                <w:i w:val="0"/>
                <w:iCs w:val="0"/>
                <w:color w:val="auto"/>
                <w:sz w:val="24"/>
                <w:szCs w:val="24"/>
                <w:highlight w:val="none"/>
                <w:u w:val="none"/>
              </w:rPr>
            </w:pPr>
          </w:p>
        </w:tc>
      </w:tr>
      <w:tr w14:paraId="411B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4D39">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00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392934A">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蚝油</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B3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56" w:type="dxa"/>
            <w:tcBorders>
              <w:top w:val="nil"/>
              <w:left w:val="nil"/>
              <w:bottom w:val="nil"/>
              <w:right w:val="nil"/>
            </w:tcBorders>
            <w:shd w:val="clear" w:color="auto" w:fill="auto"/>
            <w:noWrap/>
            <w:vAlign w:val="center"/>
          </w:tcPr>
          <w:p w14:paraId="6A64C024">
            <w:pPr>
              <w:rPr>
                <w:rFonts w:hint="eastAsia" w:ascii="宋体" w:hAnsi="宋体" w:eastAsia="宋体" w:cs="宋体"/>
                <w:i w:val="0"/>
                <w:iCs w:val="0"/>
                <w:color w:val="auto"/>
                <w:sz w:val="24"/>
                <w:szCs w:val="24"/>
                <w:highlight w:val="none"/>
                <w:u w:val="none"/>
              </w:rPr>
            </w:pPr>
          </w:p>
        </w:tc>
      </w:tr>
      <w:tr w14:paraId="59DA2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DD2D">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E3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2DB16C02">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豆豉</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66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256" w:type="dxa"/>
            <w:tcBorders>
              <w:top w:val="nil"/>
              <w:left w:val="nil"/>
              <w:bottom w:val="nil"/>
              <w:right w:val="nil"/>
            </w:tcBorders>
            <w:shd w:val="clear" w:color="auto" w:fill="auto"/>
            <w:noWrap/>
            <w:vAlign w:val="center"/>
          </w:tcPr>
          <w:p w14:paraId="447F1C34">
            <w:pPr>
              <w:rPr>
                <w:rFonts w:hint="eastAsia" w:ascii="宋体" w:hAnsi="宋体" w:eastAsia="宋体" w:cs="宋体"/>
                <w:i w:val="0"/>
                <w:iCs w:val="0"/>
                <w:color w:val="auto"/>
                <w:sz w:val="24"/>
                <w:szCs w:val="24"/>
                <w:highlight w:val="none"/>
                <w:u w:val="none"/>
              </w:rPr>
            </w:pPr>
          </w:p>
        </w:tc>
      </w:tr>
      <w:tr w14:paraId="46E5A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C89C">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E8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6F85045">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香辣酱</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8BE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瓶</w:t>
            </w:r>
          </w:p>
        </w:tc>
        <w:tc>
          <w:tcPr>
            <w:tcW w:w="256" w:type="dxa"/>
            <w:tcBorders>
              <w:top w:val="nil"/>
              <w:left w:val="nil"/>
              <w:bottom w:val="nil"/>
              <w:right w:val="nil"/>
            </w:tcBorders>
            <w:shd w:val="clear" w:color="auto" w:fill="auto"/>
            <w:noWrap/>
            <w:vAlign w:val="center"/>
          </w:tcPr>
          <w:p w14:paraId="59BB50F9">
            <w:pPr>
              <w:rPr>
                <w:rFonts w:hint="eastAsia" w:ascii="宋体" w:hAnsi="宋体" w:eastAsia="宋体" w:cs="宋体"/>
                <w:i w:val="0"/>
                <w:iCs w:val="0"/>
                <w:color w:val="auto"/>
                <w:sz w:val="24"/>
                <w:szCs w:val="24"/>
                <w:highlight w:val="none"/>
                <w:u w:val="none"/>
              </w:rPr>
            </w:pPr>
          </w:p>
        </w:tc>
      </w:tr>
      <w:tr w14:paraId="12AB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1B25">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CE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78FCDFD">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麻辣香锅料</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AB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00F2E71E">
            <w:pPr>
              <w:rPr>
                <w:rFonts w:hint="eastAsia" w:ascii="宋体" w:hAnsi="宋体" w:eastAsia="宋体" w:cs="宋体"/>
                <w:i w:val="0"/>
                <w:iCs w:val="0"/>
                <w:color w:val="auto"/>
                <w:sz w:val="24"/>
                <w:szCs w:val="24"/>
                <w:highlight w:val="none"/>
                <w:u w:val="none"/>
              </w:rPr>
            </w:pPr>
          </w:p>
        </w:tc>
      </w:tr>
      <w:tr w14:paraId="6574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1D39">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EA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5EF58A3">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火锅料</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C6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485DCAA1">
            <w:pPr>
              <w:rPr>
                <w:rFonts w:hint="eastAsia" w:ascii="宋体" w:hAnsi="宋体" w:eastAsia="宋体" w:cs="宋体"/>
                <w:i w:val="0"/>
                <w:iCs w:val="0"/>
                <w:color w:val="auto"/>
                <w:sz w:val="24"/>
                <w:szCs w:val="24"/>
                <w:highlight w:val="none"/>
                <w:u w:val="none"/>
              </w:rPr>
            </w:pPr>
          </w:p>
        </w:tc>
      </w:tr>
      <w:tr w14:paraId="3CD1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96BD">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69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EFDDD03">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低盐榨菜</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36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256" w:type="dxa"/>
            <w:tcBorders>
              <w:top w:val="nil"/>
              <w:left w:val="nil"/>
              <w:bottom w:val="nil"/>
              <w:right w:val="nil"/>
            </w:tcBorders>
            <w:shd w:val="clear" w:color="auto" w:fill="auto"/>
            <w:noWrap/>
            <w:vAlign w:val="center"/>
          </w:tcPr>
          <w:p w14:paraId="3E449663">
            <w:pPr>
              <w:rPr>
                <w:rFonts w:hint="eastAsia" w:ascii="宋体" w:hAnsi="宋体" w:eastAsia="宋体" w:cs="宋体"/>
                <w:i w:val="0"/>
                <w:iCs w:val="0"/>
                <w:color w:val="auto"/>
                <w:sz w:val="24"/>
                <w:szCs w:val="24"/>
                <w:highlight w:val="none"/>
                <w:u w:val="none"/>
              </w:rPr>
            </w:pPr>
          </w:p>
        </w:tc>
      </w:tr>
      <w:tr w14:paraId="5F8D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DAA3">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01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E6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鸡脯</w:t>
            </w:r>
          </w:p>
        </w:tc>
        <w:tc>
          <w:tcPr>
            <w:tcW w:w="4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0E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箱装</w:t>
            </w:r>
          </w:p>
        </w:tc>
        <w:tc>
          <w:tcPr>
            <w:tcW w:w="256" w:type="dxa"/>
            <w:tcBorders>
              <w:top w:val="nil"/>
              <w:left w:val="nil"/>
              <w:bottom w:val="nil"/>
              <w:right w:val="nil"/>
            </w:tcBorders>
            <w:shd w:val="clear" w:color="auto" w:fill="auto"/>
            <w:noWrap/>
            <w:vAlign w:val="center"/>
          </w:tcPr>
          <w:p w14:paraId="5115D8FA">
            <w:pPr>
              <w:rPr>
                <w:rFonts w:hint="eastAsia" w:ascii="宋体" w:hAnsi="宋体" w:eastAsia="宋体" w:cs="宋体"/>
                <w:i w:val="0"/>
                <w:iCs w:val="0"/>
                <w:color w:val="auto"/>
                <w:sz w:val="24"/>
                <w:szCs w:val="24"/>
                <w:highlight w:val="none"/>
                <w:u w:val="none"/>
              </w:rPr>
            </w:pPr>
          </w:p>
        </w:tc>
      </w:tr>
      <w:tr w14:paraId="144C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A95D">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0A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90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鸡翅</w:t>
            </w:r>
          </w:p>
        </w:tc>
        <w:tc>
          <w:tcPr>
            <w:tcW w:w="4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48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箱装</w:t>
            </w:r>
          </w:p>
        </w:tc>
        <w:tc>
          <w:tcPr>
            <w:tcW w:w="256" w:type="dxa"/>
            <w:tcBorders>
              <w:top w:val="nil"/>
              <w:left w:val="nil"/>
              <w:bottom w:val="nil"/>
              <w:right w:val="nil"/>
            </w:tcBorders>
            <w:shd w:val="clear" w:color="auto" w:fill="auto"/>
            <w:noWrap/>
            <w:vAlign w:val="center"/>
          </w:tcPr>
          <w:p w14:paraId="4E2BB6BA">
            <w:pPr>
              <w:rPr>
                <w:rFonts w:hint="eastAsia" w:ascii="宋体" w:hAnsi="宋体" w:eastAsia="宋体" w:cs="宋体"/>
                <w:i w:val="0"/>
                <w:iCs w:val="0"/>
                <w:color w:val="auto"/>
                <w:sz w:val="24"/>
                <w:szCs w:val="24"/>
                <w:highlight w:val="none"/>
                <w:u w:val="none"/>
              </w:rPr>
            </w:pPr>
          </w:p>
        </w:tc>
      </w:tr>
      <w:tr w14:paraId="52A3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7DFC">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29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83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鸡爪</w:t>
            </w:r>
          </w:p>
        </w:tc>
        <w:tc>
          <w:tcPr>
            <w:tcW w:w="4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E0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箱装</w:t>
            </w:r>
          </w:p>
        </w:tc>
        <w:tc>
          <w:tcPr>
            <w:tcW w:w="256" w:type="dxa"/>
            <w:tcBorders>
              <w:top w:val="nil"/>
              <w:left w:val="nil"/>
              <w:bottom w:val="nil"/>
              <w:right w:val="nil"/>
            </w:tcBorders>
            <w:shd w:val="clear" w:color="auto" w:fill="auto"/>
            <w:noWrap/>
            <w:vAlign w:val="center"/>
          </w:tcPr>
          <w:p w14:paraId="01371DDE">
            <w:pPr>
              <w:rPr>
                <w:rFonts w:hint="eastAsia" w:ascii="宋体" w:hAnsi="宋体" w:eastAsia="宋体" w:cs="宋体"/>
                <w:i w:val="0"/>
                <w:iCs w:val="0"/>
                <w:color w:val="auto"/>
                <w:sz w:val="24"/>
                <w:szCs w:val="24"/>
                <w:highlight w:val="none"/>
                <w:u w:val="none"/>
              </w:rPr>
            </w:pPr>
          </w:p>
        </w:tc>
      </w:tr>
      <w:tr w14:paraId="51E1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7564">
            <w:pPr>
              <w:jc w:val="center"/>
              <w:rPr>
                <w:rFonts w:hint="eastAsia" w:ascii="宋体" w:hAnsi="宋体" w:eastAsia="宋体" w:cs="宋体"/>
                <w:b/>
                <w:bCs/>
                <w:i w:val="0"/>
                <w:iCs w:val="0"/>
                <w:color w:val="auto"/>
                <w:sz w:val="24"/>
                <w:szCs w:val="24"/>
                <w:highlight w:val="none"/>
                <w:u w:val="none"/>
              </w:rPr>
            </w:pPr>
          </w:p>
        </w:tc>
        <w:tc>
          <w:tcPr>
            <w:tcW w:w="975" w:type="dxa"/>
            <w:tcBorders>
              <w:top w:val="single" w:color="000000" w:sz="4" w:space="0"/>
              <w:left w:val="single" w:color="000000" w:sz="4" w:space="0"/>
              <w:bottom w:val="nil"/>
              <w:right w:val="single" w:color="000000" w:sz="4" w:space="0"/>
            </w:tcBorders>
            <w:shd w:val="clear" w:color="auto" w:fill="auto"/>
            <w:noWrap/>
            <w:vAlign w:val="center"/>
          </w:tcPr>
          <w:p w14:paraId="043094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110" w:type="dxa"/>
            <w:tcBorders>
              <w:top w:val="single" w:color="000000" w:sz="4" w:space="0"/>
              <w:left w:val="single" w:color="000000" w:sz="4" w:space="0"/>
              <w:bottom w:val="nil"/>
              <w:right w:val="single" w:color="000000" w:sz="4" w:space="0"/>
            </w:tcBorders>
            <w:shd w:val="clear" w:color="auto" w:fill="auto"/>
            <w:vAlign w:val="center"/>
          </w:tcPr>
          <w:p w14:paraId="293B63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鸡胗</w:t>
            </w:r>
          </w:p>
        </w:tc>
        <w:tc>
          <w:tcPr>
            <w:tcW w:w="4969" w:type="dxa"/>
            <w:tcBorders>
              <w:top w:val="single" w:color="000000" w:sz="4" w:space="0"/>
              <w:left w:val="single" w:color="000000" w:sz="4" w:space="0"/>
              <w:bottom w:val="nil"/>
              <w:right w:val="single" w:color="000000" w:sz="4" w:space="0"/>
            </w:tcBorders>
            <w:shd w:val="clear" w:color="auto" w:fill="auto"/>
            <w:noWrap/>
            <w:vAlign w:val="center"/>
          </w:tcPr>
          <w:p w14:paraId="738C0E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箱装</w:t>
            </w:r>
          </w:p>
        </w:tc>
        <w:tc>
          <w:tcPr>
            <w:tcW w:w="256" w:type="dxa"/>
            <w:tcBorders>
              <w:top w:val="nil"/>
              <w:left w:val="nil"/>
              <w:bottom w:val="nil"/>
              <w:right w:val="nil"/>
            </w:tcBorders>
            <w:shd w:val="clear" w:color="auto" w:fill="auto"/>
            <w:noWrap/>
            <w:vAlign w:val="center"/>
          </w:tcPr>
          <w:p w14:paraId="00AF7BEB">
            <w:pPr>
              <w:rPr>
                <w:rFonts w:hint="eastAsia" w:ascii="宋体" w:hAnsi="宋体" w:eastAsia="宋体" w:cs="宋体"/>
                <w:i w:val="0"/>
                <w:iCs w:val="0"/>
                <w:color w:val="auto"/>
                <w:sz w:val="24"/>
                <w:szCs w:val="24"/>
                <w:highlight w:val="none"/>
                <w:u w:val="none"/>
              </w:rPr>
            </w:pPr>
          </w:p>
        </w:tc>
      </w:tr>
      <w:tr w14:paraId="699F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00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海鲜类</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91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66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虾</w:t>
            </w:r>
          </w:p>
        </w:tc>
        <w:tc>
          <w:tcPr>
            <w:tcW w:w="4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26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256" w:type="dxa"/>
            <w:tcBorders>
              <w:top w:val="nil"/>
              <w:left w:val="nil"/>
              <w:bottom w:val="nil"/>
              <w:right w:val="nil"/>
            </w:tcBorders>
            <w:shd w:val="clear" w:color="auto" w:fill="auto"/>
            <w:noWrap/>
            <w:vAlign w:val="center"/>
          </w:tcPr>
          <w:p w14:paraId="2912958C">
            <w:pPr>
              <w:rPr>
                <w:rFonts w:hint="eastAsia" w:ascii="宋体" w:hAnsi="宋体" w:eastAsia="宋体" w:cs="宋体"/>
                <w:i w:val="0"/>
                <w:iCs w:val="0"/>
                <w:color w:val="auto"/>
                <w:sz w:val="24"/>
                <w:szCs w:val="24"/>
                <w:highlight w:val="none"/>
                <w:u w:val="none"/>
              </w:rPr>
            </w:pPr>
          </w:p>
        </w:tc>
      </w:tr>
    </w:tbl>
    <w:p w14:paraId="1F44CFBD">
      <w:pPr>
        <w:keepNext w:val="0"/>
        <w:keepLines w:val="0"/>
        <w:pageBreakBefore w:val="0"/>
        <w:widowControl w:val="0"/>
        <w:kinsoku/>
        <w:wordWrap/>
        <w:overflowPunct/>
        <w:topLinePunct w:val="0"/>
        <w:autoSpaceDE/>
        <w:autoSpaceDN/>
        <w:bidi w:val="0"/>
        <w:adjustRightInd/>
        <w:snapToGrid/>
        <w:spacing w:before="143" w:beforeLines="50" w:line="360" w:lineRule="auto"/>
        <w:textAlignment w:val="auto"/>
        <w:outlineLvl w:val="2"/>
        <w:rPr>
          <w:rFonts w:hint="eastAsia" w:ascii="宋体" w:hAnsi="宋体" w:eastAsia="宋体"/>
          <w:b/>
          <w:color w:val="auto"/>
          <w:sz w:val="24"/>
          <w:highlight w:val="none"/>
          <w:lang w:eastAsia="zh-CN"/>
        </w:rPr>
      </w:pPr>
      <w:r>
        <w:rPr>
          <w:rFonts w:hint="eastAsia" w:ascii="宋体" w:hAnsi="宋体" w:eastAsia="宋体" w:cs="宋体"/>
          <w:b/>
          <w:color w:val="auto"/>
          <w:sz w:val="24"/>
          <w:szCs w:val="24"/>
          <w:highlight w:val="none"/>
          <w:lang w:val="en-US" w:eastAsia="zh-CN"/>
        </w:rPr>
        <w:t>备注：</w:t>
      </w:r>
      <w:r>
        <w:rPr>
          <w:rFonts w:hint="eastAsia" w:ascii="宋体" w:hAnsi="宋体" w:eastAsia="宋体" w:cs="宋体"/>
          <w:b/>
          <w:color w:val="auto"/>
          <w:sz w:val="24"/>
          <w:szCs w:val="24"/>
          <w:highlight w:val="none"/>
        </w:rPr>
        <w:t>此表仅供参考，包</w:t>
      </w:r>
      <w:r>
        <w:rPr>
          <w:rFonts w:hint="eastAsia" w:ascii="宋体" w:hAnsi="宋体" w:eastAsia="宋体" w:cs="宋体"/>
          <w:b/>
          <w:color w:val="auto"/>
          <w:sz w:val="24"/>
          <w:szCs w:val="24"/>
          <w:highlight w:val="none"/>
          <w:lang w:val="en-US" w:eastAsia="zh-CN"/>
        </w:rPr>
        <w:t>含但不</w:t>
      </w:r>
      <w:r>
        <w:rPr>
          <w:rFonts w:hint="eastAsia" w:ascii="宋体" w:hAnsi="宋体" w:eastAsia="宋体" w:cs="宋体"/>
          <w:b/>
          <w:color w:val="auto"/>
          <w:sz w:val="24"/>
          <w:szCs w:val="24"/>
          <w:highlight w:val="none"/>
        </w:rPr>
        <w:t>限于以</w:t>
      </w:r>
      <w:r>
        <w:rPr>
          <w:rFonts w:hint="eastAsia" w:ascii="宋体" w:hAnsi="宋体" w:eastAsia="宋体" w:cs="宋体"/>
          <w:b/>
          <w:color w:val="auto"/>
          <w:sz w:val="24"/>
          <w:szCs w:val="24"/>
          <w:highlight w:val="none"/>
          <w:lang w:val="en-US" w:eastAsia="zh-CN"/>
        </w:rPr>
        <w:t>上</w:t>
      </w:r>
      <w:r>
        <w:rPr>
          <w:rFonts w:hint="eastAsia" w:ascii="宋体" w:hAnsi="宋体" w:eastAsia="宋体" w:cs="宋体"/>
          <w:b/>
          <w:color w:val="auto"/>
          <w:sz w:val="24"/>
          <w:szCs w:val="24"/>
          <w:highlight w:val="none"/>
        </w:rPr>
        <w:t>品种，可根据季节变化增减品种</w:t>
      </w:r>
      <w:r>
        <w:rPr>
          <w:rFonts w:hint="eastAsia" w:ascii="宋体" w:hAnsi="宋体" w:eastAsia="宋体" w:cs="宋体"/>
          <w:b/>
          <w:color w:val="auto"/>
          <w:sz w:val="24"/>
          <w:szCs w:val="24"/>
          <w:highlight w:val="none"/>
          <w:lang w:eastAsia="zh-CN"/>
        </w:rPr>
        <w:t>。</w:t>
      </w:r>
    </w:p>
    <w:p w14:paraId="3BF7E6D1">
      <w:pPr>
        <w:snapToGrid w:val="0"/>
        <w:spacing w:line="440" w:lineRule="exact"/>
        <w:rPr>
          <w:rFonts w:ascii="宋体" w:hAnsi="宋体"/>
          <w:bCs/>
          <w:color w:val="auto"/>
          <w:sz w:val="24"/>
          <w:szCs w:val="24"/>
          <w:highlight w:val="none"/>
        </w:rPr>
      </w:pPr>
    </w:p>
    <w:p w14:paraId="66F777B6">
      <w:pPr>
        <w:snapToGrid w:val="0"/>
        <w:spacing w:line="440" w:lineRule="exact"/>
        <w:ind w:firstLine="490" w:firstLineChars="200"/>
        <w:rPr>
          <w:rFonts w:ascii="宋体" w:hAnsi="宋体"/>
          <w:bCs/>
          <w:color w:val="auto"/>
          <w:sz w:val="24"/>
          <w:szCs w:val="24"/>
          <w:highlight w:val="none"/>
        </w:rPr>
      </w:pPr>
      <w:r>
        <w:rPr>
          <w:rFonts w:hint="eastAsia" w:ascii="宋体" w:hAnsi="宋体"/>
          <w:bCs/>
          <w:color w:val="auto"/>
          <w:sz w:val="24"/>
          <w:szCs w:val="24"/>
          <w:highlight w:val="none"/>
        </w:rPr>
        <w:t>外购即食原料使用前必须认真检查商标内容：厂址、生产期、保质期，经过卫生部门检查合格的生产标准代号，保储方法以及色泽、气味、质感等内在质量标准，合格后方能使用。</w:t>
      </w:r>
    </w:p>
    <w:p w14:paraId="57AC1141">
      <w:pPr>
        <w:snapToGrid w:val="0"/>
        <w:spacing w:line="440" w:lineRule="exact"/>
        <w:ind w:firstLine="490" w:firstLineChars="200"/>
        <w:rPr>
          <w:rFonts w:ascii="宋体" w:hAnsi="宋体"/>
          <w:bCs/>
          <w:color w:val="auto"/>
          <w:sz w:val="24"/>
          <w:szCs w:val="24"/>
          <w:highlight w:val="none"/>
        </w:rPr>
      </w:pPr>
      <w:r>
        <w:rPr>
          <w:rFonts w:hint="eastAsia" w:ascii="宋体" w:hAnsi="宋体"/>
          <w:bCs/>
          <w:color w:val="auto"/>
          <w:sz w:val="24"/>
          <w:szCs w:val="24"/>
          <w:highlight w:val="none"/>
        </w:rPr>
        <w:t>所有货品应开袋逐一检查。副食品供应商所供应食品中污染物限量标准应：</w:t>
      </w:r>
    </w:p>
    <w:p w14:paraId="3AC216A6">
      <w:pPr>
        <w:snapToGrid w:val="0"/>
        <w:spacing w:line="440" w:lineRule="exact"/>
        <w:ind w:firstLine="490" w:firstLineChars="200"/>
        <w:rPr>
          <w:rFonts w:ascii="宋体" w:hAnsi="宋体"/>
          <w:bCs/>
          <w:color w:val="auto"/>
          <w:sz w:val="24"/>
          <w:szCs w:val="24"/>
          <w:highlight w:val="none"/>
        </w:rPr>
      </w:pPr>
      <w:r>
        <w:rPr>
          <w:rFonts w:hint="eastAsia" w:ascii="宋体" w:hAnsi="宋体"/>
          <w:bCs/>
          <w:color w:val="auto"/>
          <w:sz w:val="24"/>
          <w:szCs w:val="24"/>
          <w:highlight w:val="none"/>
        </w:rPr>
        <w:t>①符合GB2762-2017食品安全国家标准食品中污染物限量标准规定。所有产品须符合国家的相关标准与要求，不允许提供转基因食品或利用转基因食品原料加工的成品，中标人所供产品达到相关食品卫生安全规定，国家有出台新的更高标准的，以新的更高标准为准，保证所供产品配送到指定地点时的质量、卫生和安全。</w:t>
      </w:r>
    </w:p>
    <w:p w14:paraId="3ECB9342">
      <w:pPr>
        <w:snapToGrid w:val="0"/>
        <w:spacing w:line="440" w:lineRule="exact"/>
        <w:ind w:firstLine="490" w:firstLineChars="200"/>
        <w:rPr>
          <w:rFonts w:ascii="宋体" w:hAnsi="宋体"/>
          <w:bCs/>
          <w:color w:val="auto"/>
          <w:sz w:val="24"/>
          <w:szCs w:val="24"/>
          <w:highlight w:val="none"/>
        </w:rPr>
      </w:pPr>
      <w:r>
        <w:rPr>
          <w:rFonts w:hint="eastAsia" w:ascii="宋体" w:hAnsi="宋体"/>
          <w:bCs/>
          <w:color w:val="auto"/>
          <w:sz w:val="24"/>
          <w:szCs w:val="24"/>
          <w:highlight w:val="none"/>
        </w:rPr>
        <w:t>②符合GB2761-2017食品安全国家标准、食品中真菌毒素限量标准。因中标人供货质量原因，引起采购人食品安全事故，应按照《中华人民共和国食品安全法》及相关规定，除赔偿当期的原材料损失外，还应对由此引起的其他延续损失给予全额经济赔偿（包括医疗、声誉），并承担其他相应法律责任。采购人明确禁止使用含有兴奋剂的食品和添加剂，投标人应完全尊重采购人的行业惯例和要求等禁止提供类似违禁添加剂。验收人员对不合格产品要求无条件进行退货、换货。若采购人对中标人所供货物质量产生异议，送政府质量检测部门检验。如检验不合格，检验费由中标人承担，并依照合同承担责任。若发生类似情况两次（含）以上，则合同中止。</w:t>
      </w:r>
    </w:p>
    <w:p w14:paraId="412002FB">
      <w:pPr>
        <w:pStyle w:val="47"/>
        <w:spacing w:line="360" w:lineRule="auto"/>
        <w:ind w:firstLine="0" w:firstLineChars="0"/>
        <w:outlineLvl w:val="2"/>
        <w:rPr>
          <w:rFonts w:hint="eastAsia" w:ascii="宋体" w:hAnsi="宋体" w:eastAsia="宋体" w:cs="宋体"/>
          <w:b/>
          <w:color w:val="auto"/>
          <w:sz w:val="24"/>
          <w:szCs w:val="24"/>
          <w:highlight w:val="none"/>
          <w:lang w:eastAsia="zh-CN"/>
        </w:rPr>
      </w:pPr>
    </w:p>
    <w:p w14:paraId="467C8CC2">
      <w:pPr>
        <w:pStyle w:val="47"/>
        <w:spacing w:line="360" w:lineRule="auto"/>
        <w:ind w:firstLine="0" w:firstLineChars="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、产品配送要求</w:t>
      </w:r>
    </w:p>
    <w:p w14:paraId="59EF9962">
      <w:pPr>
        <w:pStyle w:val="47"/>
        <w:spacing w:line="360" w:lineRule="auto"/>
        <w:ind w:firstLine="48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（一）配送时间要求</w:t>
      </w:r>
    </w:p>
    <w:p w14:paraId="48630217">
      <w:pPr>
        <w:pStyle w:val="47"/>
        <w:spacing w:line="360" w:lineRule="auto"/>
        <w:ind w:firstLine="48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1、</w:t>
      </w:r>
      <w:r>
        <w:rPr>
          <w:rFonts w:hint="default" w:ascii="宋体" w:hAnsi="宋体" w:eastAsia="宋体" w:cs="Times New Roman"/>
          <w:color w:val="auto"/>
          <w:kern w:val="2"/>
          <w:sz w:val="24"/>
          <w:szCs w:val="22"/>
          <w:highlight w:val="none"/>
          <w:lang w:val="en-US" w:eastAsia="zh-CN" w:bidi="ar-SA"/>
        </w:rPr>
        <w:t>供货周期：县城内一天一配送、乡镇一周两配送、山村一周一配送。（若采购方有其他需求根据采购方需求进行配送）</w:t>
      </w:r>
    </w:p>
    <w:p w14:paraId="1114E333">
      <w:pPr>
        <w:pStyle w:val="47"/>
        <w:spacing w:line="360" w:lineRule="auto"/>
        <w:ind w:firstLine="480"/>
        <w:rPr>
          <w:rFonts w:hint="default" w:ascii="宋体" w:hAnsi="宋体" w:eastAsia="宋体" w:cs="Times New Roman"/>
          <w:color w:val="auto"/>
          <w:kern w:val="2"/>
          <w:sz w:val="24"/>
          <w:szCs w:val="22"/>
          <w:highlight w:val="none"/>
          <w:lang w:val="en-US" w:eastAsia="zh-CN" w:bidi="ar-SA"/>
        </w:rPr>
      </w:pPr>
      <w:r>
        <w:rPr>
          <w:rFonts w:hint="default" w:ascii="宋体" w:hAnsi="宋体" w:eastAsia="宋体" w:cs="Times New Roman"/>
          <w:color w:val="auto"/>
          <w:kern w:val="2"/>
          <w:sz w:val="24"/>
          <w:szCs w:val="22"/>
          <w:highlight w:val="none"/>
          <w:lang w:val="en-US" w:eastAsia="zh-CN" w:bidi="ar-SA"/>
        </w:rPr>
        <w:t>2、如遇临时采购任务，配送单位对采购人提出的配送需求须无条件响应，并保证在接到需求时间内将所需食材配送到位</w:t>
      </w:r>
      <w:r>
        <w:rPr>
          <w:rFonts w:hint="eastAsia" w:ascii="宋体" w:hAnsi="宋体" w:eastAsia="宋体" w:cs="Times New Roman"/>
          <w:color w:val="auto"/>
          <w:kern w:val="2"/>
          <w:sz w:val="24"/>
          <w:szCs w:val="22"/>
          <w:highlight w:val="none"/>
          <w:lang w:val="en-US" w:eastAsia="zh-CN" w:bidi="ar-SA"/>
        </w:rPr>
        <w:t>。</w:t>
      </w:r>
    </w:p>
    <w:p w14:paraId="0A3AFC0D">
      <w:pPr>
        <w:pStyle w:val="47"/>
        <w:spacing w:line="360" w:lineRule="auto"/>
        <w:ind w:firstLine="48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（二）配送数量要求</w:t>
      </w:r>
    </w:p>
    <w:p w14:paraId="0B2BFB99">
      <w:pPr>
        <w:pStyle w:val="47"/>
        <w:spacing w:line="360" w:lineRule="auto"/>
        <w:ind w:firstLine="48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投标人和采购人在食品数量验收方面必须严格执行，不能弄虚作假，必须保证配送品种斤两的准确性，供应商每次随货提供《送货清单》一式三份（其中招标人两份，一份食堂留档，一份财务做账），双方现场过秤并验收签名，作结算凭证。</w:t>
      </w:r>
    </w:p>
    <w:p w14:paraId="7FA935C4">
      <w:pPr>
        <w:pStyle w:val="47"/>
        <w:spacing w:line="360" w:lineRule="auto"/>
        <w:ind w:firstLine="48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（三）配送人员及设施要求</w:t>
      </w:r>
    </w:p>
    <w:p w14:paraId="794A9774">
      <w:pPr>
        <w:pStyle w:val="47"/>
        <w:spacing w:line="360" w:lineRule="auto"/>
        <w:ind w:firstLine="48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1.配送单位须安排专人长期负责采购单位的临时采购任务，该人员经确定后不得随意更换，配送人员应具备有效的健康合格证明,配送人员更换须事先征得招标人审查同意并提供健康体检证复印件备案。</w:t>
      </w:r>
    </w:p>
    <w:p w14:paraId="16A08B2E">
      <w:pPr>
        <w:pStyle w:val="47"/>
        <w:spacing w:line="360" w:lineRule="auto"/>
        <w:ind w:firstLine="48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2.食材配送车辆应专车专用,禁止有毒有害有异味的物品混装,送货时不得有污染事故发生。配送车辆应符合相关卫生要求,并定期对车辆进行清洁消毒。</w:t>
      </w:r>
    </w:p>
    <w:p w14:paraId="04048347">
      <w:pPr>
        <w:pStyle w:val="47"/>
        <w:spacing w:line="360" w:lineRule="auto"/>
        <w:ind w:firstLine="48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（四）配送质量要求</w:t>
      </w:r>
    </w:p>
    <w:p w14:paraId="450A92E4">
      <w:pPr>
        <w:pStyle w:val="47"/>
        <w:spacing w:line="360" w:lineRule="auto"/>
        <w:ind w:firstLine="48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中标人所提供的食材必须符合相关的卫生、食品安全、环保等国家标准。每批次送货时须提供产品合格相关证明材料。  </w:t>
      </w:r>
    </w:p>
    <w:p w14:paraId="70280516">
      <w:pPr>
        <w:pStyle w:val="47"/>
        <w:spacing w:line="360" w:lineRule="auto"/>
        <w:ind w:firstLine="48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采购方有权抽查物品来源、送检供货商配送的各种物品，如果存在卫生质量问题或食用供货商配送的物品出现不良反应及中毒情况，供货商必须承担一切经济费用，并承担相应的法律责任。</w:t>
      </w:r>
    </w:p>
    <w:p w14:paraId="3F4A40B4">
      <w:pPr>
        <w:pStyle w:val="47"/>
        <w:spacing w:line="360" w:lineRule="auto"/>
        <w:ind w:firstLine="48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1、采购货源必须持有与销售内容相对应的有效营业执照，食品生产许可证或食品销售许可证； </w:t>
      </w:r>
    </w:p>
    <w:p w14:paraId="70B64B5C">
      <w:pPr>
        <w:pStyle w:val="47"/>
        <w:spacing w:line="360" w:lineRule="auto"/>
        <w:ind w:firstLine="48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 xml:space="preserve">2、供应商负责供货产品的食品安全，须做到来源可溯； </w:t>
      </w:r>
    </w:p>
    <w:p w14:paraId="45C98FA1">
      <w:pPr>
        <w:pStyle w:val="47"/>
        <w:spacing w:line="360" w:lineRule="auto"/>
        <w:rPr>
          <w:rFonts w:hint="eastAsia" w:ascii="宋体" w:hAnsi="宋体"/>
          <w:color w:val="auto"/>
          <w:kern w:val="2"/>
          <w:sz w:val="24"/>
          <w:szCs w:val="22"/>
          <w:highlight w:val="none"/>
          <w:lang w:val="en-US" w:eastAsia="zh-CN" w:bidi="ar-SA"/>
        </w:rPr>
      </w:pPr>
      <w:r>
        <w:rPr>
          <w:rFonts w:hint="eastAsia" w:ascii="宋体" w:hAnsi="宋体"/>
          <w:color w:val="auto"/>
          <w:kern w:val="2"/>
          <w:sz w:val="24"/>
          <w:szCs w:val="22"/>
          <w:highlight w:val="none"/>
          <w:lang w:val="en-US" w:eastAsia="zh-CN" w:bidi="ar-SA"/>
        </w:rPr>
        <w:t>(五）其他要求</w:t>
      </w:r>
    </w:p>
    <w:p w14:paraId="564F4C58">
      <w:pPr>
        <w:pStyle w:val="47"/>
        <w:spacing w:line="360" w:lineRule="auto"/>
        <w:rPr>
          <w:rFonts w:ascii="宋体" w:hAnsi="宋体" w:eastAsia="宋体" w:cs="宋体"/>
          <w:b/>
          <w:bCs/>
          <w:color w:val="auto"/>
          <w:spacing w:val="5"/>
          <w:sz w:val="34"/>
          <w:szCs w:val="34"/>
          <w:highlight w:val="none"/>
        </w:rPr>
      </w:pPr>
      <w:r>
        <w:rPr>
          <w:rFonts w:hint="eastAsia" w:ascii="宋体" w:hAnsi="宋体"/>
          <w:color w:val="auto"/>
          <w:kern w:val="2"/>
          <w:sz w:val="24"/>
          <w:szCs w:val="22"/>
          <w:highlight w:val="none"/>
          <w:lang w:val="en-US" w:eastAsia="zh-CN" w:bidi="ar-SA"/>
        </w:rPr>
        <w:t>食材货款包括商品价款，包装、运输、搬运、贮存、调换费用，管理费，人工费（包括加工费、分割费、去皮等），检验、保险，税金，利润等一切费用，即中标人按采购人要求将食材送达指定库房内的包干价，不得在此价格外以任何形式向采购人收取任何形式的额外费用。中标人在报价前充分考虑各类食材货款应包含一切费用，评估风险，合理确定报价，任何超过合同规定食材货款及其他费用均由中标人自行承担。</w:t>
      </w:r>
    </w:p>
    <w:p w14:paraId="58DD875D">
      <w:pPr>
        <w:pStyle w:val="47"/>
        <w:spacing w:line="360" w:lineRule="auto"/>
        <w:ind w:firstLine="0" w:firstLineChars="0"/>
        <w:outlineLvl w:val="2"/>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四、违约责任 </w:t>
      </w:r>
    </w:p>
    <w:p w14:paraId="5891575C">
      <w:pPr>
        <w:pStyle w:val="63"/>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color w:val="auto"/>
          <w:kern w:val="2"/>
          <w:sz w:val="24"/>
          <w:szCs w:val="22"/>
          <w:highlight w:val="none"/>
          <w:lang w:val="en-US" w:eastAsia="zh-CN" w:bidi="ar-SA"/>
        </w:rPr>
      </w:pPr>
      <w:r>
        <w:rPr>
          <w:rFonts w:hint="eastAsia" w:ascii="宋体" w:hAnsi="宋体"/>
          <w:color w:val="auto"/>
          <w:kern w:val="2"/>
          <w:sz w:val="24"/>
          <w:szCs w:val="22"/>
          <w:highlight w:val="none"/>
          <w:lang w:val="en-US" w:eastAsia="zh-CN" w:bidi="ar-SA"/>
        </w:rPr>
        <w:t>1、</w:t>
      </w:r>
      <w:r>
        <w:rPr>
          <w:rFonts w:hint="eastAsia" w:hAnsi="宋体"/>
          <w:color w:val="auto"/>
          <w:sz w:val="24"/>
          <w:highlight w:val="none"/>
        </w:rPr>
        <w:t>乙方违反招标文件和合同的规定，不能按核定的供货价交付货品、不能提供与其承诺相符的服务，采购人书面提出整改通知，乙方未按要求及时整改的，采购人有权终止合同，由此造成采购人经济损失的，乙方应给予赔偿。</w:t>
      </w:r>
    </w:p>
    <w:p w14:paraId="6AB2B123">
      <w:pPr>
        <w:pStyle w:val="47"/>
        <w:spacing w:line="360" w:lineRule="auto"/>
        <w:rPr>
          <w:rFonts w:hint="eastAsia" w:ascii="宋体" w:hAnsi="宋体"/>
          <w:color w:val="auto"/>
          <w:kern w:val="2"/>
          <w:sz w:val="24"/>
          <w:szCs w:val="22"/>
          <w:highlight w:val="none"/>
          <w:lang w:val="en-US" w:eastAsia="zh-CN" w:bidi="ar-SA"/>
        </w:rPr>
      </w:pPr>
      <w:r>
        <w:rPr>
          <w:rFonts w:hint="eastAsia" w:ascii="宋体" w:hAnsi="宋体"/>
          <w:color w:val="auto"/>
          <w:kern w:val="2"/>
          <w:sz w:val="24"/>
          <w:szCs w:val="22"/>
          <w:highlight w:val="none"/>
          <w:lang w:val="en-US" w:eastAsia="zh-CN" w:bidi="ar-SA"/>
        </w:rPr>
        <w:t>2、服务违约：若供应商未按时送达采购人，影响伙食保障工作正常开展，累计超过3次的，采购人有权立即解除合同。</w:t>
      </w:r>
    </w:p>
    <w:p w14:paraId="7C7616E6">
      <w:pPr>
        <w:pStyle w:val="47"/>
        <w:spacing w:line="360" w:lineRule="auto"/>
        <w:rPr>
          <w:rFonts w:hint="eastAsia" w:ascii="宋体" w:hAnsi="宋体"/>
          <w:color w:val="auto"/>
          <w:sz w:val="24"/>
          <w:highlight w:val="none"/>
          <w:lang w:eastAsia="zh-CN"/>
        </w:rPr>
      </w:pPr>
      <w:r>
        <w:rPr>
          <w:rFonts w:hint="eastAsia" w:ascii="宋体" w:hAnsi="宋体"/>
          <w:color w:val="auto"/>
          <w:kern w:val="2"/>
          <w:sz w:val="24"/>
          <w:szCs w:val="22"/>
          <w:highlight w:val="none"/>
          <w:lang w:val="en-US" w:eastAsia="zh-CN" w:bidi="ar-SA"/>
        </w:rPr>
        <w:t>3、对于配送单位违约行为对采购人造成严重后果的，采购人可提前终止合同。</w:t>
      </w:r>
    </w:p>
    <w:p w14:paraId="21BD2A32">
      <w:pPr>
        <w:pStyle w:val="47"/>
        <w:spacing w:line="360" w:lineRule="auto"/>
        <w:rPr>
          <w:rFonts w:hint="eastAsia" w:ascii="宋体" w:hAnsi="宋体"/>
          <w:color w:val="auto"/>
          <w:kern w:val="2"/>
          <w:sz w:val="24"/>
          <w:szCs w:val="22"/>
          <w:highlight w:val="none"/>
          <w:lang w:val="en-US" w:eastAsia="zh-CN" w:bidi="ar-SA"/>
        </w:rPr>
      </w:pPr>
      <w:r>
        <w:rPr>
          <w:rFonts w:hint="eastAsia" w:ascii="宋体" w:hAnsi="宋体"/>
          <w:color w:val="auto"/>
          <w:kern w:val="2"/>
          <w:sz w:val="24"/>
          <w:szCs w:val="22"/>
          <w:highlight w:val="none"/>
          <w:lang w:val="en-US" w:eastAsia="zh-CN" w:bidi="ar-SA"/>
        </w:rPr>
        <w:t>五、报价方式</w:t>
      </w:r>
    </w:p>
    <w:p w14:paraId="70ABE1DB">
      <w:pPr>
        <w:pStyle w:val="47"/>
        <w:spacing w:line="360" w:lineRule="auto"/>
        <w:rPr>
          <w:rFonts w:hint="eastAsia" w:ascii="宋体" w:hAnsi="宋体"/>
          <w:color w:val="auto"/>
          <w:kern w:val="2"/>
          <w:sz w:val="24"/>
          <w:szCs w:val="22"/>
          <w:highlight w:val="none"/>
          <w:lang w:val="en-US" w:eastAsia="zh-CN" w:bidi="ar-SA"/>
        </w:rPr>
      </w:pPr>
      <w:r>
        <w:rPr>
          <w:rFonts w:hint="eastAsia" w:ascii="宋体" w:hAnsi="宋体"/>
          <w:color w:val="auto"/>
          <w:kern w:val="2"/>
          <w:sz w:val="24"/>
          <w:szCs w:val="22"/>
          <w:highlight w:val="none"/>
          <w:lang w:val="en-US" w:eastAsia="zh-CN" w:bidi="ar-SA"/>
        </w:rPr>
        <w:t>1、供货数量及品目以甲方（各校）单位当时当月发生的需求为准。</w:t>
      </w:r>
    </w:p>
    <w:p w14:paraId="69C2CD82">
      <w:pPr>
        <w:pStyle w:val="47"/>
        <w:spacing w:line="360" w:lineRule="auto"/>
        <w:rPr>
          <w:rFonts w:hint="eastAsia" w:ascii="宋体" w:hAnsi="宋体"/>
          <w:color w:val="auto"/>
          <w:kern w:val="2"/>
          <w:sz w:val="24"/>
          <w:szCs w:val="22"/>
          <w:highlight w:val="none"/>
          <w:lang w:val="en-US" w:eastAsia="zh-CN" w:bidi="ar-SA"/>
        </w:rPr>
      </w:pPr>
      <w:r>
        <w:rPr>
          <w:rFonts w:hint="eastAsia" w:ascii="宋体" w:hAnsi="宋体"/>
          <w:color w:val="auto"/>
          <w:kern w:val="2"/>
          <w:sz w:val="24"/>
          <w:szCs w:val="22"/>
          <w:highlight w:val="none"/>
          <w:lang w:val="en-US" w:eastAsia="zh-CN" w:bidi="ar-SA"/>
        </w:rPr>
        <w:t>2、报价包含了所有支出、保险、税费和其他服务以及合同实施过程中应预见和不可预见的一切费用，如发生缺漏项视同以包含在报价之中。采购人无须另外支付任何费用。</w:t>
      </w:r>
    </w:p>
    <w:p w14:paraId="116459AB">
      <w:pPr>
        <w:pStyle w:val="47"/>
        <w:spacing w:line="360" w:lineRule="auto"/>
        <w:rPr>
          <w:rFonts w:hint="eastAsia" w:ascii="宋体" w:hAnsi="宋体"/>
          <w:color w:val="auto"/>
          <w:kern w:val="2"/>
          <w:sz w:val="24"/>
          <w:szCs w:val="22"/>
          <w:highlight w:val="none"/>
          <w:lang w:val="en-US" w:eastAsia="zh-CN" w:bidi="ar-SA"/>
        </w:rPr>
      </w:pPr>
      <w:r>
        <w:rPr>
          <w:rFonts w:hint="eastAsia" w:ascii="宋体" w:hAnsi="宋体"/>
          <w:color w:val="auto"/>
          <w:kern w:val="2"/>
          <w:sz w:val="24"/>
          <w:szCs w:val="22"/>
          <w:highlight w:val="none"/>
          <w:lang w:val="en-US" w:eastAsia="zh-CN" w:bidi="ar-SA"/>
        </w:rPr>
        <w:t>3、除非招标文件另有规定，投标价不是唯一的或不是固定不变的投标文件将被作为非响应性投标而予以拒绝。投标人所报的投标价在投标有效期及合同执行期间是固定不变的，投标人不得以任何理由予以变更。</w:t>
      </w:r>
    </w:p>
    <w:p w14:paraId="123EBD18">
      <w:pPr>
        <w:pStyle w:val="47"/>
        <w:spacing w:line="360" w:lineRule="auto"/>
        <w:rPr>
          <w:rFonts w:hint="eastAsia" w:ascii="宋体" w:hAnsi="宋体"/>
          <w:color w:val="auto"/>
          <w:kern w:val="2"/>
          <w:sz w:val="24"/>
          <w:szCs w:val="22"/>
          <w:highlight w:val="none"/>
          <w:lang w:val="en-US" w:eastAsia="zh-CN" w:bidi="ar-SA"/>
        </w:rPr>
      </w:pPr>
      <w:r>
        <w:rPr>
          <w:rFonts w:hint="eastAsia" w:ascii="宋体" w:hAnsi="宋体"/>
          <w:color w:val="auto"/>
          <w:kern w:val="2"/>
          <w:sz w:val="24"/>
          <w:szCs w:val="22"/>
          <w:highlight w:val="none"/>
          <w:lang w:val="en-US" w:eastAsia="zh-CN" w:bidi="ar-SA"/>
        </w:rPr>
        <w:t>4、为确保项目质量，投标人不得恶意低价投标，凡报价或明显无法保证项目质量的低价投标，投标人无法提供合理证明材料的，评标委员会可认定为无效投标。</w:t>
      </w:r>
    </w:p>
    <w:p w14:paraId="30FF4B3E">
      <w:pPr>
        <w:pStyle w:val="47"/>
        <w:spacing w:line="360" w:lineRule="auto"/>
        <w:ind w:firstLine="0" w:firstLineChars="0"/>
        <w:outlineLvl w:val="2"/>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六、定价、结算及付款方式</w:t>
      </w:r>
    </w:p>
    <w:p w14:paraId="03BC35D0">
      <w:pPr>
        <w:pStyle w:val="47"/>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0"/>
        <w:textAlignment w:val="baseline"/>
        <w:rPr>
          <w:rFonts w:ascii="宋体" w:hAnsi="宋体"/>
          <w:color w:val="auto"/>
          <w:sz w:val="24"/>
          <w:highlight w:val="none"/>
        </w:rPr>
      </w:pPr>
      <w:r>
        <w:rPr>
          <w:rFonts w:hint="eastAsia" w:ascii="宋体" w:hAnsi="宋体"/>
          <w:color w:val="auto"/>
          <w:sz w:val="24"/>
          <w:highlight w:val="none"/>
          <w:lang w:eastAsia="zh-CN"/>
        </w:rPr>
        <w:t>（一）</w:t>
      </w:r>
      <w:r>
        <w:rPr>
          <w:rFonts w:hint="eastAsia" w:ascii="宋体" w:hAnsi="宋体"/>
          <w:color w:val="auto"/>
          <w:sz w:val="24"/>
          <w:highlight w:val="none"/>
        </w:rPr>
        <w:t>定价方式</w:t>
      </w:r>
    </w:p>
    <w:p w14:paraId="66325BF7">
      <w:pPr>
        <w:pStyle w:val="47"/>
        <w:spacing w:line="360" w:lineRule="auto"/>
        <w:ind w:firstLineChars="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蔬菜类、水果类、鸡鸭肉类、海鲜类每月两次询价定价，米面油类、调味品、营养餐等副食品每学期一次询价定价。青河县教育局采购部门对青河县市场实地询价并做好记录工作，采购部门最终以青河县市场实地询价最低价与北园春官网当日实时中间价的平均值，乘以100%减投标时所报的下浮率确定米面油类、蔬菜类、水果类</w:t>
      </w:r>
      <w:r>
        <w:rPr>
          <w:rFonts w:hint="eastAsia" w:ascii="宋体" w:hAnsi="宋体"/>
          <w:color w:val="auto"/>
          <w:sz w:val="24"/>
          <w:highlight w:val="none"/>
        </w:rPr>
        <w:t>、</w:t>
      </w:r>
      <w:r>
        <w:rPr>
          <w:rFonts w:hint="eastAsia" w:ascii="宋体" w:hAnsi="宋体"/>
          <w:color w:val="auto"/>
          <w:sz w:val="24"/>
          <w:highlight w:val="none"/>
          <w:lang w:val="en-US" w:eastAsia="zh-CN"/>
        </w:rPr>
        <w:t>调味品、营养餐及副食品、鸡鸭肉类、海鲜类等大宗食材采购的价格，根据采购需求，对供应商下达采购计划，具体结合学校实际需求下单。</w:t>
      </w:r>
    </w:p>
    <w:p w14:paraId="5D41C6DD">
      <w:pPr>
        <w:pStyle w:val="47"/>
        <w:keepNext w:val="0"/>
        <w:keepLines w:val="0"/>
        <w:pageBreakBefore w:val="0"/>
        <w:widowControl w:val="0"/>
        <w:kinsoku/>
        <w:wordWrap/>
        <w:overflowPunct/>
        <w:topLinePunct w:val="0"/>
        <w:autoSpaceDE/>
        <w:autoSpaceDN/>
        <w:bidi w:val="0"/>
        <w:adjustRightInd/>
        <w:snapToGrid/>
        <w:spacing w:before="143" w:beforeLines="50" w:line="360" w:lineRule="auto"/>
        <w:textAlignment w:val="auto"/>
        <w:outlineLvl w:val="9"/>
        <w:rPr>
          <w:rFonts w:hint="eastAsia" w:ascii="宋体" w:hAnsi="宋体"/>
          <w:color w:val="auto"/>
          <w:kern w:val="2"/>
          <w:sz w:val="24"/>
          <w:szCs w:val="22"/>
          <w:highlight w:val="none"/>
          <w:lang w:val="en-US" w:eastAsia="zh-CN" w:bidi="ar-SA"/>
        </w:rPr>
      </w:pPr>
      <w:r>
        <w:rPr>
          <w:rFonts w:hint="eastAsia" w:ascii="宋体" w:hAnsi="宋体"/>
          <w:color w:val="auto"/>
          <w:kern w:val="2"/>
          <w:sz w:val="24"/>
          <w:szCs w:val="22"/>
          <w:highlight w:val="none"/>
          <w:lang w:val="en-US" w:eastAsia="zh-CN" w:bidi="ar-SA"/>
        </w:rPr>
        <w:t>2.结算及付款方式：</w:t>
      </w:r>
    </w:p>
    <w:p w14:paraId="0F0D60F2">
      <w:pPr>
        <w:pStyle w:val="47"/>
        <w:keepNext w:val="0"/>
        <w:keepLines w:val="0"/>
        <w:pageBreakBefore w:val="0"/>
        <w:widowControl w:val="0"/>
        <w:kinsoku/>
        <w:wordWrap/>
        <w:overflowPunct/>
        <w:topLinePunct w:val="0"/>
        <w:autoSpaceDE/>
        <w:autoSpaceDN/>
        <w:bidi w:val="0"/>
        <w:adjustRightInd/>
        <w:snapToGrid/>
        <w:spacing w:before="143" w:beforeLines="50" w:line="360" w:lineRule="auto"/>
        <w:textAlignment w:val="auto"/>
        <w:outlineLvl w:val="9"/>
        <w:rPr>
          <w:rFonts w:ascii="宋体" w:hAnsi="宋体"/>
          <w:color w:val="auto"/>
          <w:sz w:val="24"/>
          <w:highlight w:val="none"/>
        </w:rPr>
      </w:pPr>
      <w:r>
        <w:rPr>
          <w:rFonts w:hint="eastAsia" w:ascii="宋体" w:hAnsi="宋体"/>
          <w:color w:val="auto"/>
          <w:kern w:val="2"/>
          <w:sz w:val="24"/>
          <w:szCs w:val="22"/>
          <w:highlight w:val="none"/>
          <w:lang w:val="en-US" w:eastAsia="zh-CN" w:bidi="ar-SA"/>
        </w:rPr>
        <w:t>（1）结算公式：各类产品货款＝对应品种</w:t>
      </w:r>
      <w:r>
        <w:rPr>
          <w:rFonts w:hint="eastAsia" w:ascii="宋体" w:hAnsi="宋体"/>
          <w:color w:val="auto"/>
          <w:sz w:val="24"/>
          <w:highlight w:val="none"/>
          <w:lang w:val="en-US" w:eastAsia="zh-CN"/>
        </w:rPr>
        <w:t>的最终价（下浮后的价格）×实</w:t>
      </w:r>
      <w:r>
        <w:rPr>
          <w:rFonts w:hint="eastAsia" w:ascii="宋体" w:hAnsi="宋体"/>
          <w:color w:val="auto"/>
          <w:kern w:val="2"/>
          <w:sz w:val="24"/>
          <w:szCs w:val="22"/>
          <w:highlight w:val="none"/>
          <w:lang w:val="en-US" w:eastAsia="zh-CN" w:bidi="ar-SA"/>
        </w:rPr>
        <w:t>际供货量。</w:t>
      </w:r>
    </w:p>
    <w:p w14:paraId="7AE3A566">
      <w:pPr>
        <w:pStyle w:val="47"/>
        <w:spacing w:line="360" w:lineRule="auto"/>
        <w:ind w:firstLineChars="0"/>
        <w:rPr>
          <w:rFonts w:ascii="宋体" w:hAnsi="宋体"/>
          <w:color w:val="auto"/>
          <w:sz w:val="24"/>
          <w:szCs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2</w:t>
      </w:r>
      <w:r>
        <w:rPr>
          <w:rFonts w:hint="eastAsia" w:ascii="宋体" w:hAnsi="宋体"/>
          <w:color w:val="auto"/>
          <w:sz w:val="24"/>
          <w:highlight w:val="none"/>
        </w:rPr>
        <w:t>）每月结算一次，在办理付款手续之前双方须对供应货物的品种、数量、单价、金额等进行统计，并核实无误。采购人在收到中标人提供的等额的正式发票之日起</w:t>
      </w:r>
      <w:r>
        <w:rPr>
          <w:rFonts w:hint="eastAsia" w:ascii="宋体" w:hAnsi="宋体"/>
          <w:color w:val="auto"/>
          <w:sz w:val="24"/>
          <w:highlight w:val="none"/>
          <w:lang w:eastAsia="zh-CN"/>
        </w:rPr>
        <w:t>次月</w:t>
      </w:r>
      <w:r>
        <w:rPr>
          <w:rFonts w:hint="eastAsia" w:ascii="宋体" w:hAnsi="宋体"/>
          <w:color w:val="auto"/>
          <w:sz w:val="24"/>
          <w:highlight w:val="none"/>
        </w:rPr>
        <w:t>内办理上月采购货物价款支付手续。</w:t>
      </w:r>
      <w:r>
        <w:rPr>
          <w:rFonts w:hint="eastAsia" w:ascii="宋体" w:hAnsi="宋体"/>
          <w:color w:val="auto"/>
          <w:sz w:val="24"/>
          <w:szCs w:val="24"/>
          <w:highlight w:val="none"/>
        </w:rPr>
        <w:t>中标人须提供以下材料以便</w:t>
      </w:r>
      <w:r>
        <w:rPr>
          <w:rFonts w:hint="eastAsia" w:ascii="宋体" w:hAnsi="宋体"/>
          <w:color w:val="auto"/>
          <w:sz w:val="24"/>
          <w:highlight w:val="none"/>
        </w:rPr>
        <w:t>采购</w:t>
      </w:r>
      <w:r>
        <w:rPr>
          <w:rFonts w:hint="eastAsia" w:ascii="宋体" w:hAnsi="宋体"/>
          <w:color w:val="auto"/>
          <w:sz w:val="24"/>
          <w:szCs w:val="24"/>
          <w:highlight w:val="none"/>
        </w:rPr>
        <w:t>人办理付款手续：</w:t>
      </w:r>
    </w:p>
    <w:p w14:paraId="6BE21AD2">
      <w:pPr>
        <w:widowControl/>
        <w:numPr>
          <w:ilvl w:val="0"/>
          <w:numId w:val="0"/>
        </w:numPr>
        <w:adjustRightInd w:val="0"/>
        <w:snapToGrid w:val="0"/>
        <w:spacing w:line="360" w:lineRule="auto"/>
        <w:ind w:leftChars="200"/>
        <w:jc w:val="left"/>
        <w:rPr>
          <w:rFonts w:ascii="宋体" w:hAnsi="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中标人开具的</w:t>
      </w:r>
      <w:r>
        <w:rPr>
          <w:rFonts w:hint="eastAsia" w:ascii="宋体" w:hAnsi="宋体" w:cs="宋体"/>
          <w:color w:val="auto"/>
          <w:sz w:val="24"/>
          <w:highlight w:val="none"/>
          <w:lang w:eastAsia="zh-CN"/>
        </w:rPr>
        <w:t>普通</w:t>
      </w:r>
      <w:r>
        <w:rPr>
          <w:rFonts w:hint="eastAsia" w:ascii="宋体" w:hAnsi="宋体" w:cs="宋体"/>
          <w:color w:val="auto"/>
          <w:sz w:val="24"/>
          <w:highlight w:val="none"/>
        </w:rPr>
        <w:t>发票；</w:t>
      </w:r>
    </w:p>
    <w:p w14:paraId="4FE97799">
      <w:pPr>
        <w:widowControl/>
        <w:numPr>
          <w:ilvl w:val="0"/>
          <w:numId w:val="0"/>
        </w:numPr>
        <w:adjustRightInd w:val="0"/>
        <w:snapToGrid w:val="0"/>
        <w:spacing w:line="360" w:lineRule="auto"/>
        <w:ind w:leftChars="200"/>
        <w:jc w:val="left"/>
        <w:rPr>
          <w:rFonts w:ascii="宋体" w:hAnsi="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验收报告（加盖</w:t>
      </w:r>
      <w:r>
        <w:rPr>
          <w:rFonts w:hint="eastAsia" w:ascii="宋体" w:hAnsi="宋体"/>
          <w:color w:val="auto"/>
          <w:sz w:val="24"/>
          <w:highlight w:val="none"/>
        </w:rPr>
        <w:t>采购人</w:t>
      </w:r>
      <w:r>
        <w:rPr>
          <w:rFonts w:hint="eastAsia" w:ascii="宋体" w:hAnsi="宋体" w:cs="宋体"/>
          <w:color w:val="auto"/>
          <w:sz w:val="24"/>
          <w:highlight w:val="none"/>
        </w:rPr>
        <w:t>公章）；</w:t>
      </w:r>
    </w:p>
    <w:p w14:paraId="3A1914C0">
      <w:pPr>
        <w:widowControl/>
        <w:numPr>
          <w:ilvl w:val="0"/>
          <w:numId w:val="0"/>
        </w:numPr>
        <w:adjustRightInd w:val="0"/>
        <w:snapToGrid w:val="0"/>
        <w:spacing w:line="360" w:lineRule="auto"/>
        <w:ind w:leftChars="200"/>
        <w:jc w:val="left"/>
        <w:rPr>
          <w:rFonts w:hint="eastAsia" w:ascii="宋体" w:hAnsi="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月供货清单（加盖</w:t>
      </w:r>
      <w:r>
        <w:rPr>
          <w:rFonts w:hint="eastAsia" w:ascii="宋体" w:hAnsi="宋体"/>
          <w:color w:val="auto"/>
          <w:sz w:val="24"/>
          <w:highlight w:val="none"/>
        </w:rPr>
        <w:t>采购人</w:t>
      </w:r>
      <w:r>
        <w:rPr>
          <w:rFonts w:hint="eastAsia" w:ascii="宋体" w:hAnsi="宋体" w:cs="宋体"/>
          <w:color w:val="auto"/>
          <w:sz w:val="24"/>
          <w:highlight w:val="none"/>
        </w:rPr>
        <w:t>公章）；</w:t>
      </w:r>
    </w:p>
    <w:p w14:paraId="4E101A95">
      <w:pPr>
        <w:pStyle w:val="47"/>
        <w:spacing w:line="360" w:lineRule="auto"/>
        <w:ind w:firstLine="0" w:firstLineChars="0"/>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4"/>
          <w:szCs w:val="24"/>
          <w:highlight w:val="none"/>
          <w:lang w:val="en-US" w:eastAsia="zh-CN"/>
        </w:rPr>
        <w:t>七、验收条款</w:t>
      </w:r>
    </w:p>
    <w:p w14:paraId="3D4FB2EB">
      <w:pPr>
        <w:pStyle w:val="47"/>
        <w:spacing w:line="360" w:lineRule="auto"/>
        <w:ind w:firstLineChars="0"/>
        <w:rPr>
          <w:rFonts w:ascii="宋体" w:hAnsi="宋体"/>
          <w:color w:val="auto"/>
          <w:sz w:val="24"/>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所购入的物品必须符</w:t>
      </w:r>
      <w:r>
        <w:rPr>
          <w:rFonts w:hint="eastAsia" w:ascii="宋体" w:hAnsi="宋体"/>
          <w:color w:val="auto"/>
          <w:sz w:val="24"/>
          <w:highlight w:val="none"/>
        </w:rPr>
        <w:t>合《中华人民共和国食品卫生法》、《中华人民共和国食品安全法》要求。</w:t>
      </w:r>
    </w:p>
    <w:p w14:paraId="6BB3D738">
      <w:pPr>
        <w:pStyle w:val="47"/>
        <w:spacing w:line="360" w:lineRule="auto"/>
        <w:ind w:firstLineChars="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所供商品必须符合国家行业生产及经营标准，货真价实，均能提供相应批次的合格检验证明；</w:t>
      </w:r>
    </w:p>
    <w:p w14:paraId="16D509D8">
      <w:pPr>
        <w:pStyle w:val="47"/>
        <w:pageBreakBefore w:val="0"/>
        <w:widowControl/>
        <w:kinsoku w:val="0"/>
        <w:wordWrap/>
        <w:overflowPunct/>
        <w:topLinePunct w:val="0"/>
        <w:autoSpaceDE w:val="0"/>
        <w:autoSpaceDN w:val="0"/>
        <w:bidi w:val="0"/>
        <w:adjustRightInd w:val="0"/>
        <w:snapToGrid w:val="0"/>
        <w:spacing w:line="360" w:lineRule="auto"/>
        <w:ind w:firstLine="490" w:firstLineChars="200"/>
        <w:textAlignment w:val="baseline"/>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pacing w:val="-2"/>
          <w:sz w:val="24"/>
          <w:highlight w:val="none"/>
        </w:rPr>
        <w:t>投标货物必须各项技术指标完全符合国家有关质量检测、环保标准及产品出厂标准。</w:t>
      </w:r>
    </w:p>
    <w:p w14:paraId="4C69415A">
      <w:pPr>
        <w:pStyle w:val="47"/>
        <w:pageBreakBefore w:val="0"/>
        <w:widowControl/>
        <w:kinsoku w:val="0"/>
        <w:wordWrap/>
        <w:overflowPunct/>
        <w:topLinePunct w:val="0"/>
        <w:autoSpaceDE w:val="0"/>
        <w:autoSpaceDN w:val="0"/>
        <w:bidi w:val="0"/>
        <w:adjustRightInd w:val="0"/>
        <w:snapToGrid w:val="0"/>
        <w:spacing w:line="360" w:lineRule="auto"/>
        <w:ind w:firstLine="490" w:firstLineChars="200"/>
        <w:textAlignment w:val="baseline"/>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所有货物指标要符合国家强制性标准要求。</w:t>
      </w:r>
    </w:p>
    <w:p w14:paraId="06B1B989">
      <w:pPr>
        <w:pStyle w:val="47"/>
        <w:pageBreakBefore w:val="0"/>
        <w:widowControl/>
        <w:kinsoku w:val="0"/>
        <w:wordWrap/>
        <w:overflowPunct/>
        <w:topLinePunct w:val="0"/>
        <w:autoSpaceDE w:val="0"/>
        <w:autoSpaceDN w:val="0"/>
        <w:bidi w:val="0"/>
        <w:adjustRightInd w:val="0"/>
        <w:snapToGrid w:val="0"/>
        <w:spacing w:line="360" w:lineRule="auto"/>
        <w:ind w:firstLine="490" w:firstLineChars="200"/>
        <w:textAlignment w:val="baseline"/>
        <w:rPr>
          <w:rFonts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rPr>
        <w:t>中标人必须负责中标货物的运输、质量检测等工作，所产生的费用由中标人负责。</w:t>
      </w:r>
    </w:p>
    <w:p w14:paraId="41761F16">
      <w:pPr>
        <w:pStyle w:val="47"/>
        <w:pageBreakBefore w:val="0"/>
        <w:widowControl/>
        <w:kinsoku w:val="0"/>
        <w:wordWrap/>
        <w:overflowPunct/>
        <w:topLinePunct w:val="0"/>
        <w:autoSpaceDE w:val="0"/>
        <w:autoSpaceDN w:val="0"/>
        <w:bidi w:val="0"/>
        <w:adjustRightInd w:val="0"/>
        <w:snapToGrid w:val="0"/>
        <w:spacing w:line="360" w:lineRule="auto"/>
        <w:ind w:firstLine="490" w:firstLineChars="200"/>
        <w:textAlignment w:val="baseline"/>
        <w:rPr>
          <w:rFonts w:hint="eastAsia" w:ascii="宋体" w:hAnsi="宋体"/>
          <w:b/>
          <w:color w:val="auto"/>
          <w:sz w:val="24"/>
          <w:highlight w:val="none"/>
          <w:lang w:eastAsia="zh-CN"/>
        </w:rPr>
      </w:pPr>
      <w:r>
        <w:rPr>
          <w:rFonts w:hint="eastAsia" w:ascii="宋体" w:hAnsi="宋体"/>
          <w:color w:val="auto"/>
          <w:sz w:val="24"/>
          <w:highlight w:val="none"/>
        </w:rPr>
        <w:t>6</w:t>
      </w:r>
      <w:r>
        <w:rPr>
          <w:rFonts w:hint="eastAsia" w:ascii="宋体" w:hAnsi="宋体"/>
          <w:color w:val="auto"/>
          <w:sz w:val="24"/>
          <w:highlight w:val="none"/>
          <w:lang w:eastAsia="zh-CN"/>
        </w:rPr>
        <w:t>.</w:t>
      </w:r>
      <w:r>
        <w:rPr>
          <w:rFonts w:hint="eastAsia" w:ascii="宋体" w:hAnsi="宋体"/>
          <w:color w:val="auto"/>
          <w:sz w:val="24"/>
          <w:highlight w:val="none"/>
        </w:rPr>
        <w:t>配送货物必须按时按量按质送到采购人指定地点，并当面核实克重。验收完毕后，双方必须在货物收货清单（格式自定，但必须包括货物单价、数量、重量、合价等内容）上签名确认，货物收货清单作为采购人支付货款的依据之一。</w:t>
      </w:r>
    </w:p>
    <w:p w14:paraId="67CBF99F">
      <w:pPr>
        <w:pStyle w:val="5"/>
        <w:pageBreakBefore w:val="0"/>
        <w:widowControl/>
        <w:numPr>
          <w:ilvl w:val="2"/>
          <w:numId w:val="0"/>
        </w:numPr>
        <w:kinsoku w:val="0"/>
        <w:wordWrap/>
        <w:overflowPunct/>
        <w:topLinePunct w:val="0"/>
        <w:autoSpaceDE w:val="0"/>
        <w:autoSpaceDN w:val="0"/>
        <w:bidi w:val="0"/>
        <w:adjustRightInd w:val="0"/>
        <w:snapToGrid w:val="0"/>
        <w:ind w:firstLine="490" w:firstLineChars="200"/>
        <w:textAlignment w:val="baseline"/>
        <w:rPr>
          <w:rFonts w:hint="eastAsia" w:ascii="宋体" w:hAnsi="宋体" w:eastAsia="Times New Roman" w:cs="Times New Roman"/>
          <w:b w:val="0"/>
          <w:bCs w:val="0"/>
          <w:color w:val="auto"/>
          <w:sz w:val="24"/>
          <w:szCs w:val="24"/>
          <w:highlight w:val="none"/>
          <w:lang w:val="en-US" w:eastAsia="en-US" w:bidi="en-US"/>
        </w:rPr>
      </w:pPr>
      <w:r>
        <w:rPr>
          <w:rFonts w:hint="eastAsia" w:ascii="宋体" w:hAnsi="宋体" w:eastAsia="Times New Roman" w:cs="Times New Roman"/>
          <w:b w:val="0"/>
          <w:bCs w:val="0"/>
          <w:color w:val="auto"/>
          <w:sz w:val="24"/>
          <w:szCs w:val="24"/>
          <w:highlight w:val="none"/>
          <w:lang w:val="en-US" w:eastAsia="zh-CN" w:bidi="en-US"/>
        </w:rPr>
        <w:t>7.在服务期内，采购人根据实际情况要求提供服务。供货资格的取得并不意味着食品（服务）的售出，采购人在任何情况下无法预计也无法向中标人单位保证采购的数量及采购的金额。</w:t>
      </w:r>
    </w:p>
    <w:p w14:paraId="27D15693">
      <w:pPr>
        <w:rPr>
          <w:color w:val="auto"/>
          <w:highlight w:val="none"/>
        </w:rPr>
      </w:pPr>
    </w:p>
    <w:p w14:paraId="5FDC355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highlight w:val="none"/>
          <w:lang w:eastAsia="zh-CN"/>
        </w:rPr>
        <w:sectPr>
          <w:headerReference r:id="rId7" w:type="default"/>
          <w:footerReference r:id="rId8" w:type="default"/>
          <w:pgSz w:w="11905" w:h="16838"/>
          <w:pgMar w:top="1440" w:right="1417" w:bottom="1440" w:left="1417" w:header="850" w:footer="992" w:gutter="0"/>
          <w:pgNumType w:fmt="decimal"/>
          <w:cols w:space="0" w:num="1"/>
          <w:rtlGutter w:val="0"/>
          <w:docGrid w:type="linesAndChars" w:linePitch="332" w:charSpace="1057"/>
        </w:sectPr>
      </w:pPr>
    </w:p>
    <w:bookmarkEnd w:id="47"/>
    <w:bookmarkEnd w:id="48"/>
    <w:p w14:paraId="3F41A022">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第五部分 合同条款及格式</w:t>
      </w:r>
      <w:bookmarkStart w:id="49" w:name="_Toc20669"/>
    </w:p>
    <w:p w14:paraId="411FBEB6">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49"/>
    </w:p>
    <w:p w14:paraId="6FC6A2C1">
      <w:pPr>
        <w:spacing w:before="152" w:line="221" w:lineRule="auto"/>
        <w:ind w:left="1038"/>
        <w:rPr>
          <w:rFonts w:ascii="宋体" w:hAnsi="宋体" w:eastAsia="宋体" w:cs="宋体"/>
          <w:color w:val="auto"/>
          <w:sz w:val="47"/>
          <w:szCs w:val="47"/>
          <w:highlight w:val="none"/>
        </w:rPr>
      </w:pPr>
      <w:r>
        <w:rPr>
          <w:rFonts w:ascii="宋体" w:hAnsi="宋体" w:eastAsia="宋体" w:cs="宋体"/>
          <w:b/>
          <w:bCs/>
          <w:color w:val="auto"/>
          <w:spacing w:val="4"/>
          <w:sz w:val="47"/>
          <w:szCs w:val="47"/>
          <w:highlight w:val="none"/>
        </w:rPr>
        <w:t>新疆维吾尔自治区学校食堂食材</w:t>
      </w:r>
    </w:p>
    <w:p w14:paraId="4BDF4906">
      <w:pPr>
        <w:spacing w:before="122" w:line="218" w:lineRule="auto"/>
        <w:ind w:left="3442"/>
        <w:rPr>
          <w:rFonts w:ascii="宋体" w:hAnsi="宋体" w:eastAsia="宋体" w:cs="宋体"/>
          <w:color w:val="auto"/>
          <w:sz w:val="47"/>
          <w:szCs w:val="47"/>
          <w:highlight w:val="none"/>
        </w:rPr>
      </w:pPr>
      <w:r>
        <w:rPr>
          <w:rFonts w:ascii="宋体" w:hAnsi="宋体" w:eastAsia="宋体" w:cs="宋体"/>
          <w:b/>
          <w:bCs/>
          <w:color w:val="auto"/>
          <w:spacing w:val="2"/>
          <w:sz w:val="47"/>
          <w:szCs w:val="47"/>
          <w:highlight w:val="none"/>
        </w:rPr>
        <w:t>采购合同</w:t>
      </w:r>
    </w:p>
    <w:p w14:paraId="30374625">
      <w:pPr>
        <w:spacing w:before="161" w:line="220" w:lineRule="auto"/>
        <w:ind w:firstLine="446" w:firstLineChars="100"/>
        <w:jc w:val="center"/>
        <w:rPr>
          <w:rFonts w:ascii="楷体" w:hAnsi="楷体" w:eastAsia="楷体" w:cs="楷体"/>
          <w:color w:val="auto"/>
          <w:sz w:val="43"/>
          <w:szCs w:val="43"/>
          <w:highlight w:val="none"/>
        </w:rPr>
      </w:pPr>
      <w:r>
        <w:rPr>
          <w:rFonts w:ascii="楷体" w:hAnsi="楷体" w:eastAsia="楷体" w:cs="楷体"/>
          <w:color w:val="auto"/>
          <w:spacing w:val="8"/>
          <w:sz w:val="43"/>
          <w:szCs w:val="43"/>
          <w:highlight w:val="none"/>
        </w:rPr>
        <w:t>（示范文本</w:t>
      </w:r>
      <w:r>
        <w:rPr>
          <w:rFonts w:hint="eastAsia" w:ascii="楷体" w:hAnsi="楷体" w:eastAsia="楷体" w:cs="楷体"/>
          <w:color w:val="auto"/>
          <w:spacing w:val="8"/>
          <w:sz w:val="43"/>
          <w:szCs w:val="43"/>
          <w:highlight w:val="none"/>
          <w:lang w:val="en-US" w:eastAsia="zh-CN"/>
        </w:rPr>
        <w:t>仅供参考</w:t>
      </w:r>
      <w:r>
        <w:rPr>
          <w:rFonts w:ascii="楷体" w:hAnsi="楷体" w:eastAsia="楷体" w:cs="楷体"/>
          <w:color w:val="auto"/>
          <w:spacing w:val="8"/>
          <w:sz w:val="43"/>
          <w:szCs w:val="43"/>
          <w:highlight w:val="none"/>
        </w:rPr>
        <w:t>）</w:t>
      </w:r>
    </w:p>
    <w:p w14:paraId="60911F7D">
      <w:pPr>
        <w:spacing w:before="2"/>
        <w:rPr>
          <w:color w:val="auto"/>
          <w:highlight w:val="none"/>
        </w:rPr>
      </w:pPr>
    </w:p>
    <w:p w14:paraId="7E25417E">
      <w:pPr>
        <w:spacing w:before="2"/>
        <w:rPr>
          <w:color w:val="auto"/>
          <w:highlight w:val="none"/>
        </w:rPr>
      </w:pPr>
    </w:p>
    <w:p w14:paraId="368C26B1">
      <w:pPr>
        <w:spacing w:before="2"/>
        <w:rPr>
          <w:color w:val="auto"/>
          <w:highlight w:val="none"/>
        </w:rPr>
      </w:pPr>
    </w:p>
    <w:p w14:paraId="5244FC9A">
      <w:pPr>
        <w:spacing w:before="2"/>
        <w:rPr>
          <w:color w:val="auto"/>
          <w:highlight w:val="none"/>
        </w:rPr>
      </w:pPr>
    </w:p>
    <w:p w14:paraId="513221B8">
      <w:pPr>
        <w:spacing w:before="2"/>
        <w:rPr>
          <w:color w:val="auto"/>
          <w:highlight w:val="none"/>
        </w:rPr>
      </w:pPr>
    </w:p>
    <w:p w14:paraId="2193C822">
      <w:pPr>
        <w:spacing w:before="2"/>
        <w:rPr>
          <w:color w:val="auto"/>
          <w:highlight w:val="none"/>
        </w:rPr>
      </w:pPr>
    </w:p>
    <w:p w14:paraId="2DDB6EFC">
      <w:pPr>
        <w:spacing w:before="2"/>
        <w:rPr>
          <w:color w:val="auto"/>
          <w:highlight w:val="none"/>
        </w:rPr>
      </w:pPr>
    </w:p>
    <w:p w14:paraId="5F2FB866">
      <w:pPr>
        <w:spacing w:before="2"/>
        <w:rPr>
          <w:color w:val="auto"/>
          <w:highlight w:val="none"/>
        </w:rPr>
      </w:pPr>
    </w:p>
    <w:p w14:paraId="0D5EE08D">
      <w:pPr>
        <w:spacing w:before="1"/>
        <w:rPr>
          <w:color w:val="auto"/>
          <w:highlight w:val="none"/>
        </w:rPr>
      </w:pPr>
    </w:p>
    <w:p w14:paraId="6E063552">
      <w:pPr>
        <w:spacing w:before="1"/>
        <w:rPr>
          <w:color w:val="auto"/>
          <w:highlight w:val="none"/>
        </w:rPr>
      </w:pPr>
    </w:p>
    <w:p w14:paraId="7B57B91D">
      <w:pPr>
        <w:spacing w:before="1"/>
        <w:rPr>
          <w:color w:val="auto"/>
          <w:highlight w:val="none"/>
        </w:rPr>
      </w:pPr>
    </w:p>
    <w:p w14:paraId="735202ED">
      <w:pPr>
        <w:spacing w:before="1"/>
        <w:rPr>
          <w:color w:val="auto"/>
          <w:highlight w:val="none"/>
        </w:rPr>
      </w:pPr>
    </w:p>
    <w:p w14:paraId="3BEE2A30">
      <w:pPr>
        <w:spacing w:before="1"/>
        <w:rPr>
          <w:color w:val="auto"/>
          <w:highlight w:val="none"/>
        </w:rPr>
      </w:pPr>
    </w:p>
    <w:p w14:paraId="597209C6">
      <w:pPr>
        <w:spacing w:before="1"/>
        <w:rPr>
          <w:color w:val="auto"/>
          <w:highlight w:val="none"/>
        </w:rPr>
      </w:pPr>
    </w:p>
    <w:p w14:paraId="69A0AF76">
      <w:pPr>
        <w:spacing w:before="1"/>
        <w:rPr>
          <w:color w:val="auto"/>
          <w:highlight w:val="none"/>
        </w:rPr>
      </w:pPr>
    </w:p>
    <w:p w14:paraId="11234861">
      <w:pPr>
        <w:spacing w:before="1"/>
        <w:rPr>
          <w:color w:val="auto"/>
          <w:highlight w:val="none"/>
        </w:rPr>
      </w:pPr>
    </w:p>
    <w:p w14:paraId="2542469C">
      <w:pPr>
        <w:spacing w:before="1"/>
        <w:rPr>
          <w:color w:val="auto"/>
          <w:highlight w:val="none"/>
        </w:rPr>
      </w:pPr>
    </w:p>
    <w:p w14:paraId="3EC5EBF9">
      <w:pPr>
        <w:spacing w:before="1"/>
        <w:rPr>
          <w:color w:val="auto"/>
          <w:highlight w:val="none"/>
        </w:rPr>
      </w:pPr>
    </w:p>
    <w:p w14:paraId="750032D0">
      <w:pPr>
        <w:spacing w:before="1"/>
        <w:rPr>
          <w:color w:val="auto"/>
          <w:highlight w:val="none"/>
        </w:rPr>
      </w:pPr>
    </w:p>
    <w:p w14:paraId="679CEC0F">
      <w:pPr>
        <w:spacing w:before="1"/>
        <w:rPr>
          <w:color w:val="auto"/>
          <w:highlight w:val="none"/>
        </w:rPr>
      </w:pPr>
    </w:p>
    <w:p w14:paraId="097494BC">
      <w:pPr>
        <w:spacing w:before="1"/>
        <w:rPr>
          <w:color w:val="auto"/>
          <w:highlight w:val="none"/>
        </w:rPr>
      </w:pPr>
    </w:p>
    <w:p w14:paraId="4AFC0DEF">
      <w:pPr>
        <w:spacing w:before="1"/>
        <w:rPr>
          <w:color w:val="auto"/>
          <w:highlight w:val="none"/>
        </w:rPr>
      </w:pPr>
    </w:p>
    <w:p w14:paraId="257C8380">
      <w:pPr>
        <w:spacing w:before="1"/>
        <w:rPr>
          <w:color w:val="auto"/>
          <w:highlight w:val="none"/>
        </w:rPr>
      </w:pPr>
    </w:p>
    <w:p w14:paraId="5DFD35B2">
      <w:pPr>
        <w:spacing w:before="1"/>
        <w:rPr>
          <w:color w:val="auto"/>
          <w:highlight w:val="none"/>
        </w:rPr>
      </w:pPr>
    </w:p>
    <w:p w14:paraId="40E011F8">
      <w:pPr>
        <w:spacing w:before="1"/>
        <w:rPr>
          <w:color w:val="auto"/>
          <w:highlight w:val="none"/>
        </w:rPr>
      </w:pPr>
    </w:p>
    <w:p w14:paraId="798FEDC4">
      <w:pPr>
        <w:spacing w:before="1"/>
        <w:rPr>
          <w:color w:val="auto"/>
          <w:highlight w:val="none"/>
        </w:rPr>
      </w:pPr>
    </w:p>
    <w:p w14:paraId="66AEFE2B">
      <w:pPr>
        <w:spacing w:before="1"/>
        <w:rPr>
          <w:color w:val="auto"/>
          <w:highlight w:val="none"/>
        </w:rPr>
      </w:pPr>
    </w:p>
    <w:p w14:paraId="1FF99E16">
      <w:pPr>
        <w:spacing w:before="1"/>
        <w:rPr>
          <w:color w:val="auto"/>
          <w:highlight w:val="none"/>
        </w:rPr>
      </w:pPr>
    </w:p>
    <w:p w14:paraId="5CC91BFC">
      <w:pPr>
        <w:rPr>
          <w:color w:val="auto"/>
          <w:highlight w:val="none"/>
        </w:rPr>
        <w:sectPr>
          <w:footerReference r:id="rId9" w:type="default"/>
          <w:pgSz w:w="11906" w:h="16840"/>
          <w:pgMar w:top="1140" w:right="1785" w:bottom="1617" w:left="1616" w:header="0" w:footer="1339" w:gutter="0"/>
          <w:cols w:space="720" w:num="1"/>
        </w:sectPr>
      </w:pPr>
    </w:p>
    <w:p w14:paraId="69A5829A">
      <w:pPr>
        <w:spacing w:before="65" w:line="237" w:lineRule="auto"/>
        <w:ind w:left="2587" w:right="197" w:hanging="859"/>
        <w:rPr>
          <w:rFonts w:ascii="楷体" w:hAnsi="楷体" w:eastAsia="楷体" w:cs="楷体"/>
          <w:color w:val="auto"/>
          <w:sz w:val="31"/>
          <w:szCs w:val="31"/>
          <w:highlight w:val="none"/>
        </w:rPr>
      </w:pPr>
      <w:r>
        <w:rPr>
          <w:rFonts w:ascii="楷体" w:hAnsi="楷体" w:eastAsia="楷体" w:cs="楷体"/>
          <w:color w:val="auto"/>
          <w:spacing w:val="29"/>
          <w:sz w:val="31"/>
          <w:szCs w:val="31"/>
          <w:highlight w:val="none"/>
        </w:rPr>
        <w:t>新疆维吾尔</w:t>
      </w:r>
      <w:r>
        <w:rPr>
          <w:rFonts w:ascii="楷体" w:hAnsi="楷体" w:eastAsia="楷体" w:cs="楷体"/>
          <w:color w:val="auto"/>
          <w:spacing w:val="-30"/>
          <w:sz w:val="31"/>
          <w:szCs w:val="31"/>
          <w:highlight w:val="none"/>
        </w:rPr>
        <w:t xml:space="preserve"> </w:t>
      </w:r>
      <w:r>
        <w:rPr>
          <w:rFonts w:ascii="楷体" w:hAnsi="楷体" w:eastAsia="楷体" w:cs="楷体"/>
          <w:color w:val="auto"/>
          <w:spacing w:val="29"/>
          <w:sz w:val="31"/>
          <w:szCs w:val="31"/>
          <w:highlight w:val="none"/>
        </w:rPr>
        <w:t>自治</w:t>
      </w:r>
      <w:r>
        <w:rPr>
          <w:rFonts w:ascii="楷体" w:hAnsi="楷体" w:eastAsia="楷体" w:cs="楷体"/>
          <w:color w:val="auto"/>
          <w:spacing w:val="-69"/>
          <w:sz w:val="31"/>
          <w:szCs w:val="31"/>
          <w:highlight w:val="none"/>
        </w:rPr>
        <w:t xml:space="preserve"> </w:t>
      </w:r>
      <w:r>
        <w:rPr>
          <w:rFonts w:ascii="楷体" w:hAnsi="楷体" w:eastAsia="楷体" w:cs="楷体"/>
          <w:color w:val="auto"/>
          <w:spacing w:val="29"/>
          <w:sz w:val="31"/>
          <w:szCs w:val="31"/>
          <w:highlight w:val="none"/>
        </w:rPr>
        <w:t>区市场监督管理局</w:t>
      </w:r>
      <w:r>
        <w:rPr>
          <w:rFonts w:ascii="楷体" w:hAnsi="楷体" w:eastAsia="楷体" w:cs="楷体"/>
          <w:color w:val="auto"/>
          <w:sz w:val="31"/>
          <w:szCs w:val="31"/>
          <w:highlight w:val="none"/>
        </w:rPr>
        <w:t xml:space="preserve"> </w:t>
      </w:r>
      <w:r>
        <w:rPr>
          <w:rFonts w:ascii="楷体" w:hAnsi="楷体" w:eastAsia="楷体" w:cs="楷体"/>
          <w:color w:val="auto"/>
          <w:spacing w:val="9"/>
          <w:sz w:val="31"/>
          <w:szCs w:val="31"/>
          <w:highlight w:val="none"/>
        </w:rPr>
        <w:t>新疆维吾尔自治区教育厅</w:t>
      </w:r>
    </w:p>
    <w:p w14:paraId="0BB6AF81">
      <w:pPr>
        <w:spacing w:line="14" w:lineRule="auto"/>
        <w:rPr>
          <w:rFonts w:ascii="Arial"/>
          <w:color w:val="auto"/>
          <w:sz w:val="2"/>
          <w:highlight w:val="none"/>
        </w:rPr>
      </w:pPr>
      <w:r>
        <w:rPr>
          <w:rFonts w:ascii="Arial" w:hAnsi="Arial" w:eastAsia="Arial" w:cs="Arial"/>
          <w:color w:val="auto"/>
          <w:sz w:val="2"/>
          <w:szCs w:val="2"/>
          <w:highlight w:val="none"/>
        </w:rPr>
        <w:br w:type="column"/>
      </w:r>
    </w:p>
    <w:p w14:paraId="234381F6">
      <w:pPr>
        <w:spacing w:before="214" w:line="226" w:lineRule="auto"/>
        <w:rPr>
          <w:rFonts w:ascii="楷体" w:hAnsi="楷体" w:eastAsia="楷体" w:cs="楷体"/>
          <w:color w:val="auto"/>
          <w:sz w:val="31"/>
          <w:szCs w:val="31"/>
          <w:highlight w:val="none"/>
        </w:rPr>
      </w:pPr>
      <w:r>
        <w:rPr>
          <w:rFonts w:ascii="楷体" w:hAnsi="楷体" w:eastAsia="楷体" w:cs="楷体"/>
          <w:color w:val="auto"/>
          <w:sz w:val="31"/>
          <w:szCs w:val="31"/>
          <w:highlight w:val="none"/>
        </w:rPr>
        <w:t>制定</w:t>
      </w:r>
    </w:p>
    <w:p w14:paraId="6AD76584">
      <w:pPr>
        <w:spacing w:line="226" w:lineRule="auto"/>
        <w:rPr>
          <w:rFonts w:ascii="楷体" w:hAnsi="楷体" w:eastAsia="楷体" w:cs="楷体"/>
          <w:color w:val="auto"/>
          <w:sz w:val="31"/>
          <w:szCs w:val="31"/>
          <w:highlight w:val="none"/>
        </w:rPr>
        <w:sectPr>
          <w:type w:val="continuous"/>
          <w:pgSz w:w="11906" w:h="16840"/>
          <w:pgMar w:top="400" w:right="1785" w:bottom="1617" w:left="1616" w:header="0" w:footer="1339" w:gutter="0"/>
          <w:cols w:equalWidth="0" w:num="2">
            <w:col w:w="7224" w:space="100"/>
            <w:col w:w="1181"/>
          </w:cols>
        </w:sectPr>
      </w:pPr>
    </w:p>
    <w:p w14:paraId="36700B11">
      <w:pPr>
        <w:spacing w:line="272" w:lineRule="auto"/>
        <w:rPr>
          <w:rFonts w:ascii="Arial"/>
          <w:color w:val="auto"/>
          <w:sz w:val="21"/>
          <w:highlight w:val="none"/>
        </w:rPr>
      </w:pPr>
    </w:p>
    <w:p w14:paraId="7ABEFF56">
      <w:pPr>
        <w:spacing w:line="272" w:lineRule="auto"/>
        <w:rPr>
          <w:rFonts w:ascii="Arial"/>
          <w:color w:val="auto"/>
          <w:sz w:val="21"/>
          <w:highlight w:val="none"/>
        </w:rPr>
      </w:pPr>
    </w:p>
    <w:p w14:paraId="0C2D1A37">
      <w:pPr>
        <w:spacing w:line="272" w:lineRule="auto"/>
        <w:rPr>
          <w:rFonts w:ascii="Arial"/>
          <w:color w:val="auto"/>
          <w:sz w:val="21"/>
          <w:highlight w:val="none"/>
        </w:rPr>
      </w:pPr>
    </w:p>
    <w:p w14:paraId="5E536887">
      <w:pPr>
        <w:spacing w:line="273" w:lineRule="auto"/>
        <w:rPr>
          <w:rFonts w:ascii="Arial"/>
          <w:color w:val="auto"/>
          <w:sz w:val="21"/>
          <w:highlight w:val="none"/>
        </w:rPr>
      </w:pPr>
    </w:p>
    <w:p w14:paraId="5A1EF3F1">
      <w:pPr>
        <w:spacing w:line="273" w:lineRule="auto"/>
        <w:rPr>
          <w:rFonts w:ascii="Arial"/>
          <w:color w:val="auto"/>
          <w:sz w:val="21"/>
          <w:highlight w:val="none"/>
        </w:rPr>
      </w:pPr>
    </w:p>
    <w:p w14:paraId="3007A431">
      <w:pPr>
        <w:spacing w:line="273" w:lineRule="auto"/>
        <w:rPr>
          <w:rFonts w:ascii="Arial"/>
          <w:color w:val="auto"/>
          <w:sz w:val="21"/>
          <w:highlight w:val="none"/>
        </w:rPr>
      </w:pPr>
    </w:p>
    <w:p w14:paraId="765E2A24">
      <w:pPr>
        <w:spacing w:before="101" w:line="226" w:lineRule="auto"/>
        <w:ind w:left="3802"/>
        <w:outlineLvl w:val="1"/>
        <w:rPr>
          <w:rFonts w:ascii="黑体" w:hAnsi="黑体" w:eastAsia="黑体" w:cs="黑体"/>
          <w:color w:val="auto"/>
          <w:sz w:val="31"/>
          <w:szCs w:val="31"/>
          <w:highlight w:val="none"/>
        </w:rPr>
      </w:pPr>
      <w:r>
        <w:rPr>
          <w:rFonts w:ascii="黑体" w:hAnsi="黑体" w:eastAsia="黑体" w:cs="黑体"/>
          <w:color w:val="auto"/>
          <w:spacing w:val="6"/>
          <w:sz w:val="31"/>
          <w:szCs w:val="31"/>
          <w:highlight w:val="none"/>
        </w:rPr>
        <w:t>使用说明</w:t>
      </w:r>
    </w:p>
    <w:p w14:paraId="5A4CB698">
      <w:pPr>
        <w:spacing w:line="248" w:lineRule="auto"/>
        <w:rPr>
          <w:rFonts w:ascii="Arial"/>
          <w:color w:val="auto"/>
          <w:sz w:val="21"/>
          <w:highlight w:val="none"/>
        </w:rPr>
      </w:pPr>
    </w:p>
    <w:p w14:paraId="1793F614">
      <w:pPr>
        <w:spacing w:before="95" w:line="246" w:lineRule="auto"/>
        <w:ind w:left="17" w:right="88" w:firstLine="438"/>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1"/>
          <w:sz w:val="22"/>
          <w:szCs w:val="22"/>
          <w:highlight w:val="none"/>
        </w:rPr>
        <w:t>一、为规范学校与企业的权利义务</w:t>
      </w:r>
      <w:r>
        <w:rPr>
          <w:rFonts w:ascii="微软雅黑" w:hAnsi="微软雅黑" w:eastAsia="微软雅黑" w:cs="微软雅黑"/>
          <w:color w:val="auto"/>
          <w:spacing w:val="-25"/>
          <w:sz w:val="22"/>
          <w:szCs w:val="22"/>
          <w:highlight w:val="none"/>
        </w:rPr>
        <w:t xml:space="preserve"> </w:t>
      </w:r>
      <w:r>
        <w:rPr>
          <w:rFonts w:ascii="微软雅黑" w:hAnsi="微软雅黑" w:eastAsia="微软雅黑" w:cs="微软雅黑"/>
          <w:color w:val="auto"/>
          <w:spacing w:val="-1"/>
          <w:sz w:val="22"/>
          <w:szCs w:val="22"/>
          <w:highlight w:val="none"/>
        </w:rPr>
        <w:t>，维护双方合法权益</w:t>
      </w:r>
      <w:r>
        <w:rPr>
          <w:rFonts w:ascii="微软雅黑" w:hAnsi="微软雅黑" w:eastAsia="微软雅黑" w:cs="微软雅黑"/>
          <w:color w:val="auto"/>
          <w:spacing w:val="-27"/>
          <w:sz w:val="22"/>
          <w:szCs w:val="22"/>
          <w:highlight w:val="none"/>
        </w:rPr>
        <w:t xml:space="preserve"> </w:t>
      </w:r>
      <w:r>
        <w:rPr>
          <w:rFonts w:ascii="微软雅黑" w:hAnsi="微软雅黑" w:eastAsia="微软雅黑" w:cs="微软雅黑"/>
          <w:color w:val="auto"/>
          <w:spacing w:val="-1"/>
          <w:sz w:val="22"/>
          <w:szCs w:val="22"/>
          <w:highlight w:val="none"/>
        </w:rPr>
        <w:t>，确保学校食堂大宗食材的</w:t>
      </w:r>
      <w:r>
        <w:rPr>
          <w:rFonts w:ascii="微软雅黑" w:hAnsi="微软雅黑" w:eastAsia="微软雅黑" w:cs="微软雅黑"/>
          <w:color w:val="auto"/>
          <w:spacing w:val="-2"/>
          <w:sz w:val="22"/>
          <w:szCs w:val="22"/>
          <w:highlight w:val="none"/>
        </w:rPr>
        <w:t>安全</w:t>
      </w:r>
      <w:r>
        <w:rPr>
          <w:rFonts w:ascii="微软雅黑" w:hAnsi="微软雅黑" w:eastAsia="微软雅黑" w:cs="微软雅黑"/>
          <w:color w:val="auto"/>
          <w:sz w:val="22"/>
          <w:szCs w:val="22"/>
          <w:highlight w:val="none"/>
        </w:rPr>
        <w:t xml:space="preserve"> </w:t>
      </w:r>
      <w:r>
        <w:rPr>
          <w:rFonts w:ascii="微软雅黑" w:hAnsi="微软雅黑" w:eastAsia="微软雅黑" w:cs="微软雅黑"/>
          <w:color w:val="auto"/>
          <w:spacing w:val="-1"/>
          <w:sz w:val="22"/>
          <w:szCs w:val="22"/>
          <w:highlight w:val="none"/>
        </w:rPr>
        <w:t>和质量</w:t>
      </w:r>
      <w:r>
        <w:rPr>
          <w:rFonts w:ascii="微软雅黑" w:hAnsi="微软雅黑" w:eastAsia="微软雅黑" w:cs="微软雅黑"/>
          <w:color w:val="auto"/>
          <w:spacing w:val="-27"/>
          <w:sz w:val="22"/>
          <w:szCs w:val="22"/>
          <w:highlight w:val="none"/>
        </w:rPr>
        <w:t xml:space="preserve"> </w:t>
      </w:r>
      <w:r>
        <w:rPr>
          <w:rFonts w:ascii="微软雅黑" w:hAnsi="微软雅黑" w:eastAsia="微软雅黑" w:cs="微软雅黑"/>
          <w:color w:val="auto"/>
          <w:spacing w:val="-1"/>
          <w:sz w:val="22"/>
          <w:szCs w:val="22"/>
          <w:highlight w:val="none"/>
        </w:rPr>
        <w:t>，根据《中华人民共和国民法典》及相关法律法规、规章制度要求</w:t>
      </w:r>
      <w:r>
        <w:rPr>
          <w:rFonts w:ascii="微软雅黑" w:hAnsi="微软雅黑" w:eastAsia="微软雅黑" w:cs="微软雅黑"/>
          <w:color w:val="auto"/>
          <w:spacing w:val="-27"/>
          <w:sz w:val="22"/>
          <w:szCs w:val="22"/>
          <w:highlight w:val="none"/>
        </w:rPr>
        <w:t xml:space="preserve"> </w:t>
      </w:r>
      <w:r>
        <w:rPr>
          <w:rFonts w:ascii="微软雅黑" w:hAnsi="微软雅黑" w:eastAsia="微软雅黑" w:cs="微软雅黑"/>
          <w:color w:val="auto"/>
          <w:spacing w:val="-1"/>
          <w:sz w:val="22"/>
          <w:szCs w:val="22"/>
          <w:highlight w:val="none"/>
        </w:rPr>
        <w:t>，制定本《合同示</w:t>
      </w:r>
      <w:r>
        <w:rPr>
          <w:rFonts w:ascii="微软雅黑" w:hAnsi="微软雅黑" w:eastAsia="微软雅黑" w:cs="微软雅黑"/>
          <w:color w:val="auto"/>
          <w:sz w:val="22"/>
          <w:szCs w:val="22"/>
          <w:highlight w:val="none"/>
        </w:rPr>
        <w:t xml:space="preserve"> </w:t>
      </w:r>
      <w:r>
        <w:rPr>
          <w:rFonts w:ascii="微软雅黑" w:hAnsi="微软雅黑" w:eastAsia="微软雅黑" w:cs="微软雅黑"/>
          <w:color w:val="auto"/>
          <w:spacing w:val="-2"/>
          <w:sz w:val="22"/>
          <w:szCs w:val="22"/>
          <w:highlight w:val="none"/>
        </w:rPr>
        <w:t>范文本》。</w:t>
      </w:r>
    </w:p>
    <w:p w14:paraId="4507C41A">
      <w:pPr>
        <w:spacing w:before="93" w:line="225" w:lineRule="auto"/>
        <w:ind w:left="18" w:right="88" w:firstLine="437"/>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1"/>
          <w:sz w:val="22"/>
          <w:szCs w:val="22"/>
          <w:highlight w:val="none"/>
        </w:rPr>
        <w:t>二、本《合同示范文本》供新疆维吾尔自治区行政区域内的学校与企业之间签订学校食</w:t>
      </w:r>
      <w:r>
        <w:rPr>
          <w:rFonts w:ascii="微软雅黑" w:hAnsi="微软雅黑" w:eastAsia="微软雅黑" w:cs="微软雅黑"/>
          <w:color w:val="auto"/>
          <w:sz w:val="22"/>
          <w:szCs w:val="22"/>
          <w:highlight w:val="none"/>
        </w:rPr>
        <w:t xml:space="preserve"> </w:t>
      </w:r>
      <w:r>
        <w:rPr>
          <w:rFonts w:ascii="微软雅黑" w:hAnsi="微软雅黑" w:eastAsia="微软雅黑" w:cs="微软雅黑"/>
          <w:color w:val="auto"/>
          <w:spacing w:val="-1"/>
          <w:sz w:val="22"/>
          <w:szCs w:val="22"/>
          <w:highlight w:val="none"/>
        </w:rPr>
        <w:t>堂大宗食材采购合同时参照使用。</w:t>
      </w:r>
    </w:p>
    <w:p w14:paraId="70694C98">
      <w:pPr>
        <w:spacing w:before="131" w:line="225" w:lineRule="auto"/>
        <w:ind w:left="11" w:right="88" w:firstLine="447"/>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t>三、本《合同示范文本》</w:t>
      </w:r>
      <w:r>
        <w:rPr>
          <w:rFonts w:ascii="微软雅黑" w:hAnsi="微软雅黑" w:eastAsia="微软雅黑" w:cs="微软雅黑"/>
          <w:color w:val="auto"/>
          <w:spacing w:val="-30"/>
          <w:sz w:val="22"/>
          <w:szCs w:val="22"/>
          <w:highlight w:val="none"/>
        </w:rPr>
        <w:t xml:space="preserve"> </w:t>
      </w:r>
      <w:r>
        <w:rPr>
          <w:rFonts w:ascii="微软雅黑" w:hAnsi="微软雅黑" w:eastAsia="微软雅黑" w:cs="微软雅黑"/>
          <w:color w:val="auto"/>
          <w:sz w:val="22"/>
          <w:szCs w:val="22"/>
          <w:highlight w:val="none"/>
        </w:rPr>
        <w:t xml:space="preserve">由新疆维吾尔自治区市场监督管理局和新疆维吾尔自治区教育 </w:t>
      </w:r>
      <w:r>
        <w:rPr>
          <w:rFonts w:ascii="微软雅黑" w:hAnsi="微软雅黑" w:eastAsia="微软雅黑" w:cs="微软雅黑"/>
          <w:color w:val="auto"/>
          <w:spacing w:val="-1"/>
          <w:sz w:val="22"/>
          <w:szCs w:val="22"/>
          <w:highlight w:val="none"/>
        </w:rPr>
        <w:t>厅共同制定发布并负责解释。</w:t>
      </w:r>
    </w:p>
    <w:p w14:paraId="06D5EBF5">
      <w:pPr>
        <w:spacing w:before="131" w:line="239" w:lineRule="auto"/>
        <w:ind w:left="12" w:right="88" w:firstLine="465"/>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t>四、当事人参照本《合同示范文本》订立合同的，应充分理解合同中条款的内容，并自</w:t>
      </w:r>
      <w:r>
        <w:rPr>
          <w:rFonts w:ascii="微软雅黑" w:hAnsi="微软雅黑" w:eastAsia="微软雅黑" w:cs="微软雅黑"/>
          <w:color w:val="auto"/>
          <w:spacing w:val="16"/>
          <w:sz w:val="22"/>
          <w:szCs w:val="22"/>
          <w:highlight w:val="none"/>
        </w:rPr>
        <w:t xml:space="preserve"> </w:t>
      </w:r>
      <w:r>
        <w:rPr>
          <w:rFonts w:ascii="微软雅黑" w:hAnsi="微软雅黑" w:eastAsia="微软雅黑" w:cs="微软雅黑"/>
          <w:color w:val="auto"/>
          <w:sz w:val="22"/>
          <w:szCs w:val="22"/>
          <w:highlight w:val="none"/>
        </w:rPr>
        <w:t>行承担合同订立履行所发生的法律后果</w:t>
      </w:r>
      <w:r>
        <w:rPr>
          <w:rFonts w:ascii="微软雅黑" w:hAnsi="微软雅黑" w:eastAsia="微软雅黑" w:cs="微软雅黑"/>
          <w:color w:val="auto"/>
          <w:spacing w:val="-24"/>
          <w:sz w:val="22"/>
          <w:szCs w:val="22"/>
          <w:highlight w:val="none"/>
        </w:rPr>
        <w:t xml:space="preserve"> </w:t>
      </w:r>
      <w:r>
        <w:rPr>
          <w:rFonts w:ascii="微软雅黑" w:hAnsi="微软雅黑" w:eastAsia="微软雅黑" w:cs="微软雅黑"/>
          <w:color w:val="auto"/>
          <w:sz w:val="22"/>
          <w:szCs w:val="22"/>
          <w:highlight w:val="none"/>
        </w:rPr>
        <w:t xml:space="preserve">。当事人对合同条款理解发生争议时，应按照有关法 </w:t>
      </w:r>
      <w:r>
        <w:rPr>
          <w:rFonts w:ascii="微软雅黑" w:hAnsi="微软雅黑" w:eastAsia="微软雅黑" w:cs="微软雅黑"/>
          <w:color w:val="auto"/>
          <w:spacing w:val="-1"/>
          <w:sz w:val="22"/>
          <w:szCs w:val="22"/>
          <w:highlight w:val="none"/>
        </w:rPr>
        <w:t>律法规规定对条款进行解释。</w:t>
      </w:r>
    </w:p>
    <w:p w14:paraId="6061E8B7">
      <w:pPr>
        <w:spacing w:before="134" w:line="239" w:lineRule="auto"/>
        <w:ind w:left="12" w:right="88" w:firstLine="447"/>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t>五、合同当事人参照本《合同示范文本》订立合同时</w:t>
      </w:r>
      <w:r>
        <w:rPr>
          <w:rFonts w:ascii="微软雅黑" w:hAnsi="微软雅黑" w:eastAsia="微软雅黑" w:cs="微软雅黑"/>
          <w:color w:val="auto"/>
          <w:spacing w:val="-27"/>
          <w:sz w:val="22"/>
          <w:szCs w:val="22"/>
          <w:highlight w:val="none"/>
        </w:rPr>
        <w:t xml:space="preserve"> </w:t>
      </w:r>
      <w:r>
        <w:rPr>
          <w:rFonts w:ascii="微软雅黑" w:hAnsi="微软雅黑" w:eastAsia="微软雅黑" w:cs="微软雅黑"/>
          <w:color w:val="auto"/>
          <w:sz w:val="22"/>
          <w:szCs w:val="22"/>
          <w:highlight w:val="none"/>
        </w:rPr>
        <w:t>，可以根据实际情况修改</w:t>
      </w:r>
      <w:r>
        <w:rPr>
          <w:rFonts w:ascii="微软雅黑" w:hAnsi="微软雅黑" w:eastAsia="微软雅黑" w:cs="微软雅黑"/>
          <w:color w:val="auto"/>
          <w:spacing w:val="-1"/>
          <w:sz w:val="22"/>
          <w:szCs w:val="22"/>
          <w:highlight w:val="none"/>
        </w:rPr>
        <w:t>、增补合</w:t>
      </w:r>
      <w:r>
        <w:rPr>
          <w:rFonts w:ascii="微软雅黑" w:hAnsi="微软雅黑" w:eastAsia="微软雅黑" w:cs="微软雅黑"/>
          <w:color w:val="auto"/>
          <w:sz w:val="22"/>
          <w:szCs w:val="22"/>
          <w:highlight w:val="none"/>
        </w:rPr>
        <w:t xml:space="preserve"> 同内容。但是对文本中的格式条款如果进行了修改、增补的</w:t>
      </w:r>
      <w:r>
        <w:rPr>
          <w:rFonts w:ascii="微软雅黑" w:hAnsi="微软雅黑" w:eastAsia="微软雅黑" w:cs="微软雅黑"/>
          <w:color w:val="auto"/>
          <w:spacing w:val="-26"/>
          <w:sz w:val="22"/>
          <w:szCs w:val="22"/>
          <w:highlight w:val="none"/>
        </w:rPr>
        <w:t xml:space="preserve"> </w:t>
      </w:r>
      <w:r>
        <w:rPr>
          <w:rFonts w:ascii="微软雅黑" w:hAnsi="微软雅黑" w:eastAsia="微软雅黑" w:cs="微软雅黑"/>
          <w:color w:val="auto"/>
          <w:sz w:val="22"/>
          <w:szCs w:val="22"/>
          <w:highlight w:val="none"/>
        </w:rPr>
        <w:t xml:space="preserve">，不得以“合同示范文本”名义 </w:t>
      </w:r>
      <w:r>
        <w:rPr>
          <w:rFonts w:ascii="微软雅黑" w:hAnsi="微软雅黑" w:eastAsia="微软雅黑" w:cs="微软雅黑"/>
          <w:color w:val="auto"/>
          <w:spacing w:val="-1"/>
          <w:sz w:val="22"/>
          <w:szCs w:val="22"/>
          <w:highlight w:val="none"/>
        </w:rPr>
        <w:t>使用。</w:t>
      </w:r>
    </w:p>
    <w:p w14:paraId="786DFB53">
      <w:pPr>
        <w:spacing w:before="132" w:line="239" w:lineRule="auto"/>
        <w:ind w:left="13" w:firstLine="441"/>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六、本《合同示范文本》中所称的学校食堂食材采购是</w:t>
      </w:r>
      <w:r>
        <w:rPr>
          <w:rFonts w:ascii="微软雅黑" w:hAnsi="微软雅黑" w:eastAsia="微软雅黑" w:cs="微软雅黑"/>
          <w:color w:val="auto"/>
          <w:spacing w:val="-3"/>
          <w:sz w:val="22"/>
          <w:szCs w:val="22"/>
          <w:highlight w:val="none"/>
        </w:rPr>
        <w:t>指：学校对具有相关资质、规模、</w:t>
      </w:r>
      <w:r>
        <w:rPr>
          <w:rFonts w:ascii="微软雅黑" w:hAnsi="微软雅黑" w:eastAsia="微软雅黑" w:cs="微软雅黑"/>
          <w:color w:val="auto"/>
          <w:sz w:val="22"/>
          <w:szCs w:val="22"/>
          <w:highlight w:val="none"/>
        </w:rPr>
        <w:t xml:space="preserve"> </w:t>
      </w:r>
      <w:r>
        <w:rPr>
          <w:rFonts w:ascii="微软雅黑" w:hAnsi="微软雅黑" w:eastAsia="微软雅黑" w:cs="微软雅黑"/>
          <w:color w:val="auto"/>
          <w:spacing w:val="-2"/>
          <w:sz w:val="22"/>
          <w:szCs w:val="22"/>
          <w:highlight w:val="none"/>
        </w:rPr>
        <w:t>技术、服务质量等方面优势的供应商为学校自办食堂或委托管理服务性质</w:t>
      </w:r>
      <w:r>
        <w:rPr>
          <w:rFonts w:ascii="微软雅黑" w:hAnsi="微软雅黑" w:eastAsia="微软雅黑" w:cs="微软雅黑"/>
          <w:color w:val="auto"/>
          <w:spacing w:val="-3"/>
          <w:sz w:val="22"/>
          <w:szCs w:val="22"/>
          <w:highlight w:val="none"/>
        </w:rPr>
        <w:t>的食堂提供米、面、</w:t>
      </w:r>
      <w:r>
        <w:rPr>
          <w:rFonts w:ascii="微软雅黑" w:hAnsi="微软雅黑" w:eastAsia="微软雅黑" w:cs="微软雅黑"/>
          <w:color w:val="auto"/>
          <w:sz w:val="22"/>
          <w:szCs w:val="22"/>
          <w:highlight w:val="none"/>
        </w:rPr>
        <w:t xml:space="preserve"> 油、肉、蛋、奶等大宗原材料进行统一配送服务的购</w:t>
      </w:r>
      <w:r>
        <w:rPr>
          <w:rFonts w:ascii="微软雅黑" w:hAnsi="微软雅黑" w:eastAsia="微软雅黑" w:cs="微软雅黑"/>
          <w:color w:val="auto"/>
          <w:spacing w:val="-1"/>
          <w:sz w:val="22"/>
          <w:szCs w:val="22"/>
          <w:highlight w:val="none"/>
        </w:rPr>
        <w:t>买行为。</w:t>
      </w:r>
    </w:p>
    <w:p w14:paraId="5F72CF10">
      <w:pPr>
        <w:spacing w:before="131" w:line="226" w:lineRule="auto"/>
        <w:ind w:left="14" w:right="88" w:firstLine="439"/>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t>七、本《合同示范文本》</w:t>
      </w:r>
      <w:r>
        <w:rPr>
          <w:rFonts w:ascii="微软雅黑" w:hAnsi="微软雅黑" w:eastAsia="微软雅黑" w:cs="微软雅黑"/>
          <w:color w:val="auto"/>
          <w:spacing w:val="-38"/>
          <w:sz w:val="22"/>
          <w:szCs w:val="22"/>
          <w:highlight w:val="none"/>
        </w:rPr>
        <w:t xml:space="preserve"> </w:t>
      </w:r>
      <w:r>
        <w:rPr>
          <w:rFonts w:ascii="微软雅黑" w:hAnsi="微软雅黑" w:eastAsia="微软雅黑" w:cs="微软雅黑"/>
          <w:color w:val="auto"/>
          <w:sz w:val="22"/>
          <w:szCs w:val="22"/>
          <w:highlight w:val="none"/>
        </w:rPr>
        <w:t>中所称的学校是指：普通中小</w:t>
      </w:r>
      <w:r>
        <w:rPr>
          <w:rFonts w:ascii="微软雅黑" w:hAnsi="微软雅黑" w:eastAsia="微软雅黑" w:cs="微软雅黑"/>
          <w:color w:val="auto"/>
          <w:spacing w:val="-1"/>
          <w:sz w:val="22"/>
          <w:szCs w:val="22"/>
          <w:highlight w:val="none"/>
        </w:rPr>
        <w:t>学校</w:t>
      </w:r>
      <w:r>
        <w:rPr>
          <w:rFonts w:ascii="微软雅黑" w:hAnsi="微软雅黑" w:eastAsia="微软雅黑" w:cs="微软雅黑"/>
          <w:color w:val="auto"/>
          <w:spacing w:val="-38"/>
          <w:sz w:val="22"/>
          <w:szCs w:val="22"/>
          <w:highlight w:val="none"/>
        </w:rPr>
        <w:t xml:space="preserve"> </w:t>
      </w:r>
      <w:r>
        <w:rPr>
          <w:rFonts w:ascii="微软雅黑" w:hAnsi="微软雅黑" w:eastAsia="微软雅黑" w:cs="微软雅黑"/>
          <w:color w:val="auto"/>
          <w:spacing w:val="-1"/>
          <w:sz w:val="22"/>
          <w:szCs w:val="22"/>
          <w:highlight w:val="none"/>
        </w:rPr>
        <w:t>、中等职业学校、高等教育</w:t>
      </w:r>
      <w:r>
        <w:rPr>
          <w:rFonts w:ascii="微软雅黑" w:hAnsi="微软雅黑" w:eastAsia="微软雅黑" w:cs="微软雅黑"/>
          <w:color w:val="auto"/>
          <w:sz w:val="22"/>
          <w:szCs w:val="22"/>
          <w:highlight w:val="none"/>
        </w:rPr>
        <w:t xml:space="preserve"> 学校、特殊教育学校、专门学校等，包括幼儿园、小学、初中</w:t>
      </w:r>
      <w:r>
        <w:rPr>
          <w:rFonts w:ascii="微软雅黑" w:hAnsi="微软雅黑" w:eastAsia="微软雅黑" w:cs="微软雅黑"/>
          <w:color w:val="auto"/>
          <w:spacing w:val="-1"/>
          <w:sz w:val="22"/>
          <w:szCs w:val="22"/>
          <w:highlight w:val="none"/>
        </w:rPr>
        <w:t>、高中和大学。</w:t>
      </w:r>
    </w:p>
    <w:p w14:paraId="4EF057FB">
      <w:pPr>
        <w:spacing w:before="136" w:line="251" w:lineRule="auto"/>
        <w:ind w:right="88" w:firstLine="452"/>
        <w:rPr>
          <w:rFonts w:ascii="微软雅黑" w:hAnsi="微软雅黑" w:eastAsia="微软雅黑" w:cs="微软雅黑"/>
          <w:color w:val="auto"/>
          <w:sz w:val="22"/>
          <w:szCs w:val="22"/>
          <w:highlight w:val="none"/>
        </w:rPr>
        <w:sectPr>
          <w:footerReference r:id="rId10" w:type="default"/>
          <w:pgSz w:w="11906" w:h="16840"/>
          <w:pgMar w:top="400" w:right="1384" w:bottom="1619" w:left="1577" w:header="0" w:footer="1341" w:gutter="0"/>
          <w:cols w:space="720" w:num="1"/>
        </w:sectPr>
      </w:pPr>
      <w:r>
        <w:rPr>
          <w:rFonts w:ascii="微软雅黑" w:hAnsi="微软雅黑" w:eastAsia="微软雅黑" w:cs="微软雅黑"/>
          <w:color w:val="auto"/>
          <w:sz w:val="22"/>
          <w:szCs w:val="22"/>
          <w:highlight w:val="none"/>
        </w:rPr>
        <w:t>八、为保证合同条款的全面、准确，请在“新疆维吾尔自治区市场监督管理局”</w:t>
      </w:r>
      <w:r>
        <w:rPr>
          <w:rFonts w:ascii="微软雅黑" w:hAnsi="微软雅黑" w:eastAsia="微软雅黑" w:cs="微软雅黑"/>
          <w:color w:val="auto"/>
          <w:spacing w:val="-26"/>
          <w:sz w:val="22"/>
          <w:szCs w:val="22"/>
          <w:highlight w:val="none"/>
        </w:rPr>
        <w:t xml:space="preserve"> </w:t>
      </w:r>
      <w:r>
        <w:rPr>
          <w:rFonts w:ascii="微软雅黑" w:hAnsi="微软雅黑" w:eastAsia="微软雅黑" w:cs="微软雅黑"/>
          <w:color w:val="auto"/>
          <w:sz w:val="22"/>
          <w:szCs w:val="22"/>
          <w:highlight w:val="none"/>
        </w:rPr>
        <w:t xml:space="preserve">门户网 </w:t>
      </w:r>
      <w:r>
        <w:rPr>
          <w:rFonts w:ascii="微软雅黑" w:hAnsi="微软雅黑" w:eastAsia="微软雅黑" w:cs="微软雅黑"/>
          <w:color w:val="auto"/>
          <w:spacing w:val="-1"/>
          <w:sz w:val="22"/>
          <w:szCs w:val="22"/>
          <w:highlight w:val="none"/>
        </w:rPr>
        <w:t>站（ www.xjaic.gov.cn ）“</w:t>
      </w:r>
      <w:r>
        <w:rPr>
          <w:rFonts w:ascii="微软雅黑" w:hAnsi="微软雅黑" w:eastAsia="微软雅黑" w:cs="微软雅黑"/>
          <w:color w:val="auto"/>
          <w:spacing w:val="-45"/>
          <w:sz w:val="22"/>
          <w:szCs w:val="22"/>
          <w:highlight w:val="none"/>
        </w:rPr>
        <w:t xml:space="preserve"> </w:t>
      </w:r>
      <w:r>
        <w:rPr>
          <w:rFonts w:ascii="微软雅黑" w:hAnsi="微软雅黑" w:eastAsia="微软雅黑" w:cs="微软雅黑"/>
          <w:color w:val="auto"/>
          <w:spacing w:val="-1"/>
          <w:sz w:val="22"/>
          <w:szCs w:val="22"/>
          <w:highlight w:val="none"/>
        </w:rPr>
        <w:t>合同示范文本</w:t>
      </w:r>
      <w:r>
        <w:rPr>
          <w:rFonts w:ascii="微软雅黑" w:hAnsi="微软雅黑" w:eastAsia="微软雅黑" w:cs="微软雅黑"/>
          <w:color w:val="auto"/>
          <w:spacing w:val="-29"/>
          <w:sz w:val="22"/>
          <w:szCs w:val="22"/>
          <w:highlight w:val="none"/>
        </w:rPr>
        <w:t xml:space="preserve"> </w:t>
      </w:r>
      <w:r>
        <w:rPr>
          <w:rFonts w:ascii="微软雅黑" w:hAnsi="微软雅黑" w:eastAsia="微软雅黑" w:cs="微软雅黑"/>
          <w:color w:val="auto"/>
          <w:spacing w:val="-1"/>
          <w:sz w:val="22"/>
          <w:szCs w:val="22"/>
          <w:highlight w:val="none"/>
        </w:rPr>
        <w:t>”模块</w:t>
      </w:r>
      <w:r>
        <w:rPr>
          <w:rFonts w:ascii="微软雅黑" w:hAnsi="微软雅黑" w:eastAsia="微软雅黑" w:cs="微软雅黑"/>
          <w:color w:val="auto"/>
          <w:spacing w:val="-25"/>
          <w:sz w:val="22"/>
          <w:szCs w:val="22"/>
          <w:highlight w:val="none"/>
        </w:rPr>
        <w:t xml:space="preserve"> </w:t>
      </w:r>
      <w:r>
        <w:rPr>
          <w:rFonts w:ascii="微软雅黑" w:hAnsi="微软雅黑" w:eastAsia="微软雅黑" w:cs="微软雅黑"/>
          <w:color w:val="auto"/>
          <w:spacing w:val="-1"/>
          <w:sz w:val="22"/>
          <w:szCs w:val="22"/>
          <w:highlight w:val="none"/>
        </w:rPr>
        <w:t>、“</w:t>
      </w:r>
      <w:r>
        <w:rPr>
          <w:rFonts w:ascii="微软雅黑" w:hAnsi="微软雅黑" w:eastAsia="微软雅黑" w:cs="微软雅黑"/>
          <w:color w:val="auto"/>
          <w:spacing w:val="-45"/>
          <w:sz w:val="22"/>
          <w:szCs w:val="22"/>
          <w:highlight w:val="none"/>
        </w:rPr>
        <w:t xml:space="preserve"> </w:t>
      </w:r>
      <w:r>
        <w:rPr>
          <w:rFonts w:ascii="微软雅黑" w:hAnsi="微软雅黑" w:eastAsia="微软雅黑" w:cs="微软雅黑"/>
          <w:color w:val="auto"/>
          <w:spacing w:val="-1"/>
          <w:sz w:val="22"/>
          <w:szCs w:val="22"/>
          <w:highlight w:val="none"/>
        </w:rPr>
        <w:t>新疆维吾尔自治区教育厅</w:t>
      </w:r>
      <w:r>
        <w:rPr>
          <w:rFonts w:ascii="微软雅黑" w:hAnsi="微软雅黑" w:eastAsia="微软雅黑" w:cs="微软雅黑"/>
          <w:color w:val="auto"/>
          <w:spacing w:val="-32"/>
          <w:sz w:val="22"/>
          <w:szCs w:val="22"/>
          <w:highlight w:val="none"/>
        </w:rPr>
        <w:t xml:space="preserve"> </w:t>
      </w:r>
      <w:r>
        <w:rPr>
          <w:rFonts w:ascii="微软雅黑" w:hAnsi="微软雅黑" w:eastAsia="微软雅黑" w:cs="微软雅黑"/>
          <w:color w:val="auto"/>
          <w:spacing w:val="-2"/>
          <w:sz w:val="22"/>
          <w:szCs w:val="22"/>
          <w:highlight w:val="none"/>
        </w:rPr>
        <w:t>”</w:t>
      </w:r>
      <w:r>
        <w:rPr>
          <w:rFonts w:ascii="微软雅黑" w:hAnsi="微软雅黑" w:eastAsia="微软雅黑" w:cs="微软雅黑"/>
          <w:color w:val="auto"/>
          <w:spacing w:val="-39"/>
          <w:sz w:val="22"/>
          <w:szCs w:val="22"/>
          <w:highlight w:val="none"/>
        </w:rPr>
        <w:t xml:space="preserve"> </w:t>
      </w:r>
      <w:r>
        <w:rPr>
          <w:rFonts w:ascii="微软雅黑" w:hAnsi="微软雅黑" w:eastAsia="微软雅黑" w:cs="微软雅黑"/>
          <w:color w:val="auto"/>
          <w:spacing w:val="-2"/>
          <w:sz w:val="22"/>
          <w:szCs w:val="22"/>
          <w:highlight w:val="none"/>
        </w:rPr>
        <w:t>门户网站</w:t>
      </w:r>
      <w:r>
        <w:rPr>
          <w:rFonts w:ascii="微软雅黑" w:hAnsi="微软雅黑" w:eastAsia="微软雅黑" w:cs="微软雅黑"/>
          <w:color w:val="auto"/>
          <w:sz w:val="22"/>
          <w:szCs w:val="22"/>
          <w:highlight w:val="none"/>
        </w:rPr>
        <w:t xml:space="preserve"> </w:t>
      </w:r>
      <w:r>
        <w:rPr>
          <w:rFonts w:ascii="微软雅黑" w:hAnsi="微软雅黑" w:eastAsia="微软雅黑" w:cs="微软雅黑"/>
          <w:color w:val="auto"/>
          <w:spacing w:val="-6"/>
          <w:sz w:val="22"/>
          <w:szCs w:val="22"/>
          <w:highlight w:val="none"/>
        </w:rPr>
        <w:t>（jyt.xinjiang.gov.cn）相关栏目等渠道下载本《合同示范文本》</w:t>
      </w:r>
      <w:r>
        <w:rPr>
          <w:rFonts w:ascii="微软雅黑" w:hAnsi="微软雅黑" w:eastAsia="微软雅黑" w:cs="微软雅黑"/>
          <w:color w:val="auto"/>
          <w:spacing w:val="-29"/>
          <w:sz w:val="22"/>
          <w:szCs w:val="22"/>
          <w:highlight w:val="none"/>
        </w:rPr>
        <w:t xml:space="preserve"> </w:t>
      </w:r>
      <w:r>
        <w:rPr>
          <w:rFonts w:ascii="微软雅黑" w:hAnsi="微软雅黑" w:eastAsia="微软雅黑" w:cs="微软雅黑"/>
          <w:color w:val="auto"/>
          <w:spacing w:val="-6"/>
          <w:sz w:val="22"/>
          <w:szCs w:val="22"/>
          <w:highlight w:val="none"/>
        </w:rPr>
        <w:t>，任何单</w:t>
      </w:r>
      <w:r>
        <w:rPr>
          <w:rFonts w:ascii="微软雅黑" w:hAnsi="微软雅黑" w:eastAsia="微软雅黑" w:cs="微软雅黑"/>
          <w:color w:val="auto"/>
          <w:spacing w:val="-7"/>
          <w:sz w:val="22"/>
          <w:szCs w:val="22"/>
          <w:highlight w:val="none"/>
        </w:rPr>
        <w:t>位和个人不得出于商</w:t>
      </w:r>
      <w:r>
        <w:rPr>
          <w:rFonts w:ascii="微软雅黑" w:hAnsi="微软雅黑" w:eastAsia="微软雅黑" w:cs="微软雅黑"/>
          <w:color w:val="auto"/>
          <w:sz w:val="22"/>
          <w:szCs w:val="22"/>
          <w:highlight w:val="none"/>
        </w:rPr>
        <w:t xml:space="preserve"> 业目的擅自翻印和出售《合同示范文本》。</w:t>
      </w:r>
    </w:p>
    <w:p w14:paraId="705514DB">
      <w:pPr>
        <w:spacing w:line="270" w:lineRule="auto"/>
        <w:rPr>
          <w:rFonts w:ascii="Arial"/>
          <w:color w:val="auto"/>
          <w:sz w:val="21"/>
          <w:highlight w:val="none"/>
        </w:rPr>
      </w:pPr>
    </w:p>
    <w:p w14:paraId="01FB3FD7">
      <w:pPr>
        <w:spacing w:before="140" w:line="230" w:lineRule="auto"/>
        <w:ind w:left="3524" w:right="1333" w:hanging="2242"/>
        <w:rPr>
          <w:rFonts w:ascii="宋体" w:hAnsi="宋体" w:eastAsia="宋体" w:cs="宋体"/>
          <w:color w:val="auto"/>
          <w:sz w:val="43"/>
          <w:szCs w:val="43"/>
          <w:highlight w:val="none"/>
        </w:rPr>
      </w:pPr>
      <w:r>
        <w:rPr>
          <w:rFonts w:ascii="宋体" w:hAnsi="宋体" w:eastAsia="宋体" w:cs="宋体"/>
          <w:b/>
          <w:bCs/>
          <w:color w:val="auto"/>
          <w:spacing w:val="12"/>
          <w:sz w:val="43"/>
          <w:szCs w:val="43"/>
          <w:highlight w:val="none"/>
        </w:rPr>
        <w:t>新疆维吾尔自治区学校食堂食材</w:t>
      </w:r>
      <w:r>
        <w:rPr>
          <w:rFonts w:ascii="宋体" w:hAnsi="宋体" w:eastAsia="宋体" w:cs="宋体"/>
          <w:b/>
          <w:bCs/>
          <w:color w:val="auto"/>
          <w:spacing w:val="9"/>
          <w:sz w:val="43"/>
          <w:szCs w:val="43"/>
          <w:highlight w:val="none"/>
        </w:rPr>
        <w:t>采购合同</w:t>
      </w:r>
    </w:p>
    <w:p w14:paraId="31B76729">
      <w:pPr>
        <w:spacing w:line="325" w:lineRule="auto"/>
        <w:rPr>
          <w:rFonts w:ascii="Arial"/>
          <w:color w:val="auto"/>
          <w:sz w:val="21"/>
          <w:highlight w:val="none"/>
        </w:rPr>
      </w:pPr>
    </w:p>
    <w:p w14:paraId="482501B2">
      <w:pPr>
        <w:spacing w:line="326" w:lineRule="auto"/>
        <w:rPr>
          <w:rFonts w:ascii="Arial"/>
          <w:color w:val="auto"/>
          <w:sz w:val="21"/>
          <w:highlight w:val="none"/>
        </w:rPr>
      </w:pPr>
    </w:p>
    <w:p w14:paraId="5AB1414D">
      <w:pPr>
        <w:spacing w:before="78" w:line="220" w:lineRule="auto"/>
        <w:ind w:left="52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甲方（学校方）：</w:t>
      </w:r>
    </w:p>
    <w:p w14:paraId="61E22D5F">
      <w:pPr>
        <w:spacing w:before="214" w:line="370" w:lineRule="auto"/>
        <w:ind w:left="519" w:right="6219" w:hanging="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统一社会信用代码：</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
          <w:sz w:val="24"/>
          <w:szCs w:val="24"/>
          <w:highlight w:val="none"/>
        </w:rPr>
        <w:t>乙方（供货方</w:t>
      </w:r>
      <w:r>
        <w:rPr>
          <w:rFonts w:hint="eastAsia" w:ascii="宋体" w:hAnsi="宋体" w:eastAsia="宋体" w:cs="宋体"/>
          <w:color w:val="auto"/>
          <w:sz w:val="24"/>
          <w:szCs w:val="24"/>
          <w:highlight w:val="none"/>
        </w:rPr>
        <w:t>）：</w:t>
      </w:r>
    </w:p>
    <w:p w14:paraId="0FF8C97A">
      <w:pPr>
        <w:spacing w:before="37" w:line="219" w:lineRule="auto"/>
        <w:ind w:left="50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统一社会信用代码：</w:t>
      </w:r>
    </w:p>
    <w:p w14:paraId="52C61F8F">
      <w:pPr>
        <w:spacing w:line="315" w:lineRule="auto"/>
        <w:rPr>
          <w:rFonts w:hint="eastAsia" w:ascii="宋体" w:hAnsi="宋体" w:eastAsia="宋体" w:cs="宋体"/>
          <w:color w:val="auto"/>
          <w:sz w:val="21"/>
          <w:highlight w:val="none"/>
        </w:rPr>
      </w:pPr>
    </w:p>
    <w:p w14:paraId="42D20A8F">
      <w:pPr>
        <w:spacing w:line="316" w:lineRule="auto"/>
        <w:rPr>
          <w:rFonts w:hint="eastAsia" w:ascii="宋体" w:hAnsi="宋体" w:eastAsia="宋体" w:cs="宋体"/>
          <w:color w:val="auto"/>
          <w:sz w:val="21"/>
          <w:highlight w:val="none"/>
        </w:rPr>
      </w:pPr>
    </w:p>
    <w:p w14:paraId="51B82C42">
      <w:pPr>
        <w:spacing w:before="78" w:line="378" w:lineRule="auto"/>
        <w:ind w:firstLine="498"/>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依据《中华人民共和国民法典》《招投标文件》《中标通知书》及其他法律、</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5"/>
          <w:sz w:val="24"/>
          <w:szCs w:val="24"/>
          <w:highlight w:val="none"/>
        </w:rPr>
        <w:t>法规、规章规定，遵循平等、</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5"/>
          <w:sz w:val="24"/>
          <w:szCs w:val="24"/>
          <w:highlight w:val="none"/>
        </w:rPr>
        <w:t>自愿、公平和诚实信用原则，经甲乙双</w:t>
      </w:r>
      <w:r>
        <w:rPr>
          <w:rFonts w:hint="eastAsia" w:ascii="宋体" w:hAnsi="宋体" w:eastAsia="宋体" w:cs="宋体"/>
          <w:color w:val="auto"/>
          <w:spacing w:val="4"/>
          <w:sz w:val="24"/>
          <w:szCs w:val="24"/>
          <w:highlight w:val="none"/>
        </w:rPr>
        <w:t>方协商一致，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就学校食堂采购食材事宜，签订本合同，食材具体质量要求详见附件《学校大宗食</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5"/>
          <w:sz w:val="24"/>
          <w:szCs w:val="24"/>
          <w:highlight w:val="none"/>
        </w:rPr>
        <w:t>材原（辅）料技术及质量要求表》。</w:t>
      </w:r>
    </w:p>
    <w:p w14:paraId="74C2C1EC">
      <w:pPr>
        <w:spacing w:before="37" w:line="220" w:lineRule="auto"/>
        <w:ind w:left="5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一、合同期限</w:t>
      </w:r>
    </w:p>
    <w:p w14:paraId="3F9CF2D5">
      <w:pPr>
        <w:spacing w:before="212" w:line="376" w:lineRule="auto"/>
        <w:ind w:right="27" w:firstLine="49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供货服务期</w:t>
      </w:r>
      <w:r>
        <w:rPr>
          <w:rFonts w:hint="eastAsia" w:ascii="宋体" w:hAnsi="宋体" w:eastAsia="宋体" w:cs="宋体"/>
          <w:color w:val="auto"/>
          <w:spacing w:val="-106"/>
          <w:sz w:val="24"/>
          <w:szCs w:val="24"/>
          <w:highlight w:val="none"/>
        </w:rPr>
        <w:t xml:space="preserve"> </w:t>
      </w:r>
      <w:r>
        <w:rPr>
          <w:rFonts w:hint="eastAsia"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5"/>
          <w:sz w:val="24"/>
          <w:szCs w:val="24"/>
          <w:highlight w:val="none"/>
        </w:rPr>
        <w:t>年，即：</w:t>
      </w:r>
      <w:r>
        <w:rPr>
          <w:rFonts w:hint="eastAsia"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5"/>
          <w:sz w:val="24"/>
          <w:szCs w:val="24"/>
          <w:highlight w:val="none"/>
        </w:rPr>
        <w:t>年</w:t>
      </w:r>
      <w:r>
        <w:rPr>
          <w:rFonts w:hint="eastAsia" w:ascii="宋体" w:hAnsi="宋体" w:eastAsia="宋体" w:cs="宋体"/>
          <w:color w:val="auto"/>
          <w:spacing w:val="-111"/>
          <w:sz w:val="24"/>
          <w:szCs w:val="24"/>
          <w:highlight w:val="none"/>
        </w:rPr>
        <w:t xml:space="preserve"> </w:t>
      </w:r>
      <w:r>
        <w:rPr>
          <w:rFonts w:hint="eastAsia"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104"/>
          <w:sz w:val="24"/>
          <w:szCs w:val="24"/>
          <w:highlight w:val="none"/>
        </w:rPr>
        <w:t xml:space="preserve"> </w:t>
      </w:r>
      <w:r>
        <w:rPr>
          <w:rFonts w:hint="eastAsia" w:ascii="宋体" w:hAnsi="宋体" w:eastAsia="宋体" w:cs="宋体"/>
          <w:color w:val="auto"/>
          <w:spacing w:val="-5"/>
          <w:sz w:val="24"/>
          <w:szCs w:val="24"/>
          <w:highlight w:val="none"/>
        </w:rPr>
        <w:t>月</w:t>
      </w:r>
      <w:r>
        <w:rPr>
          <w:rFonts w:hint="eastAsia" w:ascii="宋体" w:hAnsi="宋体" w:eastAsia="宋体" w:cs="宋体"/>
          <w:color w:val="auto"/>
          <w:spacing w:val="-114"/>
          <w:sz w:val="24"/>
          <w:szCs w:val="24"/>
          <w:highlight w:val="none"/>
        </w:rPr>
        <w:t xml:space="preserve"> </w:t>
      </w:r>
      <w:r>
        <w:rPr>
          <w:rFonts w:hint="eastAsia"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68"/>
          <w:sz w:val="24"/>
          <w:szCs w:val="24"/>
          <w:highlight w:val="none"/>
        </w:rPr>
        <w:t xml:space="preserve"> </w:t>
      </w:r>
      <w:r>
        <w:rPr>
          <w:rFonts w:hint="eastAsia" w:ascii="宋体" w:hAnsi="宋体" w:eastAsia="宋体" w:cs="宋体"/>
          <w:color w:val="auto"/>
          <w:spacing w:val="-5"/>
          <w:sz w:val="24"/>
          <w:szCs w:val="24"/>
          <w:highlight w:val="none"/>
        </w:rPr>
        <w:t>日至</w:t>
      </w:r>
      <w:r>
        <w:rPr>
          <w:rFonts w:hint="eastAsia" w:ascii="宋体" w:hAnsi="宋体" w:eastAsia="宋体" w:cs="宋体"/>
          <w:color w:val="auto"/>
          <w:spacing w:val="-111"/>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106"/>
          <w:sz w:val="24"/>
          <w:szCs w:val="24"/>
          <w:highlight w:val="none"/>
        </w:rPr>
        <w:t xml:space="preserve"> </w:t>
      </w:r>
      <w:r>
        <w:rPr>
          <w:rFonts w:hint="eastAsia" w:ascii="宋体" w:hAnsi="宋体" w:eastAsia="宋体" w:cs="宋体"/>
          <w:color w:val="auto"/>
          <w:spacing w:val="-5"/>
          <w:sz w:val="24"/>
          <w:szCs w:val="24"/>
          <w:highlight w:val="none"/>
        </w:rPr>
        <w:t>年</w:t>
      </w:r>
      <w:r>
        <w:rPr>
          <w:rFonts w:hint="eastAsia" w:ascii="宋体" w:hAnsi="宋体" w:eastAsia="宋体" w:cs="宋体"/>
          <w:color w:val="auto"/>
          <w:spacing w:val="-111"/>
          <w:sz w:val="24"/>
          <w:szCs w:val="24"/>
          <w:highlight w:val="none"/>
        </w:rPr>
        <w:t xml:space="preserve"> </w:t>
      </w:r>
      <w:r>
        <w:rPr>
          <w:rFonts w:hint="eastAsia"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104"/>
          <w:sz w:val="24"/>
          <w:szCs w:val="24"/>
          <w:highlight w:val="none"/>
        </w:rPr>
        <w:t xml:space="preserve"> </w:t>
      </w:r>
      <w:r>
        <w:rPr>
          <w:rFonts w:hint="eastAsia" w:ascii="宋体" w:hAnsi="宋体" w:eastAsia="宋体" w:cs="宋体"/>
          <w:color w:val="auto"/>
          <w:spacing w:val="-5"/>
          <w:sz w:val="24"/>
          <w:szCs w:val="24"/>
          <w:highlight w:val="none"/>
        </w:rPr>
        <w:t>月</w:t>
      </w:r>
      <w:r>
        <w:rPr>
          <w:rFonts w:hint="eastAsia" w:ascii="宋体" w:hAnsi="宋体" w:eastAsia="宋体" w:cs="宋体"/>
          <w:color w:val="auto"/>
          <w:spacing w:val="-111"/>
          <w:sz w:val="24"/>
          <w:szCs w:val="24"/>
          <w:highlight w:val="none"/>
        </w:rPr>
        <w:t xml:space="preserve"> </w:t>
      </w:r>
      <w:r>
        <w:rPr>
          <w:rFonts w:hint="eastAsia"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5"/>
          <w:sz w:val="24"/>
          <w:szCs w:val="24"/>
          <w:highlight w:val="none"/>
        </w:rPr>
        <w:t>日止；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合同一年一签，即：</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113"/>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103"/>
          <w:sz w:val="24"/>
          <w:szCs w:val="24"/>
          <w:highlight w:val="none"/>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113"/>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日至</w:t>
      </w:r>
      <w:r>
        <w:rPr>
          <w:rFonts w:hint="eastAsia" w:ascii="宋体" w:hAnsi="宋体" w:eastAsia="宋体" w:cs="宋体"/>
          <w:color w:val="auto"/>
          <w:spacing w:val="-113"/>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113"/>
          <w:sz w:val="24"/>
          <w:szCs w:val="24"/>
          <w:highlight w:val="none"/>
        </w:rPr>
        <w:t xml:space="preserve"> </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102"/>
          <w:sz w:val="24"/>
          <w:szCs w:val="24"/>
          <w:highlight w:val="none"/>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111"/>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6"/>
          <w:sz w:val="24"/>
          <w:szCs w:val="24"/>
          <w:highlight w:val="none"/>
        </w:rPr>
        <w:t>日止。如采用招投标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方式确定管理服务对象的，则本合同期限与招投标文件保持一致。</w:t>
      </w:r>
    </w:p>
    <w:p w14:paraId="3F35156E">
      <w:pPr>
        <w:spacing w:before="33"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服务期内，国家、</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3"/>
          <w:sz w:val="24"/>
          <w:szCs w:val="24"/>
          <w:highlight w:val="none"/>
        </w:rPr>
        <w:t>自治区如发布新的规定，按照国家、</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3"/>
          <w:sz w:val="24"/>
          <w:szCs w:val="24"/>
          <w:highlight w:val="none"/>
        </w:rPr>
        <w:t>自治区新的规定</w:t>
      </w:r>
      <w:r>
        <w:rPr>
          <w:rFonts w:hint="eastAsia" w:ascii="宋体" w:hAnsi="宋体" w:eastAsia="宋体" w:cs="宋体"/>
          <w:color w:val="auto"/>
          <w:spacing w:val="2"/>
          <w:sz w:val="24"/>
          <w:szCs w:val="24"/>
          <w:highlight w:val="none"/>
        </w:rPr>
        <w:t>执行。</w:t>
      </w:r>
    </w:p>
    <w:p w14:paraId="767691BD">
      <w:pPr>
        <w:spacing w:before="215" w:line="218" w:lineRule="auto"/>
        <w:ind w:left="500"/>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二、合同金额、食材供应的品种及单价</w:t>
      </w:r>
    </w:p>
    <w:p w14:paraId="7A9CF896">
      <w:pPr>
        <w:spacing w:before="219" w:line="329" w:lineRule="auto"/>
        <w:ind w:right="34" w:firstLine="50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（一）预计年采购金额为</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101"/>
          <w:sz w:val="24"/>
          <w:szCs w:val="24"/>
          <w:highlight w:val="none"/>
        </w:rPr>
        <w:t xml:space="preserve"> </w:t>
      </w:r>
      <w:r>
        <w:rPr>
          <w:rFonts w:hint="eastAsia" w:ascii="宋体" w:hAnsi="宋体" w:eastAsia="宋体" w:cs="宋体"/>
          <w:color w:val="auto"/>
          <w:spacing w:val="3"/>
          <w:sz w:val="24"/>
          <w:szCs w:val="24"/>
          <w:highlight w:val="none"/>
        </w:rPr>
        <w:t>万元（本合同具体金额：学校按照国家和自治区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有关规定采购贫困地区农副产品之外的实际发生采购金额，最终以实际配送数量和</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2"/>
          <w:sz w:val="24"/>
          <w:szCs w:val="24"/>
          <w:highlight w:val="none"/>
        </w:rPr>
        <w:t>范围进行结算）。</w:t>
      </w:r>
    </w:p>
    <w:p w14:paraId="7B2876C3">
      <w:pPr>
        <w:spacing w:before="216" w:line="302" w:lineRule="auto"/>
        <w:ind w:firstLine="50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（二）本次招标实行定点采购的食堂原（辅）材料为以下项目：大米、面</w:t>
      </w:r>
      <w:r>
        <w:rPr>
          <w:rFonts w:hint="eastAsia" w:ascii="宋体" w:hAnsi="宋体" w:eastAsia="宋体" w:cs="宋体"/>
          <w:color w:val="auto"/>
          <w:spacing w:val="5"/>
          <w:sz w:val="24"/>
          <w:szCs w:val="24"/>
          <w:highlight w:val="none"/>
        </w:rPr>
        <w:t>粉、</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食用油、调味品、肉、禽蛋、蔬菜、豆制品、水果等食品。</w:t>
      </w:r>
    </w:p>
    <w:p w14:paraId="15FCC1B2">
      <w:pPr>
        <w:spacing w:before="213"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三、交货地点、时间、数量及验收</w:t>
      </w:r>
    </w:p>
    <w:p w14:paraId="51BD5B11">
      <w:pPr>
        <w:spacing w:line="219" w:lineRule="auto"/>
        <w:rPr>
          <w:rFonts w:hint="eastAsia" w:ascii="宋体" w:hAnsi="宋体" w:eastAsia="宋体" w:cs="宋体"/>
          <w:color w:val="auto"/>
          <w:sz w:val="24"/>
          <w:szCs w:val="24"/>
          <w:highlight w:val="none"/>
        </w:rPr>
        <w:sectPr>
          <w:footerReference r:id="rId11" w:type="default"/>
          <w:pgSz w:w="11906" w:h="16839"/>
          <w:pgMar w:top="400" w:right="1438" w:bottom="1666" w:left="1595" w:header="0" w:footer="1388" w:gutter="0"/>
          <w:cols w:space="720" w:num="1"/>
        </w:sectPr>
      </w:pPr>
    </w:p>
    <w:p w14:paraId="46D6204C">
      <w:pPr>
        <w:spacing w:line="258" w:lineRule="auto"/>
        <w:rPr>
          <w:rFonts w:hint="eastAsia" w:ascii="宋体" w:hAnsi="宋体" w:eastAsia="宋体" w:cs="宋体"/>
          <w:color w:val="auto"/>
          <w:sz w:val="21"/>
          <w:highlight w:val="none"/>
        </w:rPr>
      </w:pPr>
    </w:p>
    <w:p w14:paraId="6E0B1AB0">
      <w:pPr>
        <w:spacing w:before="78" w:line="302" w:lineRule="auto"/>
        <w:ind w:right="82" w:firstLine="510"/>
        <w:rPr>
          <w:rFonts w:hint="eastAsia" w:ascii="宋体" w:hAnsi="宋体" w:eastAsia="宋体" w:cs="宋体"/>
          <w:color w:val="auto"/>
          <w:spacing w:val="5"/>
          <w:sz w:val="24"/>
          <w:szCs w:val="24"/>
          <w:highlight w:val="none"/>
        </w:rPr>
      </w:pPr>
    </w:p>
    <w:p w14:paraId="4B38D24F">
      <w:pPr>
        <w:spacing w:before="78" w:line="302" w:lineRule="auto"/>
        <w:ind w:right="82" w:firstLine="51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（一）交货地点：乙方根据配送范围内学校具体要求将</w:t>
      </w:r>
      <w:r>
        <w:rPr>
          <w:rFonts w:hint="eastAsia" w:ascii="宋体" w:hAnsi="宋体" w:eastAsia="宋体" w:cs="宋体"/>
          <w:color w:val="auto"/>
          <w:spacing w:val="4"/>
          <w:sz w:val="24"/>
          <w:szCs w:val="24"/>
          <w:highlight w:val="none"/>
        </w:rPr>
        <w:t>产品送至指定地方即配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送目标学校内，原则上送至学校食堂。</w:t>
      </w:r>
    </w:p>
    <w:p w14:paraId="1AC195AC">
      <w:pPr>
        <w:spacing w:before="214" w:line="219" w:lineRule="auto"/>
        <w:ind w:left="51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（二）数量：</w:t>
      </w:r>
      <w:r>
        <w:rPr>
          <w:rFonts w:hint="eastAsia" w:ascii="宋体" w:hAnsi="宋体" w:eastAsia="宋体" w:cs="宋体"/>
          <w:color w:val="auto"/>
          <w:spacing w:val="-58"/>
          <w:sz w:val="24"/>
          <w:szCs w:val="24"/>
          <w:highlight w:val="none"/>
        </w:rPr>
        <w:t xml:space="preserve"> </w:t>
      </w:r>
      <w:r>
        <w:rPr>
          <w:rFonts w:hint="eastAsia" w:ascii="宋体" w:hAnsi="宋体" w:eastAsia="宋体" w:cs="宋体"/>
          <w:color w:val="auto"/>
          <w:spacing w:val="4"/>
          <w:sz w:val="24"/>
          <w:szCs w:val="24"/>
          <w:highlight w:val="none"/>
        </w:rPr>
        <w:t>以甲乙双方签字确认后的配送验收单为准。</w:t>
      </w:r>
    </w:p>
    <w:p w14:paraId="11A9AE50">
      <w:pPr>
        <w:spacing w:before="216" w:line="219" w:lineRule="auto"/>
        <w:ind w:left="5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（三）验收：</w:t>
      </w:r>
    </w:p>
    <w:p w14:paraId="16BD0E0D">
      <w:pPr>
        <w:spacing w:before="213" w:line="219" w:lineRule="auto"/>
        <w:ind w:left="516"/>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1.在收到配送货物的现场，</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5"/>
          <w:sz w:val="24"/>
          <w:szCs w:val="24"/>
          <w:highlight w:val="none"/>
        </w:rPr>
        <w:t>由甲方指定负责人按照确定的订货清单验</w:t>
      </w:r>
      <w:r>
        <w:rPr>
          <w:rFonts w:hint="eastAsia" w:ascii="宋体" w:hAnsi="宋体" w:eastAsia="宋体" w:cs="宋体"/>
          <w:color w:val="auto"/>
          <w:spacing w:val="4"/>
          <w:sz w:val="24"/>
          <w:szCs w:val="24"/>
          <w:highlight w:val="none"/>
        </w:rPr>
        <w:t>收。</w:t>
      </w:r>
    </w:p>
    <w:p w14:paraId="0BA8179A">
      <w:pPr>
        <w:spacing w:before="214" w:line="373" w:lineRule="auto"/>
        <w:ind w:left="502" w:hang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2.如甲方对产品的质量、数量、等级、包装有异议的，应在验收时向乙方提出。</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6"/>
          <w:sz w:val="24"/>
          <w:szCs w:val="24"/>
          <w:highlight w:val="none"/>
        </w:rPr>
        <w:t>3.甲乙双方验收合格后，应在配送验收清单上签字确认。</w:t>
      </w:r>
    </w:p>
    <w:p w14:paraId="271BC411">
      <w:pPr>
        <w:spacing w:before="33" w:line="370" w:lineRule="auto"/>
        <w:ind w:left="9" w:right="85" w:firstLine="48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4.对不符合质量的品种，甲方有权退货和要求乙方换货，乙方应及</w:t>
      </w:r>
      <w:r>
        <w:rPr>
          <w:rFonts w:hint="eastAsia" w:ascii="宋体" w:hAnsi="宋体" w:eastAsia="宋体" w:cs="宋体"/>
          <w:color w:val="auto"/>
          <w:spacing w:val="4"/>
          <w:sz w:val="24"/>
          <w:szCs w:val="24"/>
          <w:highlight w:val="none"/>
        </w:rPr>
        <w:t>时处理、解</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决，不得影响学校为学生供餐。</w:t>
      </w:r>
    </w:p>
    <w:p w14:paraId="28EB34A2">
      <w:pPr>
        <w:spacing w:before="38" w:line="219" w:lineRule="auto"/>
        <w:ind w:left="521"/>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四、结算及付款方式</w:t>
      </w:r>
    </w:p>
    <w:p w14:paraId="07DCA706">
      <w:pPr>
        <w:spacing w:before="214" w:line="219" w:lineRule="auto"/>
        <w:ind w:left="51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（一）</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pacing w:val="4"/>
          <w:sz w:val="24"/>
          <w:szCs w:val="24"/>
          <w:highlight w:val="none"/>
        </w:rPr>
        <w:t>甲乙双方应在月底完成当月供货有关情况核对工作。</w:t>
      </w:r>
    </w:p>
    <w:p w14:paraId="43B3AC8A">
      <w:pPr>
        <w:spacing w:before="215" w:line="302" w:lineRule="auto"/>
        <w:ind w:left="4" w:right="82" w:firstLine="50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（二）乙方应于次月第一周，向甲方提供上月货款的正</w:t>
      </w:r>
      <w:r>
        <w:rPr>
          <w:rFonts w:hint="eastAsia" w:ascii="宋体" w:hAnsi="宋体" w:eastAsia="宋体" w:cs="宋体"/>
          <w:color w:val="auto"/>
          <w:spacing w:val="4"/>
          <w:sz w:val="24"/>
          <w:szCs w:val="24"/>
          <w:highlight w:val="none"/>
        </w:rPr>
        <w:t>规发票，甲方经核实无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异议后，在收到发票</w:t>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6"/>
          <w:sz w:val="24"/>
          <w:szCs w:val="24"/>
          <w:highlight w:val="none"/>
        </w:rPr>
        <w:t>个工作日内将上月采购款支付给乙方。</w:t>
      </w:r>
    </w:p>
    <w:p w14:paraId="30DFDE54">
      <w:pPr>
        <w:spacing w:before="216" w:line="219" w:lineRule="auto"/>
        <w:ind w:left="51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（三）付款方式：公对公银行转账或公对个</w:t>
      </w:r>
      <w:r>
        <w:rPr>
          <w:rFonts w:hint="eastAsia" w:ascii="宋体" w:hAnsi="宋体" w:eastAsia="宋体" w:cs="宋体"/>
          <w:color w:val="auto"/>
          <w:spacing w:val="6"/>
          <w:sz w:val="24"/>
          <w:szCs w:val="24"/>
          <w:highlight w:val="none"/>
        </w:rPr>
        <w:t>人（农户）银行转账。</w:t>
      </w:r>
    </w:p>
    <w:p w14:paraId="45AD03C0">
      <w:pPr>
        <w:spacing w:before="214" w:line="219" w:lineRule="auto"/>
        <w:ind w:left="51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（四）其他结算方式：</w:t>
      </w:r>
      <w:r>
        <w:rPr>
          <w:rFonts w:hint="eastAsia" w:ascii="宋体" w:hAnsi="宋体" w:eastAsia="宋体" w:cs="宋体"/>
          <w:color w:val="auto"/>
          <w:sz w:val="24"/>
          <w:szCs w:val="24"/>
          <w:highlight w:val="none"/>
          <w:u w:val="single" w:color="auto"/>
        </w:rPr>
        <w:t xml:space="preserve">                                         </w:t>
      </w:r>
    </w:p>
    <w:p w14:paraId="17DB02FC">
      <w:pPr>
        <w:spacing w:before="216" w:line="301" w:lineRule="auto"/>
        <w:ind w:left="1" w:right="18" w:firstLine="5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（五）合同期满或中途解除合同，双方应当</w:t>
      </w:r>
      <w:r>
        <w:rPr>
          <w:rFonts w:hint="eastAsia" w:ascii="宋体" w:hAnsi="宋体" w:eastAsia="宋体" w:cs="宋体"/>
          <w:color w:val="auto"/>
          <w:spacing w:val="-1"/>
          <w:sz w:val="24"/>
          <w:szCs w:val="24"/>
          <w:highlight w:val="none"/>
        </w:rPr>
        <w:t>按照本合同的约定进行对账和结算，</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确定未结算的价款，甲方在确定价款后</w:t>
      </w:r>
      <w:r>
        <w:rPr>
          <w:rFonts w:hint="eastAsia" w:ascii="宋体" w:hAnsi="宋体" w:eastAsia="宋体" w:cs="宋体"/>
          <w:color w:val="auto"/>
          <w:spacing w:val="-111"/>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6"/>
          <w:sz w:val="24"/>
          <w:szCs w:val="24"/>
          <w:highlight w:val="none"/>
        </w:rPr>
        <w:t>内，一次</w:t>
      </w:r>
      <w:r>
        <w:rPr>
          <w:rFonts w:hint="eastAsia" w:ascii="宋体" w:hAnsi="宋体" w:eastAsia="宋体" w:cs="宋体"/>
          <w:color w:val="auto"/>
          <w:spacing w:val="5"/>
          <w:sz w:val="24"/>
          <w:szCs w:val="24"/>
          <w:highlight w:val="none"/>
        </w:rPr>
        <w:t>性结算乙方的所有款项。</w:t>
      </w:r>
    </w:p>
    <w:p w14:paraId="2D2D460A">
      <w:pPr>
        <w:spacing w:before="216" w:line="220" w:lineRule="auto"/>
        <w:ind w:left="50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五、履约保证金</w:t>
      </w:r>
    </w:p>
    <w:p w14:paraId="54B388F1">
      <w:pPr>
        <w:spacing w:before="217" w:line="343" w:lineRule="auto"/>
        <w:ind w:left="2" w:right="40" w:firstLine="50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（一）</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7"/>
          <w:sz w:val="24"/>
          <w:szCs w:val="24"/>
          <w:highlight w:val="none"/>
        </w:rPr>
        <w:t>乙方在签订合同后</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102"/>
          <w:sz w:val="24"/>
          <w:szCs w:val="24"/>
          <w:highlight w:val="none"/>
        </w:rPr>
        <w:t xml:space="preserve"> </w:t>
      </w:r>
      <w:r>
        <w:rPr>
          <w:rFonts w:hint="eastAsia" w:ascii="宋体" w:hAnsi="宋体" w:eastAsia="宋体" w:cs="宋体"/>
          <w:color w:val="auto"/>
          <w:spacing w:val="-7"/>
          <w:sz w:val="24"/>
          <w:szCs w:val="24"/>
          <w:highlight w:val="none"/>
        </w:rPr>
        <w:t>个工作日内，向甲方提供履约保证金或银行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开具的履约保函。其中履约保证金、保函金额</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102"/>
          <w:sz w:val="24"/>
          <w:szCs w:val="24"/>
          <w:highlight w:val="none"/>
        </w:rPr>
        <w:t xml:space="preserve"> </w:t>
      </w:r>
      <w:r>
        <w:rPr>
          <w:rFonts w:hint="eastAsia" w:ascii="宋体" w:hAnsi="宋体" w:eastAsia="宋体" w:cs="宋体"/>
          <w:color w:val="auto"/>
          <w:spacing w:val="-10"/>
          <w:sz w:val="24"/>
          <w:szCs w:val="24"/>
          <w:highlight w:val="none"/>
        </w:rPr>
        <w:t>万元，期限</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103"/>
          <w:sz w:val="24"/>
          <w:szCs w:val="24"/>
          <w:highlight w:val="none"/>
        </w:rPr>
        <w:t xml:space="preserve"> </w:t>
      </w:r>
      <w:r>
        <w:rPr>
          <w:rFonts w:hint="eastAsia" w:ascii="宋体" w:hAnsi="宋体" w:eastAsia="宋体" w:cs="宋体"/>
          <w:color w:val="auto"/>
          <w:spacing w:val="-10"/>
          <w:sz w:val="24"/>
          <w:szCs w:val="24"/>
          <w:highlight w:val="none"/>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如超期未提供保函原件，将视为乙方无故单方解除合同，因</w:t>
      </w:r>
      <w:r>
        <w:rPr>
          <w:rFonts w:hint="eastAsia" w:ascii="宋体" w:hAnsi="宋体" w:eastAsia="宋体" w:cs="宋体"/>
          <w:color w:val="auto"/>
          <w:spacing w:val="-8"/>
          <w:sz w:val="24"/>
          <w:szCs w:val="24"/>
          <w:highlight w:val="none"/>
        </w:rPr>
        <w:t>此造成甲方损失的，乙方应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当予以赔偿。</w:t>
      </w:r>
    </w:p>
    <w:p w14:paraId="79EC1698">
      <w:pPr>
        <w:spacing w:before="215" w:line="220" w:lineRule="auto"/>
        <w:ind w:left="51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（二）保证金用于以下用途：</w:t>
      </w:r>
    </w:p>
    <w:p w14:paraId="4AAE8C88">
      <w:pPr>
        <w:spacing w:before="212" w:line="373" w:lineRule="auto"/>
        <w:ind w:left="2" w:right="85" w:firstLine="513"/>
        <w:rPr>
          <w:rFonts w:hint="eastAsia" w:ascii="宋体" w:hAnsi="宋体" w:eastAsia="宋体" w:cs="宋体"/>
          <w:color w:val="auto"/>
          <w:sz w:val="24"/>
          <w:szCs w:val="24"/>
          <w:highlight w:val="none"/>
        </w:rPr>
        <w:sectPr>
          <w:footerReference r:id="rId12" w:type="default"/>
          <w:pgSz w:w="11906" w:h="16839"/>
          <w:pgMar w:top="400" w:right="1397" w:bottom="1667" w:left="1593" w:header="0" w:footer="1388" w:gutter="0"/>
          <w:cols w:space="720" w:num="1"/>
        </w:sectPr>
      </w:pPr>
      <w:r>
        <w:rPr>
          <w:rFonts w:hint="eastAsia" w:ascii="宋体" w:hAnsi="宋体" w:eastAsia="宋体" w:cs="宋体"/>
          <w:color w:val="auto"/>
          <w:spacing w:val="4"/>
          <w:sz w:val="24"/>
          <w:szCs w:val="24"/>
          <w:highlight w:val="none"/>
        </w:rPr>
        <w:t>1.因食材原因导致食品安全事故时，用于第一时间救治师生，乙方需无条件配</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5"/>
          <w:sz w:val="24"/>
          <w:szCs w:val="24"/>
          <w:highlight w:val="none"/>
        </w:rPr>
        <w:t>合甲方启用履约保证金；</w:t>
      </w:r>
    </w:p>
    <w:p w14:paraId="3146B4BF">
      <w:pPr>
        <w:spacing w:line="258" w:lineRule="auto"/>
        <w:rPr>
          <w:rFonts w:hint="eastAsia" w:ascii="宋体" w:hAnsi="宋体" w:eastAsia="宋体" w:cs="宋体"/>
          <w:color w:val="auto"/>
          <w:sz w:val="21"/>
          <w:highlight w:val="none"/>
        </w:rPr>
      </w:pPr>
    </w:p>
    <w:p w14:paraId="43BD80E4">
      <w:pPr>
        <w:spacing w:before="78" w:line="371" w:lineRule="auto"/>
        <w:ind w:left="5" w:right="169" w:firstLine="493"/>
        <w:rPr>
          <w:rFonts w:hint="eastAsia" w:ascii="宋体" w:hAnsi="宋体" w:eastAsia="宋体" w:cs="宋体"/>
          <w:color w:val="auto"/>
          <w:spacing w:val="5"/>
          <w:sz w:val="24"/>
          <w:szCs w:val="24"/>
          <w:highlight w:val="none"/>
        </w:rPr>
      </w:pPr>
    </w:p>
    <w:p w14:paraId="2CA4A411">
      <w:pPr>
        <w:spacing w:before="78" w:line="371" w:lineRule="auto"/>
        <w:ind w:left="5" w:right="169" w:firstLine="49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2.因乙方原因不能履约，导致学校、师生经济损失的，甲</w:t>
      </w:r>
      <w:r>
        <w:rPr>
          <w:rFonts w:hint="eastAsia" w:ascii="宋体" w:hAnsi="宋体" w:eastAsia="宋体" w:cs="宋体"/>
          <w:color w:val="auto"/>
          <w:spacing w:val="4"/>
          <w:sz w:val="24"/>
          <w:szCs w:val="24"/>
          <w:highlight w:val="none"/>
        </w:rPr>
        <w:t>方有权单方面启用履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约保证金予以赔付。</w:t>
      </w:r>
    </w:p>
    <w:p w14:paraId="43E0BB78">
      <w:pPr>
        <w:spacing w:before="34" w:line="219" w:lineRule="auto"/>
        <w:ind w:left="50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（三）当保证金不足时，乙方应当在</w:t>
      </w:r>
      <w:r>
        <w:rPr>
          <w:rFonts w:hint="eastAsia" w:ascii="宋体" w:hAnsi="宋体" w:eastAsia="宋体" w:cs="宋体"/>
          <w:color w:val="auto"/>
          <w:spacing w:val="-113"/>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6"/>
          <w:sz w:val="24"/>
          <w:szCs w:val="24"/>
          <w:highlight w:val="none"/>
        </w:rPr>
        <w:t>个工作日内补足保证</w:t>
      </w:r>
      <w:r>
        <w:rPr>
          <w:rFonts w:hint="eastAsia" w:ascii="宋体" w:hAnsi="宋体" w:eastAsia="宋体" w:cs="宋体"/>
          <w:color w:val="auto"/>
          <w:spacing w:val="5"/>
          <w:sz w:val="24"/>
          <w:szCs w:val="24"/>
          <w:highlight w:val="none"/>
        </w:rPr>
        <w:t>金。</w:t>
      </w:r>
    </w:p>
    <w:p w14:paraId="16150255">
      <w:pPr>
        <w:spacing w:before="216" w:line="219" w:lineRule="auto"/>
        <w:ind w:left="50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（四）当合同履行期满，</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5"/>
          <w:sz w:val="24"/>
          <w:szCs w:val="24"/>
          <w:highlight w:val="none"/>
        </w:rPr>
        <w:t>甲方应当</w:t>
      </w:r>
      <w:r>
        <w:rPr>
          <w:rFonts w:hint="eastAsia" w:ascii="宋体" w:hAnsi="宋体" w:eastAsia="宋体" w:cs="宋体"/>
          <w:color w:val="auto"/>
          <w:spacing w:val="-113"/>
          <w:sz w:val="24"/>
          <w:szCs w:val="24"/>
          <w:highlight w:val="none"/>
        </w:rPr>
        <w:t xml:space="preserve"> </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107"/>
          <w:sz w:val="24"/>
          <w:szCs w:val="24"/>
          <w:highlight w:val="none"/>
        </w:rPr>
        <w:t xml:space="preserve"> </w:t>
      </w:r>
      <w:r>
        <w:rPr>
          <w:rFonts w:hint="eastAsia" w:ascii="宋体" w:hAnsi="宋体" w:eastAsia="宋体" w:cs="宋体"/>
          <w:color w:val="auto"/>
          <w:spacing w:val="5"/>
          <w:sz w:val="24"/>
          <w:szCs w:val="24"/>
          <w:highlight w:val="none"/>
        </w:rPr>
        <w:t>个工作日内</w:t>
      </w:r>
      <w:r>
        <w:rPr>
          <w:rFonts w:hint="eastAsia" w:ascii="宋体" w:hAnsi="宋体" w:eastAsia="宋体" w:cs="宋体"/>
          <w:color w:val="auto"/>
          <w:spacing w:val="4"/>
          <w:sz w:val="24"/>
          <w:szCs w:val="24"/>
          <w:highlight w:val="none"/>
        </w:rPr>
        <w:t>，将保证金返还给乙方。</w:t>
      </w:r>
    </w:p>
    <w:p w14:paraId="667266CC">
      <w:pPr>
        <w:spacing w:before="213" w:line="219" w:lineRule="auto"/>
        <w:ind w:left="498"/>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六、食材质量要求</w:t>
      </w:r>
    </w:p>
    <w:p w14:paraId="52BB1980">
      <w:pPr>
        <w:spacing w:before="217" w:line="329" w:lineRule="auto"/>
        <w:ind w:right="169" w:firstLine="50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（一）食材标准：必须符合国家有关食品安全标准</w:t>
      </w:r>
      <w:r>
        <w:rPr>
          <w:rFonts w:hint="eastAsia" w:ascii="宋体" w:hAnsi="宋体" w:eastAsia="宋体" w:cs="宋体"/>
          <w:color w:val="auto"/>
          <w:spacing w:val="4"/>
          <w:sz w:val="24"/>
          <w:szCs w:val="24"/>
          <w:highlight w:val="none"/>
        </w:rPr>
        <w:t>，乙方须提供所供食材的检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测合格报告。没有国家标准的，必须符合行业标准，既没有国家标准和行业标准的</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5"/>
          <w:sz w:val="24"/>
          <w:szCs w:val="24"/>
          <w:highlight w:val="none"/>
        </w:rPr>
        <w:t>应确保食材的新鲜、健康。</w:t>
      </w:r>
    </w:p>
    <w:p w14:paraId="7FE62D05">
      <w:pPr>
        <w:spacing w:before="216" w:line="357" w:lineRule="auto"/>
        <w:ind w:firstLine="50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（二）食材质量：乙方在承包采购服务期间要严把</w:t>
      </w:r>
      <w:r>
        <w:rPr>
          <w:rFonts w:hint="eastAsia" w:ascii="宋体" w:hAnsi="宋体" w:eastAsia="宋体" w:cs="宋体"/>
          <w:color w:val="auto"/>
          <w:spacing w:val="4"/>
          <w:sz w:val="24"/>
          <w:szCs w:val="24"/>
          <w:highlight w:val="none"/>
        </w:rPr>
        <w:t>质量关，明确进货渠道，建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立台账，杜绝“三无</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4"/>
          <w:sz w:val="24"/>
          <w:szCs w:val="24"/>
          <w:highlight w:val="none"/>
        </w:rPr>
        <w:t>”产品、劣质原料进校园。乙方提供甲方所需食材同时随货附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带加盖相应货物生产厂家资质（若乙方为经销商则应提供厂家资质及经销商资质）、</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5"/>
          <w:sz w:val="24"/>
          <w:szCs w:val="24"/>
          <w:highlight w:val="none"/>
        </w:rPr>
        <w:t>质量承诺保证书等说明材料及检验、检疫报告、台账记录及其他甲方要求提供的证</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5"/>
          <w:sz w:val="24"/>
          <w:szCs w:val="24"/>
          <w:highlight w:val="none"/>
        </w:rPr>
        <w:t>明文件。供应的食材要适合实际操作，减少边角余料，合理节约，降低成本，杜绝</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7"/>
          <w:sz w:val="24"/>
          <w:szCs w:val="24"/>
          <w:highlight w:val="none"/>
        </w:rPr>
        <w:t>浪费。如出现质量问题，乙方应无条件退货</w:t>
      </w:r>
      <w:r>
        <w:rPr>
          <w:rFonts w:hint="eastAsia" w:ascii="宋体" w:hAnsi="宋体" w:eastAsia="宋体" w:cs="宋体"/>
          <w:color w:val="auto"/>
          <w:spacing w:val="6"/>
          <w:sz w:val="24"/>
          <w:szCs w:val="24"/>
          <w:highlight w:val="none"/>
        </w:rPr>
        <w:t>或换货。</w:t>
      </w:r>
    </w:p>
    <w:p w14:paraId="11BA3E19">
      <w:pPr>
        <w:spacing w:before="215" w:line="219" w:lineRule="auto"/>
        <w:ind w:left="50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（三）外包装应符合食品安全规定。</w:t>
      </w:r>
    </w:p>
    <w:p w14:paraId="7D027EE3">
      <w:pPr>
        <w:spacing w:before="216" w:line="219" w:lineRule="auto"/>
        <w:ind w:left="495"/>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七、供应方式</w:t>
      </w:r>
    </w:p>
    <w:p w14:paraId="65406621">
      <w:pPr>
        <w:spacing w:before="214" w:line="378" w:lineRule="auto"/>
        <w:ind w:right="166" w:firstLine="499"/>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为确保供餐质量，有效降低采购成本，学校（点）食堂实行食品原料采购“统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一采购、统一配送</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4"/>
          <w:sz w:val="24"/>
          <w:szCs w:val="24"/>
          <w:highlight w:val="none"/>
        </w:rPr>
        <w:t>”。以乙方为主体全面负责学生食品供应安全，负责学校食品原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材料与副食品的采购与配送及食材检验，做好相关自检记录，并按食品安全要求和</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6"/>
          <w:sz w:val="24"/>
          <w:szCs w:val="24"/>
          <w:highlight w:val="none"/>
        </w:rPr>
        <w:t>财务要求向学校提供相关票证。</w:t>
      </w:r>
    </w:p>
    <w:p w14:paraId="681911E3">
      <w:pPr>
        <w:spacing w:before="35" w:line="220" w:lineRule="auto"/>
        <w:ind w:left="5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八、配送要求</w:t>
      </w:r>
    </w:p>
    <w:p w14:paraId="6A0B17F3">
      <w:pPr>
        <w:spacing w:before="215" w:line="219" w:lineRule="auto"/>
        <w:ind w:left="50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（一）由各学校根据实际情况制定用餐食谱，乙方按学校提供的食谱进行配送。</w:t>
      </w:r>
    </w:p>
    <w:p w14:paraId="087EC79C">
      <w:pPr>
        <w:spacing w:before="215" w:line="302" w:lineRule="auto"/>
        <w:ind w:right="169" w:firstLine="507"/>
        <w:rPr>
          <w:rFonts w:hint="eastAsia" w:ascii="宋体" w:hAnsi="宋体" w:eastAsia="宋体" w:cs="宋体"/>
          <w:color w:val="auto"/>
          <w:sz w:val="24"/>
          <w:szCs w:val="24"/>
          <w:highlight w:val="none"/>
        </w:rPr>
        <w:sectPr>
          <w:footerReference r:id="rId13" w:type="default"/>
          <w:pgSz w:w="11906" w:h="16839"/>
          <w:pgMar w:top="400" w:right="1313" w:bottom="1666" w:left="1595" w:header="0" w:footer="1388" w:gutter="0"/>
          <w:cols w:space="720" w:num="1"/>
        </w:sectPr>
      </w:pPr>
      <w:r>
        <w:rPr>
          <w:rFonts w:hint="eastAsia" w:ascii="宋体" w:hAnsi="宋体" w:eastAsia="宋体" w:cs="宋体"/>
          <w:color w:val="auto"/>
          <w:spacing w:val="6"/>
          <w:sz w:val="24"/>
          <w:szCs w:val="24"/>
          <w:highlight w:val="none"/>
        </w:rPr>
        <w:t>（二）确定食谱后通知学校提前</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103"/>
          <w:sz w:val="24"/>
          <w:szCs w:val="24"/>
          <w:highlight w:val="none"/>
        </w:rPr>
        <w:t xml:space="preserve"> </w:t>
      </w:r>
      <w:r>
        <w:rPr>
          <w:rFonts w:hint="eastAsia" w:ascii="宋体" w:hAnsi="宋体" w:eastAsia="宋体" w:cs="宋体"/>
          <w:color w:val="auto"/>
          <w:spacing w:val="6"/>
          <w:sz w:val="24"/>
          <w:szCs w:val="24"/>
          <w:highlight w:val="none"/>
        </w:rPr>
        <w:t>天把周需求量提交给乙方，乙方按学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校要求进行配送。</w:t>
      </w:r>
    </w:p>
    <w:p w14:paraId="347339DC">
      <w:pPr>
        <w:spacing w:line="258" w:lineRule="auto"/>
        <w:rPr>
          <w:rFonts w:hint="eastAsia" w:ascii="宋体" w:hAnsi="宋体" w:eastAsia="宋体" w:cs="宋体"/>
          <w:color w:val="auto"/>
          <w:sz w:val="21"/>
          <w:highlight w:val="none"/>
        </w:rPr>
      </w:pPr>
    </w:p>
    <w:p w14:paraId="2A99D8FC">
      <w:pPr>
        <w:spacing w:line="258" w:lineRule="auto"/>
        <w:rPr>
          <w:rFonts w:hint="eastAsia" w:ascii="宋体" w:hAnsi="宋体" w:eastAsia="宋体" w:cs="宋体"/>
          <w:color w:val="auto"/>
          <w:sz w:val="21"/>
          <w:highlight w:val="none"/>
        </w:rPr>
      </w:pPr>
    </w:p>
    <w:p w14:paraId="19194E08">
      <w:pPr>
        <w:spacing w:line="258" w:lineRule="auto"/>
        <w:rPr>
          <w:rFonts w:hint="eastAsia" w:ascii="宋体" w:hAnsi="宋体" w:eastAsia="宋体" w:cs="宋体"/>
          <w:color w:val="auto"/>
          <w:sz w:val="21"/>
          <w:highlight w:val="none"/>
        </w:rPr>
      </w:pPr>
    </w:p>
    <w:p w14:paraId="74B2E6C5">
      <w:pPr>
        <w:spacing w:before="78" w:line="301" w:lineRule="auto"/>
        <w:ind w:right="85" w:firstLine="50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（三）乙方按照学校提供的购货申请单内容和要求</w:t>
      </w:r>
      <w:r>
        <w:rPr>
          <w:rFonts w:hint="eastAsia" w:ascii="宋体" w:hAnsi="宋体" w:eastAsia="宋体" w:cs="宋体"/>
          <w:color w:val="auto"/>
          <w:spacing w:val="4"/>
          <w:sz w:val="24"/>
          <w:szCs w:val="24"/>
          <w:highlight w:val="none"/>
        </w:rPr>
        <w:t>进行配送，具体的配送时间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根据各个学校的实际情况确定，并随货开据食品原料配送单。</w:t>
      </w:r>
    </w:p>
    <w:p w14:paraId="26077814">
      <w:pPr>
        <w:spacing w:before="213" w:line="303" w:lineRule="auto"/>
        <w:ind w:left="2" w:right="85" w:firstLine="506"/>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（四）学校食品管理员查验食品原料，校领导审核</w:t>
      </w:r>
      <w:r>
        <w:rPr>
          <w:rFonts w:hint="eastAsia" w:ascii="宋体" w:hAnsi="宋体" w:eastAsia="宋体" w:cs="宋体"/>
          <w:color w:val="auto"/>
          <w:spacing w:val="4"/>
          <w:sz w:val="24"/>
          <w:szCs w:val="24"/>
          <w:highlight w:val="none"/>
        </w:rPr>
        <w:t>无误后，分别在食品配送单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上签名确认，学校根据配送单做好台账及公示工作。</w:t>
      </w:r>
    </w:p>
    <w:p w14:paraId="5D8E5400">
      <w:pPr>
        <w:spacing w:before="214" w:line="219" w:lineRule="auto"/>
        <w:ind w:left="50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（五）每月底乙方据实开具税务发票直接与学校结算。</w:t>
      </w:r>
    </w:p>
    <w:p w14:paraId="511CFC29">
      <w:pPr>
        <w:spacing w:before="215" w:line="343" w:lineRule="auto"/>
        <w:ind w:right="82" w:firstLine="50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（六）原料的接收查验。乙方必须按照学校选定的</w:t>
      </w:r>
      <w:r>
        <w:rPr>
          <w:rFonts w:hint="eastAsia" w:ascii="宋体" w:hAnsi="宋体" w:eastAsia="宋体" w:cs="宋体"/>
          <w:color w:val="auto"/>
          <w:spacing w:val="4"/>
          <w:sz w:val="24"/>
          <w:szCs w:val="24"/>
          <w:highlight w:val="none"/>
        </w:rPr>
        <w:t>中标品牌供应食品原料，必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须确保食品原料的质量。乙方配送食品原料时，必须向采购学校提供产品检验检测</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5"/>
          <w:sz w:val="24"/>
          <w:szCs w:val="24"/>
          <w:highlight w:val="none"/>
        </w:rPr>
        <w:t>相关报告、生产厂家的出厂抽检报告及产品检验合格证或每批次动物检疫合格证明</w:t>
      </w:r>
      <w:r>
        <w:rPr>
          <w:rFonts w:hint="eastAsia" w:ascii="宋体" w:hAnsi="宋体" w:eastAsia="宋体" w:cs="宋体"/>
          <w:color w:val="auto"/>
          <w:spacing w:val="6"/>
          <w:sz w:val="24"/>
          <w:szCs w:val="24"/>
          <w:highlight w:val="none"/>
        </w:rPr>
        <w:t xml:space="preserve"> 等国家规定的其它有效证明材料。</w:t>
      </w:r>
    </w:p>
    <w:p w14:paraId="7D3AF8F7">
      <w:pPr>
        <w:spacing w:before="220" w:line="351" w:lineRule="auto"/>
        <w:ind w:firstLine="5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（七）食品储存。配备必要的食品原料储藏保鲜设施，配备良好的通风、防潮、</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8"/>
          <w:sz w:val="24"/>
          <w:szCs w:val="24"/>
          <w:highlight w:val="none"/>
        </w:rPr>
        <w:t>防鼠、防虫、防蝇、防霉变等设施并能正常使</w:t>
      </w:r>
      <w:r>
        <w:rPr>
          <w:rFonts w:hint="eastAsia" w:ascii="宋体" w:hAnsi="宋体" w:eastAsia="宋体" w:cs="宋体"/>
          <w:color w:val="auto"/>
          <w:spacing w:val="7"/>
          <w:sz w:val="24"/>
          <w:szCs w:val="24"/>
          <w:highlight w:val="none"/>
        </w:rPr>
        <w:t>用；食品原料储藏应当分类、分架、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离地安全管理，遵循先进先出的原则摆放，不同区域应有明显标识，建立健全进出</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5"/>
          <w:sz w:val="24"/>
          <w:szCs w:val="24"/>
          <w:highlight w:val="none"/>
        </w:rPr>
        <w:t>库管理制度，并落实双人管理；乙方须免费指导学校建立符合食品安全标准的储藏</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
          <w:sz w:val="24"/>
          <w:szCs w:val="24"/>
          <w:highlight w:val="none"/>
        </w:rPr>
        <w:t>仓库。</w:t>
      </w:r>
    </w:p>
    <w:p w14:paraId="14E0A28E">
      <w:pPr>
        <w:spacing w:before="215" w:line="343" w:lineRule="auto"/>
        <w:ind w:right="82" w:firstLine="50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（八）应急保障。乙方须自备应急车辆一台或多台</w:t>
      </w:r>
      <w:r>
        <w:rPr>
          <w:rFonts w:hint="eastAsia" w:ascii="宋体" w:hAnsi="宋体" w:eastAsia="宋体" w:cs="宋体"/>
          <w:color w:val="auto"/>
          <w:spacing w:val="4"/>
          <w:sz w:val="24"/>
          <w:szCs w:val="24"/>
          <w:highlight w:val="none"/>
        </w:rPr>
        <w:t>。当运输车辆在配送途中出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现故障时，可迅速补上；乙方须随时关注天气预报，特殊天气情况下，应提前准备</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5"/>
          <w:sz w:val="24"/>
          <w:szCs w:val="24"/>
          <w:highlight w:val="none"/>
        </w:rPr>
        <w:t>雨衣、电筒、发电机等。提前检查车辆等设备是否正常运转。应加派人手，积极做</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3"/>
          <w:sz w:val="24"/>
          <w:szCs w:val="24"/>
          <w:highlight w:val="none"/>
        </w:rPr>
        <w:t>好配送准备。</w:t>
      </w:r>
    </w:p>
    <w:p w14:paraId="7DD03C36">
      <w:pPr>
        <w:spacing w:before="217" w:line="220" w:lineRule="auto"/>
        <w:ind w:left="50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（九）其他要求：</w:t>
      </w:r>
      <w:r>
        <w:rPr>
          <w:rFonts w:hint="eastAsia" w:ascii="宋体" w:hAnsi="宋体" w:eastAsia="宋体" w:cs="宋体"/>
          <w:color w:val="auto"/>
          <w:spacing w:val="2"/>
          <w:sz w:val="24"/>
          <w:szCs w:val="24"/>
          <w:highlight w:val="none"/>
          <w:u w:val="single" w:color="E43019"/>
        </w:rPr>
        <w:t xml:space="preserve">                      </w:t>
      </w:r>
      <w:r>
        <w:rPr>
          <w:rFonts w:hint="eastAsia" w:ascii="宋体" w:hAnsi="宋体" w:eastAsia="宋体" w:cs="宋体"/>
          <w:color w:val="auto"/>
          <w:spacing w:val="5"/>
          <w:sz w:val="24"/>
          <w:szCs w:val="24"/>
          <w:highlight w:val="none"/>
        </w:rPr>
        <w:t xml:space="preserve"> 。</w:t>
      </w:r>
    </w:p>
    <w:p w14:paraId="3BCC2E5B">
      <w:pPr>
        <w:spacing w:before="213" w:line="219" w:lineRule="auto"/>
        <w:ind w:left="50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九、包装和运输</w:t>
      </w:r>
    </w:p>
    <w:p w14:paraId="5C576654">
      <w:pPr>
        <w:spacing w:before="212" w:line="380" w:lineRule="auto"/>
        <w:ind w:right="82" w:firstLine="509"/>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（一）包装与保护：乙方所提供的食品在装卸、运</w:t>
      </w:r>
      <w:r>
        <w:rPr>
          <w:rFonts w:hint="eastAsia" w:ascii="宋体" w:hAnsi="宋体" w:eastAsia="宋体" w:cs="宋体"/>
          <w:color w:val="auto"/>
          <w:spacing w:val="4"/>
          <w:sz w:val="24"/>
          <w:szCs w:val="24"/>
          <w:highlight w:val="none"/>
        </w:rPr>
        <w:t>输和仓储过程中应有足够的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包装保护，防止食品受潮、被腐蚀以及其他不可预见的损坏。贮存、运输和装卸食</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5"/>
          <w:sz w:val="24"/>
          <w:szCs w:val="24"/>
          <w:highlight w:val="none"/>
        </w:rPr>
        <w:t>品的容器、工具和设备应当安全、无害，保持清洁，防止食品污染，并符合保证食</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5"/>
          <w:sz w:val="24"/>
          <w:szCs w:val="24"/>
          <w:highlight w:val="none"/>
        </w:rPr>
        <w:t>品安全所需的温度、湿度等特殊要求，不得将食品与有毒、有害物品一同贮存、运</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5"/>
          <w:sz w:val="24"/>
          <w:szCs w:val="24"/>
          <w:highlight w:val="none"/>
        </w:rPr>
        <w:t>输。</w:t>
      </w:r>
    </w:p>
    <w:p w14:paraId="2F649B89">
      <w:pPr>
        <w:spacing w:line="380" w:lineRule="auto"/>
        <w:rPr>
          <w:rFonts w:hint="eastAsia" w:ascii="宋体" w:hAnsi="宋体" w:eastAsia="宋体" w:cs="宋体"/>
          <w:color w:val="auto"/>
          <w:sz w:val="24"/>
          <w:szCs w:val="24"/>
          <w:highlight w:val="none"/>
        </w:rPr>
        <w:sectPr>
          <w:footerReference r:id="rId14" w:type="default"/>
          <w:pgSz w:w="11906" w:h="16839"/>
          <w:pgMar w:top="400" w:right="1397" w:bottom="1666" w:left="1594" w:header="0" w:footer="1388" w:gutter="0"/>
          <w:cols w:space="720" w:num="1"/>
        </w:sectPr>
      </w:pPr>
    </w:p>
    <w:p w14:paraId="76CFF799">
      <w:pPr>
        <w:spacing w:line="257" w:lineRule="auto"/>
        <w:rPr>
          <w:rFonts w:hint="eastAsia" w:ascii="宋体" w:hAnsi="宋体" w:eastAsia="宋体" w:cs="宋体"/>
          <w:color w:val="auto"/>
          <w:sz w:val="21"/>
          <w:highlight w:val="none"/>
        </w:rPr>
      </w:pPr>
    </w:p>
    <w:p w14:paraId="55465B65">
      <w:pPr>
        <w:spacing w:line="258" w:lineRule="auto"/>
        <w:rPr>
          <w:rFonts w:hint="eastAsia" w:ascii="宋体" w:hAnsi="宋体" w:eastAsia="宋体" w:cs="宋体"/>
          <w:color w:val="auto"/>
          <w:sz w:val="21"/>
          <w:highlight w:val="none"/>
        </w:rPr>
      </w:pPr>
    </w:p>
    <w:p w14:paraId="53F10AF6">
      <w:pPr>
        <w:spacing w:line="258" w:lineRule="auto"/>
        <w:rPr>
          <w:rFonts w:hint="eastAsia" w:ascii="宋体" w:hAnsi="宋体" w:eastAsia="宋体" w:cs="宋体"/>
          <w:color w:val="auto"/>
          <w:sz w:val="21"/>
          <w:highlight w:val="none"/>
        </w:rPr>
      </w:pPr>
    </w:p>
    <w:p w14:paraId="747172C5">
      <w:pPr>
        <w:spacing w:before="78" w:line="370" w:lineRule="auto"/>
        <w:ind w:left="2" w:right="2" w:firstLine="506"/>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（二）由乙方负责完成食品运输过程中的全部工作</w:t>
      </w:r>
      <w:r>
        <w:rPr>
          <w:rFonts w:hint="eastAsia" w:ascii="宋体" w:hAnsi="宋体" w:eastAsia="宋体" w:cs="宋体"/>
          <w:color w:val="auto"/>
          <w:spacing w:val="4"/>
          <w:sz w:val="24"/>
          <w:szCs w:val="24"/>
          <w:highlight w:val="none"/>
        </w:rPr>
        <w:t>内容，并安全送达到甲方或</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者各学校指定交货地点。</w:t>
      </w:r>
    </w:p>
    <w:p w14:paraId="6211DCDA">
      <w:pPr>
        <w:spacing w:before="34" w:line="232" w:lineRule="auto"/>
        <w:ind w:left="50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                            。</w:t>
      </w:r>
    </w:p>
    <w:p w14:paraId="7E963D64">
      <w:pPr>
        <w:spacing w:before="200" w:line="219" w:lineRule="auto"/>
        <w:ind w:left="49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十、食材验收</w:t>
      </w:r>
    </w:p>
    <w:p w14:paraId="07D61425">
      <w:pPr>
        <w:spacing w:before="214" w:line="302" w:lineRule="auto"/>
        <w:ind w:firstLine="50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（一）学校指定专人按国家相关标准进行验收，不符合</w:t>
      </w:r>
      <w:r>
        <w:rPr>
          <w:rFonts w:hint="eastAsia" w:ascii="宋体" w:hAnsi="宋体" w:eastAsia="宋体" w:cs="宋体"/>
          <w:color w:val="auto"/>
          <w:spacing w:val="4"/>
          <w:sz w:val="24"/>
          <w:szCs w:val="24"/>
          <w:highlight w:val="none"/>
        </w:rPr>
        <w:t>相关标准的食材乙方应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及时调换，并不得影响甲方及学校的正常工作。</w:t>
      </w:r>
    </w:p>
    <w:p w14:paraId="564F9C64">
      <w:pPr>
        <w:spacing w:before="215" w:line="329" w:lineRule="auto"/>
        <w:ind w:left="1" w:firstLine="50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（二）送货单一式四联，经学校食堂管理员、主管及乙</w:t>
      </w:r>
      <w:r>
        <w:rPr>
          <w:rFonts w:hint="eastAsia" w:ascii="宋体" w:hAnsi="宋体" w:eastAsia="宋体" w:cs="宋体"/>
          <w:color w:val="auto"/>
          <w:spacing w:val="4"/>
          <w:sz w:val="24"/>
          <w:szCs w:val="24"/>
          <w:highlight w:val="none"/>
        </w:rPr>
        <w:t>方库房、送货人签字后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各自留存（白联：乙方财务，红联：乙方与学校对账，蓝联和黄联给学校食堂和学</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6"/>
          <w:sz w:val="24"/>
          <w:szCs w:val="24"/>
          <w:highlight w:val="none"/>
        </w:rPr>
        <w:t>校财务各一份）作为结算依据。</w:t>
      </w:r>
    </w:p>
    <w:p w14:paraId="47CBC0C1">
      <w:pPr>
        <w:spacing w:before="216" w:line="232" w:lineRule="auto"/>
        <w:ind w:left="50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w:t>
      </w:r>
    </w:p>
    <w:p w14:paraId="71621045">
      <w:pPr>
        <w:spacing w:before="199" w:line="219" w:lineRule="auto"/>
        <w:ind w:left="49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十一、</w:t>
      </w:r>
      <w:r>
        <w:rPr>
          <w:rFonts w:hint="eastAsia" w:ascii="宋体" w:hAnsi="宋体" w:eastAsia="宋体" w:cs="宋体"/>
          <w:color w:val="auto"/>
          <w:spacing w:val="-65"/>
          <w:sz w:val="24"/>
          <w:szCs w:val="24"/>
          <w:highlight w:val="none"/>
        </w:rPr>
        <w:t xml:space="preserve"> </w:t>
      </w:r>
      <w:r>
        <w:rPr>
          <w:rFonts w:hint="eastAsia" w:ascii="宋体" w:hAnsi="宋体" w:eastAsia="宋体" w:cs="宋体"/>
          <w:b/>
          <w:bCs/>
          <w:color w:val="auto"/>
          <w:spacing w:val="-2"/>
          <w:sz w:val="24"/>
          <w:szCs w:val="24"/>
          <w:highlight w:val="none"/>
        </w:rPr>
        <w:t>甲方权利义务</w:t>
      </w:r>
    </w:p>
    <w:p w14:paraId="1AE58F41">
      <w:pPr>
        <w:spacing w:before="215" w:line="219" w:lineRule="auto"/>
        <w:ind w:left="50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（一）按时向乙方下达次日或次周订单，以</w:t>
      </w:r>
      <w:r>
        <w:rPr>
          <w:rFonts w:hint="eastAsia" w:ascii="宋体" w:hAnsi="宋体" w:eastAsia="宋体" w:cs="宋体"/>
          <w:color w:val="auto"/>
          <w:spacing w:val="6"/>
          <w:sz w:val="24"/>
          <w:szCs w:val="24"/>
          <w:highlight w:val="none"/>
        </w:rPr>
        <w:t>便乙方提前安排准备；</w:t>
      </w:r>
    </w:p>
    <w:p w14:paraId="1683B5AB">
      <w:pPr>
        <w:spacing w:before="215" w:line="302" w:lineRule="auto"/>
        <w:ind w:left="24" w:firstLine="48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（二）依据订单和供货清单进行清点验收，对不符合学</w:t>
      </w:r>
      <w:r>
        <w:rPr>
          <w:rFonts w:hint="eastAsia" w:ascii="宋体" w:hAnsi="宋体" w:eastAsia="宋体" w:cs="宋体"/>
          <w:color w:val="auto"/>
          <w:spacing w:val="4"/>
          <w:sz w:val="24"/>
          <w:szCs w:val="24"/>
          <w:highlight w:val="none"/>
        </w:rPr>
        <w:t>校订单的食材，有权退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回乙方，由此产生的损失由乙方承担；</w:t>
      </w:r>
    </w:p>
    <w:p w14:paraId="76625156">
      <w:pPr>
        <w:spacing w:before="214" w:line="219" w:lineRule="auto"/>
        <w:ind w:left="50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（三）依据订单和供货清单进行称重验收，重量以学校</w:t>
      </w:r>
      <w:r>
        <w:rPr>
          <w:rFonts w:hint="eastAsia" w:ascii="宋体" w:hAnsi="宋体" w:eastAsia="宋体" w:cs="宋体"/>
          <w:color w:val="auto"/>
          <w:spacing w:val="6"/>
          <w:sz w:val="24"/>
          <w:szCs w:val="24"/>
          <w:highlight w:val="none"/>
        </w:rPr>
        <w:t>称重数据为准；</w:t>
      </w:r>
    </w:p>
    <w:p w14:paraId="7E0618D8">
      <w:pPr>
        <w:spacing w:before="217" w:line="219" w:lineRule="auto"/>
        <w:ind w:left="50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（四）双方需在供货清单上签字确认；</w:t>
      </w:r>
    </w:p>
    <w:p w14:paraId="2AF46606">
      <w:pPr>
        <w:spacing w:before="214" w:line="219" w:lineRule="auto"/>
        <w:ind w:left="50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（五）</w:t>
      </w:r>
      <w:r>
        <w:rPr>
          <w:rFonts w:hint="eastAsia" w:ascii="宋体" w:hAnsi="宋体" w:eastAsia="宋体" w:cs="宋体"/>
          <w:color w:val="auto"/>
          <w:spacing w:val="-65"/>
          <w:sz w:val="24"/>
          <w:szCs w:val="24"/>
          <w:highlight w:val="none"/>
        </w:rPr>
        <w:t xml:space="preserve"> </w:t>
      </w:r>
      <w:r>
        <w:rPr>
          <w:rFonts w:hint="eastAsia" w:ascii="宋体" w:hAnsi="宋体" w:eastAsia="宋体" w:cs="宋体"/>
          <w:color w:val="auto"/>
          <w:spacing w:val="5"/>
          <w:sz w:val="24"/>
          <w:szCs w:val="24"/>
          <w:highlight w:val="none"/>
        </w:rPr>
        <w:t>乙方提供发票信息与实际发生信息一致时，不得拖延支付费用；</w:t>
      </w:r>
    </w:p>
    <w:p w14:paraId="0C27432E">
      <w:pPr>
        <w:spacing w:before="214" w:line="303" w:lineRule="auto"/>
        <w:ind w:left="1" w:firstLine="50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（六）学校监督小组或膳食委员会等监督管理机构不定</w:t>
      </w:r>
      <w:r>
        <w:rPr>
          <w:rFonts w:hint="eastAsia" w:ascii="宋体" w:hAnsi="宋体" w:eastAsia="宋体" w:cs="宋体"/>
          <w:color w:val="auto"/>
          <w:spacing w:val="4"/>
          <w:sz w:val="24"/>
          <w:szCs w:val="24"/>
          <w:highlight w:val="none"/>
        </w:rPr>
        <w:t>期对乙方经营的食材品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质及来源进行检查；</w:t>
      </w:r>
    </w:p>
    <w:p w14:paraId="1ECC48DE">
      <w:pPr>
        <w:spacing w:before="215" w:line="301" w:lineRule="auto"/>
        <w:ind w:left="1" w:firstLine="50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（七）定期检查库存食材，对临近保质期的食材进行管</w:t>
      </w:r>
      <w:r>
        <w:rPr>
          <w:rFonts w:hint="eastAsia" w:ascii="宋体" w:hAnsi="宋体" w:eastAsia="宋体" w:cs="宋体"/>
          <w:color w:val="auto"/>
          <w:spacing w:val="4"/>
          <w:sz w:val="24"/>
          <w:szCs w:val="24"/>
          <w:highlight w:val="none"/>
        </w:rPr>
        <w:t>理监督，设置临期食材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专柜或在相对集中区域陈列使用；</w:t>
      </w:r>
    </w:p>
    <w:p w14:paraId="2BFF24A9">
      <w:pPr>
        <w:spacing w:before="217" w:line="220" w:lineRule="auto"/>
        <w:ind w:left="5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z w:val="24"/>
          <w:szCs w:val="24"/>
          <w:highlight w:val="none"/>
        </w:rPr>
        <w:t>。</w:t>
      </w:r>
    </w:p>
    <w:p w14:paraId="54AE0214">
      <w:pPr>
        <w:spacing w:before="214" w:line="219" w:lineRule="auto"/>
        <w:ind w:left="498"/>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十二、乙方权利义务</w:t>
      </w:r>
    </w:p>
    <w:p w14:paraId="259DDCB3">
      <w:pPr>
        <w:spacing w:before="213" w:line="373" w:lineRule="auto"/>
        <w:ind w:left="14" w:firstLine="49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（一）应严格按照《中华人民共和国农产品质量安</w:t>
      </w:r>
      <w:r>
        <w:rPr>
          <w:rFonts w:hint="eastAsia" w:ascii="宋体" w:hAnsi="宋体" w:eastAsia="宋体" w:cs="宋体"/>
          <w:color w:val="auto"/>
          <w:spacing w:val="4"/>
          <w:sz w:val="24"/>
          <w:szCs w:val="24"/>
          <w:highlight w:val="none"/>
        </w:rPr>
        <w:t>全法》《中华人民共和国消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费者权益保护法》《中华人民共和国食品安全法》等有关食品安全规定</w:t>
      </w:r>
      <w:r>
        <w:rPr>
          <w:rFonts w:hint="eastAsia" w:ascii="宋体" w:hAnsi="宋体" w:eastAsia="宋体" w:cs="宋体"/>
          <w:color w:val="auto"/>
          <w:spacing w:val="4"/>
          <w:sz w:val="24"/>
          <w:szCs w:val="24"/>
          <w:highlight w:val="none"/>
        </w:rPr>
        <w:t>，保质、保</w:t>
      </w:r>
    </w:p>
    <w:p w14:paraId="23CAF60A">
      <w:pPr>
        <w:spacing w:line="373" w:lineRule="auto"/>
        <w:rPr>
          <w:rFonts w:hint="eastAsia" w:ascii="宋体" w:hAnsi="宋体" w:eastAsia="宋体" w:cs="宋体"/>
          <w:color w:val="auto"/>
          <w:sz w:val="24"/>
          <w:szCs w:val="24"/>
          <w:highlight w:val="none"/>
        </w:rPr>
        <w:sectPr>
          <w:footerReference r:id="rId15" w:type="default"/>
          <w:pgSz w:w="11906" w:h="16839"/>
          <w:pgMar w:top="400" w:right="1480" w:bottom="1666" w:left="1594" w:header="0" w:footer="1388" w:gutter="0"/>
          <w:cols w:space="720" w:num="1"/>
        </w:sectPr>
      </w:pPr>
    </w:p>
    <w:p w14:paraId="43858AF4">
      <w:pPr>
        <w:spacing w:line="257" w:lineRule="auto"/>
        <w:rPr>
          <w:rFonts w:hint="eastAsia" w:ascii="宋体" w:hAnsi="宋体" w:eastAsia="宋体" w:cs="宋体"/>
          <w:color w:val="auto"/>
          <w:sz w:val="21"/>
          <w:highlight w:val="none"/>
        </w:rPr>
      </w:pPr>
    </w:p>
    <w:p w14:paraId="7F1ADE0D">
      <w:pPr>
        <w:spacing w:line="258" w:lineRule="auto"/>
        <w:rPr>
          <w:rFonts w:hint="eastAsia" w:ascii="宋体" w:hAnsi="宋体" w:eastAsia="宋体" w:cs="宋体"/>
          <w:color w:val="auto"/>
          <w:sz w:val="21"/>
          <w:highlight w:val="none"/>
        </w:rPr>
      </w:pPr>
    </w:p>
    <w:p w14:paraId="635FD166">
      <w:pPr>
        <w:spacing w:line="258" w:lineRule="auto"/>
        <w:rPr>
          <w:rFonts w:hint="eastAsia" w:ascii="宋体" w:hAnsi="宋体" w:eastAsia="宋体" w:cs="宋体"/>
          <w:color w:val="auto"/>
          <w:sz w:val="21"/>
          <w:highlight w:val="none"/>
        </w:rPr>
      </w:pPr>
    </w:p>
    <w:p w14:paraId="58A49986">
      <w:pPr>
        <w:spacing w:before="78"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量为甲方供应所需食材。</w:t>
      </w:r>
    </w:p>
    <w:p w14:paraId="46CDEF74">
      <w:pPr>
        <w:spacing w:before="216" w:line="329" w:lineRule="auto"/>
        <w:ind w:firstLine="50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（二）需向甲方提供营业执照、账户及开户行信息、供应食材质量合格证</w:t>
      </w:r>
      <w:r>
        <w:rPr>
          <w:rFonts w:hint="eastAsia" w:ascii="宋体" w:hAnsi="宋体" w:eastAsia="宋体" w:cs="宋体"/>
          <w:color w:val="auto"/>
          <w:spacing w:val="5"/>
          <w:sz w:val="24"/>
          <w:szCs w:val="24"/>
          <w:highlight w:val="none"/>
        </w:rPr>
        <w:t>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从业人员健康证明、税务登记证、食品的检验报告、食品安全管理体系认证证书、</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6"/>
          <w:sz w:val="24"/>
          <w:szCs w:val="24"/>
          <w:highlight w:val="none"/>
        </w:rPr>
        <w:t>食材来源证明、安全应急预案等有关资料；</w:t>
      </w:r>
    </w:p>
    <w:p w14:paraId="5EAC19AF">
      <w:pPr>
        <w:spacing w:before="214" w:line="219" w:lineRule="auto"/>
        <w:ind w:left="50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（三）与甲方核对供应食材信息无误后，需向甲</w:t>
      </w:r>
      <w:r>
        <w:rPr>
          <w:rFonts w:hint="eastAsia" w:ascii="宋体" w:hAnsi="宋体" w:eastAsia="宋体" w:cs="宋体"/>
          <w:color w:val="auto"/>
          <w:spacing w:val="6"/>
          <w:sz w:val="24"/>
          <w:szCs w:val="24"/>
          <w:highlight w:val="none"/>
        </w:rPr>
        <w:t>方提供合规的发票；</w:t>
      </w:r>
    </w:p>
    <w:p w14:paraId="76EB4126">
      <w:pPr>
        <w:spacing w:before="213" w:line="303" w:lineRule="auto"/>
        <w:ind w:right="41" w:firstLine="50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（四）按照订单约定准时将食材运送到指定地点，配合</w:t>
      </w:r>
      <w:r>
        <w:rPr>
          <w:rFonts w:hint="eastAsia" w:ascii="宋体" w:hAnsi="宋体" w:eastAsia="宋体" w:cs="宋体"/>
          <w:color w:val="auto"/>
          <w:spacing w:val="4"/>
          <w:sz w:val="24"/>
          <w:szCs w:val="24"/>
          <w:highlight w:val="none"/>
        </w:rPr>
        <w:t>甲方做好验收并在供货</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清单上签字确认；</w:t>
      </w:r>
    </w:p>
    <w:p w14:paraId="3B5153B5">
      <w:pPr>
        <w:spacing w:before="214"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（五）</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3"/>
          <w:sz w:val="24"/>
          <w:szCs w:val="24"/>
          <w:highlight w:val="none"/>
        </w:rPr>
        <w:t>自行承担食材从开始运输至经甲方检验合格前的一切损毁、变质风险；</w:t>
      </w:r>
    </w:p>
    <w:p w14:paraId="4E65A5EC">
      <w:pPr>
        <w:spacing w:before="217" w:line="329" w:lineRule="auto"/>
        <w:ind w:left="1" w:right="41" w:firstLine="50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（六）严格按照甲方订单中的品类、规格、质量及</w:t>
      </w:r>
      <w:r>
        <w:rPr>
          <w:rFonts w:hint="eastAsia" w:ascii="宋体" w:hAnsi="宋体" w:eastAsia="宋体" w:cs="宋体"/>
          <w:color w:val="auto"/>
          <w:spacing w:val="4"/>
          <w:sz w:val="24"/>
          <w:szCs w:val="24"/>
          <w:highlight w:val="none"/>
        </w:rPr>
        <w:t>数量进行配送，验收时甲方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若发现食材质量不达标、重量不足或出现漏货等情况，乙方应按照甲方的要求立即</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3"/>
          <w:sz w:val="24"/>
          <w:szCs w:val="24"/>
          <w:highlight w:val="none"/>
        </w:rPr>
        <w:t>更换及补货；</w:t>
      </w:r>
    </w:p>
    <w:p w14:paraId="5F6968C6">
      <w:pPr>
        <w:spacing w:before="214" w:line="219" w:lineRule="auto"/>
        <w:ind w:left="50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（七）工作人员出入校园应遵守学校规章制度；</w:t>
      </w:r>
    </w:p>
    <w:p w14:paraId="1F11478E">
      <w:pPr>
        <w:spacing w:before="218" w:line="220" w:lineRule="auto"/>
        <w:ind w:left="5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z w:val="24"/>
          <w:szCs w:val="24"/>
          <w:highlight w:val="none"/>
        </w:rPr>
        <w:t>。</w:t>
      </w:r>
    </w:p>
    <w:p w14:paraId="4F412885">
      <w:pPr>
        <w:spacing w:before="213" w:line="219" w:lineRule="auto"/>
        <w:ind w:left="498"/>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十三、合同解除</w:t>
      </w:r>
    </w:p>
    <w:p w14:paraId="7F90C9AA">
      <w:pPr>
        <w:spacing w:before="214" w:line="219" w:lineRule="auto"/>
        <w:ind w:left="50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（一）双方协商一致可以解除本合同；</w:t>
      </w:r>
    </w:p>
    <w:p w14:paraId="7F56FB16">
      <w:pPr>
        <w:spacing w:before="217" w:line="302" w:lineRule="auto"/>
        <w:ind w:right="41" w:firstLine="50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（二）在合同期内，由于发生不可抗力，致使合同不能</w:t>
      </w:r>
      <w:r>
        <w:rPr>
          <w:rFonts w:hint="eastAsia" w:ascii="宋体" w:hAnsi="宋体" w:eastAsia="宋体" w:cs="宋体"/>
          <w:color w:val="auto"/>
          <w:spacing w:val="4"/>
          <w:sz w:val="24"/>
          <w:szCs w:val="24"/>
          <w:highlight w:val="none"/>
        </w:rPr>
        <w:t>履行的，甲、乙双方的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任何一方有权提出终止合同。由此发生的经济损失</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5"/>
          <w:sz w:val="24"/>
          <w:szCs w:val="24"/>
          <w:highlight w:val="none"/>
        </w:rPr>
        <w:t>甲、乙双方各自承担。</w:t>
      </w:r>
    </w:p>
    <w:p w14:paraId="56BC4BB0">
      <w:pPr>
        <w:spacing w:before="214" w:line="302" w:lineRule="auto"/>
        <w:ind w:right="41" w:firstLine="50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（三）</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6"/>
          <w:sz w:val="24"/>
          <w:szCs w:val="24"/>
          <w:highlight w:val="none"/>
        </w:rPr>
        <w:t>乙方未按合同约定时间供货的，每延迟一次按延迟供</w:t>
      </w:r>
      <w:r>
        <w:rPr>
          <w:rFonts w:hint="eastAsia" w:ascii="宋体" w:hAnsi="宋体" w:eastAsia="宋体" w:cs="宋体"/>
          <w:color w:val="auto"/>
          <w:spacing w:val="5"/>
          <w:sz w:val="24"/>
          <w:szCs w:val="24"/>
          <w:highlight w:val="none"/>
        </w:rPr>
        <w:t>货金额</w:t>
      </w:r>
      <w:r>
        <w:rPr>
          <w:rFonts w:hint="eastAsia" w:ascii="宋体" w:hAnsi="宋体" w:eastAsia="宋体" w:cs="宋体"/>
          <w:color w:val="auto"/>
          <w:spacing w:val="-113"/>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115"/>
          <w:sz w:val="24"/>
          <w:szCs w:val="24"/>
          <w:highlight w:val="none"/>
        </w:rPr>
        <w:t xml:space="preserve"> </w:t>
      </w:r>
      <w:r>
        <w:rPr>
          <w:rFonts w:hint="eastAsia" w:ascii="宋体" w:hAnsi="宋体" w:eastAsia="宋体" w:cs="宋体"/>
          <w:color w:val="auto"/>
          <w:spacing w:val="5"/>
          <w:sz w:val="24"/>
          <w:szCs w:val="24"/>
          <w:highlight w:val="none"/>
        </w:rPr>
        <w:t>%支付</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违约金，如发生</w:t>
      </w:r>
      <w:r>
        <w:rPr>
          <w:rFonts w:hint="eastAsia" w:ascii="宋体" w:hAnsi="宋体" w:eastAsia="宋体" w:cs="宋体"/>
          <w:color w:val="auto"/>
          <w:spacing w:val="-96"/>
          <w:sz w:val="24"/>
          <w:szCs w:val="24"/>
          <w:highlight w:val="none"/>
        </w:rPr>
        <w:t xml:space="preserve"> </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101"/>
          <w:sz w:val="24"/>
          <w:szCs w:val="24"/>
          <w:highlight w:val="none"/>
        </w:rPr>
        <w:t xml:space="preserve"> </w:t>
      </w:r>
      <w:r>
        <w:rPr>
          <w:rFonts w:hint="eastAsia" w:ascii="宋体" w:hAnsi="宋体" w:eastAsia="宋体" w:cs="宋体"/>
          <w:color w:val="auto"/>
          <w:spacing w:val="5"/>
          <w:sz w:val="24"/>
          <w:szCs w:val="24"/>
          <w:highlight w:val="none"/>
        </w:rPr>
        <w:t>次延迟供货，甲方有权解除合同。</w:t>
      </w:r>
    </w:p>
    <w:p w14:paraId="1827D6F8">
      <w:pPr>
        <w:spacing w:before="218" w:line="351" w:lineRule="auto"/>
        <w:ind w:right="41" w:firstLine="50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（四）合同期内，如果因乙方原因不能履约的，应提前</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2"/>
          <w:sz w:val="24"/>
          <w:szCs w:val="24"/>
          <w:highlight w:val="none"/>
        </w:rPr>
        <w:t>日通知甲方终止合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同；如乙方未及时书面通知甲方终止合同而给甲方造成损失的，除乙方应向甲方支</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8"/>
          <w:sz w:val="24"/>
          <w:szCs w:val="24"/>
          <w:highlight w:val="none"/>
        </w:rPr>
        <w:t>付已经履行合同总价款___ %违约金外，还应赔偿甲方临时采购增加的费用以及其</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5"/>
          <w:sz w:val="24"/>
          <w:szCs w:val="24"/>
          <w:highlight w:val="none"/>
        </w:rPr>
        <w:t>他损失。如果乙方拒绝支付违约金和赔偿金的，甲方有权在乙方已供原材料款项中</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扣除。</w:t>
      </w:r>
    </w:p>
    <w:p w14:paraId="58777490">
      <w:pPr>
        <w:spacing w:before="216" w:line="219" w:lineRule="auto"/>
        <w:ind w:left="50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（五）如乙方所提供的食材经甲方进行抽检不合格</w:t>
      </w:r>
      <w:r>
        <w:rPr>
          <w:rFonts w:hint="eastAsia" w:ascii="宋体" w:hAnsi="宋体" w:eastAsia="宋体" w:cs="宋体"/>
          <w:color w:val="auto"/>
          <w:spacing w:val="4"/>
          <w:sz w:val="24"/>
          <w:szCs w:val="24"/>
          <w:highlight w:val="none"/>
        </w:rPr>
        <w:t>的，该批次产品一律无条件</w:t>
      </w:r>
    </w:p>
    <w:p w14:paraId="24878DDA">
      <w:pPr>
        <w:spacing w:line="219" w:lineRule="auto"/>
        <w:rPr>
          <w:rFonts w:hint="eastAsia" w:ascii="宋体" w:hAnsi="宋体" w:eastAsia="宋体" w:cs="宋体"/>
          <w:color w:val="auto"/>
          <w:sz w:val="24"/>
          <w:szCs w:val="24"/>
          <w:highlight w:val="none"/>
        </w:rPr>
        <w:sectPr>
          <w:footerReference r:id="rId16" w:type="default"/>
          <w:pgSz w:w="11906" w:h="16839"/>
          <w:pgMar w:top="400" w:right="1438" w:bottom="1666" w:left="1594" w:header="0" w:footer="1388" w:gutter="0"/>
          <w:cols w:space="720" w:num="1"/>
        </w:sectPr>
      </w:pPr>
    </w:p>
    <w:p w14:paraId="220818FE">
      <w:pPr>
        <w:spacing w:line="257" w:lineRule="auto"/>
        <w:rPr>
          <w:rFonts w:hint="eastAsia" w:ascii="宋体" w:hAnsi="宋体" w:eastAsia="宋体" w:cs="宋体"/>
          <w:color w:val="auto"/>
          <w:sz w:val="21"/>
          <w:highlight w:val="none"/>
        </w:rPr>
      </w:pPr>
    </w:p>
    <w:p w14:paraId="0E6AF966">
      <w:pPr>
        <w:spacing w:line="258" w:lineRule="auto"/>
        <w:rPr>
          <w:rFonts w:hint="eastAsia" w:ascii="宋体" w:hAnsi="宋体" w:eastAsia="宋体" w:cs="宋体"/>
          <w:color w:val="auto"/>
          <w:sz w:val="21"/>
          <w:highlight w:val="none"/>
        </w:rPr>
      </w:pPr>
    </w:p>
    <w:p w14:paraId="2DB5C878">
      <w:pPr>
        <w:spacing w:line="258" w:lineRule="auto"/>
        <w:rPr>
          <w:rFonts w:hint="eastAsia" w:ascii="宋体" w:hAnsi="宋体" w:eastAsia="宋体" w:cs="宋体"/>
          <w:color w:val="auto"/>
          <w:sz w:val="21"/>
          <w:highlight w:val="none"/>
        </w:rPr>
      </w:pPr>
    </w:p>
    <w:p w14:paraId="4B4C9A20">
      <w:pPr>
        <w:spacing w:line="258" w:lineRule="auto"/>
        <w:rPr>
          <w:rFonts w:hint="eastAsia" w:ascii="宋体" w:hAnsi="宋体" w:eastAsia="宋体" w:cs="宋体"/>
          <w:color w:val="auto"/>
          <w:sz w:val="21"/>
          <w:highlight w:val="none"/>
        </w:rPr>
      </w:pPr>
    </w:p>
    <w:p w14:paraId="405EE88F">
      <w:pPr>
        <w:spacing w:line="258" w:lineRule="auto"/>
        <w:rPr>
          <w:rFonts w:hint="eastAsia" w:ascii="宋体" w:hAnsi="宋体" w:eastAsia="宋体" w:cs="宋体"/>
          <w:color w:val="auto"/>
          <w:sz w:val="21"/>
          <w:highlight w:val="none"/>
        </w:rPr>
      </w:pPr>
    </w:p>
    <w:p w14:paraId="46DFB0A5">
      <w:pPr>
        <w:spacing w:before="78" w:line="370" w:lineRule="auto"/>
        <w:ind w:left="30" w:right="85" w:hanging="3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退回。如果两次发现抽查不合格的，甲方有权终止合同，乙方应承担违约责任，向 </w:t>
      </w:r>
      <w:r>
        <w:rPr>
          <w:rFonts w:hint="eastAsia" w:ascii="宋体" w:hAnsi="宋体" w:eastAsia="宋体" w:cs="宋体"/>
          <w:color w:val="auto"/>
          <w:spacing w:val="3"/>
          <w:sz w:val="24"/>
          <w:szCs w:val="24"/>
          <w:highlight w:val="none"/>
        </w:rPr>
        <w:t>甲方支付已经履约总价款</w:t>
      </w:r>
      <w:r>
        <w:rPr>
          <w:rFonts w:hint="eastAsia" w:ascii="宋体" w:hAnsi="宋体" w:eastAsia="宋体" w:cs="宋体"/>
          <w:color w:val="auto"/>
          <w:spacing w:val="-98"/>
          <w:sz w:val="24"/>
          <w:szCs w:val="24"/>
          <w:highlight w:val="none"/>
        </w:rPr>
        <w:t xml:space="preserve"> </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114"/>
          <w:sz w:val="24"/>
          <w:szCs w:val="24"/>
          <w:highlight w:val="none"/>
        </w:rPr>
        <w:t xml:space="preserve"> </w:t>
      </w:r>
      <w:r>
        <w:rPr>
          <w:rFonts w:hint="eastAsia" w:ascii="宋体" w:hAnsi="宋体" w:eastAsia="宋体" w:cs="宋体"/>
          <w:color w:val="auto"/>
          <w:spacing w:val="3"/>
          <w:sz w:val="24"/>
          <w:szCs w:val="24"/>
          <w:highlight w:val="none"/>
        </w:rPr>
        <w:t>%的违约金。</w:t>
      </w:r>
    </w:p>
    <w:p w14:paraId="14C4E354">
      <w:pPr>
        <w:spacing w:before="36" w:line="378" w:lineRule="auto"/>
        <w:ind w:left="1" w:right="85" w:firstLine="506"/>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（六）如甲、乙双方中有一方不接受调整价格，可</w:t>
      </w:r>
      <w:r>
        <w:rPr>
          <w:rFonts w:hint="eastAsia" w:ascii="宋体" w:hAnsi="宋体" w:eastAsia="宋体" w:cs="宋体"/>
          <w:color w:val="auto"/>
          <w:spacing w:val="4"/>
          <w:sz w:val="24"/>
          <w:szCs w:val="24"/>
          <w:highlight w:val="none"/>
        </w:rPr>
        <w:t>提出终止合同，不属于违约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行为。如终止合同，乙方仍需按照上一个周期的价格为甲方供货一个月，如因乙方</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5"/>
          <w:sz w:val="24"/>
          <w:szCs w:val="24"/>
          <w:highlight w:val="none"/>
        </w:rPr>
        <w:t>无法供货给甲方造成损失，则视为违约行为，损失优先从履约保证金中扣除，不足</w:t>
      </w:r>
      <w:r>
        <w:rPr>
          <w:rFonts w:hint="eastAsia" w:ascii="宋体" w:hAnsi="宋体" w:eastAsia="宋体" w:cs="宋体"/>
          <w:color w:val="auto"/>
          <w:spacing w:val="4"/>
          <w:sz w:val="24"/>
          <w:szCs w:val="24"/>
          <w:highlight w:val="none"/>
        </w:rPr>
        <w:t xml:space="preserve"> 部分由乙方补足。</w:t>
      </w:r>
    </w:p>
    <w:p w14:paraId="5E423686">
      <w:pPr>
        <w:spacing w:before="36" w:line="219" w:lineRule="auto"/>
        <w:ind w:left="497"/>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十四、违约责任</w:t>
      </w:r>
    </w:p>
    <w:p w14:paraId="550A9642">
      <w:pPr>
        <w:spacing w:before="215" w:line="329" w:lineRule="auto"/>
        <w:ind w:right="82" w:firstLine="50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（一）食品供应造成师生食物中毒（一般食品安全事故</w:t>
      </w:r>
      <w:r>
        <w:rPr>
          <w:rFonts w:hint="eastAsia" w:ascii="宋体" w:hAnsi="宋体" w:eastAsia="宋体" w:cs="宋体"/>
          <w:color w:val="auto"/>
          <w:spacing w:val="4"/>
          <w:sz w:val="24"/>
          <w:szCs w:val="24"/>
          <w:highlight w:val="none"/>
        </w:rPr>
        <w:t>及以上等级的）或其他</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食源性疾病等重大安全事故的，经检测是乙方配送食品原材料原因的，甲方有权单</w:t>
      </w:r>
      <w:r>
        <w:rPr>
          <w:rFonts w:hint="eastAsia" w:ascii="宋体" w:hAnsi="宋体" w:eastAsia="宋体" w:cs="宋体"/>
          <w:color w:val="auto"/>
          <w:spacing w:val="6"/>
          <w:sz w:val="24"/>
          <w:szCs w:val="24"/>
          <w:highlight w:val="none"/>
        </w:rPr>
        <w:t xml:space="preserve"> 方解除本合同，乙方应当向甲方支付已供货总金额</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114"/>
          <w:sz w:val="24"/>
          <w:szCs w:val="24"/>
          <w:highlight w:val="none"/>
        </w:rPr>
        <w:t xml:space="preserve"> </w:t>
      </w:r>
      <w:r>
        <w:rPr>
          <w:rFonts w:hint="eastAsia" w:ascii="宋体" w:hAnsi="宋体" w:eastAsia="宋体" w:cs="宋体"/>
          <w:color w:val="auto"/>
          <w:spacing w:val="6"/>
          <w:sz w:val="24"/>
          <w:szCs w:val="24"/>
          <w:highlight w:val="none"/>
        </w:rPr>
        <w:t>%的违约金。</w:t>
      </w:r>
    </w:p>
    <w:p w14:paraId="15906F01">
      <w:pPr>
        <w:spacing w:before="213" w:line="330" w:lineRule="auto"/>
        <w:ind w:firstLine="50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（二）</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6"/>
          <w:sz w:val="24"/>
          <w:szCs w:val="24"/>
          <w:highlight w:val="none"/>
        </w:rPr>
        <w:t>乙方工作没有达到甲方或学校要求的，甲方有</w:t>
      </w:r>
      <w:r>
        <w:rPr>
          <w:rFonts w:hint="eastAsia" w:ascii="宋体" w:hAnsi="宋体" w:eastAsia="宋体" w:cs="宋体"/>
          <w:color w:val="auto"/>
          <w:spacing w:val="5"/>
          <w:sz w:val="24"/>
          <w:szCs w:val="24"/>
          <w:highlight w:val="none"/>
        </w:rPr>
        <w:t>权向乙方提出工作整改，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提高服务水平。甲方三次催告后乙方仍不予整改的，甲方有权单方解除合同，乙方</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5"/>
          <w:sz w:val="24"/>
          <w:szCs w:val="24"/>
          <w:highlight w:val="none"/>
        </w:rPr>
        <w:t>应承担给甲方造成的一切损失（包括但不限</w:t>
      </w:r>
      <w:r>
        <w:rPr>
          <w:rFonts w:hint="eastAsia" w:ascii="宋体" w:hAnsi="宋体" w:eastAsia="宋体" w:cs="宋体"/>
          <w:color w:val="auto"/>
          <w:spacing w:val="-6"/>
          <w:sz w:val="24"/>
          <w:szCs w:val="24"/>
          <w:highlight w:val="none"/>
        </w:rPr>
        <w:t>于鉴定费、差旅费、诉讼费、律师费等）。</w:t>
      </w:r>
    </w:p>
    <w:p w14:paraId="1FFF9931">
      <w:pPr>
        <w:spacing w:before="215" w:line="301" w:lineRule="auto"/>
        <w:ind w:right="82" w:firstLine="50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（三）若乙方已做到供货及时，保质保量，诚信经营，</w:t>
      </w:r>
      <w:r>
        <w:rPr>
          <w:rFonts w:hint="eastAsia" w:ascii="宋体" w:hAnsi="宋体" w:eastAsia="宋体" w:cs="宋体"/>
          <w:color w:val="auto"/>
          <w:spacing w:val="4"/>
          <w:sz w:val="24"/>
          <w:szCs w:val="24"/>
          <w:highlight w:val="none"/>
        </w:rPr>
        <w:t>甲方无正当理由不能在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合同期内随意取消乙方的供货权。</w:t>
      </w:r>
    </w:p>
    <w:p w14:paraId="61CDB524">
      <w:pPr>
        <w:spacing w:before="220" w:line="351" w:lineRule="auto"/>
        <w:ind w:left="1" w:right="82" w:firstLine="506"/>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（四）除本合同对违约责任有明确约定外，任何一方不</w:t>
      </w:r>
      <w:r>
        <w:rPr>
          <w:rFonts w:hint="eastAsia" w:ascii="宋体" w:hAnsi="宋体" w:eastAsia="宋体" w:cs="宋体"/>
          <w:color w:val="auto"/>
          <w:spacing w:val="4"/>
          <w:sz w:val="24"/>
          <w:szCs w:val="24"/>
          <w:highlight w:val="none"/>
        </w:rPr>
        <w:t>履行合同或履行合同不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符合约定的均视为违约。届时，违约方除应向守约方支付</w:t>
      </w:r>
      <w:r>
        <w:rPr>
          <w:rFonts w:hint="eastAsia" w:ascii="宋体" w:hAnsi="宋体" w:eastAsia="宋体" w:cs="宋体"/>
          <w:color w:val="auto"/>
          <w:spacing w:val="7"/>
          <w:sz w:val="24"/>
          <w:szCs w:val="24"/>
          <w:highlight w:val="none"/>
        </w:rPr>
        <w:t>已供货总金额</w:t>
      </w:r>
      <w:r>
        <w:rPr>
          <w:rFonts w:hint="eastAsia" w:ascii="宋体" w:hAnsi="宋体" w:eastAsia="宋体" w:cs="宋体"/>
          <w:color w:val="auto"/>
          <w:spacing w:val="-113"/>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116"/>
          <w:sz w:val="24"/>
          <w:szCs w:val="24"/>
          <w:highlight w:val="none"/>
        </w:rPr>
        <w:t xml:space="preserve"> </w:t>
      </w:r>
      <w:r>
        <w:rPr>
          <w:rFonts w:hint="eastAsia" w:ascii="宋体" w:hAnsi="宋体" w:eastAsia="宋体" w:cs="宋体"/>
          <w:color w:val="auto"/>
          <w:spacing w:val="7"/>
          <w:sz w:val="24"/>
          <w:szCs w:val="24"/>
          <w:highlight w:val="none"/>
        </w:rPr>
        <w:t>%的惩</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罚性违约金外，还应赔偿由此给守约方造成的所有损失。同时，违约方未按守约方</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5"/>
          <w:sz w:val="24"/>
          <w:szCs w:val="24"/>
          <w:highlight w:val="none"/>
        </w:rPr>
        <w:t>的要求纠正违约行为或虽经纠正但仍不符合合同约定的，守约方有权单方面解除合</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3"/>
          <w:sz w:val="24"/>
          <w:szCs w:val="24"/>
          <w:highlight w:val="none"/>
        </w:rPr>
        <w:t>同，</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3"/>
          <w:sz w:val="24"/>
          <w:szCs w:val="24"/>
          <w:highlight w:val="none"/>
        </w:rPr>
        <w:t>由此产生的责任均由违约方承担。</w:t>
      </w:r>
    </w:p>
    <w:p w14:paraId="36ADF90E">
      <w:pPr>
        <w:spacing w:before="215" w:line="219" w:lineRule="auto"/>
        <w:ind w:left="497"/>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十五、争议解决</w:t>
      </w:r>
    </w:p>
    <w:p w14:paraId="44F4978A">
      <w:pPr>
        <w:spacing w:before="216" w:line="371" w:lineRule="auto"/>
        <w:ind w:right="85" w:firstLine="515"/>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因本合同相关事项发生的纠纷，可由双方协商解决，协商不成</w:t>
      </w:r>
      <w:r>
        <w:rPr>
          <w:rFonts w:hint="eastAsia" w:ascii="宋体" w:hAnsi="宋体" w:eastAsia="宋体" w:cs="宋体"/>
          <w:color w:val="auto"/>
          <w:spacing w:val="11"/>
          <w:sz w:val="24"/>
          <w:szCs w:val="24"/>
          <w:highlight w:val="none"/>
        </w:rPr>
        <w:t>，可按以下第</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种方式解决：</w:t>
      </w:r>
    </w:p>
    <w:p w14:paraId="65FCF7FF">
      <w:pPr>
        <w:spacing w:before="34" w:line="219" w:lineRule="auto"/>
        <w:ind w:left="5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z w:val="24"/>
          <w:szCs w:val="24"/>
          <w:highlight w:val="none"/>
        </w:rPr>
        <w:t>向</w:t>
      </w:r>
      <w:r>
        <w:rPr>
          <w:rFonts w:hint="eastAsia" w:ascii="宋体" w:hAnsi="宋体" w:eastAsia="宋体" w:cs="宋体"/>
          <w:color w:val="auto"/>
          <w:spacing w:val="-113"/>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111"/>
          <w:sz w:val="24"/>
          <w:szCs w:val="24"/>
          <w:highlight w:val="none"/>
        </w:rPr>
        <w:t xml:space="preserve"> </w:t>
      </w:r>
      <w:r>
        <w:rPr>
          <w:rFonts w:hint="eastAsia" w:ascii="宋体" w:hAnsi="宋体" w:eastAsia="宋体" w:cs="宋体"/>
          <w:color w:val="auto"/>
          <w:sz w:val="24"/>
          <w:szCs w:val="24"/>
          <w:highlight w:val="none"/>
        </w:rPr>
        <w:t>仲裁委员会申请仲裁。</w:t>
      </w:r>
    </w:p>
    <w:p w14:paraId="501E7446">
      <w:pPr>
        <w:spacing w:before="217" w:line="219" w:lineRule="auto"/>
        <w:ind w:left="50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（二）依法向</w:t>
      </w:r>
      <w:r>
        <w:rPr>
          <w:rFonts w:hint="eastAsia" w:ascii="宋体" w:hAnsi="宋体" w:eastAsia="宋体" w:cs="宋体"/>
          <w:color w:val="auto"/>
          <w:spacing w:val="-104"/>
          <w:sz w:val="24"/>
          <w:szCs w:val="24"/>
          <w:highlight w:val="none"/>
        </w:rPr>
        <w:t xml:space="preserve"> </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99"/>
          <w:sz w:val="24"/>
          <w:szCs w:val="24"/>
          <w:highlight w:val="none"/>
        </w:rPr>
        <w:t xml:space="preserve"> </w:t>
      </w:r>
      <w:r>
        <w:rPr>
          <w:rFonts w:hint="eastAsia" w:ascii="宋体" w:hAnsi="宋体" w:eastAsia="宋体" w:cs="宋体"/>
          <w:color w:val="auto"/>
          <w:spacing w:val="3"/>
          <w:sz w:val="24"/>
          <w:szCs w:val="24"/>
          <w:highlight w:val="none"/>
        </w:rPr>
        <w:t>人民法院起诉。</w:t>
      </w:r>
    </w:p>
    <w:p w14:paraId="22E69945">
      <w:pPr>
        <w:spacing w:line="219" w:lineRule="auto"/>
        <w:rPr>
          <w:rFonts w:hint="eastAsia" w:ascii="宋体" w:hAnsi="宋体" w:eastAsia="宋体" w:cs="宋体"/>
          <w:color w:val="auto"/>
          <w:sz w:val="24"/>
          <w:szCs w:val="24"/>
          <w:highlight w:val="none"/>
        </w:rPr>
        <w:sectPr>
          <w:footerReference r:id="rId17" w:type="default"/>
          <w:pgSz w:w="11906" w:h="16839"/>
          <w:pgMar w:top="400" w:right="1397" w:bottom="1666" w:left="1595" w:header="0" w:footer="1388" w:gutter="0"/>
          <w:cols w:space="720" w:num="1"/>
        </w:sectPr>
      </w:pPr>
    </w:p>
    <w:p w14:paraId="23126DAC">
      <w:pPr>
        <w:spacing w:line="257" w:lineRule="auto"/>
        <w:rPr>
          <w:rFonts w:hint="eastAsia" w:ascii="宋体" w:hAnsi="宋体" w:eastAsia="宋体" w:cs="宋体"/>
          <w:color w:val="auto"/>
          <w:sz w:val="21"/>
          <w:highlight w:val="none"/>
        </w:rPr>
      </w:pPr>
    </w:p>
    <w:p w14:paraId="3D2DE5F7">
      <w:pPr>
        <w:spacing w:line="257" w:lineRule="auto"/>
        <w:rPr>
          <w:rFonts w:hint="eastAsia" w:ascii="宋体" w:hAnsi="宋体" w:eastAsia="宋体" w:cs="宋体"/>
          <w:color w:val="auto"/>
          <w:sz w:val="21"/>
          <w:highlight w:val="none"/>
        </w:rPr>
      </w:pPr>
    </w:p>
    <w:p w14:paraId="379D9F36">
      <w:pPr>
        <w:spacing w:line="258" w:lineRule="auto"/>
        <w:rPr>
          <w:rFonts w:hint="eastAsia" w:ascii="宋体" w:hAnsi="宋体" w:eastAsia="宋体" w:cs="宋体"/>
          <w:color w:val="auto"/>
          <w:sz w:val="21"/>
          <w:highlight w:val="none"/>
        </w:rPr>
      </w:pPr>
    </w:p>
    <w:p w14:paraId="19D37473">
      <w:pPr>
        <w:spacing w:line="258" w:lineRule="auto"/>
        <w:rPr>
          <w:rFonts w:hint="eastAsia" w:ascii="宋体" w:hAnsi="宋体" w:eastAsia="宋体" w:cs="宋体"/>
          <w:color w:val="auto"/>
          <w:sz w:val="21"/>
          <w:highlight w:val="none"/>
        </w:rPr>
      </w:pPr>
    </w:p>
    <w:p w14:paraId="6547C5BF">
      <w:pPr>
        <w:spacing w:line="258" w:lineRule="auto"/>
        <w:rPr>
          <w:rFonts w:hint="eastAsia" w:ascii="宋体" w:hAnsi="宋体" w:eastAsia="宋体" w:cs="宋体"/>
          <w:color w:val="auto"/>
          <w:sz w:val="21"/>
          <w:highlight w:val="none"/>
        </w:rPr>
      </w:pPr>
    </w:p>
    <w:p w14:paraId="520A5F6F">
      <w:pPr>
        <w:spacing w:before="78" w:line="375" w:lineRule="auto"/>
        <w:ind w:left="1" w:right="56" w:firstLine="47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在诉讼或仲裁期间，本合同不涉及争议的条款仍然有效，双方</w:t>
      </w:r>
      <w:r>
        <w:rPr>
          <w:rFonts w:hint="eastAsia" w:ascii="宋体" w:hAnsi="宋体" w:eastAsia="宋体" w:cs="宋体"/>
          <w:color w:val="auto"/>
          <w:spacing w:val="-2"/>
          <w:sz w:val="24"/>
          <w:szCs w:val="24"/>
          <w:highlight w:val="none"/>
        </w:rPr>
        <w:t>应继续履行。因争</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议解决产生的诉讼费、保全费、保全、保险费、律师费、鉴定费</w:t>
      </w:r>
      <w:r>
        <w:rPr>
          <w:rFonts w:hint="eastAsia" w:ascii="宋体" w:hAnsi="宋体" w:eastAsia="宋体" w:cs="宋体"/>
          <w:color w:val="auto"/>
          <w:spacing w:val="-2"/>
          <w:sz w:val="24"/>
          <w:szCs w:val="24"/>
          <w:highlight w:val="none"/>
        </w:rPr>
        <w:t>、评估费、公证费、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差旅费、公告费、邮寄送达费等所有成本由违约方承担。</w:t>
      </w:r>
    </w:p>
    <w:p w14:paraId="43388346">
      <w:pPr>
        <w:spacing w:before="39" w:line="219" w:lineRule="auto"/>
        <w:ind w:left="48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十六、合同签订时间、地点、份数及生效</w:t>
      </w:r>
    </w:p>
    <w:p w14:paraId="44B81F64">
      <w:pPr>
        <w:spacing w:before="214" w:line="219"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（一）合同签订时间：</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104"/>
          <w:sz w:val="24"/>
          <w:szCs w:val="24"/>
          <w:highlight w:val="non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4"/>
          <w:sz w:val="24"/>
          <w:szCs w:val="24"/>
          <w:highlight w:val="none"/>
        </w:rPr>
        <w:t>日。</w:t>
      </w:r>
    </w:p>
    <w:p w14:paraId="1BFD2D6A">
      <w:pPr>
        <w:spacing w:before="214" w:line="221"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（二）合同签订地点：</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w:t>
      </w:r>
    </w:p>
    <w:p w14:paraId="2D53AA08">
      <w:pPr>
        <w:spacing w:before="213" w:line="302" w:lineRule="auto"/>
        <w:ind w:left="9" w:right="56"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（三）合同份数：合同一式</w:t>
      </w:r>
      <w:r>
        <w:rPr>
          <w:rFonts w:hint="eastAsia" w:ascii="宋体" w:hAnsi="宋体" w:eastAsia="宋体" w:cs="宋体"/>
          <w:color w:val="auto"/>
          <w:spacing w:val="-102"/>
          <w:sz w:val="24"/>
          <w:szCs w:val="24"/>
          <w:highlight w:val="none"/>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z w:val="24"/>
          <w:szCs w:val="24"/>
          <w:highlight w:val="none"/>
        </w:rPr>
        <w:t>份，甲方</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10"/>
          <w:sz w:val="24"/>
          <w:szCs w:val="24"/>
          <w:highlight w:val="none"/>
        </w:rPr>
        <w:t xml:space="preserve"> </w:t>
      </w:r>
      <w:r>
        <w:rPr>
          <w:rFonts w:hint="eastAsia" w:ascii="宋体" w:hAnsi="宋体" w:eastAsia="宋体" w:cs="宋体"/>
          <w:color w:val="auto"/>
          <w:sz w:val="24"/>
          <w:szCs w:val="24"/>
          <w:highlight w:val="none"/>
        </w:rPr>
        <w:t>份，乙方</w:t>
      </w:r>
      <w:r>
        <w:rPr>
          <w:rFonts w:hint="eastAsia" w:ascii="宋体" w:hAnsi="宋体" w:eastAsia="宋体" w:cs="宋体"/>
          <w:color w:val="auto"/>
          <w:spacing w:val="-120"/>
          <w:sz w:val="24"/>
          <w:szCs w:val="24"/>
          <w:highlight w:val="none"/>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z w:val="24"/>
          <w:szCs w:val="24"/>
          <w:highlight w:val="none"/>
        </w:rPr>
        <w:t xml:space="preserve">份，由甲方向当地教 </w:t>
      </w:r>
      <w:r>
        <w:rPr>
          <w:rFonts w:hint="eastAsia" w:ascii="宋体" w:hAnsi="宋体" w:eastAsia="宋体" w:cs="宋体"/>
          <w:color w:val="auto"/>
          <w:spacing w:val="-2"/>
          <w:sz w:val="24"/>
          <w:szCs w:val="24"/>
          <w:highlight w:val="none"/>
        </w:rPr>
        <w:t>育行政部门备案</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10"/>
          <w:sz w:val="24"/>
          <w:szCs w:val="24"/>
          <w:highlight w:val="none"/>
        </w:rPr>
        <w:t xml:space="preserve"> </w:t>
      </w:r>
      <w:r>
        <w:rPr>
          <w:rFonts w:hint="eastAsia" w:ascii="宋体" w:hAnsi="宋体" w:eastAsia="宋体" w:cs="宋体"/>
          <w:color w:val="auto"/>
          <w:spacing w:val="-2"/>
          <w:sz w:val="24"/>
          <w:szCs w:val="24"/>
          <w:highlight w:val="none"/>
        </w:rPr>
        <w:t>份。</w:t>
      </w:r>
    </w:p>
    <w:p w14:paraId="2DEC70DB">
      <w:pPr>
        <w:spacing w:before="213" w:line="219"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（四）本合同经双方法定代表人签字并加盖公章后生效。</w:t>
      </w:r>
    </w:p>
    <w:p w14:paraId="22451CF1">
      <w:pPr>
        <w:spacing w:before="218" w:line="220" w:lineRule="auto"/>
        <w:ind w:left="497"/>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十七、其它约定</w:t>
      </w:r>
    </w:p>
    <w:p w14:paraId="4AF4BA0B">
      <w:pPr>
        <w:spacing w:before="213" w:line="219" w:lineRule="auto"/>
        <w:ind w:left="50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（一）合同签订后</w:t>
      </w:r>
      <w:r>
        <w:rPr>
          <w:rFonts w:hint="eastAsia" w:ascii="宋体" w:hAnsi="宋体" w:eastAsia="宋体" w:cs="宋体"/>
          <w:color w:val="auto"/>
          <w:spacing w:val="-98"/>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3"/>
          <w:sz w:val="24"/>
          <w:szCs w:val="24"/>
          <w:highlight w:val="none"/>
        </w:rPr>
        <w:t>日内向属地教育行政部门备案。</w:t>
      </w:r>
    </w:p>
    <w:p w14:paraId="654D394B">
      <w:pPr>
        <w:spacing w:before="213" w:line="330" w:lineRule="auto"/>
        <w:ind w:left="1" w:right="66" w:firstLine="506"/>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（二）在履行本合同过程中涉及对中标资金和本合</w:t>
      </w:r>
      <w:r>
        <w:rPr>
          <w:rFonts w:hint="eastAsia" w:ascii="宋体" w:hAnsi="宋体" w:eastAsia="宋体" w:cs="宋体"/>
          <w:color w:val="auto"/>
          <w:spacing w:val="4"/>
          <w:sz w:val="24"/>
          <w:szCs w:val="24"/>
          <w:highlight w:val="none"/>
        </w:rPr>
        <w:t>同内容修改或补充的，须经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当地财政部门审批，并签订书面补充协议报教育行政部门和市场监管部门备案，方</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6"/>
          <w:sz w:val="24"/>
          <w:szCs w:val="24"/>
          <w:highlight w:val="none"/>
        </w:rPr>
        <w:t>可作为主合同不可分割的一部分。</w:t>
      </w:r>
    </w:p>
    <w:p w14:paraId="0202E6E5">
      <w:pPr>
        <w:spacing w:before="213" w:line="330" w:lineRule="auto"/>
        <w:ind w:right="66" w:firstLine="50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（三）本合同所有附件、采购文件、投标文件、中</w:t>
      </w:r>
      <w:r>
        <w:rPr>
          <w:rFonts w:hint="eastAsia" w:ascii="宋体" w:hAnsi="宋体" w:eastAsia="宋体" w:cs="宋体"/>
          <w:color w:val="auto"/>
          <w:spacing w:val="4"/>
          <w:sz w:val="24"/>
          <w:szCs w:val="24"/>
          <w:highlight w:val="none"/>
        </w:rPr>
        <w:t>标通知书均为合同的有效组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 xml:space="preserve">成部分，与本合同具有同等法律效力。本合同应实质性响应招标要求，优于或满足 </w:t>
      </w:r>
      <w:r>
        <w:rPr>
          <w:rFonts w:hint="eastAsia" w:ascii="宋体" w:hAnsi="宋体" w:eastAsia="宋体" w:cs="宋体"/>
          <w:color w:val="auto"/>
          <w:spacing w:val="7"/>
          <w:sz w:val="24"/>
          <w:szCs w:val="24"/>
          <w:highlight w:val="none"/>
        </w:rPr>
        <w:t>招投标文件，如有降低要求或不满足等不一致情况，以招投标文件为准。</w:t>
      </w:r>
    </w:p>
    <w:p w14:paraId="614A9009">
      <w:pPr>
        <w:spacing w:before="213" w:line="330" w:lineRule="auto"/>
        <w:ind w:firstLine="5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（四）本合同如有未尽事宜，由甲乙双方协</w:t>
      </w:r>
      <w:r>
        <w:rPr>
          <w:rFonts w:hint="eastAsia" w:ascii="宋体" w:hAnsi="宋体" w:eastAsia="宋体" w:cs="宋体"/>
          <w:color w:val="auto"/>
          <w:spacing w:val="-1"/>
          <w:sz w:val="24"/>
          <w:szCs w:val="24"/>
          <w:highlight w:val="none"/>
        </w:rPr>
        <w:t>商解决。达成一致后签订补充协议，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补充协议的约定原则上不能与本合同及中标通知书的核心内容相抵触，否则不具有</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2"/>
          <w:sz w:val="24"/>
          <w:szCs w:val="24"/>
          <w:highlight w:val="none"/>
        </w:rPr>
        <w:t>法律效力。</w:t>
      </w:r>
    </w:p>
    <w:p w14:paraId="2EBB9FF1">
      <w:pPr>
        <w:spacing w:before="214" w:line="220" w:lineRule="auto"/>
        <w:ind w:left="497"/>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十八、合同生效</w:t>
      </w:r>
    </w:p>
    <w:p w14:paraId="56EDAF81">
      <w:pPr>
        <w:spacing w:before="215" w:line="219" w:lineRule="auto"/>
        <w:ind w:left="49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本合同自甲乙双方法定代表人签章并加盖单位公章（加盖骑缝章）后生效。</w:t>
      </w:r>
    </w:p>
    <w:p w14:paraId="47561C85">
      <w:pPr>
        <w:spacing w:before="215" w:line="219" w:lineRule="auto"/>
        <w:ind w:left="5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甲方（公章</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2"/>
          <w:sz w:val="24"/>
          <w:szCs w:val="24"/>
          <w:highlight w:val="none"/>
        </w:rPr>
        <w:t>乙方（公章</w:t>
      </w:r>
      <w:r>
        <w:rPr>
          <w:rFonts w:hint="eastAsia" w:ascii="宋体" w:hAnsi="宋体" w:eastAsia="宋体" w:cs="宋体"/>
          <w:color w:val="auto"/>
          <w:spacing w:val="6"/>
          <w:sz w:val="24"/>
          <w:szCs w:val="24"/>
          <w:highlight w:val="none"/>
        </w:rPr>
        <w:t>）：</w:t>
      </w:r>
    </w:p>
    <w:p w14:paraId="63F51CEA">
      <w:pPr>
        <w:spacing w:before="215" w:line="220" w:lineRule="auto"/>
        <w:ind w:left="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账户：                        </w:t>
      </w:r>
      <w:r>
        <w:rPr>
          <w:rFonts w:hint="eastAsia" w:ascii="宋体" w:hAnsi="宋体" w:eastAsia="宋体" w:cs="宋体"/>
          <w:color w:val="auto"/>
          <w:spacing w:val="-1"/>
          <w:sz w:val="24"/>
          <w:szCs w:val="24"/>
          <w:highlight w:val="none"/>
        </w:rPr>
        <w:t xml:space="preserve">     账户：</w:t>
      </w:r>
    </w:p>
    <w:p w14:paraId="4E248A2E">
      <w:pPr>
        <w:spacing w:before="215" w:line="220" w:lineRule="auto"/>
        <w:ind w:left="49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开户行：</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
          <w:sz w:val="24"/>
          <w:szCs w:val="24"/>
          <w:highlight w:val="none"/>
        </w:rPr>
        <w:t>开户行：</w:t>
      </w:r>
    </w:p>
    <w:p w14:paraId="789DA3AC">
      <w:pPr>
        <w:spacing w:line="220" w:lineRule="auto"/>
        <w:rPr>
          <w:rFonts w:hint="eastAsia" w:ascii="宋体" w:hAnsi="宋体" w:eastAsia="宋体" w:cs="宋体"/>
          <w:color w:val="auto"/>
          <w:sz w:val="24"/>
          <w:szCs w:val="24"/>
          <w:highlight w:val="none"/>
        </w:rPr>
        <w:sectPr>
          <w:footerReference r:id="rId18" w:type="default"/>
          <w:pgSz w:w="11906" w:h="16839"/>
          <w:pgMar w:top="400" w:right="1416" w:bottom="1666" w:left="1595" w:header="0" w:footer="1388" w:gutter="0"/>
          <w:cols w:space="720" w:num="1"/>
        </w:sectPr>
      </w:pPr>
    </w:p>
    <w:p w14:paraId="1540E6D1">
      <w:pPr>
        <w:spacing w:line="257" w:lineRule="auto"/>
        <w:rPr>
          <w:rFonts w:hint="eastAsia" w:ascii="宋体" w:hAnsi="宋体" w:eastAsia="宋体" w:cs="宋体"/>
          <w:color w:val="auto"/>
          <w:sz w:val="21"/>
          <w:highlight w:val="none"/>
        </w:rPr>
      </w:pPr>
    </w:p>
    <w:p w14:paraId="2E38C495">
      <w:pPr>
        <w:spacing w:line="258" w:lineRule="auto"/>
        <w:rPr>
          <w:rFonts w:hint="eastAsia" w:ascii="宋体" w:hAnsi="宋体" w:eastAsia="宋体" w:cs="宋体"/>
          <w:color w:val="auto"/>
          <w:sz w:val="21"/>
          <w:highlight w:val="none"/>
        </w:rPr>
      </w:pPr>
    </w:p>
    <w:p w14:paraId="0BC70254">
      <w:pPr>
        <w:spacing w:line="258" w:lineRule="auto"/>
        <w:rPr>
          <w:rFonts w:hint="eastAsia" w:ascii="宋体" w:hAnsi="宋体" w:eastAsia="宋体" w:cs="宋体"/>
          <w:color w:val="auto"/>
          <w:sz w:val="21"/>
          <w:highlight w:val="none"/>
        </w:rPr>
      </w:pPr>
    </w:p>
    <w:p w14:paraId="1436CEF1">
      <w:pPr>
        <w:spacing w:line="258" w:lineRule="auto"/>
        <w:rPr>
          <w:rFonts w:hint="eastAsia" w:ascii="宋体" w:hAnsi="宋体" w:eastAsia="宋体" w:cs="宋体"/>
          <w:color w:val="auto"/>
          <w:sz w:val="21"/>
          <w:highlight w:val="none"/>
        </w:rPr>
      </w:pPr>
    </w:p>
    <w:p w14:paraId="5C38451C">
      <w:pPr>
        <w:spacing w:line="258" w:lineRule="auto"/>
        <w:rPr>
          <w:rFonts w:hint="eastAsia" w:ascii="宋体" w:hAnsi="宋体" w:eastAsia="宋体" w:cs="宋体"/>
          <w:color w:val="auto"/>
          <w:sz w:val="21"/>
          <w:highlight w:val="none"/>
        </w:rPr>
      </w:pPr>
    </w:p>
    <w:p w14:paraId="21F2782F">
      <w:pPr>
        <w:spacing w:before="78" w:line="220" w:lineRule="auto"/>
        <w:ind w:left="49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纳税人识别号：                    纳税人识别号：</w:t>
      </w:r>
    </w:p>
    <w:p w14:paraId="343B5BAD">
      <w:pPr>
        <w:spacing w:before="212" w:line="229" w:lineRule="auto"/>
        <w:ind w:left="4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pacing w:val="-1"/>
          <w:sz w:val="24"/>
          <w:szCs w:val="24"/>
          <w:highlight w:val="none"/>
        </w:rPr>
        <w:t xml:space="preserve"> 地址：</w:t>
      </w:r>
    </w:p>
    <w:p w14:paraId="7D4CE244">
      <w:pPr>
        <w:spacing w:before="202" w:line="221" w:lineRule="auto"/>
        <w:ind w:left="49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
          <w:sz w:val="24"/>
          <w:szCs w:val="24"/>
          <w:highlight w:val="none"/>
        </w:rPr>
        <w:t>联系人：</w:t>
      </w:r>
    </w:p>
    <w:p w14:paraId="5729A17B">
      <w:pPr>
        <w:spacing w:before="214" w:line="221" w:lineRule="auto"/>
        <w:ind w:left="49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联系电话：</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2"/>
          <w:sz w:val="24"/>
          <w:szCs w:val="24"/>
          <w:highlight w:val="none"/>
        </w:rPr>
        <w:t>联系电话：</w:t>
      </w:r>
    </w:p>
    <w:p w14:paraId="72F0596C">
      <w:pPr>
        <w:spacing w:before="211" w:line="219" w:lineRule="auto"/>
        <w:ind w:left="49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法人（签字）：</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4"/>
          <w:sz w:val="24"/>
          <w:szCs w:val="24"/>
          <w:highlight w:val="none"/>
        </w:rPr>
        <w:t>法人（签字）：</w:t>
      </w:r>
    </w:p>
    <w:p w14:paraId="46B7657B">
      <w:pPr>
        <w:spacing w:before="215" w:line="372" w:lineRule="auto"/>
        <w:ind w:firstLine="479"/>
        <w:rPr>
          <w:rFonts w:hint="eastAsia" w:ascii="宋体" w:hAnsi="宋体" w:eastAsia="宋体" w:cs="宋体"/>
          <w:color w:val="auto"/>
          <w:sz w:val="24"/>
          <w:szCs w:val="24"/>
          <w:highlight w:val="none"/>
        </w:rPr>
        <w:sectPr>
          <w:footerReference r:id="rId19" w:type="default"/>
          <w:pgSz w:w="11906" w:h="16839"/>
          <w:pgMar w:top="400" w:right="1473" w:bottom="1666" w:left="1596" w:header="0" w:footer="1388" w:gutter="0"/>
          <w:cols w:space="720" w:num="1"/>
        </w:sectPr>
      </w:pPr>
      <w:r>
        <w:rPr>
          <w:rFonts w:hint="eastAsia" w:ascii="宋体" w:hAnsi="宋体" w:eastAsia="宋体" w:cs="宋体"/>
          <w:color w:val="auto"/>
          <w:spacing w:val="-1"/>
          <w:sz w:val="24"/>
          <w:szCs w:val="24"/>
          <w:highlight w:val="none"/>
        </w:rPr>
        <w:t>注意事项：本合同条款未尽事宜，由甲乙双方以补充合同约</w:t>
      </w:r>
      <w:r>
        <w:rPr>
          <w:rFonts w:hint="eastAsia" w:ascii="宋体" w:hAnsi="宋体" w:eastAsia="宋体" w:cs="宋体"/>
          <w:color w:val="auto"/>
          <w:spacing w:val="-2"/>
          <w:sz w:val="24"/>
          <w:szCs w:val="24"/>
          <w:highlight w:val="none"/>
        </w:rPr>
        <w:t>定，原则上不能超越</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和违背采购文件、投标文件及投标有关承诺的范围及内容</w:t>
      </w:r>
    </w:p>
    <w:p w14:paraId="7F2F984A">
      <w:pPr>
        <w:rPr>
          <w:rFonts w:ascii="仿宋" w:hAnsi="仿宋" w:eastAsia="仿宋" w:cs="仿宋"/>
          <w:b/>
          <w:bCs/>
          <w:color w:val="auto"/>
          <w:highlight w:val="none"/>
          <w:lang w:eastAsia="zh-CN"/>
        </w:rPr>
      </w:pPr>
    </w:p>
    <w:p w14:paraId="3DD3F46A">
      <w:pPr>
        <w:rPr>
          <w:rFonts w:ascii="仿宋" w:hAnsi="仿宋" w:eastAsia="仿宋" w:cs="仿宋"/>
          <w:color w:val="auto"/>
          <w:highlight w:val="none"/>
          <w:lang w:eastAsia="zh-CN"/>
        </w:rPr>
      </w:pPr>
    </w:p>
    <w:p w14:paraId="21F50222">
      <w:pPr>
        <w:pStyle w:val="36"/>
        <w:keepNext/>
        <w:keepLines/>
        <w:spacing w:before="0" w:after="1160"/>
        <w:rPr>
          <w:rFonts w:ascii="仿宋" w:hAnsi="仿宋" w:eastAsia="仿宋" w:cs="仿宋"/>
          <w:b/>
          <w:bCs/>
          <w:color w:val="auto"/>
          <w:highlight w:val="none"/>
        </w:rPr>
      </w:pPr>
      <w:r>
        <w:rPr>
          <w:rFonts w:hint="eastAsia" w:ascii="仿宋" w:hAnsi="仿宋" w:eastAsia="仿宋" w:cs="仿宋"/>
          <w:b/>
          <w:bCs/>
          <w:color w:val="auto"/>
          <w:highlight w:val="none"/>
        </w:rPr>
        <w:t>第</w:t>
      </w:r>
      <w:r>
        <w:rPr>
          <w:rFonts w:hint="eastAsia" w:ascii="仿宋" w:hAnsi="仿宋" w:eastAsia="仿宋" w:cs="仿宋"/>
          <w:b/>
          <w:bCs/>
          <w:color w:val="auto"/>
          <w:highlight w:val="none"/>
          <w:lang w:eastAsia="zh-CN"/>
        </w:rPr>
        <w:t>六</w:t>
      </w:r>
      <w:r>
        <w:rPr>
          <w:rFonts w:hint="eastAsia" w:ascii="仿宋" w:hAnsi="仿宋" w:eastAsia="仿宋" w:cs="仿宋"/>
          <w:b/>
          <w:bCs/>
          <w:color w:val="auto"/>
          <w:highlight w:val="none"/>
        </w:rPr>
        <w:t>部分</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rPr>
        <w:t>投标文件格式</w:t>
      </w:r>
    </w:p>
    <w:p w14:paraId="28F9E631">
      <w:pPr>
        <w:adjustRightInd w:val="0"/>
        <w:snapToGrid w:val="0"/>
        <w:spacing w:line="360" w:lineRule="auto"/>
        <w:ind w:left="602" w:right="70" w:hanging="602"/>
        <w:jc w:val="right"/>
        <w:rPr>
          <w:rFonts w:ascii="仿宋" w:hAnsi="仿宋" w:eastAsia="仿宋" w:cs="仿宋"/>
          <w:b/>
          <w:bCs/>
          <w:color w:val="auto"/>
          <w:sz w:val="28"/>
          <w:szCs w:val="28"/>
          <w:highlight w:val="none"/>
          <w:bdr w:val="single" w:color="auto" w:sz="4" w:space="0"/>
          <w:lang w:eastAsia="zh-CN"/>
        </w:rPr>
      </w:pPr>
      <w:bookmarkStart w:id="50" w:name="bookmark196"/>
      <w:r>
        <w:rPr>
          <w:rFonts w:hint="eastAsia" w:ascii="仿宋" w:hAnsi="仿宋" w:eastAsia="仿宋" w:cs="仿宋"/>
          <w:b/>
          <w:bCs/>
          <w:color w:val="auto"/>
          <w:sz w:val="28"/>
          <w:szCs w:val="28"/>
          <w:highlight w:val="none"/>
          <w:bdr w:val="single" w:color="auto" w:sz="4" w:space="0"/>
          <w:lang w:eastAsia="zh-CN"/>
        </w:rPr>
        <w:t>正/副 本</w:t>
      </w:r>
    </w:p>
    <w:p w14:paraId="6A2D180F">
      <w:pPr>
        <w:adjustRightInd w:val="0"/>
        <w:snapToGrid w:val="0"/>
        <w:spacing w:line="360" w:lineRule="auto"/>
        <w:jc w:val="center"/>
        <w:rPr>
          <w:rFonts w:ascii="仿宋" w:hAnsi="仿宋" w:eastAsia="仿宋" w:cs="仿宋"/>
          <w:b/>
          <w:caps/>
          <w:color w:val="auto"/>
          <w:highlight w:val="none"/>
          <w:lang w:eastAsia="zh-CN"/>
        </w:rPr>
      </w:pPr>
    </w:p>
    <w:p w14:paraId="51F78ACE">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caps/>
          <w:color w:val="auto"/>
          <w:sz w:val="32"/>
          <w:szCs w:val="32"/>
          <w:highlight w:val="none"/>
          <w:lang w:eastAsia="zh-CN"/>
        </w:rPr>
        <w:t>（项目名称）</w:t>
      </w:r>
    </w:p>
    <w:p w14:paraId="59A6AA68">
      <w:pPr>
        <w:adjustRightInd w:val="0"/>
        <w:snapToGrid w:val="0"/>
        <w:spacing w:line="360" w:lineRule="auto"/>
        <w:jc w:val="both"/>
        <w:rPr>
          <w:rFonts w:ascii="仿宋" w:hAnsi="仿宋" w:eastAsia="仿宋" w:cs="仿宋"/>
          <w:bCs/>
          <w:color w:val="auto"/>
          <w:sz w:val="32"/>
          <w:szCs w:val="32"/>
          <w:highlight w:val="none"/>
          <w:lang w:eastAsia="zh-CN"/>
        </w:rPr>
      </w:pPr>
    </w:p>
    <w:p w14:paraId="5EF170C6">
      <w:pPr>
        <w:adjustRightInd w:val="0"/>
        <w:snapToGrid w:val="0"/>
        <w:spacing w:line="360" w:lineRule="auto"/>
        <w:jc w:val="center"/>
        <w:rPr>
          <w:rFonts w:ascii="仿宋" w:hAnsi="仿宋" w:eastAsia="仿宋" w:cs="仿宋"/>
          <w:bCs/>
          <w:color w:val="auto"/>
          <w:sz w:val="32"/>
          <w:szCs w:val="32"/>
          <w:highlight w:val="none"/>
          <w:lang w:eastAsia="zh-CN"/>
        </w:rPr>
      </w:pPr>
    </w:p>
    <w:p w14:paraId="679C94E6">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bCs/>
          <w:color w:val="auto"/>
          <w:sz w:val="44"/>
          <w:szCs w:val="44"/>
          <w:highlight w:val="none"/>
          <w:lang w:eastAsia="zh-CN"/>
        </w:rPr>
        <w:t>投标文件</w:t>
      </w:r>
    </w:p>
    <w:p w14:paraId="79516D52">
      <w:pPr>
        <w:adjustRightInd w:val="0"/>
        <w:snapToGrid w:val="0"/>
        <w:spacing w:line="360" w:lineRule="auto"/>
        <w:jc w:val="center"/>
        <w:rPr>
          <w:rFonts w:ascii="仿宋" w:hAnsi="仿宋" w:eastAsia="仿宋" w:cs="仿宋"/>
          <w:bCs/>
          <w:color w:val="auto"/>
          <w:sz w:val="32"/>
          <w:szCs w:val="32"/>
          <w:highlight w:val="none"/>
          <w:lang w:eastAsia="zh-CN"/>
        </w:rPr>
      </w:pPr>
    </w:p>
    <w:p w14:paraId="15DC16CD">
      <w:pPr>
        <w:adjustRightInd w:val="0"/>
        <w:snapToGrid w:val="0"/>
        <w:spacing w:line="360" w:lineRule="auto"/>
        <w:jc w:val="both"/>
        <w:rPr>
          <w:rFonts w:ascii="仿宋" w:hAnsi="仿宋" w:eastAsia="仿宋" w:cs="仿宋"/>
          <w:bCs/>
          <w:color w:val="auto"/>
          <w:sz w:val="32"/>
          <w:szCs w:val="32"/>
          <w:highlight w:val="none"/>
          <w:lang w:eastAsia="zh-CN"/>
        </w:rPr>
      </w:pPr>
    </w:p>
    <w:p w14:paraId="4365E50F">
      <w:pPr>
        <w:adjustRightInd w:val="0"/>
        <w:snapToGrid w:val="0"/>
        <w:spacing w:line="360" w:lineRule="auto"/>
        <w:ind w:right="-154"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kern w:val="0"/>
          <w:sz w:val="28"/>
          <w:szCs w:val="28"/>
          <w:highlight w:val="none"/>
          <w:fitText w:val="2810" w:id="1470909418"/>
          <w:lang w:eastAsia="zh-CN"/>
        </w:rPr>
        <w:t>供应商名称（公章）：</w:t>
      </w:r>
    </w:p>
    <w:p w14:paraId="2024E182">
      <w:pPr>
        <w:adjustRightInd w:val="0"/>
        <w:snapToGrid w:val="0"/>
        <w:spacing w:line="360" w:lineRule="auto"/>
        <w:ind w:right="-154" w:rightChars="-64"/>
        <w:rPr>
          <w:rFonts w:ascii="仿宋" w:hAnsi="仿宋" w:eastAsia="仿宋" w:cs="仿宋"/>
          <w:b/>
          <w:caps/>
          <w:color w:val="auto"/>
          <w:sz w:val="28"/>
          <w:szCs w:val="28"/>
          <w:highlight w:val="none"/>
          <w:lang w:eastAsia="zh-CN"/>
        </w:rPr>
      </w:pPr>
    </w:p>
    <w:p w14:paraId="2AE57ADC">
      <w:pPr>
        <w:adjustRightInd w:val="0"/>
        <w:snapToGrid w:val="0"/>
        <w:spacing w:line="360" w:lineRule="auto"/>
        <w:ind w:right="-154"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w w:val="77"/>
          <w:kern w:val="0"/>
          <w:sz w:val="28"/>
          <w:szCs w:val="28"/>
          <w:highlight w:val="none"/>
          <w:fitText w:val="2810" w:id="1"/>
          <w:lang w:eastAsia="zh-CN"/>
        </w:rPr>
        <w:t>法定代表人（签章或盖章）</w:t>
      </w:r>
      <w:r>
        <w:rPr>
          <w:rFonts w:hint="eastAsia" w:ascii="仿宋" w:hAnsi="仿宋" w:eastAsia="仿宋" w:cs="仿宋"/>
          <w:b/>
          <w:caps/>
          <w:color w:val="auto"/>
          <w:spacing w:val="-1"/>
          <w:w w:val="77"/>
          <w:kern w:val="0"/>
          <w:sz w:val="28"/>
          <w:szCs w:val="28"/>
          <w:highlight w:val="none"/>
          <w:fitText w:val="2810" w:id="1"/>
          <w:lang w:eastAsia="zh-CN"/>
        </w:rPr>
        <w:t>：</w:t>
      </w:r>
    </w:p>
    <w:p w14:paraId="3F24AF17">
      <w:pPr>
        <w:adjustRightInd w:val="0"/>
        <w:snapToGrid w:val="0"/>
        <w:spacing w:line="360" w:lineRule="auto"/>
        <w:ind w:right="-154" w:rightChars="-64"/>
        <w:rPr>
          <w:rFonts w:ascii="仿宋" w:hAnsi="仿宋" w:eastAsia="仿宋" w:cs="仿宋"/>
          <w:b/>
          <w:caps/>
          <w:color w:val="auto"/>
          <w:sz w:val="28"/>
          <w:szCs w:val="28"/>
          <w:highlight w:val="none"/>
          <w:lang w:eastAsia="zh-CN"/>
        </w:rPr>
      </w:pPr>
    </w:p>
    <w:p w14:paraId="245C882A">
      <w:pPr>
        <w:adjustRightInd w:val="0"/>
        <w:snapToGrid w:val="0"/>
        <w:spacing w:line="360" w:lineRule="auto"/>
        <w:ind w:right="-154"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13"/>
          <w:kern w:val="0"/>
          <w:sz w:val="28"/>
          <w:szCs w:val="28"/>
          <w:highlight w:val="none"/>
          <w:fitText w:val="2810" w:id="2"/>
          <w:lang w:eastAsia="zh-CN"/>
        </w:rPr>
        <w:t>供应商地址</w:t>
      </w:r>
      <w:r>
        <w:rPr>
          <w:rFonts w:hint="eastAsia" w:ascii="仿宋" w:hAnsi="仿宋" w:eastAsia="仿宋" w:cs="仿宋"/>
          <w:b/>
          <w:caps/>
          <w:color w:val="auto"/>
          <w:spacing w:val="0"/>
          <w:kern w:val="0"/>
          <w:sz w:val="28"/>
          <w:szCs w:val="28"/>
          <w:highlight w:val="none"/>
          <w:fitText w:val="2810" w:id="2"/>
          <w:lang w:eastAsia="zh-CN"/>
        </w:rPr>
        <w:t>：</w:t>
      </w:r>
    </w:p>
    <w:p w14:paraId="5A446AEC">
      <w:pPr>
        <w:adjustRightInd w:val="0"/>
        <w:snapToGrid w:val="0"/>
        <w:spacing w:line="360" w:lineRule="auto"/>
        <w:ind w:right="-154" w:rightChars="-64"/>
        <w:rPr>
          <w:rFonts w:ascii="仿宋" w:hAnsi="仿宋" w:eastAsia="仿宋" w:cs="仿宋"/>
          <w:b/>
          <w:caps/>
          <w:color w:val="auto"/>
          <w:sz w:val="28"/>
          <w:szCs w:val="28"/>
          <w:highlight w:val="none"/>
          <w:lang w:eastAsia="zh-CN"/>
        </w:rPr>
      </w:pPr>
    </w:p>
    <w:p w14:paraId="64863868">
      <w:pPr>
        <w:adjustRightInd w:val="0"/>
        <w:snapToGrid w:val="0"/>
        <w:spacing w:line="360" w:lineRule="auto"/>
        <w:ind w:right="-154"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281"/>
          <w:kern w:val="0"/>
          <w:sz w:val="28"/>
          <w:szCs w:val="28"/>
          <w:highlight w:val="none"/>
          <w:fitText w:val="2810" w:id="3"/>
          <w:lang w:eastAsia="zh-CN"/>
        </w:rPr>
        <w:t>联系人</w:t>
      </w:r>
      <w:r>
        <w:rPr>
          <w:rFonts w:hint="eastAsia" w:ascii="仿宋" w:hAnsi="仿宋" w:eastAsia="仿宋" w:cs="仿宋"/>
          <w:b/>
          <w:caps/>
          <w:color w:val="auto"/>
          <w:spacing w:val="2"/>
          <w:kern w:val="0"/>
          <w:sz w:val="28"/>
          <w:szCs w:val="28"/>
          <w:highlight w:val="none"/>
          <w:fitText w:val="2810" w:id="3"/>
          <w:lang w:eastAsia="zh-CN"/>
        </w:rPr>
        <w:t>：</w:t>
      </w:r>
    </w:p>
    <w:p w14:paraId="1D528C17">
      <w:pPr>
        <w:adjustRightInd w:val="0"/>
        <w:snapToGrid w:val="0"/>
        <w:spacing w:line="360" w:lineRule="auto"/>
        <w:ind w:right="-154" w:rightChars="-64"/>
        <w:rPr>
          <w:rFonts w:ascii="仿宋" w:hAnsi="仿宋" w:eastAsia="仿宋" w:cs="仿宋"/>
          <w:b/>
          <w:caps/>
          <w:color w:val="auto"/>
          <w:sz w:val="28"/>
          <w:szCs w:val="28"/>
          <w:highlight w:val="none"/>
          <w:lang w:eastAsia="zh-CN"/>
        </w:rPr>
      </w:pPr>
    </w:p>
    <w:p w14:paraId="1CC51B94">
      <w:pPr>
        <w:adjustRightInd w:val="0"/>
        <w:snapToGrid w:val="0"/>
        <w:spacing w:line="360" w:lineRule="auto"/>
        <w:ind w:right="-154"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76"/>
          <w:kern w:val="0"/>
          <w:sz w:val="28"/>
          <w:szCs w:val="28"/>
          <w:highlight w:val="none"/>
          <w:fitText w:val="2810" w:id="4"/>
          <w:lang w:eastAsia="zh-CN"/>
        </w:rPr>
        <w:t>联系电话</w:t>
      </w:r>
      <w:r>
        <w:rPr>
          <w:rFonts w:hint="eastAsia" w:ascii="仿宋" w:hAnsi="仿宋" w:eastAsia="仿宋" w:cs="仿宋"/>
          <w:b/>
          <w:caps/>
          <w:color w:val="auto"/>
          <w:spacing w:val="1"/>
          <w:kern w:val="0"/>
          <w:sz w:val="28"/>
          <w:szCs w:val="28"/>
          <w:highlight w:val="none"/>
          <w:fitText w:val="2810" w:id="4"/>
          <w:lang w:eastAsia="zh-CN"/>
        </w:rPr>
        <w:t>：</w:t>
      </w:r>
    </w:p>
    <w:p w14:paraId="47BCF45D">
      <w:pPr>
        <w:adjustRightInd w:val="0"/>
        <w:snapToGrid w:val="0"/>
        <w:spacing w:line="360" w:lineRule="auto"/>
        <w:jc w:val="center"/>
        <w:rPr>
          <w:rFonts w:ascii="仿宋" w:hAnsi="仿宋" w:eastAsia="仿宋" w:cs="仿宋"/>
          <w:b/>
          <w:caps/>
          <w:color w:val="auto"/>
          <w:sz w:val="28"/>
          <w:szCs w:val="28"/>
          <w:highlight w:val="none"/>
          <w:lang w:eastAsia="zh-CN"/>
        </w:rPr>
      </w:pPr>
    </w:p>
    <w:p w14:paraId="6764A487">
      <w:pPr>
        <w:adjustRightInd w:val="0"/>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_年__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_月__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_日</w:t>
      </w:r>
    </w:p>
    <w:p w14:paraId="70D9292C">
      <w:pPr>
        <w:pStyle w:val="38"/>
        <w:spacing w:after="340" w:line="240" w:lineRule="auto"/>
        <w:ind w:firstLine="0"/>
        <w:rPr>
          <w:rFonts w:ascii="仿宋" w:hAnsi="仿宋" w:eastAsia="仿宋" w:cs="仿宋"/>
          <w:color w:val="auto"/>
          <w:highlight w:val="none"/>
        </w:rPr>
      </w:pPr>
    </w:p>
    <w:bookmarkEnd w:id="50"/>
    <w:p w14:paraId="2A51F87C">
      <w:pPr>
        <w:pStyle w:val="4"/>
        <w:spacing w:line="240" w:lineRule="atLeast"/>
        <w:rPr>
          <w:rFonts w:ascii="仿宋" w:hAnsi="仿宋" w:eastAsia="仿宋" w:cs="仿宋"/>
          <w:bCs/>
          <w:color w:val="auto"/>
          <w:sz w:val="24"/>
          <w:highlight w:val="none"/>
          <w:lang w:eastAsia="zh-CN"/>
        </w:rPr>
      </w:pPr>
      <w:bookmarkStart w:id="51" w:name="_Toc18974"/>
      <w:bookmarkStart w:id="52" w:name="_Toc515647803"/>
      <w:bookmarkStart w:id="53" w:name="_Toc18694"/>
      <w:bookmarkStart w:id="54" w:name="_Toc8919"/>
    </w:p>
    <w:p w14:paraId="4B820F05">
      <w:pPr>
        <w:pStyle w:val="4"/>
        <w:spacing w:line="240" w:lineRule="atLeast"/>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第一部分 资格证明文件</w:t>
      </w:r>
      <w:bookmarkEnd w:id="51"/>
      <w:bookmarkEnd w:id="52"/>
      <w:bookmarkEnd w:id="53"/>
      <w:bookmarkEnd w:id="54"/>
    </w:p>
    <w:p w14:paraId="59F78965">
      <w:pPr>
        <w:spacing w:line="240" w:lineRule="atLeast"/>
        <w:ind w:left="717" w:hanging="708" w:hangingChars="295"/>
        <w:jc w:val="center"/>
        <w:rPr>
          <w:rFonts w:ascii="仿宋" w:hAnsi="仿宋" w:eastAsia="仿宋" w:cs="仿宋"/>
          <w:color w:val="auto"/>
          <w:highlight w:val="none"/>
          <w:lang w:eastAsia="zh-CN"/>
        </w:rPr>
      </w:pPr>
    </w:p>
    <w:p w14:paraId="02F681D7">
      <w:pPr>
        <w:pStyle w:val="33"/>
        <w:rPr>
          <w:rFonts w:hint="default" w:ascii="仿宋" w:hAnsi="仿宋" w:eastAsia="仿宋" w:cs="仿宋"/>
          <w:b/>
          <w:bCs/>
          <w:color w:val="auto"/>
          <w:sz w:val="36"/>
          <w:szCs w:val="36"/>
          <w:highlight w:val="none"/>
          <w:lang w:val="en-US" w:eastAsia="zh-CN"/>
        </w:rPr>
      </w:pPr>
      <w:r>
        <w:rPr>
          <w:rFonts w:hint="eastAsia" w:ascii="仿宋" w:hAnsi="仿宋" w:eastAsia="仿宋" w:cs="仿宋"/>
          <w:color w:val="auto"/>
          <w:szCs w:val="21"/>
          <w:highlight w:val="none"/>
          <w:lang w:val="en-US" w:eastAsia="zh-CN"/>
        </w:rPr>
        <w:t>详见“</w:t>
      </w:r>
      <w:r>
        <w:rPr>
          <w:rFonts w:hint="eastAsia" w:ascii="仿宋" w:hAnsi="仿宋" w:eastAsia="仿宋" w:cs="仿宋"/>
          <w:b/>
          <w:color w:val="auto"/>
          <w:szCs w:val="21"/>
          <w:highlight w:val="none"/>
          <w:lang w:eastAsia="zh-CN"/>
        </w:rPr>
        <w:t>资格性审查</w:t>
      </w:r>
      <w:r>
        <w:rPr>
          <w:rFonts w:hint="eastAsia" w:ascii="仿宋" w:hAnsi="仿宋" w:eastAsia="仿宋" w:cs="仿宋"/>
          <w:color w:val="auto"/>
          <w:szCs w:val="21"/>
          <w:highlight w:val="none"/>
          <w:lang w:val="en-US" w:eastAsia="zh-CN"/>
        </w:rPr>
        <w:t>”表</w:t>
      </w:r>
    </w:p>
    <w:p w14:paraId="645E654D">
      <w:pPr>
        <w:pStyle w:val="9"/>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bookmarkStart w:id="55" w:name="_Toc515647805"/>
      <w:bookmarkStart w:id="56" w:name="_Toc4844"/>
      <w:bookmarkStart w:id="57" w:name="_Toc29899"/>
      <w:bookmarkStart w:id="58" w:name="_Toc17577"/>
    </w:p>
    <w:p w14:paraId="59C0055C">
      <w:pPr>
        <w:rPr>
          <w:rFonts w:hint="eastAsia" w:ascii="仿宋" w:hAnsi="仿宋" w:eastAsia="仿宋" w:cs="仿宋"/>
          <w:b/>
          <w:bCs/>
          <w:color w:val="auto"/>
          <w:sz w:val="36"/>
          <w:szCs w:val="36"/>
          <w:highlight w:val="none"/>
          <w:lang w:eastAsia="zh-CN"/>
        </w:rPr>
      </w:pPr>
    </w:p>
    <w:p w14:paraId="2B17A676">
      <w:pPr>
        <w:pStyle w:val="6"/>
        <w:rPr>
          <w:rFonts w:hint="eastAsia" w:ascii="仿宋" w:hAnsi="仿宋" w:eastAsia="仿宋" w:cs="仿宋"/>
          <w:b/>
          <w:bCs/>
          <w:color w:val="auto"/>
          <w:sz w:val="36"/>
          <w:szCs w:val="36"/>
          <w:highlight w:val="none"/>
          <w:lang w:eastAsia="zh-CN"/>
        </w:rPr>
      </w:pPr>
    </w:p>
    <w:p w14:paraId="685BA476">
      <w:pPr>
        <w:pStyle w:val="7"/>
        <w:rPr>
          <w:rFonts w:hint="eastAsia" w:ascii="仿宋" w:hAnsi="仿宋" w:eastAsia="仿宋" w:cs="仿宋"/>
          <w:b/>
          <w:bCs/>
          <w:color w:val="auto"/>
          <w:sz w:val="36"/>
          <w:szCs w:val="36"/>
          <w:highlight w:val="none"/>
          <w:lang w:eastAsia="zh-CN"/>
        </w:rPr>
      </w:pPr>
    </w:p>
    <w:p w14:paraId="39215121">
      <w:pPr>
        <w:rPr>
          <w:rFonts w:hint="eastAsia" w:ascii="仿宋" w:hAnsi="仿宋" w:eastAsia="仿宋" w:cs="仿宋"/>
          <w:b/>
          <w:bCs/>
          <w:color w:val="auto"/>
          <w:sz w:val="36"/>
          <w:szCs w:val="36"/>
          <w:highlight w:val="none"/>
          <w:lang w:eastAsia="zh-CN"/>
        </w:rPr>
      </w:pPr>
    </w:p>
    <w:p w14:paraId="4172242C">
      <w:pPr>
        <w:rPr>
          <w:rFonts w:hint="eastAsia" w:ascii="仿宋" w:hAnsi="仿宋" w:eastAsia="仿宋" w:cs="仿宋"/>
          <w:b/>
          <w:bCs/>
          <w:color w:val="auto"/>
          <w:sz w:val="36"/>
          <w:szCs w:val="36"/>
          <w:highlight w:val="none"/>
          <w:lang w:eastAsia="zh-CN"/>
        </w:rPr>
      </w:pPr>
    </w:p>
    <w:p w14:paraId="49FBD4BD">
      <w:pPr>
        <w:rPr>
          <w:rFonts w:hint="eastAsia" w:ascii="仿宋" w:hAnsi="仿宋" w:eastAsia="仿宋" w:cs="仿宋"/>
          <w:b/>
          <w:bCs/>
          <w:color w:val="auto"/>
          <w:sz w:val="36"/>
          <w:szCs w:val="36"/>
          <w:highlight w:val="none"/>
          <w:lang w:eastAsia="zh-CN"/>
        </w:rPr>
      </w:pPr>
    </w:p>
    <w:p w14:paraId="50F2735B">
      <w:pPr>
        <w:pStyle w:val="6"/>
        <w:rPr>
          <w:rFonts w:hint="eastAsia" w:ascii="仿宋" w:hAnsi="仿宋" w:eastAsia="仿宋" w:cs="仿宋"/>
          <w:b/>
          <w:bCs/>
          <w:color w:val="auto"/>
          <w:sz w:val="36"/>
          <w:szCs w:val="36"/>
          <w:highlight w:val="none"/>
          <w:lang w:eastAsia="zh-CN"/>
        </w:rPr>
      </w:pPr>
    </w:p>
    <w:p w14:paraId="596ED046">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 法人或者非法人组织的营业执照等证明文件</w:t>
      </w:r>
      <w:bookmarkEnd w:id="55"/>
      <w:bookmarkStart w:id="59" w:name="_Toc515647806"/>
      <w:r>
        <w:rPr>
          <w:rFonts w:hint="eastAsia" w:ascii="仿宋" w:hAnsi="仿宋" w:eastAsia="仿宋" w:cs="仿宋"/>
          <w:b/>
          <w:bCs/>
          <w:color w:val="auto"/>
          <w:sz w:val="36"/>
          <w:szCs w:val="36"/>
          <w:highlight w:val="none"/>
          <w:lang w:eastAsia="zh-CN"/>
        </w:rPr>
        <w:t>或自然人的身份证明</w:t>
      </w:r>
      <w:bookmarkEnd w:id="56"/>
      <w:bookmarkEnd w:id="57"/>
      <w:bookmarkEnd w:id="58"/>
      <w:bookmarkEnd w:id="59"/>
    </w:p>
    <w:p w14:paraId="69B5C331">
      <w:pPr>
        <w:pStyle w:val="11"/>
        <w:tabs>
          <w:tab w:val="left" w:pos="5580"/>
        </w:tabs>
        <w:spacing w:line="400" w:lineRule="exact"/>
        <w:ind w:left="1157" w:leftChars="257" w:hanging="540"/>
        <w:jc w:val="center"/>
        <w:rPr>
          <w:rFonts w:ascii="仿宋" w:hAnsi="仿宋" w:eastAsia="仿宋" w:cs="仿宋"/>
          <w:b/>
          <w:color w:val="auto"/>
          <w:highlight w:val="none"/>
          <w:lang w:eastAsia="zh-CN"/>
        </w:rPr>
      </w:pPr>
    </w:p>
    <w:p w14:paraId="0B3C2BF2">
      <w:pPr>
        <w:pStyle w:val="11"/>
        <w:tabs>
          <w:tab w:val="left" w:pos="5580"/>
        </w:tabs>
        <w:spacing w:line="400" w:lineRule="exact"/>
        <w:ind w:left="1157" w:leftChars="257" w:hanging="540"/>
        <w:rPr>
          <w:rFonts w:ascii="仿宋" w:hAnsi="仿宋" w:eastAsia="仿宋" w:cs="仿宋"/>
          <w:b/>
          <w:color w:val="auto"/>
          <w:highlight w:val="none"/>
          <w:lang w:eastAsia="zh-CN"/>
        </w:rPr>
      </w:pPr>
    </w:p>
    <w:p w14:paraId="30534785">
      <w:pPr>
        <w:pStyle w:val="11"/>
        <w:tabs>
          <w:tab w:val="left" w:pos="5580"/>
        </w:tabs>
        <w:spacing w:line="400" w:lineRule="exact"/>
        <w:ind w:left="1157" w:leftChars="257" w:hanging="540"/>
        <w:rPr>
          <w:rFonts w:ascii="仿宋" w:hAnsi="仿宋" w:eastAsia="仿宋" w:cs="仿宋"/>
          <w:b/>
          <w:color w:val="auto"/>
          <w:highlight w:val="none"/>
          <w:lang w:eastAsia="zh-CN"/>
        </w:rPr>
      </w:pPr>
    </w:p>
    <w:p w14:paraId="2313FF92">
      <w:pPr>
        <w:pStyle w:val="11"/>
        <w:tabs>
          <w:tab w:val="left" w:pos="5580"/>
        </w:tabs>
        <w:spacing w:line="400" w:lineRule="exact"/>
        <w:ind w:left="1157"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说明：1.提供有效的营业执照等证明文件复印件，复印件上应加盖本单位章。</w:t>
      </w:r>
    </w:p>
    <w:p w14:paraId="1E9DB248">
      <w:pPr>
        <w:pStyle w:val="11"/>
        <w:tabs>
          <w:tab w:val="left" w:pos="5580"/>
        </w:tabs>
        <w:spacing w:line="400" w:lineRule="exact"/>
        <w:ind w:left="1157"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2.供应商为自然人的，应提供身份证明的复印件。</w:t>
      </w:r>
    </w:p>
    <w:p w14:paraId="04C5B83B">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56D43066">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1BFADE1B">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1B8A71B5">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2A13666B">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7F62F0D1">
      <w:pPr>
        <w:pStyle w:val="9"/>
        <w:numPr>
          <w:ilvl w:val="0"/>
          <w:numId w:val="0"/>
        </w:numPr>
        <w:kinsoku w:val="0"/>
        <w:overflowPunct w:val="0"/>
        <w:spacing w:before="34" w:line="440" w:lineRule="exact"/>
        <w:ind w:right="126"/>
        <w:jc w:val="both"/>
        <w:rPr>
          <w:rFonts w:ascii="仿宋" w:hAnsi="仿宋" w:eastAsia="仿宋" w:cs="仿宋"/>
          <w:b/>
          <w:bCs/>
          <w:color w:val="auto"/>
          <w:sz w:val="36"/>
          <w:szCs w:val="36"/>
          <w:highlight w:val="none"/>
          <w:lang w:eastAsia="zh-CN"/>
        </w:rPr>
      </w:pPr>
    </w:p>
    <w:p w14:paraId="58BF2274">
      <w:pPr>
        <w:rPr>
          <w:rFonts w:ascii="仿宋" w:hAnsi="仿宋" w:eastAsia="仿宋" w:cs="仿宋"/>
          <w:b/>
          <w:bCs/>
          <w:color w:val="auto"/>
          <w:sz w:val="36"/>
          <w:szCs w:val="36"/>
          <w:highlight w:val="none"/>
          <w:lang w:eastAsia="zh-CN"/>
        </w:rPr>
      </w:pPr>
    </w:p>
    <w:p w14:paraId="72489FA4">
      <w:pPr>
        <w:pStyle w:val="33"/>
        <w:rPr>
          <w:rFonts w:ascii="仿宋" w:hAnsi="仿宋" w:eastAsia="仿宋" w:cs="仿宋"/>
          <w:b/>
          <w:bCs/>
          <w:color w:val="auto"/>
          <w:sz w:val="36"/>
          <w:szCs w:val="36"/>
          <w:highlight w:val="none"/>
          <w:lang w:eastAsia="zh-CN"/>
        </w:rPr>
      </w:pPr>
    </w:p>
    <w:p w14:paraId="31E79BF0">
      <w:pPr>
        <w:pStyle w:val="33"/>
        <w:ind w:left="0" w:leftChars="0" w:firstLine="0" w:firstLineChars="0"/>
        <w:rPr>
          <w:rFonts w:ascii="仿宋" w:hAnsi="仿宋" w:eastAsia="仿宋" w:cs="仿宋"/>
          <w:b/>
          <w:bCs/>
          <w:color w:val="auto"/>
          <w:sz w:val="36"/>
          <w:szCs w:val="36"/>
          <w:highlight w:val="none"/>
          <w:lang w:eastAsia="zh-CN"/>
        </w:rPr>
      </w:pPr>
    </w:p>
    <w:p w14:paraId="64A7D82D">
      <w:pPr>
        <w:pStyle w:val="33"/>
        <w:rPr>
          <w:rFonts w:ascii="仿宋" w:hAnsi="仿宋" w:eastAsia="仿宋" w:cs="仿宋"/>
          <w:b/>
          <w:bCs/>
          <w:color w:val="auto"/>
          <w:sz w:val="36"/>
          <w:szCs w:val="36"/>
          <w:highlight w:val="none"/>
          <w:lang w:eastAsia="zh-CN"/>
        </w:rPr>
      </w:pPr>
    </w:p>
    <w:p w14:paraId="71A988CE">
      <w:pPr>
        <w:pStyle w:val="33"/>
        <w:rPr>
          <w:rFonts w:ascii="仿宋" w:hAnsi="仿宋" w:eastAsia="仿宋" w:cs="仿宋"/>
          <w:b/>
          <w:bCs/>
          <w:color w:val="auto"/>
          <w:sz w:val="36"/>
          <w:szCs w:val="36"/>
          <w:highlight w:val="none"/>
          <w:lang w:eastAsia="zh-CN"/>
        </w:rPr>
      </w:pPr>
    </w:p>
    <w:p w14:paraId="15FE648E">
      <w:pPr>
        <w:pStyle w:val="33"/>
        <w:rPr>
          <w:rFonts w:ascii="仿宋" w:hAnsi="仿宋" w:eastAsia="仿宋" w:cs="仿宋"/>
          <w:b/>
          <w:bCs/>
          <w:color w:val="auto"/>
          <w:sz w:val="36"/>
          <w:szCs w:val="36"/>
          <w:highlight w:val="none"/>
          <w:lang w:eastAsia="zh-CN"/>
        </w:rPr>
      </w:pPr>
    </w:p>
    <w:p w14:paraId="2A43D500">
      <w:pPr>
        <w:pStyle w:val="9"/>
        <w:numPr>
          <w:ilvl w:val="0"/>
          <w:numId w:val="0"/>
        </w:numPr>
        <w:kinsoku w:val="0"/>
        <w:overflowPunct w:val="0"/>
        <w:spacing w:before="34" w:line="440" w:lineRule="exact"/>
        <w:ind w:left="480" w:right="126"/>
        <w:jc w:val="center"/>
        <w:rPr>
          <w:rFonts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eastAsia="zh-CN"/>
        </w:rPr>
        <w:t>2、法定代表人资格证明书</w:t>
      </w:r>
    </w:p>
    <w:p w14:paraId="744FAE2C">
      <w:pPr>
        <w:spacing w:line="420" w:lineRule="exact"/>
        <w:ind w:firstLine="48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投标单位名称：</w:t>
      </w:r>
      <w:r>
        <w:rPr>
          <w:rFonts w:hint="eastAsia" w:ascii="仿宋" w:hAnsi="仿宋" w:eastAsia="仿宋" w:cs="仿宋"/>
          <w:color w:val="auto"/>
          <w:highlight w:val="none"/>
          <w:u w:val="single"/>
          <w:lang w:eastAsia="zh-CN"/>
        </w:rPr>
        <w:t xml:space="preserve">                       </w:t>
      </w:r>
    </w:p>
    <w:p w14:paraId="31543FCD">
      <w:pPr>
        <w:spacing w:line="420" w:lineRule="exact"/>
        <w:ind w:firstLine="48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单位性质：</w:t>
      </w:r>
      <w:r>
        <w:rPr>
          <w:rFonts w:hint="eastAsia" w:ascii="仿宋" w:hAnsi="仿宋" w:eastAsia="仿宋" w:cs="仿宋"/>
          <w:color w:val="auto"/>
          <w:highlight w:val="none"/>
          <w:u w:val="single"/>
          <w:lang w:eastAsia="zh-CN"/>
        </w:rPr>
        <w:t xml:space="preserve">                           </w:t>
      </w:r>
    </w:p>
    <w:p w14:paraId="35D4B928">
      <w:pPr>
        <w:spacing w:line="420" w:lineRule="exact"/>
        <w:ind w:firstLine="48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p>
    <w:p w14:paraId="438461B7">
      <w:pPr>
        <w:spacing w:line="42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成立时间：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55F78DA8">
      <w:pPr>
        <w:spacing w:line="420" w:lineRule="exact"/>
        <w:ind w:firstLine="48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经营期限：</w:t>
      </w:r>
      <w:r>
        <w:rPr>
          <w:rFonts w:hint="eastAsia" w:ascii="仿宋" w:hAnsi="仿宋" w:eastAsia="仿宋" w:cs="仿宋"/>
          <w:color w:val="auto"/>
          <w:highlight w:val="none"/>
          <w:u w:val="single"/>
          <w:lang w:eastAsia="zh-CN"/>
        </w:rPr>
        <w:t xml:space="preserve">             </w:t>
      </w:r>
    </w:p>
    <w:p w14:paraId="07EC7BF3">
      <w:pPr>
        <w:spacing w:line="420" w:lineRule="exact"/>
        <w:ind w:firstLine="48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性别：</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年龄：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7AD89A6C">
      <w:pPr>
        <w:spacing w:line="420" w:lineRule="exact"/>
        <w:ind w:firstLine="48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身份证号码：</w:t>
      </w:r>
      <w:r>
        <w:rPr>
          <w:rFonts w:hint="eastAsia" w:ascii="仿宋" w:hAnsi="仿宋" w:eastAsia="仿宋" w:cs="仿宋"/>
          <w:color w:val="auto"/>
          <w:highlight w:val="none"/>
          <w:u w:val="single"/>
          <w:lang w:eastAsia="zh-CN"/>
        </w:rPr>
        <w:t xml:space="preserve">                                                     </w:t>
      </w:r>
    </w:p>
    <w:p w14:paraId="321EA16B">
      <w:pPr>
        <w:spacing w:line="42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系</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（投标单位名称）的法定代表人。</w:t>
      </w:r>
    </w:p>
    <w:p w14:paraId="2BAB8D76">
      <w:pPr>
        <w:spacing w:line="420" w:lineRule="exact"/>
        <w:ind w:firstLine="960" w:firstLineChars="400"/>
        <w:rPr>
          <w:rFonts w:ascii="仿宋" w:hAnsi="仿宋" w:eastAsia="仿宋" w:cs="仿宋"/>
          <w:color w:val="auto"/>
          <w:highlight w:val="none"/>
        </w:rPr>
      </w:pPr>
      <w:r>
        <w:rPr>
          <w:rFonts w:hint="eastAsia" w:ascii="仿宋" w:hAnsi="仿宋" w:eastAsia="仿宋" w:cs="仿宋"/>
          <w:color w:val="auto"/>
          <w:highlight w:val="none"/>
        </w:rPr>
        <w:t>特此证明。</w:t>
      </w:r>
    </w:p>
    <w:p w14:paraId="2BC28F02">
      <w:pPr>
        <w:pStyle w:val="9"/>
        <w:numPr>
          <w:ilvl w:val="0"/>
          <w:numId w:val="0"/>
        </w:numPr>
        <w:kinsoku w:val="0"/>
        <w:overflowPunct w:val="0"/>
        <w:rPr>
          <w:rFonts w:ascii="仿宋" w:hAnsi="仿宋" w:eastAsia="仿宋" w:cs="仿宋"/>
          <w:color w:val="auto"/>
          <w:sz w:val="20"/>
          <w:szCs w:val="20"/>
          <w:highlight w:val="none"/>
        </w:rPr>
      </w:pPr>
      <w:r>
        <w:rPr>
          <w:color w:val="auto"/>
          <w:sz w:val="25"/>
          <w:highlight w:val="none"/>
        </w:rPr>
        <mc:AlternateContent>
          <mc:Choice Requires="wps">
            <w:drawing>
              <wp:anchor distT="0" distB="0" distL="114300" distR="114300" simplePos="0" relativeHeight="251660288" behindDoc="0" locked="0" layoutInCell="1" allowOverlap="1">
                <wp:simplePos x="0" y="0"/>
                <wp:positionH relativeFrom="column">
                  <wp:posOffset>2991485</wp:posOffset>
                </wp:positionH>
                <wp:positionV relativeFrom="paragraph">
                  <wp:posOffset>194945</wp:posOffset>
                </wp:positionV>
                <wp:extent cx="2363470" cy="1403350"/>
                <wp:effectExtent l="5080" t="4445" r="12700" b="20955"/>
                <wp:wrapSquare wrapText="bothSides"/>
                <wp:docPr id="1"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9D53192">
                            <w:pPr>
                              <w:jc w:val="center"/>
                              <w:rPr>
                                <w:rFonts w:hint="eastAsia" w:ascii="仿宋" w:hAnsi="仿宋" w:eastAsia="仿宋" w:cs="仿宋"/>
                                <w:sz w:val="24"/>
                                <w:szCs w:val="24"/>
                              </w:rPr>
                            </w:pPr>
                          </w:p>
                          <w:p w14:paraId="40CCC200">
                            <w:pPr>
                              <w:jc w:val="center"/>
                              <w:rPr>
                                <w:rFonts w:hint="eastAsia" w:ascii="仿宋" w:hAnsi="仿宋" w:eastAsia="仿宋" w:cs="仿宋"/>
                                <w:sz w:val="24"/>
                                <w:szCs w:val="24"/>
                              </w:rPr>
                            </w:pPr>
                          </w:p>
                          <w:p w14:paraId="183C19A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2BB64CA5"/>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0288;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5g+w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5g+wJAIAAFgEAAAOAAAAAAAAAAEAIAAAACYBAABkcnMvZTJvRG9jLnhtbFBLBQYAAAAABgAG&#10;AFkBAAC8BQAAAAA=&#10;">
                <v:fill on="t" focussize="0,0"/>
                <v:stroke color="#000000" joinstyle="round"/>
                <v:imagedata o:title=""/>
                <o:lock v:ext="edit" aspectratio="f"/>
                <v:textbox>
                  <w:txbxContent>
                    <w:p w14:paraId="09D53192">
                      <w:pPr>
                        <w:jc w:val="center"/>
                        <w:rPr>
                          <w:rFonts w:hint="eastAsia" w:ascii="仿宋" w:hAnsi="仿宋" w:eastAsia="仿宋" w:cs="仿宋"/>
                          <w:sz w:val="24"/>
                          <w:szCs w:val="24"/>
                        </w:rPr>
                      </w:pPr>
                    </w:p>
                    <w:p w14:paraId="40CCC200">
                      <w:pPr>
                        <w:jc w:val="center"/>
                        <w:rPr>
                          <w:rFonts w:hint="eastAsia" w:ascii="仿宋" w:hAnsi="仿宋" w:eastAsia="仿宋" w:cs="仿宋"/>
                          <w:sz w:val="24"/>
                          <w:szCs w:val="24"/>
                        </w:rPr>
                      </w:pPr>
                    </w:p>
                    <w:p w14:paraId="183C19A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2BB64CA5"/>
                  </w:txbxContent>
                </v:textbox>
                <w10:wrap type="square"/>
              </v:roundrect>
            </w:pict>
          </mc:Fallback>
        </mc:AlternateContent>
      </w:r>
    </w:p>
    <w:p w14:paraId="26F3680E">
      <w:pPr>
        <w:pStyle w:val="9"/>
        <w:numPr>
          <w:ilvl w:val="0"/>
          <w:numId w:val="0"/>
        </w:numPr>
        <w:kinsoku w:val="0"/>
        <w:overflowPunct w:val="0"/>
        <w:spacing w:before="7"/>
        <w:rPr>
          <w:rFonts w:ascii="仿宋" w:hAnsi="仿宋" w:eastAsia="仿宋" w:cs="仿宋"/>
          <w:color w:val="auto"/>
          <w:sz w:val="25"/>
          <w:szCs w:val="25"/>
          <w:highlight w:val="none"/>
        </w:rPr>
      </w:pPr>
      <w:r>
        <w:rPr>
          <w:color w:val="auto"/>
          <w:sz w:val="25"/>
          <w:highlight w:val="none"/>
        </w:rPr>
        <mc:AlternateContent>
          <mc:Choice Requires="wps">
            <w:drawing>
              <wp:anchor distT="0" distB="0" distL="114300" distR="114300" simplePos="0" relativeHeight="251665408" behindDoc="1" locked="0" layoutInCell="1" allowOverlap="1">
                <wp:simplePos x="0" y="0"/>
                <wp:positionH relativeFrom="column">
                  <wp:posOffset>336550</wp:posOffset>
                </wp:positionH>
                <wp:positionV relativeFrom="paragraph">
                  <wp:posOffset>17145</wp:posOffset>
                </wp:positionV>
                <wp:extent cx="2371725" cy="1403350"/>
                <wp:effectExtent l="5080" t="5080" r="4445" b="20320"/>
                <wp:wrapTight wrapText="bothSides">
                  <wp:wrapPolygon>
                    <wp:start x="20682" y="-2"/>
                    <wp:lineTo x="909" y="0"/>
                    <wp:lineTo x="0" y="1611"/>
                    <wp:lineTo x="0" y="3600"/>
                    <wp:lineTo x="0" y="18000"/>
                    <wp:lineTo x="0" y="19988"/>
                    <wp:lineTo x="909" y="21600"/>
                    <wp:lineTo x="20682" y="21602"/>
                    <wp:lineTo x="917" y="21602"/>
                    <wp:lineTo x="20690" y="21600"/>
                    <wp:lineTo x="21599" y="19988"/>
                    <wp:lineTo x="21599" y="18000"/>
                    <wp:lineTo x="21599" y="3600"/>
                    <wp:lineTo x="21599" y="1611"/>
                    <wp:lineTo x="20690" y="0"/>
                    <wp:lineTo x="917" y="-2"/>
                    <wp:lineTo x="20682" y="-2"/>
                  </wp:wrapPolygon>
                </wp:wrapTight>
                <wp:docPr id="5"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0105DB3">
                            <w:pPr>
                              <w:jc w:val="center"/>
                              <w:rPr>
                                <w:rFonts w:hint="eastAsia" w:ascii="仿宋" w:hAnsi="仿宋" w:eastAsia="仿宋" w:cs="仿宋"/>
                                <w:sz w:val="24"/>
                                <w:szCs w:val="24"/>
                              </w:rPr>
                            </w:pPr>
                          </w:p>
                          <w:p w14:paraId="7FFD66EA">
                            <w:pPr>
                              <w:jc w:val="center"/>
                              <w:rPr>
                                <w:rFonts w:hint="eastAsia" w:ascii="仿宋" w:hAnsi="仿宋" w:eastAsia="仿宋" w:cs="仿宋"/>
                                <w:sz w:val="24"/>
                                <w:szCs w:val="24"/>
                              </w:rPr>
                            </w:pPr>
                          </w:p>
                          <w:p w14:paraId="36E0E061">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054F7267"/>
                        </w:txbxContent>
                      </wps:txbx>
                      <wps:bodyPr upright="1"/>
                    </wps:wsp>
                  </a:graphicData>
                </a:graphic>
              </wp:anchor>
            </w:drawing>
          </mc:Choice>
          <mc:Fallback>
            <w:pict>
              <v:roundrect id="自选图形 91" o:spid="_x0000_s1026" o:spt="2" style="position:absolute;left:0pt;margin-left:26.5pt;margin-top:1.35pt;height:110.5pt;width:186.75pt;mso-wrap-distance-left:9pt;mso-wrap-distance-right:9pt;z-index:-251651072;mso-width-relative:page;mso-height-relative:page;" fillcolor="#FFFFFF" filled="t" stroked="t" coordsize="21600,21600" wrapcoords="20682 -2 909 0 0 1611 0 3600 0 18000 0 19988 909 21600 20682 21602 917 21602 20690 21600 21599 19988 21599 18000 21599 3600 21599 1611 20690 0 917 -2 20682 -2"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zSC8aCI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2rcKNUA&#10;AAAIAQAADwAAAAAAAAABACAAAAAiAAAAZHJzL2Rvd25yZXYueG1sUEsBAhQAFAAAAAgAh07iQM0g&#10;vGgiAgAAWAQAAA4AAAAAAAAAAQAgAAAAJAEAAGRycy9lMm9Eb2MueG1sUEsFBgAAAAAGAAYAWQEA&#10;ALgFAAAAAA==&#10;">
                <v:fill on="t" focussize="0,0"/>
                <v:stroke color="#000000" joinstyle="round"/>
                <v:imagedata o:title=""/>
                <o:lock v:ext="edit" aspectratio="f"/>
                <v:textbox>
                  <w:txbxContent>
                    <w:p w14:paraId="00105DB3">
                      <w:pPr>
                        <w:jc w:val="center"/>
                        <w:rPr>
                          <w:rFonts w:hint="eastAsia" w:ascii="仿宋" w:hAnsi="仿宋" w:eastAsia="仿宋" w:cs="仿宋"/>
                          <w:sz w:val="24"/>
                          <w:szCs w:val="24"/>
                        </w:rPr>
                      </w:pPr>
                    </w:p>
                    <w:p w14:paraId="7FFD66EA">
                      <w:pPr>
                        <w:jc w:val="center"/>
                        <w:rPr>
                          <w:rFonts w:hint="eastAsia" w:ascii="仿宋" w:hAnsi="仿宋" w:eastAsia="仿宋" w:cs="仿宋"/>
                          <w:sz w:val="24"/>
                          <w:szCs w:val="24"/>
                        </w:rPr>
                      </w:pPr>
                    </w:p>
                    <w:p w14:paraId="36E0E061">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054F7267"/>
                  </w:txbxContent>
                </v:textbox>
                <w10:wrap type="tight"/>
              </v:roundrect>
            </w:pict>
          </mc:Fallback>
        </mc:AlternateContent>
      </w:r>
    </w:p>
    <w:p w14:paraId="520E0D95">
      <w:pPr>
        <w:pStyle w:val="9"/>
        <w:numPr>
          <w:ilvl w:val="0"/>
          <w:numId w:val="0"/>
        </w:numPr>
        <w:kinsoku w:val="0"/>
        <w:overflowPunct w:val="0"/>
        <w:spacing w:line="200" w:lineRule="atLeast"/>
        <w:rPr>
          <w:rFonts w:ascii="仿宋" w:hAnsi="仿宋" w:eastAsia="仿宋" w:cs="仿宋"/>
          <w:color w:val="auto"/>
          <w:sz w:val="20"/>
          <w:szCs w:val="20"/>
          <w:highlight w:val="none"/>
        </w:rPr>
      </w:pPr>
    </w:p>
    <w:p w14:paraId="05608B0F">
      <w:pPr>
        <w:wordWrap w:val="0"/>
        <w:spacing w:line="420" w:lineRule="exact"/>
        <w:ind w:firstLine="480" w:firstLineChars="200"/>
        <w:jc w:val="right"/>
        <w:rPr>
          <w:rFonts w:ascii="仿宋" w:hAnsi="仿宋" w:eastAsia="仿宋" w:cs="仿宋"/>
          <w:color w:val="auto"/>
          <w:highlight w:val="none"/>
        </w:rPr>
      </w:pPr>
    </w:p>
    <w:p w14:paraId="073F580E">
      <w:pPr>
        <w:pStyle w:val="9"/>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0BA32E24">
      <w:pPr>
        <w:pStyle w:val="9"/>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3301D083">
      <w:pPr>
        <w:pStyle w:val="9"/>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71CA7BD7">
      <w:pPr>
        <w:pStyle w:val="9"/>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投标单位名称：                       （公章）</w:t>
      </w:r>
    </w:p>
    <w:p w14:paraId="17C4E281">
      <w:pPr>
        <w:pStyle w:val="9"/>
        <w:numPr>
          <w:ilvl w:val="0"/>
          <w:numId w:val="0"/>
        </w:numPr>
        <w:kinsoku w:val="0"/>
        <w:overflowPunct w:val="0"/>
        <w:spacing w:before="34" w:line="357" w:lineRule="auto"/>
        <w:ind w:right="126"/>
        <w:jc w:val="both"/>
        <w:rPr>
          <w:rFonts w:ascii="仿宋" w:hAnsi="仿宋" w:eastAsia="仿宋" w:cs="仿宋"/>
          <w:color w:val="auto"/>
          <w:highlight w:val="none"/>
          <w:lang w:eastAsia="zh-CN"/>
        </w:rPr>
      </w:pPr>
      <w:r>
        <w:rPr>
          <w:rFonts w:hint="eastAsia" w:ascii="仿宋" w:hAnsi="仿宋" w:eastAsia="仿宋" w:cs="仿宋"/>
          <w:color w:val="auto"/>
          <w:sz w:val="24"/>
          <w:highlight w:val="none"/>
          <w:lang w:eastAsia="zh-CN"/>
        </w:rPr>
        <w:t xml:space="preserve">法定代表人（签字或盖章）：           </w:t>
      </w:r>
      <w:r>
        <w:rPr>
          <w:rFonts w:hint="eastAsia" w:ascii="仿宋" w:hAnsi="仿宋" w:eastAsia="仿宋" w:cs="仿宋"/>
          <w:color w:val="auto"/>
          <w:highlight w:val="none"/>
          <w:lang w:eastAsia="zh-CN"/>
        </w:rPr>
        <w:t xml:space="preserve">      </w:t>
      </w:r>
    </w:p>
    <w:p w14:paraId="4F233137">
      <w:pPr>
        <w:pStyle w:val="9"/>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76CE023D">
      <w:pPr>
        <w:pStyle w:val="9"/>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  期：   年  月  日</w:t>
      </w:r>
    </w:p>
    <w:p w14:paraId="72D2A7C8">
      <w:pPr>
        <w:pStyle w:val="9"/>
        <w:numPr>
          <w:ilvl w:val="0"/>
          <w:numId w:val="0"/>
        </w:numPr>
        <w:kinsoku w:val="0"/>
        <w:overflowPunct w:val="0"/>
        <w:spacing w:before="34" w:line="357" w:lineRule="auto"/>
        <w:ind w:left="480" w:right="126"/>
        <w:jc w:val="center"/>
        <w:rPr>
          <w:rFonts w:hint="eastAsia" w:ascii="仿宋" w:hAnsi="仿宋" w:eastAsia="仿宋" w:cs="仿宋"/>
          <w:b/>
          <w:bCs/>
          <w:color w:val="auto"/>
          <w:sz w:val="36"/>
          <w:szCs w:val="36"/>
          <w:highlight w:val="none"/>
          <w:lang w:eastAsia="zh-CN"/>
        </w:rPr>
      </w:pPr>
      <w:r>
        <w:rPr>
          <w:rFonts w:hint="eastAsia" w:ascii="仿宋" w:hAnsi="仿宋" w:eastAsia="仿宋" w:cs="仿宋"/>
          <w:color w:val="auto"/>
          <w:highlight w:val="none"/>
          <w:lang w:eastAsia="zh-CN"/>
        </w:rPr>
        <w:br w:type="page"/>
      </w:r>
      <w:r>
        <w:rPr>
          <w:rFonts w:hint="eastAsia" w:ascii="仿宋" w:hAnsi="仿宋" w:eastAsia="仿宋" w:cs="仿宋"/>
          <w:b/>
          <w:bCs/>
          <w:color w:val="auto"/>
          <w:sz w:val="36"/>
          <w:szCs w:val="36"/>
          <w:highlight w:val="none"/>
          <w:lang w:eastAsia="zh-CN"/>
        </w:rPr>
        <w:t>3、法定代表人授权书</w:t>
      </w:r>
    </w:p>
    <w:p w14:paraId="1566B557">
      <w:pPr>
        <w:spacing w:line="42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致</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eastAsia="zh-CN"/>
        </w:rPr>
        <w:t xml:space="preserve">采购人名称） </w:t>
      </w:r>
    </w:p>
    <w:p w14:paraId="52F67360">
      <w:pPr>
        <w:spacing w:line="42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本授权书声明：注册于</w:t>
      </w:r>
      <w:r>
        <w:rPr>
          <w:rFonts w:hint="eastAsia" w:ascii="仿宋" w:hAnsi="仿宋" w:eastAsia="仿宋" w:cs="仿宋"/>
          <w:color w:val="auto"/>
          <w:highlight w:val="none"/>
          <w:u w:val="single"/>
          <w:lang w:eastAsia="zh-CN"/>
        </w:rPr>
        <w:t>（供应商地址）</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（供应商名称）</w:t>
      </w:r>
      <w:r>
        <w:rPr>
          <w:rFonts w:hint="eastAsia" w:ascii="仿宋" w:hAnsi="仿宋" w:eastAsia="仿宋" w:cs="仿宋"/>
          <w:color w:val="auto"/>
          <w:highlight w:val="none"/>
          <w:lang w:eastAsia="zh-CN"/>
        </w:rPr>
        <w:t>法定代表人（负责人）</w:t>
      </w:r>
      <w:r>
        <w:rPr>
          <w:rFonts w:hint="eastAsia" w:ascii="仿宋" w:hAnsi="仿宋" w:eastAsia="仿宋" w:cs="仿宋"/>
          <w:color w:val="auto"/>
          <w:highlight w:val="none"/>
          <w:u w:val="single"/>
          <w:lang w:eastAsia="zh-CN"/>
        </w:rPr>
        <w:t>姓名、职务或职称）</w:t>
      </w:r>
      <w:r>
        <w:rPr>
          <w:rFonts w:hint="eastAsia" w:ascii="仿宋" w:hAnsi="仿宋" w:eastAsia="仿宋" w:cs="仿宋"/>
          <w:color w:val="auto"/>
          <w:highlight w:val="none"/>
          <w:lang w:eastAsia="zh-CN"/>
        </w:rPr>
        <w:t>代表本公司授权</w:t>
      </w:r>
      <w:r>
        <w:rPr>
          <w:rFonts w:hint="eastAsia" w:ascii="仿宋" w:hAnsi="仿宋" w:eastAsia="仿宋" w:cs="仿宋"/>
          <w:color w:val="auto"/>
          <w:highlight w:val="none"/>
          <w:u w:val="single"/>
          <w:lang w:eastAsia="zh-CN"/>
        </w:rPr>
        <w:t>（姓名）</w:t>
      </w:r>
      <w:r>
        <w:rPr>
          <w:rFonts w:hint="eastAsia" w:ascii="仿宋" w:hAnsi="仿宋" w:eastAsia="仿宋" w:cs="仿宋"/>
          <w:color w:val="auto"/>
          <w:highlight w:val="none"/>
          <w:lang w:eastAsia="zh-CN"/>
        </w:rPr>
        <w:t>为本单位的合法代理人，参与贵方组织的</w:t>
      </w:r>
      <w:r>
        <w:rPr>
          <w:rFonts w:hint="eastAsia" w:ascii="仿宋" w:hAnsi="仿宋" w:eastAsia="仿宋" w:cs="仿宋"/>
          <w:color w:val="auto"/>
          <w:highlight w:val="none"/>
          <w:u w:val="single"/>
          <w:lang w:eastAsia="zh-CN"/>
        </w:rPr>
        <w:t>（项目名称及项目编号）</w:t>
      </w:r>
      <w:r>
        <w:rPr>
          <w:rFonts w:hint="eastAsia" w:ascii="仿宋" w:hAnsi="仿宋" w:eastAsia="仿宋" w:cs="仿宋"/>
          <w:color w:val="auto"/>
          <w:highlight w:val="none"/>
          <w:lang w:eastAsia="zh-CN"/>
        </w:rPr>
        <w:t xml:space="preserve"> 的投标、谈判、签约等具体工作，并签署全部有关文件、协议及合同。</w:t>
      </w:r>
    </w:p>
    <w:p w14:paraId="48C43912">
      <w:pPr>
        <w:adjustRightInd w:val="0"/>
        <w:snapToGrid w:val="0"/>
        <w:spacing w:line="42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我单位对被授权人的上述经济活动负全部责任。在撤销授权的书面通知前，本授权书一直有效。被授权人在授权书有效期内签署的所有文件不因授权的撤</w:t>
      </w:r>
      <w:r>
        <w:rPr>
          <w:rFonts w:hint="eastAsia" w:ascii="仿宋" w:hAnsi="仿宋" w:eastAsia="仿宋" w:cs="仿宋"/>
          <w:color w:val="auto"/>
          <w:highlight w:val="none"/>
          <w:lang w:val="en-US" w:eastAsia="zh-CN"/>
        </w:rPr>
        <w:t>销</w:t>
      </w:r>
      <w:r>
        <w:rPr>
          <w:rFonts w:hint="eastAsia" w:ascii="仿宋" w:hAnsi="仿宋" w:eastAsia="仿宋" w:cs="仿宋"/>
          <w:color w:val="auto"/>
          <w:highlight w:val="none"/>
          <w:lang w:eastAsia="zh-CN"/>
        </w:rPr>
        <w:t>而失效。</w:t>
      </w:r>
    </w:p>
    <w:p w14:paraId="139978E4">
      <w:pPr>
        <w:pStyle w:val="9"/>
        <w:tabs>
          <w:tab w:val="left" w:pos="780"/>
        </w:tabs>
        <w:kinsoku w:val="0"/>
        <w:overflowPunct w:val="0"/>
        <w:adjustRightInd w:val="0"/>
        <w:snapToGrid w:val="0"/>
        <w:spacing w:before="12"/>
        <w:rPr>
          <w:rFonts w:ascii="仿宋" w:hAnsi="仿宋" w:eastAsia="仿宋" w:cs="仿宋"/>
          <w:color w:val="auto"/>
          <w:sz w:val="4"/>
          <w:szCs w:val="4"/>
          <w:highlight w:val="none"/>
          <w:lang w:eastAsia="zh-CN"/>
        </w:rPr>
      </w:pPr>
    </w:p>
    <w:p w14:paraId="541BA67F">
      <w:pPr>
        <w:pStyle w:val="9"/>
        <w:numPr>
          <w:ilvl w:val="0"/>
          <w:numId w:val="0"/>
        </w:numPr>
        <w:kinsoku w:val="0"/>
        <w:overflowPunct w:val="0"/>
        <w:adjustRightInd w:val="0"/>
        <w:snapToGrid w:val="0"/>
        <w:spacing w:line="200" w:lineRule="atLeast"/>
        <w:ind w:right="1908" w:rightChars="795"/>
        <w:jc w:val="both"/>
        <w:rPr>
          <w:rFonts w:ascii="仿宋" w:hAnsi="仿宋" w:eastAsia="仿宋" w:cs="仿宋"/>
          <w:color w:val="auto"/>
          <w:sz w:val="18"/>
          <w:szCs w:val="20"/>
          <w:highlight w:val="none"/>
        </w:rPr>
      </w:pPr>
      <w:r>
        <w:rPr>
          <w:color w:val="auto"/>
          <w:sz w:val="18"/>
          <w:highlight w:val="none"/>
        </w:rPr>
        <mc:AlternateContent>
          <mc:Choice Requires="wps">
            <w:drawing>
              <wp:anchor distT="0" distB="0" distL="114300" distR="114300" simplePos="0" relativeHeight="251664384" behindDoc="0" locked="0" layoutInCell="1" allowOverlap="1">
                <wp:simplePos x="0" y="0"/>
                <wp:positionH relativeFrom="column">
                  <wp:posOffset>252730</wp:posOffset>
                </wp:positionH>
                <wp:positionV relativeFrom="paragraph">
                  <wp:posOffset>1524635</wp:posOffset>
                </wp:positionV>
                <wp:extent cx="2348230" cy="1367155"/>
                <wp:effectExtent l="4445" t="4445" r="9525" b="19050"/>
                <wp:wrapSquare wrapText="bothSides"/>
                <wp:docPr id="4"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021C641">
                            <w:pPr>
                              <w:jc w:val="center"/>
                              <w:rPr>
                                <w:rFonts w:hint="eastAsia" w:ascii="仿宋" w:hAnsi="仿宋" w:eastAsia="仿宋" w:cs="仿宋"/>
                                <w:sz w:val="24"/>
                                <w:szCs w:val="24"/>
                              </w:rPr>
                            </w:pPr>
                          </w:p>
                          <w:p w14:paraId="2388F627">
                            <w:pPr>
                              <w:jc w:val="center"/>
                              <w:rPr>
                                <w:rFonts w:hint="eastAsia" w:ascii="仿宋" w:hAnsi="仿宋" w:eastAsia="仿宋" w:cs="仿宋"/>
                                <w:sz w:val="24"/>
                                <w:szCs w:val="24"/>
                              </w:rPr>
                            </w:pPr>
                          </w:p>
                          <w:p w14:paraId="36C7FE73">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6023F0CB"/>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yItc7JAIAAFgEAAAOAAAAAAAAAAEAIAAAACYBAABkcnMvZTJvRG9jLnhtbFBLBQYAAAAABgAG&#10;AFkBAAC8BQAAAAA=&#10;">
                <v:fill on="t" focussize="0,0"/>
                <v:stroke color="#000000" joinstyle="round"/>
                <v:imagedata o:title=""/>
                <o:lock v:ext="edit" aspectratio="f"/>
                <v:textbox>
                  <w:txbxContent>
                    <w:p w14:paraId="5021C641">
                      <w:pPr>
                        <w:jc w:val="center"/>
                        <w:rPr>
                          <w:rFonts w:hint="eastAsia" w:ascii="仿宋" w:hAnsi="仿宋" w:eastAsia="仿宋" w:cs="仿宋"/>
                          <w:sz w:val="24"/>
                          <w:szCs w:val="24"/>
                        </w:rPr>
                      </w:pPr>
                    </w:p>
                    <w:p w14:paraId="2388F627">
                      <w:pPr>
                        <w:jc w:val="center"/>
                        <w:rPr>
                          <w:rFonts w:hint="eastAsia" w:ascii="仿宋" w:hAnsi="仿宋" w:eastAsia="仿宋" w:cs="仿宋"/>
                          <w:sz w:val="24"/>
                          <w:szCs w:val="24"/>
                        </w:rPr>
                      </w:pPr>
                    </w:p>
                    <w:p w14:paraId="36C7FE73">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6023F0CB"/>
                  </w:txbxContent>
                </v:textbox>
                <w10:wrap type="square"/>
              </v:roundrect>
            </w:pict>
          </mc:Fallback>
        </mc:AlternateContent>
      </w:r>
      <w:r>
        <w:rPr>
          <w:rFonts w:hint="default"/>
          <w:color w:val="auto"/>
          <w:sz w:val="18"/>
          <w:highlight w:val="none"/>
          <w:lang w:val="en-US"/>
        </w:rPr>
        <mc:AlternateContent>
          <mc:Choice Requires="wps">
            <w:drawing>
              <wp:anchor distT="0" distB="0" distL="114300" distR="114300" simplePos="0" relativeHeight="251661312" behindDoc="1" locked="0" layoutInCell="1" allowOverlap="1">
                <wp:simplePos x="0" y="0"/>
                <wp:positionH relativeFrom="column">
                  <wp:posOffset>214630</wp:posOffset>
                </wp:positionH>
                <wp:positionV relativeFrom="paragraph">
                  <wp:posOffset>62865</wp:posOffset>
                </wp:positionV>
                <wp:extent cx="2378075" cy="1367155"/>
                <wp:effectExtent l="4445" t="4445" r="17780" b="19050"/>
                <wp:wrapTight wrapText="bothSides">
                  <wp:wrapPolygon>
                    <wp:start x="20605" y="-2"/>
                    <wp:lineTo x="986" y="0"/>
                    <wp:lineTo x="0" y="1611"/>
                    <wp:lineTo x="0" y="3600"/>
                    <wp:lineTo x="0" y="18000"/>
                    <wp:lineTo x="0" y="19988"/>
                    <wp:lineTo x="986" y="21600"/>
                    <wp:lineTo x="20605" y="21602"/>
                    <wp:lineTo x="994" y="21602"/>
                    <wp:lineTo x="20613" y="21600"/>
                    <wp:lineTo x="21599" y="19988"/>
                    <wp:lineTo x="21599" y="18000"/>
                    <wp:lineTo x="21599" y="3600"/>
                    <wp:lineTo x="21599" y="1611"/>
                    <wp:lineTo x="20613" y="0"/>
                    <wp:lineTo x="994" y="-2"/>
                    <wp:lineTo x="20605" y="-2"/>
                  </wp:wrapPolygon>
                </wp:wrapTight>
                <wp:docPr id="2"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B90F733">
                            <w:pPr>
                              <w:jc w:val="center"/>
                              <w:rPr>
                                <w:rFonts w:hint="eastAsia" w:ascii="仿宋" w:hAnsi="仿宋" w:eastAsia="仿宋" w:cs="仿宋"/>
                                <w:sz w:val="24"/>
                                <w:szCs w:val="24"/>
                              </w:rPr>
                            </w:pPr>
                          </w:p>
                          <w:p w14:paraId="2EEC07BC">
                            <w:pPr>
                              <w:jc w:val="center"/>
                              <w:rPr>
                                <w:rFonts w:hint="eastAsia" w:ascii="仿宋" w:hAnsi="仿宋" w:eastAsia="仿宋" w:cs="仿宋"/>
                                <w:sz w:val="24"/>
                                <w:szCs w:val="24"/>
                              </w:rPr>
                            </w:pPr>
                          </w:p>
                          <w:p w14:paraId="69F7D3E4">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678B198E">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5168;mso-width-relative:page;mso-height-relative:page;" fillcolor="#FFFFFF" filled="t" stroked="t" coordsize="21600,21600" wrapcoords="20605 -2 986 0 0 1611 0 3600 0 18000 0 19988 986 21600 20605 21602 994 21602 20613 21600 21599 19988 21599 18000 21599 3600 21599 1611 20613 0 994 -2 20605 -2"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A&#10;QakHIwIAAFgEAAAOAAAAAAAAAAEAIAAAACQBAABkcnMvZTJvRG9jLnhtbFBLBQYAAAAABgAGAFkB&#10;AAC5BQAAAAA=&#10;">
                <v:fill on="t" focussize="0,0"/>
                <v:stroke color="#000000" joinstyle="round"/>
                <v:imagedata o:title=""/>
                <o:lock v:ext="edit" aspectratio="f"/>
                <v:textbox>
                  <w:txbxContent>
                    <w:p w14:paraId="3B90F733">
                      <w:pPr>
                        <w:jc w:val="center"/>
                        <w:rPr>
                          <w:rFonts w:hint="eastAsia" w:ascii="仿宋" w:hAnsi="仿宋" w:eastAsia="仿宋" w:cs="仿宋"/>
                          <w:sz w:val="24"/>
                          <w:szCs w:val="24"/>
                        </w:rPr>
                      </w:pPr>
                    </w:p>
                    <w:p w14:paraId="2EEC07BC">
                      <w:pPr>
                        <w:jc w:val="center"/>
                        <w:rPr>
                          <w:rFonts w:hint="eastAsia" w:ascii="仿宋" w:hAnsi="仿宋" w:eastAsia="仿宋" w:cs="仿宋"/>
                          <w:sz w:val="24"/>
                          <w:szCs w:val="24"/>
                        </w:rPr>
                      </w:pPr>
                    </w:p>
                    <w:p w14:paraId="69F7D3E4">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678B198E">
                      <w:pPr>
                        <w:rPr>
                          <w:rFonts w:hint="eastAsia"/>
                          <w:lang w:val="en-US" w:eastAsia="zh-CN"/>
                        </w:rPr>
                      </w:pPr>
                    </w:p>
                  </w:txbxContent>
                </v:textbox>
                <w10:wrap type="tight"/>
              </v:roundrect>
            </w:pict>
          </mc:Fallback>
        </mc:AlternateContent>
      </w:r>
      <w:r>
        <w:rPr>
          <w:color w:val="auto"/>
          <w:sz w:val="18"/>
          <w:highlight w:val="none"/>
        </w:rPr>
        <mc:AlternateContent>
          <mc:Choice Requires="wps">
            <w:drawing>
              <wp:anchor distT="0" distB="0" distL="114300" distR="114300" simplePos="0" relativeHeight="251665408"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9050"/>
                <wp:wrapSquare wrapText="bothSides"/>
                <wp:docPr id="6"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1BD68C3">
                            <w:pPr>
                              <w:jc w:val="center"/>
                              <w:rPr>
                                <w:rFonts w:hint="eastAsia" w:ascii="仿宋" w:hAnsi="仿宋" w:eastAsia="仿宋" w:cs="仿宋"/>
                                <w:sz w:val="24"/>
                                <w:szCs w:val="24"/>
                              </w:rPr>
                            </w:pPr>
                          </w:p>
                          <w:p w14:paraId="6D8170AB">
                            <w:pPr>
                              <w:jc w:val="center"/>
                              <w:rPr>
                                <w:rFonts w:hint="eastAsia" w:ascii="仿宋" w:hAnsi="仿宋" w:eastAsia="仿宋" w:cs="仿宋"/>
                                <w:sz w:val="24"/>
                                <w:szCs w:val="24"/>
                              </w:rPr>
                            </w:pPr>
                          </w:p>
                          <w:p w14:paraId="01C61E46">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499F1EC7"/>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uewFBiMCAABYBAAADgAAAAAAAAABACAAAAAlAQAAZHJzL2Uyb0RvYy54bWxQSwUGAAAAAAYABgBZ&#10;AQAAugUAAAAA&#10;">
                <v:fill on="t" focussize="0,0"/>
                <v:stroke color="#000000" joinstyle="round"/>
                <v:imagedata o:title=""/>
                <o:lock v:ext="edit" aspectratio="f"/>
                <v:textbox>
                  <w:txbxContent>
                    <w:p w14:paraId="11BD68C3">
                      <w:pPr>
                        <w:jc w:val="center"/>
                        <w:rPr>
                          <w:rFonts w:hint="eastAsia" w:ascii="仿宋" w:hAnsi="仿宋" w:eastAsia="仿宋" w:cs="仿宋"/>
                          <w:sz w:val="24"/>
                          <w:szCs w:val="24"/>
                        </w:rPr>
                      </w:pPr>
                    </w:p>
                    <w:p w14:paraId="6D8170AB">
                      <w:pPr>
                        <w:jc w:val="center"/>
                        <w:rPr>
                          <w:rFonts w:hint="eastAsia" w:ascii="仿宋" w:hAnsi="仿宋" w:eastAsia="仿宋" w:cs="仿宋"/>
                          <w:sz w:val="24"/>
                          <w:szCs w:val="24"/>
                        </w:rPr>
                      </w:pPr>
                    </w:p>
                    <w:p w14:paraId="01C61E46">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499F1EC7"/>
                  </w:txbxContent>
                </v:textbox>
                <w10:wrap type="square"/>
              </v:roundrect>
            </w:pict>
          </mc:Fallback>
        </mc:AlternateContent>
      </w:r>
      <w:r>
        <w:rPr>
          <w:color w:val="auto"/>
          <w:sz w:val="18"/>
          <w:highlight w:val="none"/>
        </w:rPr>
        <mc:AlternateContent>
          <mc:Choice Requires="wps">
            <w:drawing>
              <wp:anchor distT="0" distB="0" distL="114300" distR="114300" simplePos="0" relativeHeight="251663360" behindDoc="0" locked="0" layoutInCell="1" allowOverlap="1">
                <wp:simplePos x="0" y="0"/>
                <wp:positionH relativeFrom="column">
                  <wp:posOffset>2902585</wp:posOffset>
                </wp:positionH>
                <wp:positionV relativeFrom="paragraph">
                  <wp:posOffset>41275</wp:posOffset>
                </wp:positionV>
                <wp:extent cx="2327275" cy="1367155"/>
                <wp:effectExtent l="4445" t="4445" r="11430" b="19050"/>
                <wp:wrapSquare wrapText="bothSides"/>
                <wp:docPr id="3"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6AA5B60">
                            <w:pPr>
                              <w:jc w:val="center"/>
                              <w:rPr>
                                <w:rFonts w:hint="eastAsia" w:ascii="仿宋" w:hAnsi="仿宋" w:eastAsia="仿宋" w:cs="仿宋"/>
                                <w:sz w:val="24"/>
                                <w:szCs w:val="24"/>
                              </w:rPr>
                            </w:pPr>
                          </w:p>
                          <w:p w14:paraId="7D067131">
                            <w:pPr>
                              <w:jc w:val="center"/>
                              <w:rPr>
                                <w:rFonts w:hint="eastAsia" w:ascii="仿宋" w:hAnsi="仿宋" w:eastAsia="仿宋" w:cs="仿宋"/>
                                <w:sz w:val="24"/>
                                <w:szCs w:val="24"/>
                              </w:rPr>
                            </w:pPr>
                          </w:p>
                          <w:p w14:paraId="4983DE02">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44D661FA"/>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3360;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vrYLV&#10;AAAACQEAAA8AAAAAAAAAAQAgAAAAIgAAAGRycy9kb3ducmV2LnhtbFBLAQIUABQAAAAIAIdO4kAp&#10;Gsm9IwIAAFgEAAAOAAAAAAAAAAEAIAAAACQBAABkcnMvZTJvRG9jLnhtbFBLBQYAAAAABgAGAFkB&#10;AAC5BQAAAAA=&#10;">
                <v:fill on="t" focussize="0,0"/>
                <v:stroke color="#000000" joinstyle="round"/>
                <v:imagedata o:title=""/>
                <o:lock v:ext="edit" aspectratio="f"/>
                <v:textbox>
                  <w:txbxContent>
                    <w:p w14:paraId="66AA5B60">
                      <w:pPr>
                        <w:jc w:val="center"/>
                        <w:rPr>
                          <w:rFonts w:hint="eastAsia" w:ascii="仿宋" w:hAnsi="仿宋" w:eastAsia="仿宋" w:cs="仿宋"/>
                          <w:sz w:val="24"/>
                          <w:szCs w:val="24"/>
                        </w:rPr>
                      </w:pPr>
                    </w:p>
                    <w:p w14:paraId="7D067131">
                      <w:pPr>
                        <w:jc w:val="center"/>
                        <w:rPr>
                          <w:rFonts w:hint="eastAsia" w:ascii="仿宋" w:hAnsi="仿宋" w:eastAsia="仿宋" w:cs="仿宋"/>
                          <w:sz w:val="24"/>
                          <w:szCs w:val="24"/>
                        </w:rPr>
                      </w:pPr>
                    </w:p>
                    <w:p w14:paraId="4983DE02">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44D661FA"/>
                  </w:txbxContent>
                </v:textbox>
                <w10:wrap type="square"/>
              </v:roundrect>
            </w:pict>
          </mc:Fallback>
        </mc:AlternateContent>
      </w:r>
    </w:p>
    <w:p w14:paraId="00FC2F03">
      <w:pPr>
        <w:pStyle w:val="9"/>
        <w:numPr>
          <w:ilvl w:val="0"/>
          <w:numId w:val="0"/>
        </w:numPr>
        <w:kinsoku w:val="0"/>
        <w:overflowPunct w:val="0"/>
        <w:adjustRightInd w:val="0"/>
        <w:snapToGrid w:val="0"/>
        <w:spacing w:line="200" w:lineRule="atLeast"/>
        <w:rPr>
          <w:rFonts w:ascii="仿宋" w:hAnsi="仿宋" w:eastAsia="仿宋" w:cs="仿宋"/>
          <w:color w:val="auto"/>
          <w:sz w:val="18"/>
          <w:szCs w:val="20"/>
          <w:highlight w:val="none"/>
        </w:rPr>
      </w:pPr>
    </w:p>
    <w:p w14:paraId="53F08698">
      <w:pPr>
        <w:rPr>
          <w:rFonts w:ascii="仿宋" w:hAnsi="仿宋" w:eastAsia="仿宋" w:cs="仿宋"/>
          <w:color w:val="auto"/>
          <w:sz w:val="18"/>
          <w:szCs w:val="20"/>
          <w:highlight w:val="none"/>
        </w:rPr>
      </w:pPr>
    </w:p>
    <w:p w14:paraId="3A19BB2D">
      <w:pPr>
        <w:pStyle w:val="33"/>
        <w:rPr>
          <w:rFonts w:ascii="仿宋" w:hAnsi="仿宋" w:eastAsia="仿宋" w:cs="仿宋"/>
          <w:color w:val="auto"/>
          <w:sz w:val="18"/>
          <w:szCs w:val="20"/>
          <w:highlight w:val="none"/>
        </w:rPr>
      </w:pPr>
    </w:p>
    <w:p w14:paraId="0421E930">
      <w:pPr>
        <w:pStyle w:val="33"/>
        <w:rPr>
          <w:rFonts w:ascii="仿宋" w:hAnsi="仿宋" w:eastAsia="仿宋" w:cs="仿宋"/>
          <w:color w:val="auto"/>
          <w:sz w:val="18"/>
          <w:szCs w:val="20"/>
          <w:highlight w:val="none"/>
        </w:rPr>
      </w:pPr>
    </w:p>
    <w:p w14:paraId="4C610385">
      <w:pPr>
        <w:pStyle w:val="33"/>
        <w:rPr>
          <w:rFonts w:ascii="仿宋" w:hAnsi="仿宋" w:eastAsia="仿宋" w:cs="仿宋"/>
          <w:color w:val="auto"/>
          <w:sz w:val="18"/>
          <w:szCs w:val="20"/>
          <w:highlight w:val="none"/>
        </w:rPr>
      </w:pPr>
    </w:p>
    <w:p w14:paraId="7BB19F3B">
      <w:pPr>
        <w:pStyle w:val="33"/>
        <w:rPr>
          <w:rFonts w:ascii="仿宋" w:hAnsi="仿宋" w:eastAsia="仿宋" w:cs="仿宋"/>
          <w:color w:val="auto"/>
          <w:sz w:val="18"/>
          <w:szCs w:val="20"/>
          <w:highlight w:val="none"/>
        </w:rPr>
      </w:pPr>
    </w:p>
    <w:p w14:paraId="39E67B22">
      <w:pPr>
        <w:pStyle w:val="9"/>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highlight w:val="none"/>
          <w:lang w:eastAsia="zh-CN"/>
        </w:rPr>
      </w:pPr>
    </w:p>
    <w:p w14:paraId="5448E1EA">
      <w:pPr>
        <w:pStyle w:val="9"/>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被授权代表（签章）：          供应商法定代表人（签章）：</w:t>
      </w:r>
    </w:p>
    <w:p w14:paraId="7A3F2C74">
      <w:pPr>
        <w:pStyle w:val="9"/>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p>
    <w:p w14:paraId="7C89BA39">
      <w:pPr>
        <w:pStyle w:val="9"/>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p>
    <w:p w14:paraId="09284A82">
      <w:pPr>
        <w:pStyle w:val="9"/>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（盖章）</w:t>
      </w:r>
    </w:p>
    <w:p w14:paraId="42896440">
      <w:pPr>
        <w:pStyle w:val="9"/>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0" w:leftChars="50" w:right="238" w:firstLine="2880" w:firstLineChars="1200"/>
        <w:jc w:val="both"/>
        <w:rPr>
          <w:rFonts w:ascii="仿宋" w:hAnsi="仿宋" w:eastAsia="仿宋" w:cs="仿宋"/>
          <w:color w:val="auto"/>
          <w:sz w:val="20"/>
          <w:highlight w:val="none"/>
          <w:lang w:eastAsia="zh-CN"/>
        </w:rPr>
      </w:pPr>
      <w:r>
        <w:rPr>
          <w:rFonts w:hint="eastAsia" w:ascii="仿宋" w:hAnsi="仿宋" w:eastAsia="仿宋" w:cs="仿宋"/>
          <w:color w:val="auto"/>
          <w:sz w:val="24"/>
          <w:highlight w:val="none"/>
          <w:lang w:eastAsia="zh-CN"/>
        </w:rPr>
        <w:t xml:space="preserve"> 日期：</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 xml:space="preserve">日 </w:t>
      </w:r>
      <w:r>
        <w:rPr>
          <w:rFonts w:hint="eastAsia" w:ascii="仿宋" w:hAnsi="仿宋" w:eastAsia="仿宋" w:cs="仿宋"/>
          <w:color w:val="auto"/>
          <w:sz w:val="20"/>
          <w:highlight w:val="none"/>
          <w:lang w:eastAsia="zh-CN"/>
        </w:rPr>
        <w:t xml:space="preserve">               </w:t>
      </w:r>
    </w:p>
    <w:p w14:paraId="5633CE6B">
      <w:pPr>
        <w:pStyle w:val="33"/>
        <w:rPr>
          <w:rFonts w:ascii="仿宋" w:hAnsi="仿宋" w:eastAsia="仿宋" w:cs="仿宋"/>
          <w:b/>
          <w:bCs/>
          <w:color w:val="auto"/>
          <w:sz w:val="36"/>
          <w:szCs w:val="36"/>
          <w:highlight w:val="none"/>
          <w:lang w:eastAsia="zh-CN"/>
        </w:rPr>
      </w:pPr>
      <w:r>
        <w:rPr>
          <w:rFonts w:hint="eastAsia" w:ascii="仿宋" w:hAnsi="仿宋" w:eastAsia="仿宋" w:cs="仿宋"/>
          <w:color w:val="auto"/>
          <w:highlight w:val="none"/>
          <w:lang w:eastAsia="zh-CN"/>
        </w:rPr>
        <w:br w:type="page"/>
      </w:r>
    </w:p>
    <w:p w14:paraId="097B45A9">
      <w:pPr>
        <w:rPr>
          <w:rFonts w:ascii="仿宋" w:hAnsi="仿宋" w:eastAsia="仿宋" w:cs="仿宋"/>
          <w:b/>
          <w:bCs/>
          <w:color w:val="auto"/>
          <w:sz w:val="36"/>
          <w:szCs w:val="36"/>
          <w:highlight w:val="none"/>
          <w:lang w:eastAsia="zh-CN"/>
        </w:rPr>
      </w:pPr>
    </w:p>
    <w:p w14:paraId="3F8DB673">
      <w:pPr>
        <w:pStyle w:val="4"/>
        <w:spacing w:line="240" w:lineRule="atLeast"/>
        <w:rPr>
          <w:rFonts w:ascii="仿宋" w:hAnsi="仿宋" w:eastAsia="仿宋" w:cs="仿宋"/>
          <w:bCs/>
          <w:color w:val="auto"/>
          <w:sz w:val="36"/>
          <w:szCs w:val="36"/>
          <w:highlight w:val="none"/>
          <w:lang w:eastAsia="zh-CN"/>
        </w:rPr>
      </w:pPr>
      <w:r>
        <w:rPr>
          <w:rFonts w:hint="eastAsia" w:ascii="仿宋" w:hAnsi="仿宋" w:eastAsia="仿宋" w:cs="仿宋"/>
          <w:bCs/>
          <w:color w:val="auto"/>
          <w:sz w:val="36"/>
          <w:szCs w:val="36"/>
          <w:highlight w:val="none"/>
          <w:lang w:val="en-US" w:eastAsia="zh-CN"/>
        </w:rPr>
        <w:t>4</w:t>
      </w:r>
      <w:r>
        <w:rPr>
          <w:rFonts w:hint="eastAsia" w:ascii="仿宋" w:hAnsi="仿宋" w:eastAsia="仿宋" w:cs="仿宋"/>
          <w:bCs/>
          <w:color w:val="auto"/>
          <w:sz w:val="36"/>
          <w:szCs w:val="36"/>
          <w:highlight w:val="none"/>
          <w:lang w:eastAsia="zh-CN"/>
        </w:rPr>
        <w:t>、投标保证金缴纳凭证或投标担保函</w:t>
      </w:r>
    </w:p>
    <w:p w14:paraId="59F70382">
      <w:pPr>
        <w:ind w:firstLine="480" w:firstLineChars="200"/>
        <w:rPr>
          <w:rFonts w:ascii="仿宋" w:hAnsi="仿宋" w:eastAsia="仿宋" w:cs="仿宋"/>
          <w:color w:val="auto"/>
          <w:highlight w:val="none"/>
          <w:lang w:eastAsia="zh-CN"/>
        </w:rPr>
      </w:pPr>
      <w:bookmarkStart w:id="60" w:name="_Toc494296991"/>
      <w:bookmarkStart w:id="61" w:name="_Toc494296665"/>
    </w:p>
    <w:bookmarkEnd w:id="60"/>
    <w:bookmarkEnd w:id="61"/>
    <w:p w14:paraId="1122B4AE">
      <w:pPr>
        <w:pStyle w:val="6"/>
        <w:rPr>
          <w:rFonts w:ascii="仿宋" w:hAnsi="仿宋" w:eastAsia="仿宋" w:cs="仿宋"/>
          <w:color w:val="auto"/>
          <w:highlight w:val="none"/>
          <w:lang w:eastAsia="zh-CN"/>
        </w:rPr>
      </w:pPr>
    </w:p>
    <w:p w14:paraId="4120A333">
      <w:pPr>
        <w:pStyle w:val="6"/>
        <w:rPr>
          <w:rFonts w:ascii="仿宋" w:hAnsi="仿宋" w:eastAsia="仿宋" w:cs="仿宋"/>
          <w:color w:val="auto"/>
          <w:highlight w:val="none"/>
        </w:rPr>
      </w:pPr>
    </w:p>
    <w:p w14:paraId="30A3757A">
      <w:pPr>
        <w:spacing w:line="240" w:lineRule="atLeast"/>
        <w:ind w:left="1157" w:leftChars="257" w:hanging="540"/>
        <w:jc w:val="center"/>
        <w:rPr>
          <w:rFonts w:ascii="仿宋" w:hAnsi="仿宋" w:eastAsia="仿宋" w:cs="仿宋"/>
          <w:color w:val="auto"/>
          <w:highlight w:val="none"/>
        </w:rPr>
      </w:pPr>
    </w:p>
    <w:p w14:paraId="4137B3E4">
      <w:pPr>
        <w:rPr>
          <w:rFonts w:ascii="仿宋" w:hAnsi="仿宋" w:eastAsia="仿宋" w:cs="仿宋"/>
          <w:color w:val="auto"/>
          <w:sz w:val="28"/>
          <w:szCs w:val="28"/>
          <w:highlight w:val="none"/>
        </w:rPr>
      </w:pPr>
    </w:p>
    <w:tbl>
      <w:tblPr>
        <w:tblStyle w:val="24"/>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68CE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2026FCD9">
            <w:pPr>
              <w:rPr>
                <w:rFonts w:ascii="仿宋" w:hAnsi="仿宋" w:eastAsia="仿宋" w:cs="仿宋"/>
                <w:b/>
                <w:bCs/>
                <w:color w:val="auto"/>
                <w:sz w:val="30"/>
                <w:szCs w:val="30"/>
                <w:highlight w:val="none"/>
              </w:rPr>
            </w:pPr>
          </w:p>
          <w:p w14:paraId="2F642129">
            <w:pPr>
              <w:jc w:val="center"/>
              <w:rPr>
                <w:rFonts w:ascii="仿宋" w:hAnsi="仿宋" w:eastAsia="仿宋" w:cs="仿宋"/>
                <w:b/>
                <w:bCs/>
                <w:color w:val="auto"/>
                <w:sz w:val="30"/>
                <w:szCs w:val="30"/>
                <w:highlight w:val="none"/>
              </w:rPr>
            </w:pPr>
          </w:p>
          <w:p w14:paraId="0B0CC8DF">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07F1D933">
      <w:pPr>
        <w:pStyle w:val="6"/>
        <w:rPr>
          <w:rFonts w:ascii="仿宋" w:hAnsi="仿宋" w:eastAsia="仿宋" w:cs="仿宋"/>
          <w:color w:val="auto"/>
          <w:highlight w:val="none"/>
        </w:rPr>
      </w:pPr>
    </w:p>
    <w:p w14:paraId="7DEEDF7F">
      <w:pPr>
        <w:pStyle w:val="6"/>
        <w:rPr>
          <w:rFonts w:ascii="仿宋" w:hAnsi="仿宋" w:eastAsia="仿宋" w:cs="仿宋"/>
          <w:color w:val="auto"/>
          <w:highlight w:val="none"/>
        </w:rPr>
      </w:pPr>
    </w:p>
    <w:p w14:paraId="4772B236">
      <w:pPr>
        <w:pStyle w:val="6"/>
        <w:rPr>
          <w:rFonts w:ascii="仿宋" w:hAnsi="仿宋" w:eastAsia="仿宋" w:cs="仿宋"/>
          <w:color w:val="auto"/>
          <w:highlight w:val="none"/>
        </w:rPr>
      </w:pPr>
    </w:p>
    <w:p w14:paraId="7B522CA9">
      <w:pPr>
        <w:pStyle w:val="6"/>
        <w:rPr>
          <w:rFonts w:ascii="仿宋" w:hAnsi="仿宋" w:eastAsia="仿宋" w:cs="仿宋"/>
          <w:color w:val="auto"/>
          <w:highlight w:val="none"/>
        </w:rPr>
      </w:pPr>
    </w:p>
    <w:p w14:paraId="518EB468">
      <w:pPr>
        <w:pStyle w:val="6"/>
        <w:rPr>
          <w:rFonts w:ascii="仿宋" w:hAnsi="仿宋" w:eastAsia="仿宋" w:cs="仿宋"/>
          <w:color w:val="auto"/>
          <w:highlight w:val="none"/>
        </w:rPr>
      </w:pPr>
    </w:p>
    <w:p w14:paraId="55554EF6">
      <w:pPr>
        <w:pStyle w:val="6"/>
        <w:rPr>
          <w:rFonts w:ascii="仿宋" w:hAnsi="仿宋" w:eastAsia="仿宋" w:cs="仿宋"/>
          <w:color w:val="auto"/>
          <w:highlight w:val="none"/>
        </w:rPr>
      </w:pPr>
    </w:p>
    <w:p w14:paraId="269BFAA1">
      <w:pPr>
        <w:rPr>
          <w:rFonts w:ascii="仿宋" w:hAnsi="仿宋" w:eastAsia="仿宋" w:cs="仿宋"/>
          <w:color w:val="auto"/>
          <w:highlight w:val="none"/>
        </w:rPr>
      </w:pPr>
    </w:p>
    <w:p w14:paraId="66072A8D">
      <w:pPr>
        <w:pStyle w:val="5"/>
        <w:rPr>
          <w:rFonts w:ascii="仿宋" w:hAnsi="仿宋" w:eastAsia="仿宋" w:cs="仿宋"/>
          <w:color w:val="auto"/>
          <w:highlight w:val="none"/>
        </w:rPr>
      </w:pPr>
    </w:p>
    <w:p w14:paraId="137E5FBF">
      <w:pPr>
        <w:rPr>
          <w:rFonts w:ascii="仿宋" w:hAnsi="仿宋" w:eastAsia="仿宋" w:cs="仿宋"/>
          <w:color w:val="auto"/>
          <w:highlight w:val="none"/>
        </w:rPr>
      </w:pPr>
    </w:p>
    <w:p w14:paraId="1841A88A">
      <w:pPr>
        <w:rPr>
          <w:rFonts w:ascii="仿宋" w:hAnsi="仿宋" w:eastAsia="仿宋" w:cs="仿宋"/>
          <w:color w:val="auto"/>
          <w:highlight w:val="none"/>
        </w:rPr>
      </w:pPr>
    </w:p>
    <w:p w14:paraId="03E9FD7E">
      <w:pPr>
        <w:rPr>
          <w:rFonts w:ascii="仿宋" w:hAnsi="仿宋" w:eastAsia="仿宋" w:cs="仿宋"/>
          <w:color w:val="auto"/>
          <w:highlight w:val="none"/>
        </w:rPr>
      </w:pPr>
    </w:p>
    <w:p w14:paraId="70739C80">
      <w:pPr>
        <w:jc w:val="center"/>
        <w:rPr>
          <w:rFonts w:ascii="仿宋" w:hAnsi="仿宋" w:eastAsia="仿宋" w:cs="仿宋"/>
          <w:color w:val="auto"/>
          <w:sz w:val="28"/>
          <w:szCs w:val="28"/>
          <w:highlight w:val="none"/>
        </w:rPr>
      </w:pPr>
    </w:p>
    <w:p w14:paraId="38525988">
      <w:pPr>
        <w:jc w:val="center"/>
        <w:rPr>
          <w:rFonts w:ascii="仿宋" w:hAnsi="仿宋" w:eastAsia="仿宋" w:cs="仿宋"/>
          <w:color w:val="auto"/>
          <w:sz w:val="28"/>
          <w:szCs w:val="28"/>
          <w:highlight w:val="none"/>
        </w:rPr>
      </w:pPr>
    </w:p>
    <w:p w14:paraId="7803400F">
      <w:pPr>
        <w:jc w:val="center"/>
        <w:rPr>
          <w:rFonts w:ascii="仿宋" w:hAnsi="仿宋" w:eastAsia="仿宋" w:cs="仿宋"/>
          <w:color w:val="auto"/>
          <w:sz w:val="28"/>
          <w:szCs w:val="28"/>
          <w:highlight w:val="none"/>
        </w:rPr>
      </w:pPr>
    </w:p>
    <w:p w14:paraId="19C0986E">
      <w:pPr>
        <w:jc w:val="center"/>
        <w:rPr>
          <w:rFonts w:ascii="仿宋" w:hAnsi="仿宋" w:eastAsia="仿宋" w:cs="仿宋"/>
          <w:color w:val="auto"/>
          <w:sz w:val="28"/>
          <w:szCs w:val="28"/>
          <w:highlight w:val="none"/>
        </w:rPr>
      </w:pPr>
    </w:p>
    <w:p w14:paraId="48AA06C3">
      <w:pPr>
        <w:jc w:val="center"/>
        <w:rPr>
          <w:rFonts w:ascii="仿宋" w:hAnsi="仿宋" w:eastAsia="仿宋" w:cs="仿宋"/>
          <w:color w:val="auto"/>
          <w:sz w:val="28"/>
          <w:szCs w:val="28"/>
          <w:highlight w:val="none"/>
        </w:rPr>
      </w:pPr>
    </w:p>
    <w:p w14:paraId="646F391C">
      <w:pPr>
        <w:jc w:val="center"/>
        <w:rPr>
          <w:rFonts w:ascii="仿宋" w:hAnsi="仿宋" w:eastAsia="仿宋" w:cs="仿宋"/>
          <w:color w:val="auto"/>
          <w:sz w:val="28"/>
          <w:szCs w:val="28"/>
          <w:highlight w:val="none"/>
        </w:rPr>
      </w:pPr>
    </w:p>
    <w:p w14:paraId="390AB539">
      <w:pPr>
        <w:jc w:val="center"/>
        <w:rPr>
          <w:rFonts w:ascii="仿宋" w:hAnsi="仿宋" w:eastAsia="仿宋" w:cs="仿宋"/>
          <w:color w:val="auto"/>
          <w:sz w:val="28"/>
          <w:szCs w:val="28"/>
          <w:highlight w:val="none"/>
        </w:rPr>
      </w:pPr>
    </w:p>
    <w:p w14:paraId="44B7BBC9">
      <w:pPr>
        <w:jc w:val="center"/>
        <w:rPr>
          <w:rFonts w:ascii="仿宋" w:hAnsi="仿宋" w:eastAsia="仿宋" w:cs="仿宋"/>
          <w:color w:val="auto"/>
          <w:sz w:val="28"/>
          <w:szCs w:val="28"/>
          <w:highlight w:val="none"/>
        </w:rPr>
      </w:pPr>
    </w:p>
    <w:p w14:paraId="055A8F9D">
      <w:pPr>
        <w:pStyle w:val="2"/>
        <w:rPr>
          <w:color w:val="auto"/>
          <w:highlight w:val="none"/>
        </w:rPr>
      </w:pPr>
    </w:p>
    <w:p w14:paraId="4F35FAB5">
      <w:pPr>
        <w:spacing w:line="360" w:lineRule="auto"/>
        <w:jc w:val="both"/>
        <w:rPr>
          <w:rFonts w:ascii="仿宋" w:hAnsi="仿宋" w:eastAsia="仿宋" w:cs="仿宋"/>
          <w:b/>
          <w:bCs/>
          <w:color w:val="auto"/>
          <w:sz w:val="28"/>
          <w:szCs w:val="28"/>
          <w:highlight w:val="none"/>
          <w:lang w:eastAsia="zh-CN"/>
        </w:rPr>
      </w:pPr>
    </w:p>
    <w:p w14:paraId="4DBE485B">
      <w:pPr>
        <w:spacing w:line="360" w:lineRule="auto"/>
        <w:jc w:val="center"/>
        <w:rPr>
          <w:rFonts w:hint="eastAsia" w:ascii="仿宋" w:hAnsi="仿宋" w:eastAsia="仿宋" w:cs="仿宋"/>
          <w:b/>
          <w:bCs/>
          <w:color w:val="auto"/>
          <w:sz w:val="28"/>
          <w:szCs w:val="28"/>
          <w:highlight w:val="none"/>
          <w:lang w:eastAsia="zh-CN"/>
        </w:rPr>
      </w:pPr>
    </w:p>
    <w:p w14:paraId="32B10BB4">
      <w:pPr>
        <w:spacing w:line="400" w:lineRule="exact"/>
        <w:ind w:firstLine="482" w:firstLineChars="200"/>
        <w:rPr>
          <w:rFonts w:ascii="仿宋" w:hAnsi="仿宋" w:eastAsia="仿宋" w:cs="仿宋"/>
          <w:b/>
          <w:bCs/>
          <w:color w:val="auto"/>
          <w:highlight w:val="none"/>
          <w:lang w:eastAsia="zh-CN"/>
        </w:rPr>
      </w:pPr>
    </w:p>
    <w:p w14:paraId="2D285959">
      <w:pPr>
        <w:numPr>
          <w:ilvl w:val="0"/>
          <w:numId w:val="0"/>
        </w:numPr>
        <w:spacing w:line="400" w:lineRule="exact"/>
        <w:ind w:leftChars="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lang w:eastAsia="zh-CN"/>
        </w:rPr>
        <w:t>投标企业须提供供应商（被授权本单位在职人员）近6个月内任意</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个月的有效社保证明</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lang w:eastAsia="zh-CN"/>
        </w:rPr>
        <w:t>说明：复印件上应加盖本单位章</w:t>
      </w:r>
    </w:p>
    <w:p w14:paraId="24FA7512">
      <w:pPr>
        <w:pStyle w:val="4"/>
        <w:numPr>
          <w:ilvl w:val="0"/>
          <w:numId w:val="0"/>
        </w:numPr>
        <w:ind w:leftChars="0"/>
        <w:jc w:val="both"/>
        <w:rPr>
          <w:rFonts w:hint="eastAsia"/>
          <w:color w:val="auto"/>
          <w:highlight w:val="none"/>
          <w:lang w:eastAsia="zh-CN"/>
        </w:rPr>
      </w:pPr>
    </w:p>
    <w:p w14:paraId="3E8B5DA3">
      <w:pPr>
        <w:pStyle w:val="4"/>
        <w:jc w:val="both"/>
        <w:rPr>
          <w:rFonts w:hint="default"/>
          <w:color w:val="auto"/>
          <w:highlight w:val="none"/>
          <w:lang w:val="en-US" w:eastAsia="zh-CN"/>
        </w:rPr>
      </w:pPr>
      <w:r>
        <w:rPr>
          <w:rFonts w:hint="eastAsia" w:ascii="仿宋" w:hAnsi="仿宋" w:eastAsia="仿宋" w:cs="仿宋"/>
          <w:b/>
          <w:bCs/>
          <w:color w:val="auto"/>
          <w:sz w:val="24"/>
          <w:szCs w:val="24"/>
          <w:highlight w:val="none"/>
          <w:lang w:val="en-US" w:eastAsia="zh-CN" w:bidi="en-US"/>
        </w:rPr>
        <w:t>6、是否具备投标截止之日起半年内任意两个月的纳税证明或完税证明，依法免税的单位应提供相关证明材料</w:t>
      </w:r>
      <w:r>
        <w:rPr>
          <w:rFonts w:hint="eastAsia" w:ascii="仿宋" w:hAnsi="仿宋" w:eastAsia="仿宋" w:cs="仿宋"/>
          <w:b/>
          <w:bCs/>
          <w:color w:val="auto"/>
          <w:highlight w:val="none"/>
          <w:lang w:val="en-US" w:eastAsia="zh-CN"/>
        </w:rPr>
        <w:t>；</w:t>
      </w:r>
    </w:p>
    <w:p w14:paraId="34425967">
      <w:pPr>
        <w:pStyle w:val="31"/>
        <w:rPr>
          <w:rFonts w:hint="eastAsia" w:ascii="仿宋" w:hAnsi="仿宋" w:eastAsia="仿宋" w:cs="仿宋"/>
          <w:b/>
          <w:bCs/>
          <w:color w:val="auto"/>
          <w:highlight w:val="none"/>
          <w:lang w:eastAsia="zh-CN"/>
        </w:rPr>
      </w:pPr>
    </w:p>
    <w:p w14:paraId="27F39C81">
      <w:pPr>
        <w:numPr>
          <w:ilvl w:val="0"/>
          <w:numId w:val="0"/>
        </w:numPr>
        <w:spacing w:line="400" w:lineRule="exact"/>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7、投标供应商具有有效期内的《食品经营许可证》或《食品生产许可证》。</w:t>
      </w:r>
    </w:p>
    <w:p w14:paraId="0E5EF841">
      <w:pPr>
        <w:pStyle w:val="33"/>
        <w:numPr>
          <w:ilvl w:val="0"/>
          <w:numId w:val="0"/>
        </w:numPr>
        <w:rPr>
          <w:rFonts w:hint="eastAsia" w:ascii="仿宋" w:hAnsi="仿宋" w:eastAsia="仿宋" w:cs="仿宋"/>
          <w:b/>
          <w:bCs/>
          <w:color w:val="auto"/>
          <w:highlight w:val="none"/>
          <w:lang w:eastAsia="zh-CN"/>
        </w:rPr>
      </w:pPr>
    </w:p>
    <w:p w14:paraId="04E5CECD">
      <w:pPr>
        <w:numPr>
          <w:ilvl w:val="0"/>
          <w:numId w:val="0"/>
        </w:numPr>
        <w:spacing w:line="400" w:lineRule="exact"/>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lang w:eastAsia="zh-CN"/>
        </w:rPr>
        <w:t>投标人是否提供202</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年度经审计的财务报告（包括审计报告、资产负债表和利润表（成立时间至投标截止时间不足一年的可提供成立后任意时段的资产负债表）；成立时间至投标截止时间不足一年的可提供成立后任意时段的资产负债表）；或其开标前三个月内基本存款账户开户银行出具的资信证明及基本存款账户开户许可证（或基本存款账户信息相关证明文件）；或信用担保机构出具的投标担保函；</w:t>
      </w:r>
    </w:p>
    <w:p w14:paraId="4E83CD7F">
      <w:pPr>
        <w:pStyle w:val="33"/>
        <w:numPr>
          <w:ilvl w:val="0"/>
          <w:numId w:val="0"/>
        </w:numPr>
        <w:ind w:leftChars="0"/>
        <w:rPr>
          <w:rFonts w:hint="eastAsia" w:ascii="仿宋" w:hAnsi="仿宋" w:eastAsia="仿宋" w:cs="仿宋"/>
          <w:b/>
          <w:bCs/>
          <w:color w:val="auto"/>
          <w:sz w:val="24"/>
          <w:szCs w:val="24"/>
          <w:highlight w:val="none"/>
          <w:lang w:val="en-US" w:eastAsia="zh-CN" w:bidi="en-US"/>
        </w:rPr>
      </w:pPr>
      <w:r>
        <w:rPr>
          <w:rFonts w:hint="eastAsia" w:ascii="仿宋" w:hAnsi="仿宋" w:eastAsia="仿宋" w:cs="仿宋"/>
          <w:b/>
          <w:bCs/>
          <w:color w:val="auto"/>
          <w:highlight w:val="none"/>
          <w:lang w:val="en-US" w:eastAsia="zh-CN"/>
        </w:rPr>
        <w:t>9、参加政府采购活动前三年内，在经营活动中没有重大违法记录；未被“信用中国”（www.creditchina.gov.cn）、中国政府采购网（www.ccgp.gov.cn）列入失信被执行</w:t>
      </w:r>
      <w:r>
        <w:rPr>
          <w:rFonts w:hint="eastAsia" w:ascii="仿宋" w:hAnsi="仿宋" w:eastAsia="仿宋" w:cs="仿宋"/>
          <w:b/>
          <w:bCs/>
          <w:color w:val="auto"/>
          <w:sz w:val="24"/>
          <w:szCs w:val="24"/>
          <w:highlight w:val="none"/>
          <w:lang w:val="en-US" w:eastAsia="zh-CN" w:bidi="en-US"/>
        </w:rPr>
        <w:t>人、税收违法黑名单、政府采购严重违法失信行为记录名单。</w:t>
      </w:r>
    </w:p>
    <w:p w14:paraId="23CB880C">
      <w:pPr>
        <w:pStyle w:val="33"/>
        <w:numPr>
          <w:ilvl w:val="0"/>
          <w:numId w:val="0"/>
        </w:numPr>
        <w:ind w:leftChars="0"/>
        <w:rPr>
          <w:rFonts w:hint="default" w:ascii="仿宋" w:hAnsi="仿宋" w:eastAsia="仿宋" w:cs="仿宋"/>
          <w:b/>
          <w:bCs/>
          <w:color w:val="auto"/>
          <w:sz w:val="24"/>
          <w:szCs w:val="24"/>
          <w:highlight w:val="none"/>
          <w:lang w:val="en-US" w:eastAsia="zh-CN" w:bidi="en-US"/>
        </w:rPr>
      </w:pPr>
      <w:r>
        <w:rPr>
          <w:rFonts w:hint="eastAsia" w:ascii="仿宋" w:hAnsi="仿宋" w:eastAsia="仿宋" w:cs="仿宋"/>
          <w:b/>
          <w:bCs/>
          <w:color w:val="auto"/>
          <w:sz w:val="24"/>
          <w:szCs w:val="24"/>
          <w:highlight w:val="none"/>
          <w:lang w:val="en-US" w:eastAsia="zh-CN" w:bidi="en-US"/>
        </w:rPr>
        <w:t>10、具有履行合同所必需的设备和专业技术能力的承诺函；</w:t>
      </w:r>
    </w:p>
    <w:p w14:paraId="51C33E96">
      <w:pPr>
        <w:pStyle w:val="33"/>
        <w:numPr>
          <w:ilvl w:val="0"/>
          <w:numId w:val="0"/>
        </w:numPr>
        <w:ind w:leftChars="0"/>
        <w:rPr>
          <w:rFonts w:hint="eastAsia" w:ascii="仿宋" w:hAnsi="仿宋" w:eastAsia="仿宋" w:cs="仿宋"/>
          <w:b/>
          <w:bCs/>
          <w:color w:val="auto"/>
          <w:sz w:val="24"/>
          <w:szCs w:val="24"/>
          <w:highlight w:val="none"/>
          <w:lang w:val="en-US" w:eastAsia="zh-CN" w:bidi="en-US"/>
        </w:rPr>
      </w:pPr>
    </w:p>
    <w:p w14:paraId="40E8CA43">
      <w:pPr>
        <w:pStyle w:val="3"/>
        <w:spacing w:before="40" w:after="40" w:line="579" w:lineRule="auto"/>
        <w:jc w:val="both"/>
        <w:rPr>
          <w:rFonts w:hint="eastAsia" w:ascii="仿宋" w:hAnsi="仿宋" w:eastAsia="仿宋" w:cs="仿宋"/>
          <w:color w:val="auto"/>
          <w:sz w:val="32"/>
          <w:szCs w:val="32"/>
          <w:highlight w:val="none"/>
          <w:lang w:eastAsia="zh-CN"/>
        </w:rPr>
      </w:pPr>
      <w:bookmarkStart w:id="62" w:name="_Toc515647816"/>
      <w:bookmarkStart w:id="63" w:name="_Toc5695"/>
      <w:bookmarkStart w:id="64" w:name="_Toc22967"/>
      <w:bookmarkStart w:id="65" w:name="_Toc11180"/>
    </w:p>
    <w:p w14:paraId="752A598F">
      <w:pPr>
        <w:rPr>
          <w:rFonts w:hint="eastAsia" w:ascii="仿宋" w:hAnsi="仿宋" w:eastAsia="仿宋" w:cs="仿宋"/>
          <w:color w:val="auto"/>
          <w:sz w:val="32"/>
          <w:szCs w:val="32"/>
          <w:highlight w:val="none"/>
          <w:lang w:eastAsia="zh-CN"/>
        </w:rPr>
      </w:pPr>
    </w:p>
    <w:p w14:paraId="3B592B68">
      <w:pPr>
        <w:pStyle w:val="5"/>
        <w:rPr>
          <w:rFonts w:hint="eastAsia" w:ascii="仿宋" w:hAnsi="仿宋" w:eastAsia="仿宋" w:cs="仿宋"/>
          <w:color w:val="auto"/>
          <w:sz w:val="32"/>
          <w:szCs w:val="32"/>
          <w:highlight w:val="none"/>
          <w:lang w:eastAsia="zh-CN"/>
        </w:rPr>
      </w:pPr>
    </w:p>
    <w:p w14:paraId="53BC933B">
      <w:pPr>
        <w:rPr>
          <w:rFonts w:hint="eastAsia"/>
          <w:color w:val="auto"/>
          <w:highlight w:val="none"/>
          <w:lang w:eastAsia="zh-CN"/>
        </w:rPr>
      </w:pPr>
    </w:p>
    <w:p w14:paraId="0683F859">
      <w:pPr>
        <w:pStyle w:val="3"/>
        <w:spacing w:before="40" w:after="40" w:line="579" w:lineRule="auto"/>
        <w:jc w:val="center"/>
        <w:rPr>
          <w:rFonts w:hint="eastAsia" w:ascii="仿宋" w:hAnsi="仿宋" w:eastAsia="仿宋" w:cs="仿宋"/>
          <w:color w:val="auto"/>
          <w:sz w:val="32"/>
          <w:szCs w:val="32"/>
          <w:highlight w:val="none"/>
          <w:lang w:eastAsia="zh-CN"/>
        </w:rPr>
      </w:pPr>
    </w:p>
    <w:p w14:paraId="4FE73505">
      <w:pPr>
        <w:rPr>
          <w:rFonts w:hint="eastAsia"/>
          <w:color w:val="auto"/>
          <w:highlight w:val="none"/>
          <w:lang w:eastAsia="zh-CN"/>
        </w:rPr>
      </w:pPr>
    </w:p>
    <w:p w14:paraId="52B487BB">
      <w:pPr>
        <w:rPr>
          <w:rFonts w:hint="eastAsia"/>
          <w:color w:val="auto"/>
          <w:highlight w:val="none"/>
          <w:lang w:eastAsia="zh-CN"/>
        </w:rPr>
      </w:pPr>
    </w:p>
    <w:p w14:paraId="0F25F33D">
      <w:pPr>
        <w:pStyle w:val="9"/>
        <w:numPr>
          <w:ilvl w:val="0"/>
          <w:numId w:val="0"/>
        </w:numPr>
        <w:ind w:leftChars="0"/>
        <w:rPr>
          <w:rFonts w:hint="eastAsia"/>
          <w:color w:val="auto"/>
          <w:highlight w:val="none"/>
          <w:lang w:eastAsia="zh-CN"/>
        </w:rPr>
      </w:pPr>
    </w:p>
    <w:p w14:paraId="2F5C9038">
      <w:pPr>
        <w:rPr>
          <w:rFonts w:hint="eastAsia"/>
          <w:color w:val="auto"/>
          <w:highlight w:val="none"/>
          <w:lang w:eastAsia="zh-CN"/>
        </w:rPr>
      </w:pPr>
    </w:p>
    <w:p w14:paraId="05F45104">
      <w:pPr>
        <w:pStyle w:val="4"/>
        <w:rPr>
          <w:rFonts w:hint="eastAsia"/>
          <w:color w:val="auto"/>
          <w:highlight w:val="none"/>
          <w:lang w:eastAsia="zh-CN"/>
        </w:rPr>
      </w:pPr>
    </w:p>
    <w:p w14:paraId="73D39D4B">
      <w:pPr>
        <w:rPr>
          <w:rFonts w:hint="eastAsia"/>
          <w:color w:val="auto"/>
          <w:highlight w:val="none"/>
          <w:lang w:eastAsia="zh-CN"/>
        </w:rPr>
      </w:pPr>
    </w:p>
    <w:p w14:paraId="527BC2E8">
      <w:pPr>
        <w:pStyle w:val="4"/>
        <w:rPr>
          <w:rFonts w:hint="eastAsia"/>
          <w:color w:val="auto"/>
          <w:highlight w:val="none"/>
          <w:lang w:eastAsia="zh-CN"/>
        </w:rPr>
      </w:pPr>
    </w:p>
    <w:p w14:paraId="4E6E5DAA">
      <w:pPr>
        <w:rPr>
          <w:rFonts w:hint="eastAsia"/>
          <w:color w:val="auto"/>
          <w:highlight w:val="none"/>
          <w:lang w:eastAsia="zh-CN"/>
        </w:rPr>
      </w:pPr>
    </w:p>
    <w:p w14:paraId="5A96C0CD">
      <w:pPr>
        <w:pStyle w:val="4"/>
        <w:rPr>
          <w:rFonts w:hint="eastAsia"/>
          <w:color w:val="auto"/>
          <w:highlight w:val="none"/>
          <w:lang w:eastAsia="zh-CN"/>
        </w:rPr>
      </w:pPr>
    </w:p>
    <w:p w14:paraId="26E9C2BC">
      <w:pPr>
        <w:rPr>
          <w:rFonts w:hint="eastAsia"/>
          <w:color w:val="auto"/>
          <w:highlight w:val="none"/>
          <w:lang w:eastAsia="zh-CN"/>
        </w:rPr>
      </w:pPr>
    </w:p>
    <w:p w14:paraId="356A8C0A">
      <w:pPr>
        <w:pStyle w:val="4"/>
        <w:rPr>
          <w:rFonts w:hint="eastAsia"/>
          <w:color w:val="auto"/>
          <w:highlight w:val="none"/>
          <w:lang w:eastAsia="zh-CN"/>
        </w:rPr>
      </w:pPr>
    </w:p>
    <w:p w14:paraId="26230C16">
      <w:pPr>
        <w:rPr>
          <w:rFonts w:hint="eastAsia"/>
          <w:color w:val="auto"/>
          <w:highlight w:val="none"/>
          <w:lang w:eastAsia="zh-CN"/>
        </w:rPr>
      </w:pPr>
    </w:p>
    <w:p w14:paraId="3490630E">
      <w:pPr>
        <w:pStyle w:val="4"/>
        <w:rPr>
          <w:rFonts w:hint="eastAsia"/>
          <w:color w:val="auto"/>
          <w:highlight w:val="none"/>
          <w:lang w:eastAsia="zh-CN"/>
        </w:rPr>
      </w:pPr>
    </w:p>
    <w:p w14:paraId="08BCF0CC">
      <w:pPr>
        <w:pStyle w:val="7"/>
        <w:rPr>
          <w:rFonts w:hint="eastAsia"/>
          <w:color w:val="auto"/>
          <w:highlight w:val="none"/>
          <w:lang w:eastAsia="zh-CN"/>
        </w:rPr>
      </w:pPr>
    </w:p>
    <w:p w14:paraId="76159275">
      <w:pPr>
        <w:pStyle w:val="3"/>
        <w:spacing w:before="40" w:after="40" w:line="579" w:lineRule="auto"/>
        <w:jc w:val="center"/>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第二部分  商务及技术文件</w:t>
      </w:r>
      <w:bookmarkEnd w:id="62"/>
      <w:bookmarkEnd w:id="63"/>
      <w:bookmarkEnd w:id="64"/>
      <w:bookmarkEnd w:id="65"/>
    </w:p>
    <w:p w14:paraId="045EA1C6">
      <w:pPr>
        <w:pStyle w:val="11"/>
        <w:spacing w:line="400" w:lineRule="exact"/>
        <w:ind w:left="1157"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1、投标函</w:t>
      </w:r>
    </w:p>
    <w:p w14:paraId="443AC234">
      <w:pPr>
        <w:pStyle w:val="11"/>
        <w:spacing w:line="400" w:lineRule="exact"/>
        <w:ind w:left="1157"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2、开标一览表</w:t>
      </w:r>
    </w:p>
    <w:p w14:paraId="642949F9">
      <w:pPr>
        <w:pStyle w:val="11"/>
        <w:spacing w:line="400" w:lineRule="exact"/>
        <w:ind w:left="1157"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3、货物说明一览表</w:t>
      </w:r>
    </w:p>
    <w:p w14:paraId="2BE7FA42">
      <w:pPr>
        <w:pStyle w:val="11"/>
        <w:spacing w:line="400" w:lineRule="exact"/>
        <w:ind w:left="1157"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4、投标分项报价表</w:t>
      </w:r>
    </w:p>
    <w:p w14:paraId="1E442071">
      <w:pPr>
        <w:pStyle w:val="11"/>
        <w:spacing w:line="400" w:lineRule="exact"/>
        <w:ind w:left="1157"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5、技术</w:t>
      </w:r>
      <w:r>
        <w:rPr>
          <w:rFonts w:hint="eastAsia" w:ascii="仿宋" w:hAnsi="仿宋" w:eastAsia="仿宋" w:cs="仿宋"/>
          <w:color w:val="auto"/>
          <w:highlight w:val="none"/>
          <w:lang w:val="en-US" w:eastAsia="zh-CN"/>
        </w:rPr>
        <w:t>条款</w:t>
      </w:r>
      <w:r>
        <w:rPr>
          <w:rFonts w:hint="eastAsia" w:ascii="仿宋" w:hAnsi="仿宋" w:eastAsia="仿宋" w:cs="仿宋"/>
          <w:color w:val="auto"/>
          <w:highlight w:val="none"/>
          <w:lang w:eastAsia="zh-CN"/>
        </w:rPr>
        <w:t>偏离表</w:t>
      </w:r>
    </w:p>
    <w:p w14:paraId="31B6B635">
      <w:pPr>
        <w:pStyle w:val="11"/>
        <w:spacing w:line="400" w:lineRule="exact"/>
        <w:ind w:left="1157"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6、商务条款偏离表</w:t>
      </w:r>
    </w:p>
    <w:p w14:paraId="58D3E113">
      <w:pPr>
        <w:pStyle w:val="11"/>
        <w:spacing w:line="400" w:lineRule="exact"/>
        <w:ind w:left="1157"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7、供应商基本情况表</w:t>
      </w:r>
    </w:p>
    <w:p w14:paraId="378FC0AA">
      <w:pPr>
        <w:pStyle w:val="11"/>
        <w:spacing w:line="400" w:lineRule="exact"/>
        <w:ind w:left="355"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、中小企业声明函(货物)</w:t>
      </w:r>
    </w:p>
    <w:p w14:paraId="17F0EBE9">
      <w:pPr>
        <w:pStyle w:val="11"/>
        <w:spacing w:line="400" w:lineRule="exact"/>
        <w:ind w:left="355"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、《残疾人福利性单位声明函》</w:t>
      </w:r>
    </w:p>
    <w:p w14:paraId="4EFB3305">
      <w:pPr>
        <w:pStyle w:val="11"/>
        <w:spacing w:line="400" w:lineRule="exact"/>
        <w:ind w:left="355"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商务</w:t>
      </w:r>
      <w:r>
        <w:rPr>
          <w:rFonts w:hint="eastAsia" w:ascii="仿宋" w:hAnsi="仿宋" w:eastAsia="仿宋" w:cs="仿宋"/>
          <w:color w:val="auto"/>
          <w:highlight w:val="none"/>
          <w:lang w:eastAsia="zh-CN"/>
        </w:rPr>
        <w:t>标准和细则中技术部分证明材料</w:t>
      </w:r>
    </w:p>
    <w:p w14:paraId="2C1BC837">
      <w:pPr>
        <w:pStyle w:val="11"/>
        <w:spacing w:line="400" w:lineRule="exact"/>
        <w:ind w:left="355"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、评分标准和细则中技术部分证明材料（格式自拟）</w:t>
      </w:r>
    </w:p>
    <w:p w14:paraId="2101B5AA">
      <w:pPr>
        <w:pStyle w:val="11"/>
        <w:spacing w:line="400" w:lineRule="exact"/>
        <w:ind w:left="355"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eastAsia="zh-CN"/>
        </w:rPr>
        <w:t>、供应商认为有必要提供的其他证明材料（格式自拟）</w:t>
      </w:r>
    </w:p>
    <w:p w14:paraId="7CDE07C0">
      <w:pPr>
        <w:pStyle w:val="11"/>
        <w:tabs>
          <w:tab w:val="left" w:pos="5580"/>
        </w:tabs>
        <w:spacing w:line="400" w:lineRule="exact"/>
        <w:ind w:left="641" w:leftChars="267"/>
        <w:rPr>
          <w:rFonts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br w:type="page"/>
      </w:r>
    </w:p>
    <w:p w14:paraId="6722A5EA">
      <w:pPr>
        <w:pStyle w:val="9"/>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1、投标函</w:t>
      </w:r>
    </w:p>
    <w:p w14:paraId="3FD87A2A">
      <w:pPr>
        <w:spacing w:line="440" w:lineRule="exact"/>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致：</w:t>
      </w:r>
      <w:r>
        <w:rPr>
          <w:rFonts w:hint="eastAsia" w:ascii="仿宋" w:hAnsi="仿宋" w:eastAsia="仿宋" w:cs="仿宋"/>
          <w:color w:val="auto"/>
          <w:highlight w:val="none"/>
          <w:u w:val="single"/>
          <w:lang w:eastAsia="zh-CN"/>
        </w:rPr>
        <w:t xml:space="preserve">                     </w:t>
      </w:r>
    </w:p>
    <w:p w14:paraId="02A02E55">
      <w:pPr>
        <w:spacing w:line="4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为响应你方组织的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项目的招标[项目编号为：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，我方愿参与投标。</w:t>
      </w:r>
    </w:p>
    <w:p w14:paraId="2ACF0B34">
      <w:pPr>
        <w:spacing w:line="4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我方确认收到贵方提供的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招标文件的全部内容。</w:t>
      </w:r>
    </w:p>
    <w:p w14:paraId="7F4F3DA3">
      <w:pPr>
        <w:spacing w:line="4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148EA6F2">
      <w:pPr>
        <w:spacing w:line="4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(供应商名称)      </w:t>
      </w:r>
      <w:r>
        <w:rPr>
          <w:rFonts w:hint="eastAsia" w:ascii="仿宋" w:hAnsi="仿宋" w:eastAsia="仿宋" w:cs="仿宋"/>
          <w:color w:val="auto"/>
          <w:highlight w:val="none"/>
          <w:lang w:eastAsia="zh-CN"/>
        </w:rPr>
        <w:t>作为供应商正式授权</w:t>
      </w:r>
      <w:r>
        <w:rPr>
          <w:rFonts w:hint="eastAsia" w:ascii="仿宋" w:hAnsi="仿宋" w:eastAsia="仿宋" w:cs="仿宋"/>
          <w:color w:val="auto"/>
          <w:highlight w:val="none"/>
          <w:u w:val="single"/>
          <w:lang w:eastAsia="zh-CN"/>
        </w:rPr>
        <w:t xml:space="preserve">  (授权代表全名, 职务)  </w:t>
      </w:r>
      <w:r>
        <w:rPr>
          <w:rFonts w:hint="eastAsia" w:ascii="仿宋" w:hAnsi="仿宋" w:eastAsia="仿宋" w:cs="仿宋"/>
          <w:color w:val="auto"/>
          <w:highlight w:val="none"/>
          <w:lang w:eastAsia="zh-CN"/>
        </w:rPr>
        <w:t>代表我方全权处理有关本报价的一切事宜。</w:t>
      </w:r>
    </w:p>
    <w:p w14:paraId="2049B0A1">
      <w:pPr>
        <w:spacing w:line="4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我方已完全明白招标文件的所有条款要求，并申明如下：</w:t>
      </w:r>
    </w:p>
    <w:p w14:paraId="15A02857">
      <w:pPr>
        <w:spacing w:line="48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（一）按招标文件提供的全部货物与相关服务的投标总价详见《报价一览表》。</w:t>
      </w:r>
    </w:p>
    <w:p w14:paraId="0F8A41EE">
      <w:pPr>
        <w:spacing w:line="48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（二）本投标文件的有效期为投标截止时间起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2AD93CE6">
      <w:pPr>
        <w:spacing w:line="48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（三）我方同意按照贵方可能提出的要求而提供与投标有关的任何其它数据、信息或资料。</w:t>
      </w:r>
    </w:p>
    <w:p w14:paraId="4A4ECB6F">
      <w:pPr>
        <w:spacing w:line="48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（四）我方理解贵方不一定接受最低投标价或任何贵方可能收到的投标。</w:t>
      </w:r>
    </w:p>
    <w:p w14:paraId="35E40FB5">
      <w:pPr>
        <w:spacing w:line="48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（五）我方如果中标，将保证履行招标文件及其澄清、修改文件（如果有）中的全部责任和义务，按质、按量、按期完成《招标内容》及《合同书》中的全部任务。</w:t>
      </w:r>
    </w:p>
    <w:p w14:paraId="10E9284E">
      <w:pPr>
        <w:spacing w:line="48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（六）如我方被授予合同，我方承诺支付就本次招标应支付或将支付的中标服务费（详见按招标文件要求格式填写的《中标服务费支付承诺书》）。</w:t>
      </w:r>
    </w:p>
    <w:p w14:paraId="12B31DA9">
      <w:pPr>
        <w:spacing w:line="48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（七）我方作为在法律、财务和运作上独立于采购人、招标代理机构的供应商，在此保证所提交的所有文件和全部说明是真实的和正确的。</w:t>
      </w:r>
    </w:p>
    <w:p w14:paraId="2EAC1F58">
      <w:pPr>
        <w:spacing w:line="48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（八）我方投标报价已包含应向知识产权所有权人支付的所有相关税费，并保证采购人在中国使用我方提供的货物时，如有第三方提出侵犯其知识产权主张的，责任由我方承担。</w:t>
      </w:r>
    </w:p>
    <w:p w14:paraId="6FE17D02">
      <w:pPr>
        <w:spacing w:line="48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（九）我方与其他供应商不存在单位负责人为同一人或者存在直接控股、管理关系。</w:t>
      </w:r>
    </w:p>
    <w:p w14:paraId="57A352BF">
      <w:pPr>
        <w:spacing w:line="48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（十）我方承诺未为本项目提供整体设计、规范编制或者项目管理、监理、检测等服务。</w:t>
      </w:r>
    </w:p>
    <w:p w14:paraId="50A3831F">
      <w:pPr>
        <w:spacing w:line="48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（十一）我方具备《政府采购法》第二十二条规定的条件，承诺如下：</w:t>
      </w:r>
    </w:p>
    <w:p w14:paraId="10FDD437">
      <w:pPr>
        <w:spacing w:line="4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（1）我方已依法缴纳了各项税费及社会保险费用，如有需要，可随时向采购人提供近三个月内的相关缴费证明，以便核查。</w:t>
      </w:r>
    </w:p>
    <w:p w14:paraId="362B98BE">
      <w:pPr>
        <w:spacing w:line="4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（2）我方已依法建立健全的财务会计制度，如有需要，可随时向采购人提供相关的证明材料，以便核查。</w:t>
      </w:r>
    </w:p>
    <w:p w14:paraId="3F102D56">
      <w:pPr>
        <w:spacing w:line="4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（3）我方参加本项目政府采购活动前3年内在经营活动中没有重大违法记录。</w:t>
      </w:r>
    </w:p>
    <w:p w14:paraId="671ED71F">
      <w:pPr>
        <w:spacing w:line="4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（4）我方具备履行合同所必需的设备和专业技术能力。</w:t>
      </w:r>
    </w:p>
    <w:p w14:paraId="3EC0DFDB">
      <w:pPr>
        <w:spacing w:line="4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（5）我方符合法律、行政法规规定的其他条件。</w:t>
      </w:r>
    </w:p>
    <w:p w14:paraId="652E0272">
      <w:pPr>
        <w:spacing w:line="4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以上内容如有虚假或与事实不符的，评审委员会可将我方</w:t>
      </w:r>
      <w:r>
        <w:rPr>
          <w:rFonts w:hint="eastAsia" w:ascii="仿宋" w:hAnsi="仿宋" w:eastAsia="仿宋" w:cs="仿宋"/>
          <w:color w:val="auto"/>
          <w:highlight w:val="none"/>
          <w:lang w:val="en-US" w:eastAsia="zh-CN"/>
        </w:rPr>
        <w:t>作</w:t>
      </w:r>
      <w:r>
        <w:rPr>
          <w:rFonts w:hint="eastAsia" w:ascii="仿宋" w:hAnsi="仿宋" w:eastAsia="仿宋" w:cs="仿宋"/>
          <w:color w:val="auto"/>
          <w:highlight w:val="none"/>
          <w:lang w:eastAsia="zh-CN"/>
        </w:rPr>
        <w:t>无效投标处理，我方愿意承担相应的法律责任。</w:t>
      </w:r>
    </w:p>
    <w:p w14:paraId="6CA5C04B">
      <w:pPr>
        <w:spacing w:line="4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lang w:eastAsia="zh-CN"/>
        </w:rPr>
        <w:t>）我方对在本函及投标文件中所作的所有承诺承担法律责任。</w:t>
      </w:r>
    </w:p>
    <w:p w14:paraId="5FE464DA">
      <w:pPr>
        <w:spacing w:line="4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lang w:eastAsia="zh-CN"/>
        </w:rPr>
        <w:t>）所有与本招标有关的函件请发往下列地址：</w:t>
      </w:r>
    </w:p>
    <w:p w14:paraId="0491770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.邮政编码：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12D018D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    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79DD296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传    真：</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582BE68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代表姓名：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.职    务：</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364B0CDE">
      <w:pPr>
        <w:spacing w:line="440" w:lineRule="exact"/>
        <w:ind w:right="48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（公章） </w:t>
      </w:r>
    </w:p>
    <w:p w14:paraId="57CF991D">
      <w:pPr>
        <w:wordWrap w:val="0"/>
        <w:spacing w:line="440" w:lineRule="exact"/>
        <w:ind w:firstLine="480"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法定代表人或委托人：</w:t>
      </w:r>
      <w:r>
        <w:rPr>
          <w:rFonts w:hint="eastAsia" w:ascii="仿宋" w:hAnsi="仿宋" w:eastAsia="仿宋" w:cs="仿宋"/>
          <w:color w:val="auto"/>
          <w:highlight w:val="non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（签章）  </w:t>
      </w:r>
    </w:p>
    <w:p w14:paraId="304D9255">
      <w:pPr>
        <w:wordWrap w:val="0"/>
        <w:spacing w:line="440" w:lineRule="exact"/>
        <w:ind w:firstLine="480"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45E9D91E">
      <w:pPr>
        <w:pStyle w:val="33"/>
        <w:rPr>
          <w:rFonts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64197673">
      <w:pPr>
        <w:pStyle w:val="6"/>
        <w:tabs>
          <w:tab w:val="left" w:pos="5580"/>
        </w:tabs>
        <w:spacing w:line="240" w:lineRule="atLeast"/>
        <w:ind w:firstLine="3350" w:firstLineChars="927"/>
        <w:jc w:val="both"/>
        <w:rPr>
          <w:rFonts w:ascii="仿宋" w:hAnsi="仿宋" w:eastAsia="仿宋" w:cs="仿宋"/>
          <w:color w:val="auto"/>
          <w:highlight w:val="none"/>
          <w:lang w:eastAsia="zh-CN"/>
        </w:rPr>
      </w:pPr>
      <w:r>
        <w:rPr>
          <w:rFonts w:hint="eastAsia" w:ascii="仿宋" w:hAnsi="仿宋" w:eastAsia="仿宋" w:cs="仿宋"/>
          <w:b/>
          <w:color w:val="auto"/>
          <w:sz w:val="36"/>
          <w:szCs w:val="24"/>
          <w:highlight w:val="none"/>
          <w:lang w:eastAsia="zh-CN"/>
        </w:rPr>
        <w:t>2、开标一览表</w:t>
      </w:r>
      <w:r>
        <w:rPr>
          <w:rFonts w:hint="eastAsia" w:ascii="仿宋" w:hAnsi="仿宋" w:eastAsia="仿宋" w:cs="仿宋"/>
          <w:b/>
          <w:color w:val="auto"/>
          <w:sz w:val="36"/>
          <w:szCs w:val="24"/>
          <w:highlight w:val="none"/>
          <w:lang w:eastAsia="zh-CN"/>
        </w:rPr>
        <w:cr/>
      </w:r>
    </w:p>
    <w:p w14:paraId="323E2664">
      <w:pPr>
        <w:adjustRightInd w:val="0"/>
        <w:snapToGrid w:val="0"/>
        <w:spacing w:line="500" w:lineRule="exact"/>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招标项目名称： </w:t>
      </w:r>
      <w:r>
        <w:rPr>
          <w:rFonts w:hint="eastAsia" w:ascii="仿宋" w:hAnsi="仿宋" w:eastAsia="仿宋" w:cs="仿宋"/>
          <w:color w:val="auto"/>
          <w:szCs w:val="21"/>
          <w:highlight w:val="none"/>
          <w:u w:val="single"/>
          <w:lang w:eastAsia="zh-CN"/>
        </w:rPr>
        <w:t xml:space="preserve">                         </w:t>
      </w:r>
    </w:p>
    <w:p w14:paraId="59E308FE">
      <w:pPr>
        <w:adjustRightInd w:val="0"/>
        <w:snapToGrid w:val="0"/>
        <w:spacing w:line="500" w:lineRule="exact"/>
        <w:rPr>
          <w:rFonts w:ascii="仿宋" w:hAnsi="仿宋" w:eastAsia="仿宋" w:cs="仿宋"/>
          <w:i/>
          <w:iCs/>
          <w:color w:val="auto"/>
          <w:szCs w:val="21"/>
          <w:highlight w:val="none"/>
          <w:lang w:eastAsia="zh-CN"/>
        </w:rPr>
      </w:pPr>
      <w:r>
        <w:rPr>
          <w:rFonts w:hint="eastAsia" w:ascii="仿宋" w:hAnsi="仿宋" w:eastAsia="仿宋" w:cs="仿宋"/>
          <w:color w:val="auto"/>
          <w:szCs w:val="21"/>
          <w:highlight w:val="none"/>
          <w:lang w:eastAsia="zh-CN"/>
        </w:rPr>
        <w:t>招标项目编号：</w:t>
      </w:r>
      <w:r>
        <w:rPr>
          <w:rFonts w:hint="eastAsia" w:ascii="仿宋" w:hAnsi="仿宋" w:eastAsia="仿宋" w:cs="仿宋"/>
          <w:i/>
          <w:iCs/>
          <w:color w:val="auto"/>
          <w:szCs w:val="21"/>
          <w:highlight w:val="none"/>
          <w:lang w:eastAsia="zh-CN"/>
        </w:rPr>
        <w:t xml:space="preserve"> </w:t>
      </w:r>
      <w:r>
        <w:rPr>
          <w:rFonts w:hint="eastAsia" w:ascii="仿宋" w:hAnsi="仿宋" w:eastAsia="仿宋" w:cs="仿宋"/>
          <w:color w:val="auto"/>
          <w:szCs w:val="21"/>
          <w:highlight w:val="none"/>
          <w:u w:val="single"/>
          <w:lang w:eastAsia="zh-CN"/>
        </w:rPr>
        <w:t xml:space="preserve">                         </w:t>
      </w:r>
    </w:p>
    <w:p w14:paraId="7143EA7D">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单位：元（人民币）</w:t>
      </w:r>
    </w:p>
    <w:tbl>
      <w:tblPr>
        <w:tblStyle w:val="24"/>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799"/>
        <w:gridCol w:w="5360"/>
      </w:tblGrid>
      <w:tr w14:paraId="030D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3420" w:type="dxa"/>
            <w:gridSpan w:val="2"/>
            <w:vAlign w:val="center"/>
          </w:tcPr>
          <w:p w14:paraId="5B7CD88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5360" w:type="dxa"/>
            <w:vAlign w:val="center"/>
          </w:tcPr>
          <w:p w14:paraId="590A945E">
            <w:pPr>
              <w:rPr>
                <w:rFonts w:ascii="仿宋" w:hAnsi="仿宋" w:eastAsia="仿宋" w:cs="仿宋"/>
                <w:color w:val="auto"/>
                <w:szCs w:val="21"/>
                <w:highlight w:val="none"/>
              </w:rPr>
            </w:pPr>
          </w:p>
        </w:tc>
      </w:tr>
      <w:tr w14:paraId="5562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3420" w:type="dxa"/>
            <w:gridSpan w:val="2"/>
            <w:vAlign w:val="center"/>
          </w:tcPr>
          <w:p w14:paraId="3ECD04DA">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供货</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期</w:t>
            </w:r>
          </w:p>
        </w:tc>
        <w:tc>
          <w:tcPr>
            <w:tcW w:w="5360" w:type="dxa"/>
            <w:vAlign w:val="center"/>
          </w:tcPr>
          <w:p w14:paraId="7E0033A7">
            <w:pPr>
              <w:jc w:val="center"/>
              <w:rPr>
                <w:rFonts w:ascii="仿宋" w:hAnsi="仿宋" w:eastAsia="仿宋" w:cs="仿宋"/>
                <w:color w:val="auto"/>
                <w:szCs w:val="21"/>
                <w:highlight w:val="none"/>
                <w:lang w:eastAsia="zh-CN"/>
              </w:rPr>
            </w:pPr>
          </w:p>
        </w:tc>
      </w:tr>
      <w:tr w14:paraId="4457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3420" w:type="dxa"/>
            <w:gridSpan w:val="2"/>
            <w:tcBorders>
              <w:top w:val="single" w:color="auto" w:sz="4" w:space="0"/>
            </w:tcBorders>
            <w:vAlign w:val="center"/>
          </w:tcPr>
          <w:p w14:paraId="0B49D92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5360" w:type="dxa"/>
            <w:vAlign w:val="center"/>
          </w:tcPr>
          <w:p w14:paraId="1E31512F">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天</w:t>
            </w:r>
          </w:p>
        </w:tc>
      </w:tr>
      <w:tr w14:paraId="312C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trPr>
        <w:tc>
          <w:tcPr>
            <w:tcW w:w="1621" w:type="dxa"/>
            <w:vMerge w:val="restart"/>
            <w:vAlign w:val="center"/>
          </w:tcPr>
          <w:p w14:paraId="522E272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4F407CF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下浮率%</w:t>
            </w:r>
            <w:r>
              <w:rPr>
                <w:rFonts w:hint="eastAsia" w:ascii="仿宋" w:hAnsi="仿宋" w:eastAsia="仿宋" w:cs="仿宋"/>
                <w:color w:val="auto"/>
                <w:szCs w:val="21"/>
                <w:highlight w:val="none"/>
              </w:rPr>
              <w:t>）</w:t>
            </w:r>
          </w:p>
        </w:tc>
        <w:tc>
          <w:tcPr>
            <w:tcW w:w="1799" w:type="dxa"/>
            <w:tcBorders>
              <w:top w:val="single" w:color="auto" w:sz="4" w:space="0"/>
              <w:bottom w:val="single" w:color="auto" w:sz="4" w:space="0"/>
            </w:tcBorders>
            <w:vAlign w:val="center"/>
          </w:tcPr>
          <w:p w14:paraId="7D0CC363">
            <w:pPr>
              <w:widowControl/>
              <w:jc w:val="left"/>
              <w:rPr>
                <w:rFonts w:hint="default" w:ascii="仿宋" w:hAnsi="仿宋" w:eastAsia="仿宋" w:cs="仿宋"/>
                <w:b w:val="0"/>
                <w:bCs w:val="0"/>
                <w:color w:val="auto"/>
                <w:szCs w:val="21"/>
                <w:highlight w:val="none"/>
                <w:lang w:val="en-US"/>
              </w:rPr>
            </w:pPr>
            <w:r>
              <w:rPr>
                <w:rFonts w:hint="eastAsia" w:ascii="仿宋" w:hAnsi="仿宋" w:eastAsia="仿宋" w:cs="仿宋"/>
                <w:b/>
                <w:bCs/>
                <w:color w:val="auto"/>
                <w:sz w:val="21"/>
                <w:szCs w:val="21"/>
                <w:highlight w:val="none"/>
                <w:lang w:val="en-US" w:eastAsia="zh-CN" w:bidi="ar-SA"/>
              </w:rPr>
              <w:t>牛奶（学生奶）酸奶营养餐</w:t>
            </w:r>
          </w:p>
        </w:tc>
        <w:tc>
          <w:tcPr>
            <w:tcW w:w="5360" w:type="dxa"/>
            <w:vAlign w:val="center"/>
          </w:tcPr>
          <w:p w14:paraId="7003756D">
            <w:pPr>
              <w:jc w:val="center"/>
              <w:rPr>
                <w:rFonts w:ascii="仿宋" w:hAnsi="仿宋" w:eastAsia="仿宋" w:cs="仿宋"/>
                <w:color w:val="auto"/>
                <w:szCs w:val="21"/>
                <w:highlight w:val="none"/>
              </w:rPr>
            </w:pPr>
          </w:p>
        </w:tc>
      </w:tr>
      <w:tr w14:paraId="11D0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56C221DB">
            <w:pPr>
              <w:jc w:val="center"/>
              <w:rPr>
                <w:rFonts w:ascii="仿宋" w:hAnsi="仿宋" w:eastAsia="仿宋" w:cs="仿宋"/>
                <w:color w:val="auto"/>
                <w:szCs w:val="21"/>
                <w:highlight w:val="none"/>
              </w:rPr>
            </w:pPr>
          </w:p>
        </w:tc>
        <w:tc>
          <w:tcPr>
            <w:tcW w:w="1799" w:type="dxa"/>
            <w:tcBorders>
              <w:top w:val="single" w:color="auto" w:sz="4" w:space="0"/>
              <w:bottom w:val="single" w:color="auto" w:sz="4" w:space="0"/>
            </w:tcBorders>
            <w:vAlign w:val="center"/>
          </w:tcPr>
          <w:p w14:paraId="4DF5C24C">
            <w:pPr>
              <w:widowControl/>
              <w:jc w:val="left"/>
              <w:rPr>
                <w:rFonts w:ascii="仿宋" w:hAnsi="仿宋" w:eastAsia="仿宋" w:cs="仿宋"/>
                <w:b w:val="0"/>
                <w:bCs w:val="0"/>
                <w:color w:val="auto"/>
                <w:szCs w:val="21"/>
                <w:highlight w:val="none"/>
                <w:lang w:eastAsia="zh-CN"/>
              </w:rPr>
            </w:pPr>
            <w:r>
              <w:rPr>
                <w:rFonts w:hint="eastAsia" w:ascii="仿宋" w:hAnsi="仿宋" w:eastAsia="仿宋" w:cs="仿宋"/>
                <w:b/>
                <w:bCs/>
                <w:color w:val="auto"/>
                <w:sz w:val="21"/>
                <w:szCs w:val="21"/>
                <w:highlight w:val="none"/>
                <w:lang w:val="en-US" w:eastAsia="zh-CN" w:bidi="ar-SA"/>
              </w:rPr>
              <w:t>新鲜水果</w:t>
            </w:r>
          </w:p>
        </w:tc>
        <w:tc>
          <w:tcPr>
            <w:tcW w:w="5360" w:type="dxa"/>
            <w:vAlign w:val="center"/>
          </w:tcPr>
          <w:p w14:paraId="47B22F41">
            <w:pPr>
              <w:jc w:val="center"/>
              <w:rPr>
                <w:rFonts w:ascii="仿宋" w:hAnsi="仿宋" w:eastAsia="仿宋" w:cs="仿宋"/>
                <w:color w:val="auto"/>
                <w:szCs w:val="21"/>
                <w:highlight w:val="none"/>
              </w:rPr>
            </w:pPr>
          </w:p>
        </w:tc>
      </w:tr>
      <w:tr w14:paraId="0331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4B1A7528">
            <w:pPr>
              <w:jc w:val="center"/>
              <w:rPr>
                <w:rFonts w:ascii="仿宋" w:hAnsi="仿宋" w:eastAsia="仿宋" w:cs="仿宋"/>
                <w:color w:val="auto"/>
                <w:szCs w:val="21"/>
                <w:highlight w:val="none"/>
              </w:rPr>
            </w:pPr>
          </w:p>
        </w:tc>
        <w:tc>
          <w:tcPr>
            <w:tcW w:w="1799" w:type="dxa"/>
            <w:tcBorders>
              <w:top w:val="single" w:color="auto" w:sz="4" w:space="0"/>
              <w:bottom w:val="single" w:color="auto" w:sz="4" w:space="0"/>
            </w:tcBorders>
            <w:vAlign w:val="center"/>
          </w:tcPr>
          <w:p w14:paraId="77245BDD">
            <w:pPr>
              <w:widowControl/>
              <w:jc w:val="left"/>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bCs/>
                <w:color w:val="auto"/>
                <w:sz w:val="21"/>
                <w:szCs w:val="21"/>
                <w:highlight w:val="none"/>
                <w:lang w:val="en-US" w:eastAsia="zh-CN" w:bidi="ar-SA"/>
              </w:rPr>
              <w:t>新鲜蔬菜</w:t>
            </w:r>
          </w:p>
        </w:tc>
        <w:tc>
          <w:tcPr>
            <w:tcW w:w="5360" w:type="dxa"/>
            <w:vAlign w:val="center"/>
          </w:tcPr>
          <w:p w14:paraId="7349959F">
            <w:pPr>
              <w:jc w:val="center"/>
              <w:rPr>
                <w:rFonts w:ascii="仿宋" w:hAnsi="仿宋" w:eastAsia="仿宋" w:cs="仿宋"/>
                <w:color w:val="auto"/>
                <w:szCs w:val="21"/>
                <w:highlight w:val="none"/>
              </w:rPr>
            </w:pPr>
          </w:p>
        </w:tc>
      </w:tr>
      <w:tr w14:paraId="00AD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67865FA0">
            <w:pPr>
              <w:jc w:val="center"/>
              <w:rPr>
                <w:rFonts w:ascii="仿宋" w:hAnsi="仿宋" w:eastAsia="仿宋" w:cs="仿宋"/>
                <w:color w:val="auto"/>
                <w:szCs w:val="21"/>
                <w:highlight w:val="none"/>
              </w:rPr>
            </w:pPr>
          </w:p>
        </w:tc>
        <w:tc>
          <w:tcPr>
            <w:tcW w:w="1799" w:type="dxa"/>
            <w:tcBorders>
              <w:top w:val="single" w:color="auto" w:sz="4" w:space="0"/>
              <w:bottom w:val="single" w:color="auto" w:sz="4" w:space="0"/>
            </w:tcBorders>
            <w:vAlign w:val="center"/>
          </w:tcPr>
          <w:p w14:paraId="7F99395F">
            <w:pPr>
              <w:widowControl/>
              <w:jc w:val="left"/>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bCs/>
                <w:color w:val="auto"/>
                <w:spacing w:val="0"/>
                <w:position w:val="0"/>
                <w:sz w:val="21"/>
                <w:szCs w:val="21"/>
                <w:highlight w:val="none"/>
                <w:shd w:val="clear" w:fill="auto"/>
              </w:rPr>
              <w:t>大米</w:t>
            </w:r>
            <w:r>
              <w:rPr>
                <w:rFonts w:hint="eastAsia" w:ascii="仿宋" w:hAnsi="仿宋" w:eastAsia="仿宋" w:cs="仿宋"/>
                <w:b/>
                <w:bCs/>
                <w:color w:val="auto"/>
                <w:spacing w:val="0"/>
                <w:position w:val="0"/>
                <w:sz w:val="21"/>
                <w:szCs w:val="21"/>
                <w:highlight w:val="none"/>
                <w:shd w:val="clear" w:fill="auto"/>
                <w:lang w:eastAsia="zh-CN"/>
              </w:rPr>
              <w:t>、</w:t>
            </w:r>
            <w:r>
              <w:rPr>
                <w:rFonts w:hint="eastAsia" w:ascii="仿宋" w:hAnsi="仿宋" w:eastAsia="仿宋" w:cs="仿宋"/>
                <w:b/>
                <w:bCs/>
                <w:color w:val="auto"/>
                <w:spacing w:val="0"/>
                <w:position w:val="0"/>
                <w:sz w:val="21"/>
                <w:szCs w:val="21"/>
                <w:highlight w:val="none"/>
                <w:shd w:val="clear" w:fill="auto"/>
              </w:rPr>
              <w:t>面粉</w:t>
            </w:r>
            <w:r>
              <w:rPr>
                <w:rFonts w:hint="eastAsia" w:ascii="仿宋" w:hAnsi="仿宋" w:eastAsia="仿宋" w:cs="仿宋"/>
                <w:b/>
                <w:bCs/>
                <w:color w:val="auto"/>
                <w:spacing w:val="0"/>
                <w:position w:val="0"/>
                <w:sz w:val="21"/>
                <w:szCs w:val="21"/>
                <w:highlight w:val="none"/>
                <w:shd w:val="clear" w:fill="auto"/>
                <w:lang w:eastAsia="zh-CN"/>
              </w:rPr>
              <w:t>、</w:t>
            </w:r>
            <w:r>
              <w:rPr>
                <w:rFonts w:hint="eastAsia" w:ascii="仿宋" w:hAnsi="仿宋" w:eastAsia="仿宋" w:cs="仿宋"/>
                <w:b/>
                <w:bCs/>
                <w:color w:val="auto"/>
                <w:spacing w:val="0"/>
                <w:position w:val="0"/>
                <w:sz w:val="21"/>
                <w:szCs w:val="21"/>
                <w:highlight w:val="none"/>
                <w:shd w:val="clear" w:fill="auto"/>
              </w:rPr>
              <w:t>清油</w:t>
            </w:r>
          </w:p>
        </w:tc>
        <w:tc>
          <w:tcPr>
            <w:tcW w:w="5360" w:type="dxa"/>
            <w:vAlign w:val="center"/>
          </w:tcPr>
          <w:p w14:paraId="78DB2201">
            <w:pPr>
              <w:jc w:val="center"/>
              <w:rPr>
                <w:rFonts w:ascii="仿宋" w:hAnsi="仿宋" w:eastAsia="仿宋" w:cs="仿宋"/>
                <w:color w:val="auto"/>
                <w:szCs w:val="21"/>
                <w:highlight w:val="none"/>
              </w:rPr>
            </w:pPr>
          </w:p>
        </w:tc>
      </w:tr>
      <w:tr w14:paraId="3D72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468B1BF5">
            <w:pPr>
              <w:jc w:val="center"/>
              <w:rPr>
                <w:rFonts w:ascii="仿宋" w:hAnsi="仿宋" w:eastAsia="仿宋" w:cs="仿宋"/>
                <w:color w:val="auto"/>
                <w:szCs w:val="21"/>
                <w:highlight w:val="none"/>
              </w:rPr>
            </w:pPr>
          </w:p>
        </w:tc>
        <w:tc>
          <w:tcPr>
            <w:tcW w:w="1799" w:type="dxa"/>
            <w:tcBorders>
              <w:top w:val="single" w:color="auto" w:sz="4" w:space="0"/>
              <w:bottom w:val="single" w:color="auto" w:sz="4" w:space="0"/>
            </w:tcBorders>
            <w:vAlign w:val="center"/>
          </w:tcPr>
          <w:p w14:paraId="233BD060">
            <w:pPr>
              <w:widowControl/>
              <w:jc w:val="left"/>
              <w:rPr>
                <w:rFonts w:hint="default" w:ascii="仿宋" w:hAnsi="仿宋" w:eastAsia="仿宋" w:cs="仿宋"/>
                <w:b/>
                <w:bCs/>
                <w:color w:val="auto"/>
                <w:spacing w:val="0"/>
                <w:position w:val="0"/>
                <w:sz w:val="21"/>
                <w:szCs w:val="21"/>
                <w:highlight w:val="none"/>
                <w:shd w:val="clear" w:fill="auto"/>
                <w:lang w:val="en-US" w:eastAsia="zh-CN"/>
              </w:rPr>
            </w:pPr>
            <w:r>
              <w:rPr>
                <w:rFonts w:hint="eastAsia" w:ascii="仿宋" w:hAnsi="仿宋" w:eastAsia="仿宋" w:cs="仿宋"/>
                <w:b/>
                <w:bCs/>
                <w:color w:val="auto"/>
                <w:spacing w:val="0"/>
                <w:position w:val="0"/>
                <w:sz w:val="21"/>
                <w:szCs w:val="21"/>
                <w:highlight w:val="none"/>
                <w:shd w:val="clear" w:fill="auto"/>
                <w:lang w:val="en-US" w:eastAsia="zh-CN"/>
              </w:rPr>
              <w:t>海鲜类</w:t>
            </w:r>
          </w:p>
        </w:tc>
        <w:tc>
          <w:tcPr>
            <w:tcW w:w="5360" w:type="dxa"/>
            <w:vAlign w:val="center"/>
          </w:tcPr>
          <w:p w14:paraId="624D1366">
            <w:pPr>
              <w:jc w:val="center"/>
              <w:rPr>
                <w:rFonts w:ascii="仿宋" w:hAnsi="仿宋" w:eastAsia="仿宋" w:cs="仿宋"/>
                <w:color w:val="auto"/>
                <w:szCs w:val="21"/>
                <w:highlight w:val="none"/>
              </w:rPr>
            </w:pPr>
          </w:p>
        </w:tc>
      </w:tr>
      <w:tr w14:paraId="3930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76AC879B">
            <w:pPr>
              <w:jc w:val="center"/>
              <w:rPr>
                <w:rFonts w:ascii="仿宋" w:hAnsi="仿宋" w:eastAsia="仿宋" w:cs="仿宋"/>
                <w:color w:val="auto"/>
                <w:szCs w:val="21"/>
                <w:highlight w:val="none"/>
              </w:rPr>
            </w:pPr>
          </w:p>
        </w:tc>
        <w:tc>
          <w:tcPr>
            <w:tcW w:w="1799" w:type="dxa"/>
            <w:tcBorders>
              <w:top w:val="single" w:color="auto" w:sz="4" w:space="0"/>
              <w:bottom w:val="single" w:color="auto" w:sz="4" w:space="0"/>
            </w:tcBorders>
            <w:vAlign w:val="center"/>
          </w:tcPr>
          <w:p w14:paraId="012566E9">
            <w:pPr>
              <w:widowControl/>
              <w:jc w:val="left"/>
              <w:rPr>
                <w:rFonts w:hint="eastAsia" w:ascii="仿宋" w:hAnsi="仿宋" w:eastAsia="仿宋" w:cs="仿宋"/>
                <w:b w:val="0"/>
                <w:bCs w:val="0"/>
                <w:color w:val="auto"/>
                <w:spacing w:val="0"/>
                <w:position w:val="0"/>
                <w:sz w:val="24"/>
                <w:szCs w:val="24"/>
                <w:highlight w:val="none"/>
                <w:shd w:val="clear" w:fill="auto"/>
              </w:rPr>
            </w:pPr>
            <w:r>
              <w:rPr>
                <w:rFonts w:hint="eastAsia" w:ascii="仿宋" w:hAnsi="仿宋" w:eastAsia="仿宋" w:cs="仿宋"/>
                <w:b/>
                <w:bCs/>
                <w:color w:val="auto"/>
                <w:spacing w:val="0"/>
                <w:position w:val="0"/>
                <w:sz w:val="21"/>
                <w:szCs w:val="21"/>
                <w:highlight w:val="none"/>
                <w:shd w:val="clear" w:fill="auto"/>
                <w:lang w:eastAsia="zh-CN"/>
              </w:rPr>
              <w:t>副食调味</w:t>
            </w:r>
          </w:p>
        </w:tc>
        <w:tc>
          <w:tcPr>
            <w:tcW w:w="5360" w:type="dxa"/>
            <w:vAlign w:val="center"/>
          </w:tcPr>
          <w:p w14:paraId="2541A17E">
            <w:pPr>
              <w:jc w:val="center"/>
              <w:rPr>
                <w:rFonts w:ascii="仿宋" w:hAnsi="仿宋" w:eastAsia="仿宋" w:cs="仿宋"/>
                <w:color w:val="auto"/>
                <w:szCs w:val="21"/>
                <w:highlight w:val="none"/>
              </w:rPr>
            </w:pPr>
          </w:p>
        </w:tc>
      </w:tr>
      <w:tr w14:paraId="7EE5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581A41B7">
            <w:pPr>
              <w:jc w:val="center"/>
              <w:rPr>
                <w:rFonts w:ascii="仿宋" w:hAnsi="仿宋" w:eastAsia="仿宋" w:cs="仿宋"/>
                <w:color w:val="auto"/>
                <w:szCs w:val="21"/>
                <w:highlight w:val="none"/>
              </w:rPr>
            </w:pPr>
          </w:p>
        </w:tc>
        <w:tc>
          <w:tcPr>
            <w:tcW w:w="1799" w:type="dxa"/>
            <w:tcBorders>
              <w:top w:val="single" w:color="auto" w:sz="4" w:space="0"/>
              <w:bottom w:val="single" w:color="auto" w:sz="4" w:space="0"/>
            </w:tcBorders>
            <w:vAlign w:val="center"/>
          </w:tcPr>
          <w:p w14:paraId="6F56EFD7">
            <w:pPr>
              <w:widowControl/>
              <w:jc w:val="left"/>
              <w:rPr>
                <w:rFonts w:hint="eastAsia" w:ascii="仿宋" w:hAnsi="仿宋" w:eastAsia="仿宋" w:cs="仿宋"/>
                <w:b w:val="0"/>
                <w:bCs w:val="0"/>
                <w:color w:val="auto"/>
                <w:spacing w:val="0"/>
                <w:position w:val="0"/>
                <w:sz w:val="24"/>
                <w:szCs w:val="24"/>
                <w:highlight w:val="none"/>
                <w:shd w:val="clear" w:fill="auto"/>
              </w:rPr>
            </w:pPr>
            <w:r>
              <w:rPr>
                <w:rFonts w:hint="eastAsia" w:ascii="仿宋" w:hAnsi="仿宋" w:eastAsia="仿宋" w:cs="仿宋"/>
                <w:b/>
                <w:bCs/>
                <w:color w:val="auto"/>
                <w:spacing w:val="0"/>
                <w:position w:val="0"/>
                <w:sz w:val="21"/>
                <w:szCs w:val="21"/>
                <w:highlight w:val="none"/>
                <w:shd w:val="clear" w:color="auto" w:fill="auto"/>
                <w:lang w:eastAsia="zh-CN"/>
              </w:rPr>
              <w:t>禽蛋</w:t>
            </w:r>
            <w:r>
              <w:rPr>
                <w:rFonts w:hint="eastAsia" w:ascii="仿宋" w:hAnsi="仿宋" w:eastAsia="仿宋" w:cs="仿宋"/>
                <w:b/>
                <w:bCs/>
                <w:color w:val="auto"/>
                <w:spacing w:val="0"/>
                <w:position w:val="0"/>
                <w:sz w:val="21"/>
                <w:szCs w:val="21"/>
                <w:highlight w:val="none"/>
                <w:shd w:val="clear" w:color="auto" w:fill="auto"/>
                <w:lang w:val="en-US" w:eastAsia="zh-CN"/>
              </w:rPr>
              <w:t>鸡</w:t>
            </w:r>
            <w:r>
              <w:rPr>
                <w:rFonts w:hint="eastAsia" w:ascii="仿宋" w:hAnsi="仿宋" w:eastAsia="仿宋" w:cs="仿宋"/>
                <w:b/>
                <w:bCs/>
                <w:color w:val="auto"/>
                <w:spacing w:val="0"/>
                <w:position w:val="0"/>
                <w:sz w:val="21"/>
                <w:szCs w:val="21"/>
                <w:highlight w:val="none"/>
                <w:shd w:val="clear" w:color="auto" w:fill="auto"/>
                <w:lang w:eastAsia="zh-CN"/>
              </w:rPr>
              <w:t>肉类</w:t>
            </w:r>
          </w:p>
        </w:tc>
        <w:tc>
          <w:tcPr>
            <w:tcW w:w="5360" w:type="dxa"/>
            <w:vAlign w:val="center"/>
          </w:tcPr>
          <w:p w14:paraId="1BE1644F">
            <w:pPr>
              <w:jc w:val="center"/>
              <w:rPr>
                <w:rFonts w:ascii="仿宋" w:hAnsi="仿宋" w:eastAsia="仿宋" w:cs="仿宋"/>
                <w:color w:val="auto"/>
                <w:szCs w:val="21"/>
                <w:highlight w:val="none"/>
              </w:rPr>
            </w:pPr>
          </w:p>
        </w:tc>
      </w:tr>
      <w:tr w14:paraId="19F6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Align w:val="center"/>
          </w:tcPr>
          <w:p w14:paraId="5F07585D">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备注</w:t>
            </w:r>
          </w:p>
        </w:tc>
        <w:tc>
          <w:tcPr>
            <w:tcW w:w="7159" w:type="dxa"/>
            <w:gridSpan w:val="2"/>
            <w:tcBorders>
              <w:top w:val="single" w:color="auto" w:sz="4" w:space="0"/>
              <w:bottom w:val="single" w:color="auto" w:sz="4" w:space="0"/>
            </w:tcBorders>
            <w:vAlign w:val="center"/>
          </w:tcPr>
          <w:p w14:paraId="2FD81D01">
            <w:pPr>
              <w:jc w:val="center"/>
              <w:rPr>
                <w:rFonts w:ascii="仿宋" w:hAnsi="仿宋" w:eastAsia="仿宋" w:cs="仿宋"/>
                <w:color w:val="auto"/>
                <w:szCs w:val="21"/>
                <w:highlight w:val="none"/>
              </w:rPr>
            </w:pPr>
          </w:p>
        </w:tc>
      </w:tr>
    </w:tbl>
    <w:p w14:paraId="439FA66D">
      <w:pPr>
        <w:spacing w:line="500" w:lineRule="exact"/>
        <w:ind w:firstLine="470"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填写说明：</w:t>
      </w:r>
    </w:p>
    <w:p w14:paraId="7103D7D1">
      <w:pPr>
        <w:spacing w:line="5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.投标总价为招标范围所列全部招标项目的报价总和，并应与投标报价明细表及分项价格表保持一致。</w:t>
      </w:r>
    </w:p>
    <w:p w14:paraId="3C4CF918">
      <w:pPr>
        <w:spacing w:line="5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.必须在投标文件中装订。</w:t>
      </w:r>
    </w:p>
    <w:p w14:paraId="39A2403D">
      <w:pPr>
        <w:spacing w:line="5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.投标报价不得填报选择性报价。</w:t>
      </w:r>
    </w:p>
    <w:p w14:paraId="7A315039">
      <w:pPr>
        <w:spacing w:line="5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供应商名称：</w:t>
      </w:r>
      <w:r>
        <w:rPr>
          <w:rFonts w:hint="eastAsia" w:ascii="仿宋" w:hAnsi="仿宋" w:eastAsia="仿宋" w:cs="仿宋"/>
          <w:color w:val="auto"/>
          <w:szCs w:val="21"/>
          <w:highlight w:val="none"/>
          <w:u w:val="single"/>
          <w:lang w:eastAsia="zh-CN"/>
        </w:rPr>
        <w:t xml:space="preserve">    （加盖公章）     </w:t>
      </w:r>
      <w:r>
        <w:rPr>
          <w:rFonts w:hint="eastAsia" w:ascii="仿宋" w:hAnsi="仿宋" w:eastAsia="仿宋" w:cs="仿宋"/>
          <w:color w:val="auto"/>
          <w:szCs w:val="21"/>
          <w:highlight w:val="none"/>
          <w:lang w:eastAsia="zh-CN"/>
        </w:rPr>
        <w:t xml:space="preserve">       </w:t>
      </w:r>
    </w:p>
    <w:p w14:paraId="2F58802B">
      <w:pPr>
        <w:spacing w:line="5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法定代表人签字或盖章：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30E4D514">
      <w:pPr>
        <w:spacing w:line="5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授权代表签字或盖章：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1A9AA1D8">
      <w:pPr>
        <w:spacing w:line="500" w:lineRule="exact"/>
        <w:ind w:firstLine="480" w:firstLineChars="200"/>
        <w:rPr>
          <w:rFonts w:ascii="仿宋" w:hAnsi="仿宋" w:eastAsia="仿宋" w:cs="仿宋"/>
          <w:b/>
          <w:color w:val="auto"/>
          <w:sz w:val="36"/>
          <w:szCs w:val="36"/>
          <w:highlight w:val="none"/>
          <w:lang w:eastAsia="zh-CN"/>
        </w:rPr>
      </w:pPr>
      <w:r>
        <w:rPr>
          <w:rFonts w:hint="eastAsia" w:ascii="仿宋" w:hAnsi="仿宋" w:eastAsia="仿宋" w:cs="仿宋"/>
          <w:color w:val="auto"/>
          <w:szCs w:val="21"/>
          <w:highlight w:val="none"/>
          <w:lang w:eastAsia="zh-CN"/>
        </w:rPr>
        <w:t>签署日期：</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年</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月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日</w:t>
      </w:r>
    </w:p>
    <w:p w14:paraId="3783962C">
      <w:pPr>
        <w:spacing w:line="360" w:lineRule="auto"/>
        <w:jc w:val="center"/>
        <w:rPr>
          <w:rFonts w:ascii="仿宋" w:hAnsi="仿宋" w:eastAsia="仿宋" w:cs="仿宋"/>
          <w:b/>
          <w:bCs/>
          <w:color w:val="auto"/>
          <w:sz w:val="32"/>
          <w:szCs w:val="32"/>
          <w:highlight w:val="none"/>
          <w:lang w:eastAsia="zh-CN"/>
        </w:rPr>
      </w:pPr>
      <w:r>
        <w:rPr>
          <w:rFonts w:hint="eastAsia" w:ascii="仿宋" w:hAnsi="仿宋" w:eastAsia="仿宋" w:cs="仿宋"/>
          <w:b/>
          <w:color w:val="auto"/>
          <w:sz w:val="36"/>
          <w:szCs w:val="36"/>
          <w:highlight w:val="none"/>
          <w:lang w:val="en-US" w:eastAsia="zh-CN"/>
        </w:rPr>
        <w:t>4</w:t>
      </w:r>
      <w:r>
        <w:rPr>
          <w:rFonts w:hint="eastAsia" w:ascii="仿宋" w:hAnsi="仿宋" w:eastAsia="仿宋" w:cs="仿宋"/>
          <w:b/>
          <w:color w:val="auto"/>
          <w:sz w:val="36"/>
          <w:szCs w:val="36"/>
          <w:highlight w:val="none"/>
          <w:lang w:eastAsia="zh-CN"/>
        </w:rPr>
        <w:t>、</w:t>
      </w:r>
      <w:r>
        <w:rPr>
          <w:rFonts w:hint="eastAsia" w:ascii="仿宋" w:hAnsi="仿宋" w:eastAsia="仿宋" w:cs="仿宋"/>
          <w:b/>
          <w:bCs/>
          <w:color w:val="auto"/>
          <w:sz w:val="32"/>
          <w:szCs w:val="32"/>
          <w:highlight w:val="none"/>
          <w:lang w:eastAsia="zh-CN"/>
        </w:rPr>
        <w:t>技术条款偏离表</w:t>
      </w:r>
    </w:p>
    <w:tbl>
      <w:tblPr>
        <w:tblStyle w:val="24"/>
        <w:tblW w:w="83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
        <w:gridCol w:w="1617"/>
        <w:gridCol w:w="1326"/>
        <w:gridCol w:w="1326"/>
        <w:gridCol w:w="1327"/>
        <w:gridCol w:w="1848"/>
      </w:tblGrid>
      <w:tr w14:paraId="6D05B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Align w:val="center"/>
          </w:tcPr>
          <w:p w14:paraId="388D1B8B">
            <w:pPr>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617" w:type="dxa"/>
            <w:vAlign w:val="center"/>
          </w:tcPr>
          <w:p w14:paraId="1299C8C2">
            <w:pPr>
              <w:jc w:val="center"/>
              <w:rPr>
                <w:rFonts w:ascii="仿宋" w:hAnsi="仿宋" w:eastAsia="仿宋" w:cs="仿宋"/>
                <w:bCs/>
                <w:color w:val="auto"/>
                <w:highlight w:val="none"/>
              </w:rPr>
            </w:pPr>
            <w:r>
              <w:rPr>
                <w:rFonts w:hint="eastAsia" w:ascii="仿宋" w:hAnsi="仿宋" w:eastAsia="仿宋" w:cs="仿宋"/>
                <w:bCs/>
                <w:color w:val="auto"/>
                <w:highlight w:val="none"/>
              </w:rPr>
              <w:t>货物名称</w:t>
            </w:r>
          </w:p>
        </w:tc>
        <w:tc>
          <w:tcPr>
            <w:tcW w:w="1326" w:type="dxa"/>
            <w:vAlign w:val="center"/>
          </w:tcPr>
          <w:p w14:paraId="2BD55E62">
            <w:pPr>
              <w:jc w:val="center"/>
              <w:rPr>
                <w:rFonts w:ascii="仿宋" w:hAnsi="仿宋" w:eastAsia="仿宋" w:cs="仿宋"/>
                <w:bCs/>
                <w:color w:val="auto"/>
                <w:highlight w:val="none"/>
              </w:rPr>
            </w:pPr>
            <w:r>
              <w:rPr>
                <w:rFonts w:hint="eastAsia" w:ascii="仿宋" w:hAnsi="仿宋" w:eastAsia="仿宋" w:cs="仿宋"/>
                <w:bCs/>
                <w:color w:val="auto"/>
                <w:highlight w:val="none"/>
              </w:rPr>
              <w:t>招标文件要求规格</w:t>
            </w:r>
          </w:p>
        </w:tc>
        <w:tc>
          <w:tcPr>
            <w:tcW w:w="1326" w:type="dxa"/>
            <w:vAlign w:val="center"/>
          </w:tcPr>
          <w:p w14:paraId="297E9AFE">
            <w:pPr>
              <w:jc w:val="center"/>
              <w:rPr>
                <w:rFonts w:ascii="仿宋" w:hAnsi="仿宋" w:eastAsia="仿宋" w:cs="仿宋"/>
                <w:bCs/>
                <w:color w:val="auto"/>
                <w:highlight w:val="none"/>
              </w:rPr>
            </w:pPr>
            <w:r>
              <w:rPr>
                <w:rFonts w:hint="eastAsia" w:ascii="仿宋" w:hAnsi="仿宋" w:eastAsia="仿宋" w:cs="仿宋"/>
                <w:bCs/>
                <w:color w:val="auto"/>
                <w:highlight w:val="none"/>
              </w:rPr>
              <w:t>投标规格</w:t>
            </w:r>
          </w:p>
        </w:tc>
        <w:tc>
          <w:tcPr>
            <w:tcW w:w="1327" w:type="dxa"/>
            <w:vAlign w:val="center"/>
          </w:tcPr>
          <w:p w14:paraId="51D03652">
            <w:pPr>
              <w:jc w:val="center"/>
              <w:rPr>
                <w:rFonts w:ascii="仿宋" w:hAnsi="仿宋" w:eastAsia="仿宋" w:cs="仿宋"/>
                <w:bCs/>
                <w:color w:val="auto"/>
                <w:highlight w:val="none"/>
              </w:rPr>
            </w:pPr>
            <w:r>
              <w:rPr>
                <w:rFonts w:hint="eastAsia" w:ascii="仿宋" w:hAnsi="仿宋" w:eastAsia="仿宋" w:cs="仿宋"/>
                <w:bCs/>
                <w:color w:val="auto"/>
                <w:highlight w:val="none"/>
              </w:rPr>
              <w:t>偏离</w:t>
            </w:r>
          </w:p>
        </w:tc>
        <w:tc>
          <w:tcPr>
            <w:tcW w:w="1848" w:type="dxa"/>
            <w:vAlign w:val="center"/>
          </w:tcPr>
          <w:p w14:paraId="144284A1">
            <w:pPr>
              <w:jc w:val="center"/>
              <w:rPr>
                <w:rFonts w:ascii="仿宋" w:hAnsi="仿宋" w:eastAsia="仿宋" w:cs="仿宋"/>
                <w:bCs/>
                <w:color w:val="auto"/>
                <w:highlight w:val="none"/>
              </w:rPr>
            </w:pPr>
            <w:r>
              <w:rPr>
                <w:rFonts w:hint="eastAsia" w:ascii="仿宋" w:hAnsi="仿宋" w:eastAsia="仿宋" w:cs="仿宋"/>
                <w:bCs/>
                <w:color w:val="auto"/>
                <w:highlight w:val="none"/>
              </w:rPr>
              <w:t>说明</w:t>
            </w:r>
          </w:p>
        </w:tc>
      </w:tr>
      <w:tr w14:paraId="76774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tcPr>
          <w:p w14:paraId="2A27B992">
            <w:pPr>
              <w:jc w:val="center"/>
              <w:rPr>
                <w:rFonts w:ascii="仿宋" w:hAnsi="仿宋" w:eastAsia="仿宋" w:cs="仿宋"/>
                <w:b/>
                <w:bCs/>
                <w:color w:val="auto"/>
                <w:highlight w:val="none"/>
              </w:rPr>
            </w:pPr>
          </w:p>
        </w:tc>
        <w:tc>
          <w:tcPr>
            <w:tcW w:w="1617" w:type="dxa"/>
          </w:tcPr>
          <w:p w14:paraId="38A48B19">
            <w:pPr>
              <w:jc w:val="center"/>
              <w:rPr>
                <w:rFonts w:ascii="仿宋" w:hAnsi="仿宋" w:eastAsia="仿宋" w:cs="仿宋"/>
                <w:b/>
                <w:bCs/>
                <w:color w:val="auto"/>
                <w:highlight w:val="none"/>
              </w:rPr>
            </w:pPr>
          </w:p>
        </w:tc>
        <w:tc>
          <w:tcPr>
            <w:tcW w:w="1326" w:type="dxa"/>
          </w:tcPr>
          <w:p w14:paraId="1BD7FB8A">
            <w:pPr>
              <w:jc w:val="center"/>
              <w:rPr>
                <w:rFonts w:ascii="仿宋" w:hAnsi="仿宋" w:eastAsia="仿宋" w:cs="仿宋"/>
                <w:b/>
                <w:bCs/>
                <w:color w:val="auto"/>
                <w:highlight w:val="none"/>
              </w:rPr>
            </w:pPr>
          </w:p>
        </w:tc>
        <w:tc>
          <w:tcPr>
            <w:tcW w:w="1326" w:type="dxa"/>
          </w:tcPr>
          <w:p w14:paraId="5BD3E43D">
            <w:pPr>
              <w:jc w:val="center"/>
              <w:rPr>
                <w:rFonts w:ascii="仿宋" w:hAnsi="仿宋" w:eastAsia="仿宋" w:cs="仿宋"/>
                <w:b/>
                <w:bCs/>
                <w:color w:val="auto"/>
                <w:highlight w:val="none"/>
              </w:rPr>
            </w:pPr>
          </w:p>
        </w:tc>
        <w:tc>
          <w:tcPr>
            <w:tcW w:w="1327" w:type="dxa"/>
          </w:tcPr>
          <w:p w14:paraId="2B0B70C2">
            <w:pPr>
              <w:jc w:val="center"/>
              <w:rPr>
                <w:rFonts w:ascii="仿宋" w:hAnsi="仿宋" w:eastAsia="仿宋" w:cs="仿宋"/>
                <w:b/>
                <w:bCs/>
                <w:color w:val="auto"/>
                <w:highlight w:val="none"/>
                <w:lang w:eastAsia="zh-CN"/>
              </w:rPr>
            </w:pPr>
            <w:r>
              <w:rPr>
                <w:rFonts w:hint="eastAsia" w:ascii="仿宋" w:hAnsi="仿宋" w:eastAsia="仿宋" w:cs="仿宋"/>
                <w:bCs/>
                <w:color w:val="auto"/>
                <w:highlight w:val="none"/>
                <w:lang w:eastAsia="zh-CN"/>
              </w:rPr>
              <w:t>如有正偏离需提供证明材料，证明材料附后(并注明页码)</w:t>
            </w:r>
          </w:p>
        </w:tc>
        <w:tc>
          <w:tcPr>
            <w:tcW w:w="1848" w:type="dxa"/>
          </w:tcPr>
          <w:p w14:paraId="715CDF31">
            <w:pPr>
              <w:jc w:val="center"/>
              <w:rPr>
                <w:rFonts w:ascii="仿宋" w:hAnsi="仿宋" w:eastAsia="仿宋" w:cs="仿宋"/>
                <w:b/>
                <w:bCs/>
                <w:color w:val="auto"/>
                <w:highlight w:val="none"/>
                <w:lang w:eastAsia="zh-CN"/>
              </w:rPr>
            </w:pPr>
          </w:p>
        </w:tc>
      </w:tr>
      <w:tr w14:paraId="2BA70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tcPr>
          <w:p w14:paraId="00314C21">
            <w:pPr>
              <w:jc w:val="center"/>
              <w:rPr>
                <w:rFonts w:ascii="仿宋" w:hAnsi="仿宋" w:eastAsia="仿宋" w:cs="仿宋"/>
                <w:b/>
                <w:bCs/>
                <w:color w:val="auto"/>
                <w:highlight w:val="none"/>
                <w:lang w:eastAsia="zh-CN"/>
              </w:rPr>
            </w:pPr>
          </w:p>
        </w:tc>
        <w:tc>
          <w:tcPr>
            <w:tcW w:w="1617" w:type="dxa"/>
          </w:tcPr>
          <w:p w14:paraId="6B7EAB18">
            <w:pPr>
              <w:jc w:val="center"/>
              <w:rPr>
                <w:rFonts w:ascii="仿宋" w:hAnsi="仿宋" w:eastAsia="仿宋" w:cs="仿宋"/>
                <w:b/>
                <w:bCs/>
                <w:color w:val="auto"/>
                <w:highlight w:val="none"/>
                <w:lang w:eastAsia="zh-CN"/>
              </w:rPr>
            </w:pPr>
          </w:p>
        </w:tc>
        <w:tc>
          <w:tcPr>
            <w:tcW w:w="1326" w:type="dxa"/>
          </w:tcPr>
          <w:p w14:paraId="018972C3">
            <w:pPr>
              <w:jc w:val="center"/>
              <w:rPr>
                <w:rFonts w:ascii="仿宋" w:hAnsi="仿宋" w:eastAsia="仿宋" w:cs="仿宋"/>
                <w:b/>
                <w:bCs/>
                <w:color w:val="auto"/>
                <w:highlight w:val="none"/>
                <w:lang w:eastAsia="zh-CN"/>
              </w:rPr>
            </w:pPr>
          </w:p>
        </w:tc>
        <w:tc>
          <w:tcPr>
            <w:tcW w:w="1326" w:type="dxa"/>
          </w:tcPr>
          <w:p w14:paraId="244821C4">
            <w:pPr>
              <w:jc w:val="center"/>
              <w:rPr>
                <w:rFonts w:ascii="仿宋" w:hAnsi="仿宋" w:eastAsia="仿宋" w:cs="仿宋"/>
                <w:b/>
                <w:bCs/>
                <w:color w:val="auto"/>
                <w:highlight w:val="none"/>
                <w:lang w:eastAsia="zh-CN"/>
              </w:rPr>
            </w:pPr>
          </w:p>
        </w:tc>
        <w:tc>
          <w:tcPr>
            <w:tcW w:w="1327" w:type="dxa"/>
          </w:tcPr>
          <w:p w14:paraId="03477DBF">
            <w:pPr>
              <w:jc w:val="center"/>
              <w:rPr>
                <w:rFonts w:ascii="仿宋" w:hAnsi="仿宋" w:eastAsia="仿宋" w:cs="仿宋"/>
                <w:b/>
                <w:bCs/>
                <w:color w:val="auto"/>
                <w:highlight w:val="none"/>
                <w:lang w:eastAsia="zh-CN"/>
              </w:rPr>
            </w:pPr>
          </w:p>
        </w:tc>
        <w:tc>
          <w:tcPr>
            <w:tcW w:w="1848" w:type="dxa"/>
          </w:tcPr>
          <w:p w14:paraId="1C25FFED">
            <w:pPr>
              <w:jc w:val="center"/>
              <w:rPr>
                <w:rFonts w:ascii="仿宋" w:hAnsi="仿宋" w:eastAsia="仿宋" w:cs="仿宋"/>
                <w:b/>
                <w:bCs/>
                <w:color w:val="auto"/>
                <w:highlight w:val="none"/>
                <w:lang w:eastAsia="zh-CN"/>
              </w:rPr>
            </w:pPr>
          </w:p>
        </w:tc>
      </w:tr>
      <w:tr w14:paraId="48938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tcPr>
          <w:p w14:paraId="1568FA89">
            <w:pPr>
              <w:jc w:val="center"/>
              <w:rPr>
                <w:rFonts w:ascii="仿宋" w:hAnsi="仿宋" w:eastAsia="仿宋" w:cs="仿宋"/>
                <w:b/>
                <w:bCs/>
                <w:color w:val="auto"/>
                <w:highlight w:val="none"/>
                <w:lang w:eastAsia="zh-CN"/>
              </w:rPr>
            </w:pPr>
          </w:p>
        </w:tc>
        <w:tc>
          <w:tcPr>
            <w:tcW w:w="1617" w:type="dxa"/>
          </w:tcPr>
          <w:p w14:paraId="1F9E436A">
            <w:pPr>
              <w:jc w:val="center"/>
              <w:rPr>
                <w:rFonts w:ascii="仿宋" w:hAnsi="仿宋" w:eastAsia="仿宋" w:cs="仿宋"/>
                <w:b/>
                <w:bCs/>
                <w:color w:val="auto"/>
                <w:highlight w:val="none"/>
                <w:lang w:eastAsia="zh-CN"/>
              </w:rPr>
            </w:pPr>
          </w:p>
        </w:tc>
        <w:tc>
          <w:tcPr>
            <w:tcW w:w="1326" w:type="dxa"/>
          </w:tcPr>
          <w:p w14:paraId="45249F1B">
            <w:pPr>
              <w:jc w:val="center"/>
              <w:rPr>
                <w:rFonts w:ascii="仿宋" w:hAnsi="仿宋" w:eastAsia="仿宋" w:cs="仿宋"/>
                <w:b/>
                <w:bCs/>
                <w:color w:val="auto"/>
                <w:highlight w:val="none"/>
                <w:lang w:eastAsia="zh-CN"/>
              </w:rPr>
            </w:pPr>
          </w:p>
        </w:tc>
        <w:tc>
          <w:tcPr>
            <w:tcW w:w="1326" w:type="dxa"/>
          </w:tcPr>
          <w:p w14:paraId="1A3C9E91">
            <w:pPr>
              <w:jc w:val="center"/>
              <w:rPr>
                <w:rFonts w:ascii="仿宋" w:hAnsi="仿宋" w:eastAsia="仿宋" w:cs="仿宋"/>
                <w:b/>
                <w:bCs/>
                <w:color w:val="auto"/>
                <w:highlight w:val="none"/>
                <w:lang w:eastAsia="zh-CN"/>
              </w:rPr>
            </w:pPr>
          </w:p>
        </w:tc>
        <w:tc>
          <w:tcPr>
            <w:tcW w:w="1327" w:type="dxa"/>
          </w:tcPr>
          <w:p w14:paraId="4CE2296A">
            <w:pPr>
              <w:jc w:val="center"/>
              <w:rPr>
                <w:rFonts w:ascii="仿宋" w:hAnsi="仿宋" w:eastAsia="仿宋" w:cs="仿宋"/>
                <w:b/>
                <w:bCs/>
                <w:color w:val="auto"/>
                <w:highlight w:val="none"/>
                <w:lang w:eastAsia="zh-CN"/>
              </w:rPr>
            </w:pPr>
          </w:p>
        </w:tc>
        <w:tc>
          <w:tcPr>
            <w:tcW w:w="1848" w:type="dxa"/>
          </w:tcPr>
          <w:p w14:paraId="3E3C72CB">
            <w:pPr>
              <w:jc w:val="center"/>
              <w:rPr>
                <w:rFonts w:ascii="仿宋" w:hAnsi="仿宋" w:eastAsia="仿宋" w:cs="仿宋"/>
                <w:b/>
                <w:bCs/>
                <w:color w:val="auto"/>
                <w:highlight w:val="none"/>
                <w:lang w:eastAsia="zh-CN"/>
              </w:rPr>
            </w:pPr>
          </w:p>
        </w:tc>
      </w:tr>
      <w:tr w14:paraId="3C3D7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tcPr>
          <w:p w14:paraId="0E62BBAB">
            <w:pPr>
              <w:jc w:val="center"/>
              <w:rPr>
                <w:rFonts w:ascii="仿宋" w:hAnsi="仿宋" w:eastAsia="仿宋" w:cs="仿宋"/>
                <w:b/>
                <w:bCs/>
                <w:color w:val="auto"/>
                <w:highlight w:val="none"/>
                <w:lang w:eastAsia="zh-CN"/>
              </w:rPr>
            </w:pPr>
          </w:p>
        </w:tc>
        <w:tc>
          <w:tcPr>
            <w:tcW w:w="1617" w:type="dxa"/>
          </w:tcPr>
          <w:p w14:paraId="4D4B3914">
            <w:pPr>
              <w:jc w:val="center"/>
              <w:rPr>
                <w:rFonts w:ascii="仿宋" w:hAnsi="仿宋" w:eastAsia="仿宋" w:cs="仿宋"/>
                <w:b/>
                <w:bCs/>
                <w:color w:val="auto"/>
                <w:highlight w:val="none"/>
                <w:lang w:eastAsia="zh-CN"/>
              </w:rPr>
            </w:pPr>
          </w:p>
        </w:tc>
        <w:tc>
          <w:tcPr>
            <w:tcW w:w="1326" w:type="dxa"/>
          </w:tcPr>
          <w:p w14:paraId="7E627039">
            <w:pPr>
              <w:jc w:val="center"/>
              <w:rPr>
                <w:rFonts w:ascii="仿宋" w:hAnsi="仿宋" w:eastAsia="仿宋" w:cs="仿宋"/>
                <w:b/>
                <w:bCs/>
                <w:color w:val="auto"/>
                <w:highlight w:val="none"/>
                <w:lang w:eastAsia="zh-CN"/>
              </w:rPr>
            </w:pPr>
          </w:p>
        </w:tc>
        <w:tc>
          <w:tcPr>
            <w:tcW w:w="1326" w:type="dxa"/>
          </w:tcPr>
          <w:p w14:paraId="6DFE9578">
            <w:pPr>
              <w:jc w:val="center"/>
              <w:rPr>
                <w:rFonts w:ascii="仿宋" w:hAnsi="仿宋" w:eastAsia="仿宋" w:cs="仿宋"/>
                <w:b/>
                <w:bCs/>
                <w:color w:val="auto"/>
                <w:highlight w:val="none"/>
                <w:lang w:eastAsia="zh-CN"/>
              </w:rPr>
            </w:pPr>
          </w:p>
        </w:tc>
        <w:tc>
          <w:tcPr>
            <w:tcW w:w="1327" w:type="dxa"/>
          </w:tcPr>
          <w:p w14:paraId="304836BF">
            <w:pPr>
              <w:jc w:val="center"/>
              <w:rPr>
                <w:rFonts w:ascii="仿宋" w:hAnsi="仿宋" w:eastAsia="仿宋" w:cs="仿宋"/>
                <w:b/>
                <w:bCs/>
                <w:color w:val="auto"/>
                <w:highlight w:val="none"/>
                <w:lang w:eastAsia="zh-CN"/>
              </w:rPr>
            </w:pPr>
          </w:p>
        </w:tc>
        <w:tc>
          <w:tcPr>
            <w:tcW w:w="1848" w:type="dxa"/>
          </w:tcPr>
          <w:p w14:paraId="52FF5526">
            <w:pPr>
              <w:jc w:val="center"/>
              <w:rPr>
                <w:rFonts w:ascii="仿宋" w:hAnsi="仿宋" w:eastAsia="仿宋" w:cs="仿宋"/>
                <w:b/>
                <w:bCs/>
                <w:color w:val="auto"/>
                <w:highlight w:val="none"/>
                <w:lang w:eastAsia="zh-CN"/>
              </w:rPr>
            </w:pPr>
          </w:p>
        </w:tc>
      </w:tr>
      <w:tr w14:paraId="0C2C9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tcPr>
          <w:p w14:paraId="1CCECA4E">
            <w:pPr>
              <w:jc w:val="center"/>
              <w:rPr>
                <w:rFonts w:ascii="仿宋" w:hAnsi="仿宋" w:eastAsia="仿宋" w:cs="仿宋"/>
                <w:b/>
                <w:bCs/>
                <w:color w:val="auto"/>
                <w:highlight w:val="none"/>
                <w:lang w:eastAsia="zh-CN"/>
              </w:rPr>
            </w:pPr>
          </w:p>
        </w:tc>
        <w:tc>
          <w:tcPr>
            <w:tcW w:w="1617" w:type="dxa"/>
          </w:tcPr>
          <w:p w14:paraId="5C72AF95">
            <w:pPr>
              <w:jc w:val="center"/>
              <w:rPr>
                <w:rFonts w:ascii="仿宋" w:hAnsi="仿宋" w:eastAsia="仿宋" w:cs="仿宋"/>
                <w:b/>
                <w:bCs/>
                <w:color w:val="auto"/>
                <w:highlight w:val="none"/>
                <w:lang w:eastAsia="zh-CN"/>
              </w:rPr>
            </w:pPr>
          </w:p>
        </w:tc>
        <w:tc>
          <w:tcPr>
            <w:tcW w:w="1326" w:type="dxa"/>
          </w:tcPr>
          <w:p w14:paraId="64E1F480">
            <w:pPr>
              <w:jc w:val="center"/>
              <w:rPr>
                <w:rFonts w:ascii="仿宋" w:hAnsi="仿宋" w:eastAsia="仿宋" w:cs="仿宋"/>
                <w:b/>
                <w:bCs/>
                <w:color w:val="auto"/>
                <w:highlight w:val="none"/>
                <w:lang w:eastAsia="zh-CN"/>
              </w:rPr>
            </w:pPr>
          </w:p>
        </w:tc>
        <w:tc>
          <w:tcPr>
            <w:tcW w:w="1326" w:type="dxa"/>
          </w:tcPr>
          <w:p w14:paraId="7AB7F854">
            <w:pPr>
              <w:jc w:val="center"/>
              <w:rPr>
                <w:rFonts w:ascii="仿宋" w:hAnsi="仿宋" w:eastAsia="仿宋" w:cs="仿宋"/>
                <w:b/>
                <w:bCs/>
                <w:color w:val="auto"/>
                <w:highlight w:val="none"/>
                <w:lang w:eastAsia="zh-CN"/>
              </w:rPr>
            </w:pPr>
          </w:p>
        </w:tc>
        <w:tc>
          <w:tcPr>
            <w:tcW w:w="1327" w:type="dxa"/>
          </w:tcPr>
          <w:p w14:paraId="2DA7B479">
            <w:pPr>
              <w:jc w:val="center"/>
              <w:rPr>
                <w:rFonts w:ascii="仿宋" w:hAnsi="仿宋" w:eastAsia="仿宋" w:cs="仿宋"/>
                <w:b/>
                <w:bCs/>
                <w:color w:val="auto"/>
                <w:highlight w:val="none"/>
                <w:lang w:eastAsia="zh-CN"/>
              </w:rPr>
            </w:pPr>
          </w:p>
        </w:tc>
        <w:tc>
          <w:tcPr>
            <w:tcW w:w="1848" w:type="dxa"/>
          </w:tcPr>
          <w:p w14:paraId="124CE6FA">
            <w:pPr>
              <w:jc w:val="center"/>
              <w:rPr>
                <w:rFonts w:ascii="仿宋" w:hAnsi="仿宋" w:eastAsia="仿宋" w:cs="仿宋"/>
                <w:b/>
                <w:bCs/>
                <w:color w:val="auto"/>
                <w:highlight w:val="none"/>
                <w:lang w:eastAsia="zh-CN"/>
              </w:rPr>
            </w:pPr>
          </w:p>
        </w:tc>
      </w:tr>
    </w:tbl>
    <w:p w14:paraId="231A8835">
      <w:pPr>
        <w:spacing w:line="360" w:lineRule="auto"/>
        <w:ind w:firstLine="475" w:firstLineChars="198"/>
        <w:rPr>
          <w:rFonts w:ascii="仿宋" w:hAnsi="仿宋" w:eastAsia="仿宋" w:cs="仿宋"/>
          <w:color w:val="auto"/>
          <w:highlight w:val="none"/>
          <w:lang w:eastAsia="zh-CN"/>
        </w:rPr>
      </w:pPr>
      <w:r>
        <w:rPr>
          <w:rFonts w:hint="eastAsia" w:ascii="仿宋" w:hAnsi="仿宋" w:eastAsia="仿宋" w:cs="仿宋"/>
          <w:color w:val="auto"/>
          <w:highlight w:val="none"/>
          <w:lang w:eastAsia="zh-CN"/>
        </w:rPr>
        <w:t>备注：供应商应根据其提供的货物，对照招标文件第四章“技术标准和要求”中的要求，有差异的，则在此表中列明实际响应的内容提要并加以说明，以便查对。本表包括所有的技术响应及差异。无差异说明表示完全响应。</w:t>
      </w:r>
    </w:p>
    <w:p w14:paraId="42D6D128">
      <w:pPr>
        <w:pStyle w:val="11"/>
        <w:tabs>
          <w:tab w:val="left" w:pos="5580"/>
        </w:tabs>
        <w:spacing w:line="360" w:lineRule="auto"/>
        <w:ind w:firstLine="3120" w:firstLineChars="1300"/>
        <w:rPr>
          <w:rFonts w:ascii="仿宋" w:hAnsi="仿宋" w:eastAsia="仿宋" w:cs="仿宋"/>
          <w:color w:val="auto"/>
          <w:highlight w:val="none"/>
          <w:lang w:eastAsia="zh-CN"/>
        </w:rPr>
      </w:pPr>
    </w:p>
    <w:p w14:paraId="100ACE65">
      <w:pPr>
        <w:pStyle w:val="11"/>
        <w:tabs>
          <w:tab w:val="left" w:pos="5580"/>
        </w:tabs>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供应商（盖章）：</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749F4E7C">
      <w:pPr>
        <w:pStyle w:val="11"/>
        <w:tabs>
          <w:tab w:val="left" w:pos="5580"/>
        </w:tabs>
        <w:spacing w:line="360" w:lineRule="auto"/>
        <w:ind w:firstLine="3120" w:firstLineChars="1300"/>
        <w:rPr>
          <w:rFonts w:ascii="仿宋" w:hAnsi="仿宋" w:eastAsia="仿宋" w:cs="仿宋"/>
          <w:color w:val="auto"/>
          <w:szCs w:val="24"/>
          <w:highlight w:val="none"/>
          <w:u w:val="single"/>
          <w:lang w:eastAsia="zh-CN"/>
        </w:rPr>
      </w:pPr>
      <w:r>
        <w:rPr>
          <w:rFonts w:hint="eastAsia" w:ascii="仿宋" w:hAnsi="仿宋" w:eastAsia="仿宋" w:cs="仿宋"/>
          <w:color w:val="auto"/>
          <w:highlight w:val="none"/>
          <w:lang w:eastAsia="zh-CN"/>
        </w:rPr>
        <w:t>法定代表人或</w:t>
      </w:r>
      <w:r>
        <w:rPr>
          <w:rFonts w:hint="eastAsia" w:ascii="仿宋" w:hAnsi="仿宋" w:eastAsia="仿宋" w:cs="仿宋"/>
          <w:color w:val="auto"/>
          <w:szCs w:val="24"/>
          <w:highlight w:val="none"/>
          <w:lang w:eastAsia="zh-CN"/>
        </w:rPr>
        <w:t>委托代理人</w:t>
      </w:r>
      <w:r>
        <w:rPr>
          <w:rFonts w:hint="eastAsia" w:ascii="仿宋" w:hAnsi="仿宋" w:eastAsia="仿宋" w:cs="仿宋"/>
          <w:color w:val="auto"/>
          <w:highlight w:val="none"/>
          <w:lang w:eastAsia="zh-CN"/>
        </w:rPr>
        <w:t>（签章）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 xml:space="preserve">             </w:t>
      </w:r>
    </w:p>
    <w:p w14:paraId="61B24A2D">
      <w:pPr>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日期：       年   月   日</w:t>
      </w:r>
    </w:p>
    <w:p w14:paraId="7DE3A1AA">
      <w:pPr>
        <w:pStyle w:val="5"/>
        <w:rPr>
          <w:rFonts w:ascii="仿宋" w:hAnsi="仿宋" w:eastAsia="仿宋" w:cs="仿宋"/>
          <w:color w:val="auto"/>
          <w:sz w:val="36"/>
          <w:szCs w:val="36"/>
          <w:highlight w:val="none"/>
          <w:lang w:eastAsia="zh-CN"/>
        </w:rPr>
      </w:pPr>
    </w:p>
    <w:p w14:paraId="1BC0AF2A">
      <w:pPr>
        <w:rPr>
          <w:rFonts w:ascii="仿宋" w:hAnsi="仿宋" w:eastAsia="仿宋" w:cs="仿宋"/>
          <w:color w:val="auto"/>
          <w:highlight w:val="none"/>
          <w:lang w:eastAsia="zh-CN"/>
        </w:rPr>
      </w:pPr>
    </w:p>
    <w:p w14:paraId="01088B35">
      <w:pPr>
        <w:pStyle w:val="37"/>
        <w:spacing w:after="0"/>
        <w:ind w:firstLine="420"/>
        <w:jc w:val="center"/>
        <w:rPr>
          <w:rFonts w:ascii="仿宋" w:hAnsi="仿宋" w:eastAsia="仿宋" w:cs="仿宋"/>
          <w:color w:val="auto"/>
          <w:sz w:val="36"/>
          <w:szCs w:val="36"/>
          <w:highlight w:val="none"/>
          <w:lang w:eastAsia="zh-CN"/>
        </w:rPr>
      </w:pPr>
    </w:p>
    <w:p w14:paraId="52D66F7B">
      <w:pPr>
        <w:pStyle w:val="37"/>
        <w:spacing w:after="0"/>
        <w:ind w:firstLine="420"/>
        <w:jc w:val="center"/>
        <w:rPr>
          <w:rFonts w:ascii="仿宋" w:hAnsi="仿宋" w:eastAsia="仿宋" w:cs="仿宋"/>
          <w:color w:val="auto"/>
          <w:sz w:val="36"/>
          <w:szCs w:val="36"/>
          <w:highlight w:val="none"/>
          <w:lang w:eastAsia="zh-CN"/>
        </w:rPr>
      </w:pPr>
    </w:p>
    <w:p w14:paraId="555A706C">
      <w:pPr>
        <w:pStyle w:val="37"/>
        <w:spacing w:after="0"/>
        <w:ind w:firstLine="420"/>
        <w:jc w:val="center"/>
        <w:rPr>
          <w:rFonts w:ascii="仿宋" w:hAnsi="仿宋" w:eastAsia="仿宋" w:cs="仿宋"/>
          <w:color w:val="auto"/>
          <w:sz w:val="36"/>
          <w:szCs w:val="36"/>
          <w:highlight w:val="none"/>
          <w:lang w:eastAsia="zh-CN"/>
        </w:rPr>
      </w:pPr>
    </w:p>
    <w:p w14:paraId="516AAB5E">
      <w:pPr>
        <w:pStyle w:val="37"/>
        <w:spacing w:after="0"/>
        <w:ind w:firstLine="420"/>
        <w:jc w:val="center"/>
        <w:rPr>
          <w:rFonts w:ascii="仿宋" w:hAnsi="仿宋" w:eastAsia="仿宋" w:cs="仿宋"/>
          <w:color w:val="auto"/>
          <w:sz w:val="36"/>
          <w:szCs w:val="36"/>
          <w:highlight w:val="none"/>
          <w:lang w:eastAsia="zh-CN"/>
        </w:rPr>
      </w:pPr>
    </w:p>
    <w:p w14:paraId="27270F6F">
      <w:pPr>
        <w:pStyle w:val="37"/>
        <w:spacing w:after="0"/>
        <w:ind w:firstLine="420"/>
        <w:jc w:val="center"/>
        <w:rPr>
          <w:rFonts w:ascii="仿宋" w:hAnsi="仿宋" w:eastAsia="仿宋" w:cs="仿宋"/>
          <w:color w:val="auto"/>
          <w:sz w:val="36"/>
          <w:szCs w:val="36"/>
          <w:highlight w:val="none"/>
          <w:lang w:eastAsia="zh-CN"/>
        </w:rPr>
      </w:pPr>
    </w:p>
    <w:p w14:paraId="0003F769">
      <w:pPr>
        <w:pStyle w:val="37"/>
        <w:spacing w:after="0"/>
        <w:ind w:firstLine="420"/>
        <w:jc w:val="center"/>
        <w:rPr>
          <w:rFonts w:ascii="仿宋" w:hAnsi="仿宋" w:eastAsia="仿宋" w:cs="仿宋"/>
          <w:color w:val="auto"/>
          <w:sz w:val="36"/>
          <w:szCs w:val="36"/>
          <w:highlight w:val="none"/>
          <w:lang w:eastAsia="zh-CN"/>
        </w:rPr>
      </w:pPr>
    </w:p>
    <w:p w14:paraId="1253A7F0">
      <w:pPr>
        <w:pStyle w:val="37"/>
        <w:spacing w:after="0"/>
        <w:ind w:firstLine="420"/>
        <w:jc w:val="center"/>
        <w:rPr>
          <w:rFonts w:ascii="仿宋" w:hAnsi="仿宋" w:eastAsia="仿宋" w:cs="仿宋"/>
          <w:color w:val="auto"/>
          <w:sz w:val="36"/>
          <w:szCs w:val="36"/>
          <w:highlight w:val="none"/>
          <w:lang w:eastAsia="zh-CN"/>
        </w:rPr>
      </w:pPr>
    </w:p>
    <w:p w14:paraId="0F4C99D5">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en-US" w:eastAsia="zh-CN"/>
        </w:rPr>
        <w:t>5</w:t>
      </w:r>
      <w:r>
        <w:rPr>
          <w:rFonts w:hint="eastAsia" w:ascii="仿宋" w:hAnsi="仿宋" w:eastAsia="仿宋" w:cs="仿宋"/>
          <w:b/>
          <w:bCs/>
          <w:color w:val="auto"/>
          <w:sz w:val="30"/>
          <w:szCs w:val="30"/>
          <w:highlight w:val="none"/>
          <w:lang w:eastAsia="zh-CN"/>
        </w:rPr>
        <w:t>、商务条款偏离表</w:t>
      </w:r>
    </w:p>
    <w:tbl>
      <w:tblPr>
        <w:tblStyle w:val="24"/>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5C66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A3EFF4E">
            <w:pPr>
              <w:rPr>
                <w:rFonts w:ascii="仿宋" w:hAnsi="仿宋" w:eastAsia="仿宋" w:cs="仿宋"/>
                <w:color w:val="auto"/>
                <w:spacing w:val="-1"/>
                <w:highlight w:val="none"/>
              </w:rPr>
            </w:pPr>
            <w:r>
              <w:rPr>
                <w:rFonts w:hint="eastAsia" w:ascii="仿宋" w:hAnsi="仿宋" w:eastAsia="仿宋" w:cs="仿宋"/>
                <w:color w:val="auto"/>
                <w:spacing w:val="-1"/>
                <w:highlight w:val="none"/>
              </w:rPr>
              <w:t>序号</w:t>
            </w:r>
          </w:p>
        </w:tc>
        <w:tc>
          <w:tcPr>
            <w:tcW w:w="2154" w:type="dxa"/>
          </w:tcPr>
          <w:p w14:paraId="5F80F048">
            <w:pPr>
              <w:pStyle w:val="11"/>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招标文件条款号</w:t>
            </w:r>
          </w:p>
        </w:tc>
        <w:tc>
          <w:tcPr>
            <w:tcW w:w="2477" w:type="dxa"/>
          </w:tcPr>
          <w:p w14:paraId="2568F2D1">
            <w:pPr>
              <w:pStyle w:val="11"/>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招标文件的商务条款</w:t>
            </w:r>
          </w:p>
        </w:tc>
        <w:tc>
          <w:tcPr>
            <w:tcW w:w="2454" w:type="dxa"/>
          </w:tcPr>
          <w:p w14:paraId="5B30A8A1">
            <w:pPr>
              <w:pStyle w:val="11"/>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投标文件的商务条款</w:t>
            </w:r>
          </w:p>
        </w:tc>
        <w:tc>
          <w:tcPr>
            <w:tcW w:w="1130" w:type="dxa"/>
          </w:tcPr>
          <w:p w14:paraId="30500B82">
            <w:pPr>
              <w:pStyle w:val="11"/>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说明</w:t>
            </w:r>
          </w:p>
        </w:tc>
      </w:tr>
      <w:tr w14:paraId="030C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580C160">
            <w:pPr>
              <w:rPr>
                <w:rFonts w:ascii="仿宋" w:hAnsi="仿宋" w:eastAsia="仿宋" w:cs="仿宋"/>
                <w:color w:val="auto"/>
                <w:spacing w:val="-1"/>
                <w:highlight w:val="none"/>
              </w:rPr>
            </w:pPr>
            <w:r>
              <w:rPr>
                <w:rFonts w:hint="eastAsia" w:ascii="仿宋" w:hAnsi="仿宋" w:eastAsia="仿宋" w:cs="仿宋"/>
                <w:color w:val="auto"/>
                <w:spacing w:val="-1"/>
                <w:highlight w:val="none"/>
              </w:rPr>
              <w:t>1</w:t>
            </w:r>
          </w:p>
        </w:tc>
        <w:tc>
          <w:tcPr>
            <w:tcW w:w="2154" w:type="dxa"/>
            <w:vAlign w:val="center"/>
          </w:tcPr>
          <w:p w14:paraId="5F4D178B">
            <w:pPr>
              <w:rPr>
                <w:rFonts w:ascii="仿宋" w:hAnsi="仿宋" w:eastAsia="仿宋" w:cs="仿宋"/>
                <w:color w:val="auto"/>
                <w:spacing w:val="-1"/>
                <w:highlight w:val="none"/>
              </w:rPr>
            </w:pPr>
          </w:p>
        </w:tc>
        <w:tc>
          <w:tcPr>
            <w:tcW w:w="2477" w:type="dxa"/>
            <w:vAlign w:val="center"/>
          </w:tcPr>
          <w:p w14:paraId="60600A0A">
            <w:pPr>
              <w:rPr>
                <w:rFonts w:ascii="仿宋" w:hAnsi="仿宋" w:eastAsia="仿宋" w:cs="仿宋"/>
                <w:color w:val="auto"/>
                <w:spacing w:val="-1"/>
                <w:highlight w:val="none"/>
              </w:rPr>
            </w:pPr>
          </w:p>
        </w:tc>
        <w:tc>
          <w:tcPr>
            <w:tcW w:w="2454" w:type="dxa"/>
            <w:vAlign w:val="center"/>
          </w:tcPr>
          <w:p w14:paraId="3F199304">
            <w:pPr>
              <w:rPr>
                <w:rFonts w:ascii="仿宋" w:hAnsi="仿宋" w:eastAsia="仿宋" w:cs="仿宋"/>
                <w:color w:val="auto"/>
                <w:spacing w:val="-1"/>
                <w:highlight w:val="none"/>
              </w:rPr>
            </w:pPr>
          </w:p>
        </w:tc>
        <w:tc>
          <w:tcPr>
            <w:tcW w:w="1130" w:type="dxa"/>
            <w:vAlign w:val="center"/>
          </w:tcPr>
          <w:p w14:paraId="3BBF84A5">
            <w:pPr>
              <w:rPr>
                <w:rFonts w:ascii="仿宋" w:hAnsi="仿宋" w:eastAsia="仿宋" w:cs="仿宋"/>
                <w:color w:val="auto"/>
                <w:spacing w:val="-1"/>
                <w:highlight w:val="none"/>
              </w:rPr>
            </w:pPr>
          </w:p>
        </w:tc>
      </w:tr>
      <w:tr w14:paraId="2178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25FF28B">
            <w:pPr>
              <w:rPr>
                <w:rFonts w:ascii="仿宋" w:hAnsi="仿宋" w:eastAsia="仿宋" w:cs="仿宋"/>
                <w:color w:val="auto"/>
                <w:spacing w:val="-1"/>
                <w:highlight w:val="none"/>
              </w:rPr>
            </w:pPr>
            <w:r>
              <w:rPr>
                <w:rFonts w:hint="eastAsia" w:ascii="仿宋" w:hAnsi="仿宋" w:eastAsia="仿宋" w:cs="仿宋"/>
                <w:color w:val="auto"/>
                <w:spacing w:val="-1"/>
                <w:highlight w:val="none"/>
              </w:rPr>
              <w:t>2</w:t>
            </w:r>
          </w:p>
        </w:tc>
        <w:tc>
          <w:tcPr>
            <w:tcW w:w="2154" w:type="dxa"/>
            <w:vAlign w:val="center"/>
          </w:tcPr>
          <w:p w14:paraId="26567E97">
            <w:pPr>
              <w:rPr>
                <w:rFonts w:ascii="仿宋" w:hAnsi="仿宋" w:eastAsia="仿宋" w:cs="仿宋"/>
                <w:color w:val="auto"/>
                <w:spacing w:val="-1"/>
                <w:highlight w:val="none"/>
              </w:rPr>
            </w:pPr>
          </w:p>
        </w:tc>
        <w:tc>
          <w:tcPr>
            <w:tcW w:w="2477" w:type="dxa"/>
            <w:vAlign w:val="center"/>
          </w:tcPr>
          <w:p w14:paraId="50794A3B">
            <w:pPr>
              <w:rPr>
                <w:rFonts w:ascii="仿宋" w:hAnsi="仿宋" w:eastAsia="仿宋" w:cs="仿宋"/>
                <w:color w:val="auto"/>
                <w:spacing w:val="-1"/>
                <w:highlight w:val="none"/>
              </w:rPr>
            </w:pPr>
          </w:p>
        </w:tc>
        <w:tc>
          <w:tcPr>
            <w:tcW w:w="2454" w:type="dxa"/>
            <w:vAlign w:val="center"/>
          </w:tcPr>
          <w:p w14:paraId="3AC0D9FB">
            <w:pPr>
              <w:rPr>
                <w:rFonts w:ascii="仿宋" w:hAnsi="仿宋" w:eastAsia="仿宋" w:cs="仿宋"/>
                <w:color w:val="auto"/>
                <w:spacing w:val="-1"/>
                <w:highlight w:val="none"/>
              </w:rPr>
            </w:pPr>
          </w:p>
        </w:tc>
        <w:tc>
          <w:tcPr>
            <w:tcW w:w="1130" w:type="dxa"/>
            <w:vAlign w:val="center"/>
          </w:tcPr>
          <w:p w14:paraId="5262FAB4">
            <w:pPr>
              <w:rPr>
                <w:rFonts w:ascii="仿宋" w:hAnsi="仿宋" w:eastAsia="仿宋" w:cs="仿宋"/>
                <w:color w:val="auto"/>
                <w:spacing w:val="-1"/>
                <w:highlight w:val="none"/>
              </w:rPr>
            </w:pPr>
          </w:p>
        </w:tc>
      </w:tr>
      <w:tr w14:paraId="6660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6CC3931">
            <w:pPr>
              <w:rPr>
                <w:rFonts w:ascii="仿宋" w:hAnsi="仿宋" w:eastAsia="仿宋" w:cs="仿宋"/>
                <w:color w:val="auto"/>
                <w:spacing w:val="-1"/>
                <w:highlight w:val="none"/>
              </w:rPr>
            </w:pPr>
            <w:r>
              <w:rPr>
                <w:rFonts w:hint="eastAsia" w:ascii="仿宋" w:hAnsi="仿宋" w:eastAsia="仿宋" w:cs="仿宋"/>
                <w:color w:val="auto"/>
                <w:spacing w:val="-1"/>
                <w:highlight w:val="none"/>
              </w:rPr>
              <w:t>3</w:t>
            </w:r>
          </w:p>
        </w:tc>
        <w:tc>
          <w:tcPr>
            <w:tcW w:w="2154" w:type="dxa"/>
            <w:vAlign w:val="center"/>
          </w:tcPr>
          <w:p w14:paraId="48CC26CE">
            <w:pPr>
              <w:rPr>
                <w:rFonts w:ascii="仿宋" w:hAnsi="仿宋" w:eastAsia="仿宋" w:cs="仿宋"/>
                <w:color w:val="auto"/>
                <w:spacing w:val="-1"/>
                <w:highlight w:val="none"/>
              </w:rPr>
            </w:pPr>
          </w:p>
        </w:tc>
        <w:tc>
          <w:tcPr>
            <w:tcW w:w="2477" w:type="dxa"/>
            <w:vAlign w:val="center"/>
          </w:tcPr>
          <w:p w14:paraId="7AC8FDAD">
            <w:pPr>
              <w:rPr>
                <w:rFonts w:ascii="仿宋" w:hAnsi="仿宋" w:eastAsia="仿宋" w:cs="仿宋"/>
                <w:color w:val="auto"/>
                <w:spacing w:val="-1"/>
                <w:highlight w:val="none"/>
              </w:rPr>
            </w:pPr>
          </w:p>
        </w:tc>
        <w:tc>
          <w:tcPr>
            <w:tcW w:w="2454" w:type="dxa"/>
            <w:vAlign w:val="center"/>
          </w:tcPr>
          <w:p w14:paraId="3B13CD2F">
            <w:pPr>
              <w:rPr>
                <w:rFonts w:ascii="仿宋" w:hAnsi="仿宋" w:eastAsia="仿宋" w:cs="仿宋"/>
                <w:color w:val="auto"/>
                <w:spacing w:val="-1"/>
                <w:highlight w:val="none"/>
              </w:rPr>
            </w:pPr>
          </w:p>
        </w:tc>
        <w:tc>
          <w:tcPr>
            <w:tcW w:w="1130" w:type="dxa"/>
            <w:vAlign w:val="center"/>
          </w:tcPr>
          <w:p w14:paraId="2EBA7642">
            <w:pPr>
              <w:rPr>
                <w:rFonts w:ascii="仿宋" w:hAnsi="仿宋" w:eastAsia="仿宋" w:cs="仿宋"/>
                <w:color w:val="auto"/>
                <w:spacing w:val="-1"/>
                <w:highlight w:val="none"/>
              </w:rPr>
            </w:pPr>
          </w:p>
        </w:tc>
      </w:tr>
      <w:tr w14:paraId="2949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6D7FCE2">
            <w:pPr>
              <w:rPr>
                <w:rFonts w:ascii="仿宋" w:hAnsi="仿宋" w:eastAsia="仿宋" w:cs="仿宋"/>
                <w:color w:val="auto"/>
                <w:spacing w:val="-1"/>
                <w:highlight w:val="none"/>
              </w:rPr>
            </w:pPr>
            <w:r>
              <w:rPr>
                <w:rFonts w:hint="eastAsia" w:ascii="仿宋" w:hAnsi="仿宋" w:eastAsia="仿宋" w:cs="仿宋"/>
                <w:color w:val="auto"/>
                <w:spacing w:val="-1"/>
                <w:highlight w:val="none"/>
              </w:rPr>
              <w:t>4</w:t>
            </w:r>
          </w:p>
        </w:tc>
        <w:tc>
          <w:tcPr>
            <w:tcW w:w="2154" w:type="dxa"/>
            <w:vAlign w:val="center"/>
          </w:tcPr>
          <w:p w14:paraId="3C6ACA08">
            <w:pPr>
              <w:rPr>
                <w:rFonts w:ascii="仿宋" w:hAnsi="仿宋" w:eastAsia="仿宋" w:cs="仿宋"/>
                <w:color w:val="auto"/>
                <w:spacing w:val="-1"/>
                <w:highlight w:val="none"/>
              </w:rPr>
            </w:pPr>
          </w:p>
        </w:tc>
        <w:tc>
          <w:tcPr>
            <w:tcW w:w="2477" w:type="dxa"/>
            <w:vAlign w:val="center"/>
          </w:tcPr>
          <w:p w14:paraId="404FCA3D">
            <w:pPr>
              <w:rPr>
                <w:rFonts w:ascii="仿宋" w:hAnsi="仿宋" w:eastAsia="仿宋" w:cs="仿宋"/>
                <w:color w:val="auto"/>
                <w:spacing w:val="-1"/>
                <w:highlight w:val="none"/>
              </w:rPr>
            </w:pPr>
          </w:p>
        </w:tc>
        <w:tc>
          <w:tcPr>
            <w:tcW w:w="2454" w:type="dxa"/>
            <w:vAlign w:val="center"/>
          </w:tcPr>
          <w:p w14:paraId="6E7DADF1">
            <w:pPr>
              <w:rPr>
                <w:rFonts w:ascii="仿宋" w:hAnsi="仿宋" w:eastAsia="仿宋" w:cs="仿宋"/>
                <w:color w:val="auto"/>
                <w:spacing w:val="-1"/>
                <w:highlight w:val="none"/>
              </w:rPr>
            </w:pPr>
          </w:p>
        </w:tc>
        <w:tc>
          <w:tcPr>
            <w:tcW w:w="1130" w:type="dxa"/>
            <w:vAlign w:val="center"/>
          </w:tcPr>
          <w:p w14:paraId="0B757CB2">
            <w:pPr>
              <w:rPr>
                <w:rFonts w:ascii="仿宋" w:hAnsi="仿宋" w:eastAsia="仿宋" w:cs="仿宋"/>
                <w:color w:val="auto"/>
                <w:spacing w:val="-1"/>
                <w:highlight w:val="none"/>
              </w:rPr>
            </w:pPr>
          </w:p>
        </w:tc>
      </w:tr>
      <w:tr w14:paraId="3690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8A44645">
            <w:pPr>
              <w:rPr>
                <w:rFonts w:ascii="仿宋" w:hAnsi="仿宋" w:eastAsia="仿宋" w:cs="仿宋"/>
                <w:color w:val="auto"/>
                <w:spacing w:val="-1"/>
                <w:highlight w:val="none"/>
              </w:rPr>
            </w:pPr>
            <w:r>
              <w:rPr>
                <w:rFonts w:hint="eastAsia" w:ascii="仿宋" w:hAnsi="仿宋" w:eastAsia="仿宋" w:cs="仿宋"/>
                <w:color w:val="auto"/>
                <w:spacing w:val="-1"/>
                <w:highlight w:val="none"/>
              </w:rPr>
              <w:t>5</w:t>
            </w:r>
          </w:p>
        </w:tc>
        <w:tc>
          <w:tcPr>
            <w:tcW w:w="2154" w:type="dxa"/>
            <w:vAlign w:val="center"/>
          </w:tcPr>
          <w:p w14:paraId="4265E245">
            <w:pPr>
              <w:rPr>
                <w:rFonts w:ascii="仿宋" w:hAnsi="仿宋" w:eastAsia="仿宋" w:cs="仿宋"/>
                <w:color w:val="auto"/>
                <w:spacing w:val="-1"/>
                <w:highlight w:val="none"/>
              </w:rPr>
            </w:pPr>
          </w:p>
        </w:tc>
        <w:tc>
          <w:tcPr>
            <w:tcW w:w="2477" w:type="dxa"/>
            <w:vAlign w:val="center"/>
          </w:tcPr>
          <w:p w14:paraId="6483BE5B">
            <w:pPr>
              <w:rPr>
                <w:rFonts w:ascii="仿宋" w:hAnsi="仿宋" w:eastAsia="仿宋" w:cs="仿宋"/>
                <w:color w:val="auto"/>
                <w:spacing w:val="-1"/>
                <w:highlight w:val="none"/>
              </w:rPr>
            </w:pPr>
          </w:p>
        </w:tc>
        <w:tc>
          <w:tcPr>
            <w:tcW w:w="2454" w:type="dxa"/>
            <w:vAlign w:val="center"/>
          </w:tcPr>
          <w:p w14:paraId="642D8F4E">
            <w:pPr>
              <w:rPr>
                <w:rFonts w:ascii="仿宋" w:hAnsi="仿宋" w:eastAsia="仿宋" w:cs="仿宋"/>
                <w:color w:val="auto"/>
                <w:spacing w:val="-1"/>
                <w:highlight w:val="none"/>
              </w:rPr>
            </w:pPr>
          </w:p>
        </w:tc>
        <w:tc>
          <w:tcPr>
            <w:tcW w:w="1130" w:type="dxa"/>
            <w:vAlign w:val="center"/>
          </w:tcPr>
          <w:p w14:paraId="688BC416">
            <w:pPr>
              <w:rPr>
                <w:rFonts w:ascii="仿宋" w:hAnsi="仿宋" w:eastAsia="仿宋" w:cs="仿宋"/>
                <w:color w:val="auto"/>
                <w:spacing w:val="-1"/>
                <w:highlight w:val="none"/>
              </w:rPr>
            </w:pPr>
          </w:p>
        </w:tc>
      </w:tr>
      <w:tr w14:paraId="33C5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A0E7D1E">
            <w:pPr>
              <w:rPr>
                <w:rFonts w:ascii="仿宋" w:hAnsi="仿宋" w:eastAsia="仿宋" w:cs="仿宋"/>
                <w:color w:val="auto"/>
                <w:spacing w:val="-1"/>
                <w:highlight w:val="none"/>
              </w:rPr>
            </w:pPr>
            <w:r>
              <w:rPr>
                <w:rFonts w:hint="eastAsia" w:ascii="仿宋" w:hAnsi="仿宋" w:eastAsia="仿宋" w:cs="仿宋"/>
                <w:color w:val="auto"/>
                <w:spacing w:val="-1"/>
                <w:highlight w:val="none"/>
              </w:rPr>
              <w:t>6</w:t>
            </w:r>
          </w:p>
        </w:tc>
        <w:tc>
          <w:tcPr>
            <w:tcW w:w="2154" w:type="dxa"/>
            <w:vAlign w:val="center"/>
          </w:tcPr>
          <w:p w14:paraId="3D944A78">
            <w:pPr>
              <w:rPr>
                <w:rFonts w:ascii="仿宋" w:hAnsi="仿宋" w:eastAsia="仿宋" w:cs="仿宋"/>
                <w:color w:val="auto"/>
                <w:spacing w:val="-1"/>
                <w:highlight w:val="none"/>
              </w:rPr>
            </w:pPr>
          </w:p>
        </w:tc>
        <w:tc>
          <w:tcPr>
            <w:tcW w:w="2477" w:type="dxa"/>
            <w:vAlign w:val="center"/>
          </w:tcPr>
          <w:p w14:paraId="65CB84A7">
            <w:pPr>
              <w:rPr>
                <w:rFonts w:ascii="仿宋" w:hAnsi="仿宋" w:eastAsia="仿宋" w:cs="仿宋"/>
                <w:color w:val="auto"/>
                <w:spacing w:val="-1"/>
                <w:highlight w:val="none"/>
              </w:rPr>
            </w:pPr>
          </w:p>
        </w:tc>
        <w:tc>
          <w:tcPr>
            <w:tcW w:w="2454" w:type="dxa"/>
            <w:vAlign w:val="center"/>
          </w:tcPr>
          <w:p w14:paraId="02DF689F">
            <w:pPr>
              <w:rPr>
                <w:rFonts w:ascii="仿宋" w:hAnsi="仿宋" w:eastAsia="仿宋" w:cs="仿宋"/>
                <w:color w:val="auto"/>
                <w:spacing w:val="-1"/>
                <w:highlight w:val="none"/>
              </w:rPr>
            </w:pPr>
          </w:p>
        </w:tc>
        <w:tc>
          <w:tcPr>
            <w:tcW w:w="1130" w:type="dxa"/>
            <w:vAlign w:val="center"/>
          </w:tcPr>
          <w:p w14:paraId="23C8648D">
            <w:pPr>
              <w:rPr>
                <w:rFonts w:ascii="仿宋" w:hAnsi="仿宋" w:eastAsia="仿宋" w:cs="仿宋"/>
                <w:color w:val="auto"/>
                <w:spacing w:val="-1"/>
                <w:highlight w:val="none"/>
              </w:rPr>
            </w:pPr>
          </w:p>
        </w:tc>
      </w:tr>
      <w:tr w14:paraId="1110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F679C74">
            <w:pPr>
              <w:rPr>
                <w:rFonts w:ascii="仿宋" w:hAnsi="仿宋" w:eastAsia="仿宋" w:cs="仿宋"/>
                <w:color w:val="auto"/>
                <w:spacing w:val="-1"/>
                <w:highlight w:val="none"/>
              </w:rPr>
            </w:pPr>
            <w:r>
              <w:rPr>
                <w:rFonts w:hint="eastAsia" w:ascii="仿宋" w:hAnsi="仿宋" w:eastAsia="仿宋" w:cs="仿宋"/>
                <w:color w:val="auto"/>
                <w:spacing w:val="-1"/>
                <w:highlight w:val="none"/>
              </w:rPr>
              <w:t>7</w:t>
            </w:r>
          </w:p>
        </w:tc>
        <w:tc>
          <w:tcPr>
            <w:tcW w:w="2154" w:type="dxa"/>
            <w:vAlign w:val="center"/>
          </w:tcPr>
          <w:p w14:paraId="42BE356B">
            <w:pPr>
              <w:rPr>
                <w:rFonts w:ascii="仿宋" w:hAnsi="仿宋" w:eastAsia="仿宋" w:cs="仿宋"/>
                <w:color w:val="auto"/>
                <w:spacing w:val="-1"/>
                <w:highlight w:val="none"/>
              </w:rPr>
            </w:pPr>
          </w:p>
        </w:tc>
        <w:tc>
          <w:tcPr>
            <w:tcW w:w="2477" w:type="dxa"/>
            <w:vAlign w:val="center"/>
          </w:tcPr>
          <w:p w14:paraId="07316B28">
            <w:pPr>
              <w:rPr>
                <w:rFonts w:ascii="仿宋" w:hAnsi="仿宋" w:eastAsia="仿宋" w:cs="仿宋"/>
                <w:color w:val="auto"/>
                <w:spacing w:val="-1"/>
                <w:highlight w:val="none"/>
              </w:rPr>
            </w:pPr>
          </w:p>
        </w:tc>
        <w:tc>
          <w:tcPr>
            <w:tcW w:w="2454" w:type="dxa"/>
            <w:vAlign w:val="center"/>
          </w:tcPr>
          <w:p w14:paraId="5475BC7D">
            <w:pPr>
              <w:rPr>
                <w:rFonts w:ascii="仿宋" w:hAnsi="仿宋" w:eastAsia="仿宋" w:cs="仿宋"/>
                <w:color w:val="auto"/>
                <w:spacing w:val="-1"/>
                <w:highlight w:val="none"/>
              </w:rPr>
            </w:pPr>
          </w:p>
        </w:tc>
        <w:tc>
          <w:tcPr>
            <w:tcW w:w="1130" w:type="dxa"/>
            <w:vAlign w:val="center"/>
          </w:tcPr>
          <w:p w14:paraId="55FEC44A">
            <w:pPr>
              <w:rPr>
                <w:rFonts w:ascii="仿宋" w:hAnsi="仿宋" w:eastAsia="仿宋" w:cs="仿宋"/>
                <w:color w:val="auto"/>
                <w:spacing w:val="-1"/>
                <w:highlight w:val="none"/>
              </w:rPr>
            </w:pPr>
          </w:p>
        </w:tc>
      </w:tr>
      <w:tr w14:paraId="2E91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201E8AC">
            <w:pPr>
              <w:rPr>
                <w:rFonts w:ascii="仿宋" w:hAnsi="仿宋" w:eastAsia="仿宋" w:cs="仿宋"/>
                <w:color w:val="auto"/>
                <w:spacing w:val="-1"/>
                <w:highlight w:val="none"/>
              </w:rPr>
            </w:pPr>
            <w:r>
              <w:rPr>
                <w:rFonts w:hint="eastAsia" w:ascii="仿宋" w:hAnsi="仿宋" w:eastAsia="仿宋" w:cs="仿宋"/>
                <w:color w:val="auto"/>
                <w:spacing w:val="-1"/>
                <w:highlight w:val="none"/>
              </w:rPr>
              <w:t>8</w:t>
            </w:r>
          </w:p>
        </w:tc>
        <w:tc>
          <w:tcPr>
            <w:tcW w:w="2154" w:type="dxa"/>
            <w:vAlign w:val="center"/>
          </w:tcPr>
          <w:p w14:paraId="45001AD3">
            <w:pPr>
              <w:rPr>
                <w:rFonts w:ascii="仿宋" w:hAnsi="仿宋" w:eastAsia="仿宋" w:cs="仿宋"/>
                <w:color w:val="auto"/>
                <w:spacing w:val="-1"/>
                <w:highlight w:val="none"/>
              </w:rPr>
            </w:pPr>
          </w:p>
        </w:tc>
        <w:tc>
          <w:tcPr>
            <w:tcW w:w="2477" w:type="dxa"/>
            <w:vAlign w:val="center"/>
          </w:tcPr>
          <w:p w14:paraId="65C9C343">
            <w:pPr>
              <w:rPr>
                <w:rFonts w:ascii="仿宋" w:hAnsi="仿宋" w:eastAsia="仿宋" w:cs="仿宋"/>
                <w:color w:val="auto"/>
                <w:spacing w:val="-1"/>
                <w:highlight w:val="none"/>
              </w:rPr>
            </w:pPr>
          </w:p>
        </w:tc>
        <w:tc>
          <w:tcPr>
            <w:tcW w:w="2454" w:type="dxa"/>
            <w:vAlign w:val="center"/>
          </w:tcPr>
          <w:p w14:paraId="3D8B38B5">
            <w:pPr>
              <w:rPr>
                <w:rFonts w:ascii="仿宋" w:hAnsi="仿宋" w:eastAsia="仿宋" w:cs="仿宋"/>
                <w:color w:val="auto"/>
                <w:spacing w:val="-1"/>
                <w:highlight w:val="none"/>
              </w:rPr>
            </w:pPr>
          </w:p>
        </w:tc>
        <w:tc>
          <w:tcPr>
            <w:tcW w:w="1130" w:type="dxa"/>
            <w:vAlign w:val="center"/>
          </w:tcPr>
          <w:p w14:paraId="45610F54">
            <w:pPr>
              <w:rPr>
                <w:rFonts w:ascii="仿宋" w:hAnsi="仿宋" w:eastAsia="仿宋" w:cs="仿宋"/>
                <w:color w:val="auto"/>
                <w:spacing w:val="-1"/>
                <w:highlight w:val="none"/>
              </w:rPr>
            </w:pPr>
          </w:p>
        </w:tc>
      </w:tr>
      <w:tr w14:paraId="6BEF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E9B3F21">
            <w:pPr>
              <w:rPr>
                <w:rFonts w:ascii="仿宋" w:hAnsi="仿宋" w:eastAsia="仿宋" w:cs="仿宋"/>
                <w:color w:val="auto"/>
                <w:spacing w:val="-1"/>
                <w:highlight w:val="none"/>
              </w:rPr>
            </w:pPr>
            <w:r>
              <w:rPr>
                <w:rFonts w:hint="eastAsia" w:ascii="仿宋" w:hAnsi="仿宋" w:eastAsia="仿宋" w:cs="仿宋"/>
                <w:color w:val="auto"/>
                <w:spacing w:val="-1"/>
                <w:highlight w:val="none"/>
              </w:rPr>
              <w:t>9</w:t>
            </w:r>
          </w:p>
        </w:tc>
        <w:tc>
          <w:tcPr>
            <w:tcW w:w="2154" w:type="dxa"/>
            <w:vAlign w:val="center"/>
          </w:tcPr>
          <w:p w14:paraId="5B6760E8">
            <w:pPr>
              <w:rPr>
                <w:rFonts w:ascii="仿宋" w:hAnsi="仿宋" w:eastAsia="仿宋" w:cs="仿宋"/>
                <w:color w:val="auto"/>
                <w:spacing w:val="-1"/>
                <w:highlight w:val="none"/>
              </w:rPr>
            </w:pPr>
          </w:p>
        </w:tc>
        <w:tc>
          <w:tcPr>
            <w:tcW w:w="2477" w:type="dxa"/>
            <w:vAlign w:val="center"/>
          </w:tcPr>
          <w:p w14:paraId="7C742572">
            <w:pPr>
              <w:rPr>
                <w:rFonts w:ascii="仿宋" w:hAnsi="仿宋" w:eastAsia="仿宋" w:cs="仿宋"/>
                <w:color w:val="auto"/>
                <w:spacing w:val="-1"/>
                <w:highlight w:val="none"/>
              </w:rPr>
            </w:pPr>
          </w:p>
        </w:tc>
        <w:tc>
          <w:tcPr>
            <w:tcW w:w="2454" w:type="dxa"/>
            <w:vAlign w:val="center"/>
          </w:tcPr>
          <w:p w14:paraId="7691B34A">
            <w:pPr>
              <w:rPr>
                <w:rFonts w:ascii="仿宋" w:hAnsi="仿宋" w:eastAsia="仿宋" w:cs="仿宋"/>
                <w:color w:val="auto"/>
                <w:spacing w:val="-1"/>
                <w:highlight w:val="none"/>
              </w:rPr>
            </w:pPr>
          </w:p>
        </w:tc>
        <w:tc>
          <w:tcPr>
            <w:tcW w:w="1130" w:type="dxa"/>
            <w:vAlign w:val="center"/>
          </w:tcPr>
          <w:p w14:paraId="702CD334">
            <w:pPr>
              <w:rPr>
                <w:rFonts w:ascii="仿宋" w:hAnsi="仿宋" w:eastAsia="仿宋" w:cs="仿宋"/>
                <w:color w:val="auto"/>
                <w:spacing w:val="-1"/>
                <w:highlight w:val="none"/>
              </w:rPr>
            </w:pPr>
          </w:p>
        </w:tc>
      </w:tr>
      <w:tr w14:paraId="3647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5073AB2">
            <w:pPr>
              <w:rPr>
                <w:rFonts w:ascii="仿宋" w:hAnsi="仿宋" w:eastAsia="仿宋" w:cs="仿宋"/>
                <w:color w:val="auto"/>
                <w:spacing w:val="-1"/>
                <w:highlight w:val="none"/>
              </w:rPr>
            </w:pPr>
            <w:r>
              <w:rPr>
                <w:rFonts w:hint="eastAsia" w:ascii="仿宋" w:hAnsi="仿宋" w:eastAsia="仿宋" w:cs="仿宋"/>
                <w:color w:val="auto"/>
                <w:spacing w:val="-1"/>
                <w:highlight w:val="none"/>
              </w:rPr>
              <w:t>10</w:t>
            </w:r>
          </w:p>
        </w:tc>
        <w:tc>
          <w:tcPr>
            <w:tcW w:w="2154" w:type="dxa"/>
            <w:vAlign w:val="center"/>
          </w:tcPr>
          <w:p w14:paraId="0B5B79FB">
            <w:pPr>
              <w:rPr>
                <w:rFonts w:ascii="仿宋" w:hAnsi="仿宋" w:eastAsia="仿宋" w:cs="仿宋"/>
                <w:color w:val="auto"/>
                <w:spacing w:val="-1"/>
                <w:highlight w:val="none"/>
              </w:rPr>
            </w:pPr>
          </w:p>
        </w:tc>
        <w:tc>
          <w:tcPr>
            <w:tcW w:w="2477" w:type="dxa"/>
            <w:vAlign w:val="center"/>
          </w:tcPr>
          <w:p w14:paraId="50CE4C42">
            <w:pPr>
              <w:rPr>
                <w:rFonts w:ascii="仿宋" w:hAnsi="仿宋" w:eastAsia="仿宋" w:cs="仿宋"/>
                <w:color w:val="auto"/>
                <w:spacing w:val="-1"/>
                <w:highlight w:val="none"/>
              </w:rPr>
            </w:pPr>
          </w:p>
        </w:tc>
        <w:tc>
          <w:tcPr>
            <w:tcW w:w="2454" w:type="dxa"/>
            <w:vAlign w:val="center"/>
          </w:tcPr>
          <w:p w14:paraId="14E887FA">
            <w:pPr>
              <w:rPr>
                <w:rFonts w:ascii="仿宋" w:hAnsi="仿宋" w:eastAsia="仿宋" w:cs="仿宋"/>
                <w:color w:val="auto"/>
                <w:spacing w:val="-1"/>
                <w:highlight w:val="none"/>
              </w:rPr>
            </w:pPr>
          </w:p>
        </w:tc>
        <w:tc>
          <w:tcPr>
            <w:tcW w:w="1130" w:type="dxa"/>
            <w:vAlign w:val="center"/>
          </w:tcPr>
          <w:p w14:paraId="1DBC5C5D">
            <w:pPr>
              <w:rPr>
                <w:rFonts w:ascii="仿宋" w:hAnsi="仿宋" w:eastAsia="仿宋" w:cs="仿宋"/>
                <w:color w:val="auto"/>
                <w:spacing w:val="-1"/>
                <w:highlight w:val="none"/>
              </w:rPr>
            </w:pPr>
          </w:p>
        </w:tc>
      </w:tr>
      <w:tr w14:paraId="3F0C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94BA0E8">
            <w:pPr>
              <w:rPr>
                <w:rFonts w:ascii="仿宋" w:hAnsi="仿宋" w:eastAsia="仿宋" w:cs="仿宋"/>
                <w:color w:val="auto"/>
                <w:spacing w:val="-1"/>
                <w:highlight w:val="none"/>
              </w:rPr>
            </w:pPr>
            <w:r>
              <w:rPr>
                <w:rFonts w:hint="eastAsia" w:ascii="仿宋" w:hAnsi="仿宋" w:eastAsia="仿宋" w:cs="仿宋"/>
                <w:color w:val="auto"/>
                <w:spacing w:val="-1"/>
                <w:highlight w:val="none"/>
              </w:rPr>
              <w:t>11</w:t>
            </w:r>
          </w:p>
        </w:tc>
        <w:tc>
          <w:tcPr>
            <w:tcW w:w="2154" w:type="dxa"/>
            <w:vAlign w:val="center"/>
          </w:tcPr>
          <w:p w14:paraId="735A477D">
            <w:pPr>
              <w:rPr>
                <w:rFonts w:ascii="仿宋" w:hAnsi="仿宋" w:eastAsia="仿宋" w:cs="仿宋"/>
                <w:color w:val="auto"/>
                <w:spacing w:val="-1"/>
                <w:highlight w:val="none"/>
              </w:rPr>
            </w:pPr>
          </w:p>
        </w:tc>
        <w:tc>
          <w:tcPr>
            <w:tcW w:w="2477" w:type="dxa"/>
            <w:vAlign w:val="center"/>
          </w:tcPr>
          <w:p w14:paraId="2AA5BA0F">
            <w:pPr>
              <w:rPr>
                <w:rFonts w:ascii="仿宋" w:hAnsi="仿宋" w:eastAsia="仿宋" w:cs="仿宋"/>
                <w:color w:val="auto"/>
                <w:spacing w:val="-1"/>
                <w:highlight w:val="none"/>
              </w:rPr>
            </w:pPr>
          </w:p>
        </w:tc>
        <w:tc>
          <w:tcPr>
            <w:tcW w:w="2454" w:type="dxa"/>
            <w:vAlign w:val="center"/>
          </w:tcPr>
          <w:p w14:paraId="1C6067F6">
            <w:pPr>
              <w:rPr>
                <w:rFonts w:ascii="仿宋" w:hAnsi="仿宋" w:eastAsia="仿宋" w:cs="仿宋"/>
                <w:color w:val="auto"/>
                <w:spacing w:val="-1"/>
                <w:highlight w:val="none"/>
              </w:rPr>
            </w:pPr>
          </w:p>
        </w:tc>
        <w:tc>
          <w:tcPr>
            <w:tcW w:w="1130" w:type="dxa"/>
            <w:vAlign w:val="center"/>
          </w:tcPr>
          <w:p w14:paraId="41EA1F95">
            <w:pPr>
              <w:rPr>
                <w:rFonts w:ascii="仿宋" w:hAnsi="仿宋" w:eastAsia="仿宋" w:cs="仿宋"/>
                <w:color w:val="auto"/>
                <w:spacing w:val="-1"/>
                <w:highlight w:val="none"/>
              </w:rPr>
            </w:pPr>
          </w:p>
        </w:tc>
      </w:tr>
      <w:tr w14:paraId="15BC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F9C678B">
            <w:pPr>
              <w:rPr>
                <w:rFonts w:ascii="仿宋" w:hAnsi="仿宋" w:eastAsia="仿宋" w:cs="仿宋"/>
                <w:color w:val="auto"/>
                <w:spacing w:val="-1"/>
                <w:highlight w:val="none"/>
              </w:rPr>
            </w:pPr>
            <w:r>
              <w:rPr>
                <w:rFonts w:hint="eastAsia" w:ascii="仿宋" w:hAnsi="仿宋" w:eastAsia="仿宋" w:cs="仿宋"/>
                <w:color w:val="auto"/>
                <w:spacing w:val="-1"/>
                <w:highlight w:val="none"/>
              </w:rPr>
              <w:t>12</w:t>
            </w:r>
          </w:p>
        </w:tc>
        <w:tc>
          <w:tcPr>
            <w:tcW w:w="2154" w:type="dxa"/>
            <w:vAlign w:val="center"/>
          </w:tcPr>
          <w:p w14:paraId="7506F704">
            <w:pPr>
              <w:rPr>
                <w:rFonts w:ascii="仿宋" w:hAnsi="仿宋" w:eastAsia="仿宋" w:cs="仿宋"/>
                <w:color w:val="auto"/>
                <w:spacing w:val="-1"/>
                <w:highlight w:val="none"/>
              </w:rPr>
            </w:pPr>
          </w:p>
        </w:tc>
        <w:tc>
          <w:tcPr>
            <w:tcW w:w="2477" w:type="dxa"/>
            <w:vAlign w:val="center"/>
          </w:tcPr>
          <w:p w14:paraId="2F9A3E68">
            <w:pPr>
              <w:rPr>
                <w:rFonts w:ascii="仿宋" w:hAnsi="仿宋" w:eastAsia="仿宋" w:cs="仿宋"/>
                <w:color w:val="auto"/>
                <w:spacing w:val="-1"/>
                <w:highlight w:val="none"/>
              </w:rPr>
            </w:pPr>
          </w:p>
        </w:tc>
        <w:tc>
          <w:tcPr>
            <w:tcW w:w="2454" w:type="dxa"/>
            <w:vAlign w:val="center"/>
          </w:tcPr>
          <w:p w14:paraId="57097BFB">
            <w:pPr>
              <w:rPr>
                <w:rFonts w:ascii="仿宋" w:hAnsi="仿宋" w:eastAsia="仿宋" w:cs="仿宋"/>
                <w:color w:val="auto"/>
                <w:spacing w:val="-1"/>
                <w:highlight w:val="none"/>
              </w:rPr>
            </w:pPr>
          </w:p>
        </w:tc>
        <w:tc>
          <w:tcPr>
            <w:tcW w:w="1130" w:type="dxa"/>
            <w:vAlign w:val="center"/>
          </w:tcPr>
          <w:p w14:paraId="2CFDA9CE">
            <w:pPr>
              <w:rPr>
                <w:rFonts w:ascii="仿宋" w:hAnsi="仿宋" w:eastAsia="仿宋" w:cs="仿宋"/>
                <w:color w:val="auto"/>
                <w:spacing w:val="-1"/>
                <w:highlight w:val="none"/>
              </w:rPr>
            </w:pPr>
          </w:p>
        </w:tc>
      </w:tr>
      <w:tr w14:paraId="16D9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8FCC0C6">
            <w:pPr>
              <w:rPr>
                <w:rFonts w:ascii="仿宋" w:hAnsi="仿宋" w:eastAsia="仿宋" w:cs="仿宋"/>
                <w:color w:val="auto"/>
                <w:spacing w:val="-1"/>
                <w:highlight w:val="none"/>
              </w:rPr>
            </w:pPr>
            <w:r>
              <w:rPr>
                <w:rFonts w:hint="eastAsia" w:ascii="仿宋" w:hAnsi="仿宋" w:eastAsia="仿宋" w:cs="仿宋"/>
                <w:color w:val="auto"/>
                <w:spacing w:val="-1"/>
                <w:highlight w:val="none"/>
              </w:rPr>
              <w:t>13</w:t>
            </w:r>
          </w:p>
        </w:tc>
        <w:tc>
          <w:tcPr>
            <w:tcW w:w="2154" w:type="dxa"/>
            <w:vAlign w:val="center"/>
          </w:tcPr>
          <w:p w14:paraId="6771FFDA">
            <w:pPr>
              <w:rPr>
                <w:rFonts w:ascii="仿宋" w:hAnsi="仿宋" w:eastAsia="仿宋" w:cs="仿宋"/>
                <w:color w:val="auto"/>
                <w:spacing w:val="-1"/>
                <w:highlight w:val="none"/>
              </w:rPr>
            </w:pPr>
          </w:p>
        </w:tc>
        <w:tc>
          <w:tcPr>
            <w:tcW w:w="2477" w:type="dxa"/>
            <w:vAlign w:val="center"/>
          </w:tcPr>
          <w:p w14:paraId="32BF6651">
            <w:pPr>
              <w:rPr>
                <w:rFonts w:ascii="仿宋" w:hAnsi="仿宋" w:eastAsia="仿宋" w:cs="仿宋"/>
                <w:color w:val="auto"/>
                <w:spacing w:val="-1"/>
                <w:highlight w:val="none"/>
              </w:rPr>
            </w:pPr>
          </w:p>
        </w:tc>
        <w:tc>
          <w:tcPr>
            <w:tcW w:w="2454" w:type="dxa"/>
            <w:vAlign w:val="center"/>
          </w:tcPr>
          <w:p w14:paraId="5F5C66C3">
            <w:pPr>
              <w:rPr>
                <w:rFonts w:ascii="仿宋" w:hAnsi="仿宋" w:eastAsia="仿宋" w:cs="仿宋"/>
                <w:color w:val="auto"/>
                <w:spacing w:val="-1"/>
                <w:highlight w:val="none"/>
              </w:rPr>
            </w:pPr>
          </w:p>
        </w:tc>
        <w:tc>
          <w:tcPr>
            <w:tcW w:w="1130" w:type="dxa"/>
            <w:vAlign w:val="center"/>
          </w:tcPr>
          <w:p w14:paraId="6D7F8D27">
            <w:pPr>
              <w:rPr>
                <w:rFonts w:ascii="仿宋" w:hAnsi="仿宋" w:eastAsia="仿宋" w:cs="仿宋"/>
                <w:color w:val="auto"/>
                <w:spacing w:val="-1"/>
                <w:highlight w:val="none"/>
              </w:rPr>
            </w:pPr>
          </w:p>
        </w:tc>
      </w:tr>
      <w:tr w14:paraId="294F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327D540">
            <w:pPr>
              <w:rPr>
                <w:rFonts w:ascii="仿宋" w:hAnsi="仿宋" w:eastAsia="仿宋" w:cs="仿宋"/>
                <w:color w:val="auto"/>
                <w:spacing w:val="-1"/>
                <w:highlight w:val="none"/>
              </w:rPr>
            </w:pPr>
            <w:r>
              <w:rPr>
                <w:rFonts w:hint="eastAsia" w:ascii="仿宋" w:hAnsi="仿宋" w:eastAsia="仿宋" w:cs="仿宋"/>
                <w:color w:val="auto"/>
                <w:spacing w:val="-1"/>
                <w:highlight w:val="none"/>
              </w:rPr>
              <w:t>14</w:t>
            </w:r>
          </w:p>
        </w:tc>
        <w:tc>
          <w:tcPr>
            <w:tcW w:w="2154" w:type="dxa"/>
            <w:vAlign w:val="center"/>
          </w:tcPr>
          <w:p w14:paraId="15E6A131">
            <w:pPr>
              <w:rPr>
                <w:rFonts w:ascii="仿宋" w:hAnsi="仿宋" w:eastAsia="仿宋" w:cs="仿宋"/>
                <w:color w:val="auto"/>
                <w:spacing w:val="-1"/>
                <w:highlight w:val="none"/>
              </w:rPr>
            </w:pPr>
          </w:p>
        </w:tc>
        <w:tc>
          <w:tcPr>
            <w:tcW w:w="2477" w:type="dxa"/>
            <w:vAlign w:val="center"/>
          </w:tcPr>
          <w:p w14:paraId="7B198939">
            <w:pPr>
              <w:rPr>
                <w:rFonts w:ascii="仿宋" w:hAnsi="仿宋" w:eastAsia="仿宋" w:cs="仿宋"/>
                <w:color w:val="auto"/>
                <w:spacing w:val="-1"/>
                <w:highlight w:val="none"/>
              </w:rPr>
            </w:pPr>
          </w:p>
        </w:tc>
        <w:tc>
          <w:tcPr>
            <w:tcW w:w="2454" w:type="dxa"/>
            <w:vAlign w:val="center"/>
          </w:tcPr>
          <w:p w14:paraId="4C4ED462">
            <w:pPr>
              <w:rPr>
                <w:rFonts w:ascii="仿宋" w:hAnsi="仿宋" w:eastAsia="仿宋" w:cs="仿宋"/>
                <w:color w:val="auto"/>
                <w:spacing w:val="-1"/>
                <w:highlight w:val="none"/>
              </w:rPr>
            </w:pPr>
          </w:p>
        </w:tc>
        <w:tc>
          <w:tcPr>
            <w:tcW w:w="1130" w:type="dxa"/>
            <w:vAlign w:val="center"/>
          </w:tcPr>
          <w:p w14:paraId="76689985">
            <w:pPr>
              <w:rPr>
                <w:rFonts w:ascii="仿宋" w:hAnsi="仿宋" w:eastAsia="仿宋" w:cs="仿宋"/>
                <w:color w:val="auto"/>
                <w:spacing w:val="-1"/>
                <w:highlight w:val="none"/>
              </w:rPr>
            </w:pPr>
          </w:p>
        </w:tc>
      </w:tr>
      <w:tr w14:paraId="70E4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2AB499F">
            <w:pPr>
              <w:rPr>
                <w:rFonts w:ascii="仿宋" w:hAnsi="仿宋" w:eastAsia="仿宋" w:cs="仿宋"/>
                <w:color w:val="auto"/>
                <w:spacing w:val="-1"/>
                <w:highlight w:val="none"/>
              </w:rPr>
            </w:pPr>
            <w:r>
              <w:rPr>
                <w:rFonts w:hint="eastAsia" w:ascii="仿宋" w:hAnsi="仿宋" w:eastAsia="仿宋" w:cs="仿宋"/>
                <w:color w:val="auto"/>
                <w:spacing w:val="-1"/>
                <w:highlight w:val="none"/>
              </w:rPr>
              <w:t>15</w:t>
            </w:r>
          </w:p>
        </w:tc>
        <w:tc>
          <w:tcPr>
            <w:tcW w:w="2154" w:type="dxa"/>
            <w:vAlign w:val="center"/>
          </w:tcPr>
          <w:p w14:paraId="561CA145">
            <w:pPr>
              <w:rPr>
                <w:rFonts w:ascii="仿宋" w:hAnsi="仿宋" w:eastAsia="仿宋" w:cs="仿宋"/>
                <w:color w:val="auto"/>
                <w:spacing w:val="-1"/>
                <w:highlight w:val="none"/>
              </w:rPr>
            </w:pPr>
          </w:p>
        </w:tc>
        <w:tc>
          <w:tcPr>
            <w:tcW w:w="2477" w:type="dxa"/>
            <w:vAlign w:val="center"/>
          </w:tcPr>
          <w:p w14:paraId="03C584F0">
            <w:pPr>
              <w:rPr>
                <w:rFonts w:ascii="仿宋" w:hAnsi="仿宋" w:eastAsia="仿宋" w:cs="仿宋"/>
                <w:color w:val="auto"/>
                <w:spacing w:val="-1"/>
                <w:highlight w:val="none"/>
              </w:rPr>
            </w:pPr>
          </w:p>
        </w:tc>
        <w:tc>
          <w:tcPr>
            <w:tcW w:w="2454" w:type="dxa"/>
            <w:vAlign w:val="center"/>
          </w:tcPr>
          <w:p w14:paraId="682B4173">
            <w:pPr>
              <w:rPr>
                <w:rFonts w:ascii="仿宋" w:hAnsi="仿宋" w:eastAsia="仿宋" w:cs="仿宋"/>
                <w:color w:val="auto"/>
                <w:spacing w:val="-1"/>
                <w:highlight w:val="none"/>
              </w:rPr>
            </w:pPr>
          </w:p>
        </w:tc>
        <w:tc>
          <w:tcPr>
            <w:tcW w:w="1130" w:type="dxa"/>
            <w:vAlign w:val="center"/>
          </w:tcPr>
          <w:p w14:paraId="2D148874">
            <w:pPr>
              <w:rPr>
                <w:rFonts w:ascii="仿宋" w:hAnsi="仿宋" w:eastAsia="仿宋" w:cs="仿宋"/>
                <w:color w:val="auto"/>
                <w:spacing w:val="-1"/>
                <w:highlight w:val="none"/>
              </w:rPr>
            </w:pPr>
          </w:p>
        </w:tc>
      </w:tr>
    </w:tbl>
    <w:p w14:paraId="38F35ED0">
      <w:pPr>
        <w:rPr>
          <w:rFonts w:ascii="仿宋" w:hAnsi="仿宋" w:eastAsia="仿宋" w:cs="仿宋"/>
          <w:color w:val="auto"/>
          <w:spacing w:val="-1"/>
          <w:highlight w:val="none"/>
          <w:lang w:eastAsia="zh-CN"/>
        </w:rPr>
      </w:pPr>
      <w:r>
        <w:rPr>
          <w:rFonts w:hint="eastAsia" w:ascii="仿宋" w:hAnsi="仿宋" w:eastAsia="仿宋" w:cs="仿宋"/>
          <w:color w:val="auto"/>
          <w:spacing w:val="-1"/>
          <w:highlight w:val="none"/>
          <w:lang w:eastAsia="zh-CN"/>
        </w:rPr>
        <w:t>注：请在“偏离说明”栏内扼要说明偏离情况，如无偏离则不需列明。</w:t>
      </w:r>
    </w:p>
    <w:p w14:paraId="65C41344">
      <w:pPr>
        <w:pStyle w:val="9"/>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23131485">
      <w:pPr>
        <w:pStyle w:val="9"/>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6194A1D3">
      <w:pPr>
        <w:pStyle w:val="9"/>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4530CEDB">
      <w:pPr>
        <w:pStyle w:val="9"/>
        <w:numPr>
          <w:ilvl w:val="0"/>
          <w:numId w:val="0"/>
        </w:numPr>
        <w:tabs>
          <w:tab w:val="left" w:pos="8227"/>
        </w:tabs>
        <w:kinsoku w:val="0"/>
        <w:overflowPunct w:val="0"/>
        <w:spacing w:line="381" w:lineRule="auto"/>
        <w:ind w:left="1680" w:right="118"/>
        <w:jc w:val="righ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6C28D785">
      <w:pPr>
        <w:pStyle w:val="9"/>
        <w:numPr>
          <w:ilvl w:val="0"/>
          <w:numId w:val="0"/>
        </w:numPr>
        <w:tabs>
          <w:tab w:val="left" w:pos="8227"/>
        </w:tabs>
        <w:kinsoku w:val="0"/>
        <w:overflowPunct w:val="0"/>
        <w:spacing w:line="381" w:lineRule="auto"/>
        <w:ind w:left="1680" w:right="118"/>
        <w:jc w:val="right"/>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w w:val="95"/>
          <w:sz w:val="24"/>
          <w:highlight w:val="none"/>
          <w:lang w:eastAsia="zh-CN"/>
        </w:rPr>
        <w:t>（签章）</w:t>
      </w:r>
    </w:p>
    <w:p w14:paraId="7EE7D126">
      <w:pPr>
        <w:pStyle w:val="37"/>
        <w:spacing w:after="0"/>
        <w:ind w:firstLine="420"/>
        <w:jc w:val="right"/>
        <w:rPr>
          <w:rFonts w:ascii="仿宋" w:hAnsi="仿宋" w:eastAsia="仿宋" w:cs="仿宋"/>
          <w:color w:val="auto"/>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1BC1E14B">
      <w:pPr>
        <w:pStyle w:val="37"/>
        <w:spacing w:after="0"/>
        <w:ind w:firstLine="420"/>
        <w:jc w:val="center"/>
        <w:rPr>
          <w:rFonts w:ascii="仿宋" w:hAnsi="仿宋" w:eastAsia="仿宋" w:cs="仿宋"/>
          <w:color w:val="auto"/>
          <w:sz w:val="36"/>
          <w:szCs w:val="36"/>
          <w:highlight w:val="none"/>
        </w:rPr>
      </w:pPr>
    </w:p>
    <w:p w14:paraId="5FBAECF2">
      <w:pPr>
        <w:pStyle w:val="38"/>
        <w:tabs>
          <w:tab w:val="left" w:pos="826"/>
        </w:tabs>
        <w:spacing w:line="470" w:lineRule="exact"/>
        <w:ind w:firstLine="0"/>
        <w:jc w:val="center"/>
        <w:rPr>
          <w:rFonts w:ascii="仿宋" w:hAnsi="仿宋" w:eastAsia="仿宋" w:cs="仿宋"/>
          <w:color w:val="auto"/>
          <w:sz w:val="21"/>
          <w:szCs w:val="21"/>
          <w:highlight w:val="none"/>
        </w:rPr>
      </w:pPr>
    </w:p>
    <w:p w14:paraId="7053AD14">
      <w:pPr>
        <w:pStyle w:val="38"/>
        <w:tabs>
          <w:tab w:val="left" w:pos="826"/>
        </w:tabs>
        <w:spacing w:line="470" w:lineRule="exact"/>
        <w:ind w:firstLine="0"/>
        <w:jc w:val="center"/>
        <w:rPr>
          <w:rFonts w:ascii="仿宋" w:hAnsi="仿宋" w:eastAsia="仿宋" w:cs="仿宋"/>
          <w:color w:val="auto"/>
          <w:sz w:val="21"/>
          <w:szCs w:val="21"/>
          <w:highlight w:val="none"/>
        </w:rPr>
      </w:pPr>
    </w:p>
    <w:p w14:paraId="757AAE37">
      <w:pPr>
        <w:pStyle w:val="38"/>
        <w:tabs>
          <w:tab w:val="left" w:pos="826"/>
        </w:tabs>
        <w:spacing w:line="470" w:lineRule="exact"/>
        <w:ind w:firstLine="0"/>
        <w:jc w:val="center"/>
        <w:rPr>
          <w:rFonts w:ascii="仿宋" w:hAnsi="仿宋" w:eastAsia="仿宋" w:cs="仿宋"/>
          <w:color w:val="auto"/>
          <w:sz w:val="21"/>
          <w:szCs w:val="21"/>
          <w:highlight w:val="none"/>
        </w:rPr>
      </w:pPr>
    </w:p>
    <w:p w14:paraId="1628B570">
      <w:pPr>
        <w:pStyle w:val="38"/>
        <w:tabs>
          <w:tab w:val="left" w:pos="826"/>
        </w:tabs>
        <w:spacing w:line="470" w:lineRule="exact"/>
        <w:ind w:firstLine="0"/>
        <w:jc w:val="center"/>
        <w:rPr>
          <w:rFonts w:ascii="仿宋" w:hAnsi="仿宋" w:eastAsia="仿宋" w:cs="仿宋"/>
          <w:color w:val="auto"/>
          <w:sz w:val="21"/>
          <w:szCs w:val="21"/>
          <w:highlight w:val="none"/>
        </w:rPr>
      </w:pPr>
    </w:p>
    <w:p w14:paraId="6E492BA6">
      <w:pPr>
        <w:jc w:val="center"/>
        <w:rPr>
          <w:rFonts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val="en-US" w:eastAsia="zh-CN"/>
        </w:rPr>
        <w:t>6</w:t>
      </w:r>
      <w:r>
        <w:rPr>
          <w:rFonts w:hint="eastAsia" w:ascii="仿宋" w:hAnsi="仿宋" w:eastAsia="仿宋" w:cs="仿宋"/>
          <w:b/>
          <w:bCs/>
          <w:color w:val="auto"/>
          <w:sz w:val="30"/>
          <w:szCs w:val="30"/>
          <w:highlight w:val="none"/>
          <w:lang w:eastAsia="zh-CN"/>
        </w:rPr>
        <w:t>、供应商基本情况表</w:t>
      </w:r>
    </w:p>
    <w:p w14:paraId="049D16DE">
      <w:pPr>
        <w:pStyle w:val="9"/>
        <w:numPr>
          <w:ilvl w:val="0"/>
          <w:numId w:val="0"/>
        </w:numPr>
        <w:kinsoku w:val="0"/>
        <w:overflowPunct w:val="0"/>
        <w:spacing w:before="5"/>
        <w:rPr>
          <w:rFonts w:ascii="仿宋" w:hAnsi="仿宋" w:eastAsia="仿宋" w:cs="仿宋"/>
          <w:b/>
          <w:bCs/>
          <w:color w:val="auto"/>
          <w:sz w:val="6"/>
          <w:szCs w:val="6"/>
          <w:highlight w:val="none"/>
          <w:lang w:eastAsia="zh-CN"/>
        </w:rPr>
      </w:pPr>
    </w:p>
    <w:tbl>
      <w:tblPr>
        <w:tblStyle w:val="24"/>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682D033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FE1C799">
            <w:pPr>
              <w:pStyle w:val="41"/>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32F30137">
            <w:pPr>
              <w:rPr>
                <w:rFonts w:ascii="仿宋" w:hAnsi="仿宋" w:eastAsia="仿宋" w:cs="仿宋"/>
                <w:color w:val="auto"/>
                <w:highlight w:val="none"/>
              </w:rPr>
            </w:pPr>
          </w:p>
        </w:tc>
      </w:tr>
      <w:tr w14:paraId="0BD4B263">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9546270">
            <w:pPr>
              <w:pStyle w:val="41"/>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746819F1">
            <w:pPr>
              <w:rPr>
                <w:rFonts w:ascii="仿宋" w:hAnsi="仿宋" w:eastAsia="仿宋" w:cs="仿宋"/>
                <w:color w:val="auto"/>
                <w:highlight w:val="none"/>
              </w:rPr>
            </w:pPr>
          </w:p>
        </w:tc>
      </w:tr>
      <w:tr w14:paraId="0CCF9F3E">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6FBDCC2">
            <w:pPr>
              <w:pStyle w:val="41"/>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29D3995C">
            <w:pPr>
              <w:rPr>
                <w:rFonts w:ascii="仿宋" w:hAnsi="仿宋" w:eastAsia="仿宋" w:cs="仿宋"/>
                <w:color w:val="auto"/>
                <w:highlight w:val="none"/>
              </w:rPr>
            </w:pPr>
          </w:p>
        </w:tc>
      </w:tr>
      <w:tr w14:paraId="1B216270">
        <w:tblPrEx>
          <w:tblCellMar>
            <w:top w:w="0" w:type="dxa"/>
            <w:left w:w="0" w:type="dxa"/>
            <w:bottom w:w="0" w:type="dxa"/>
            <w:right w:w="0" w:type="dxa"/>
          </w:tblCellMar>
        </w:tblPrEx>
        <w:trPr>
          <w:trHeight w:val="70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3EFCDBB">
            <w:pPr>
              <w:pStyle w:val="41"/>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6C37DCB6">
            <w:pPr>
              <w:rPr>
                <w:rFonts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14:paraId="51F3561A">
            <w:pPr>
              <w:pStyle w:val="41"/>
              <w:kinsoku w:val="0"/>
              <w:overflowPunct w:val="0"/>
              <w:spacing w:before="145"/>
              <w:ind w:left="181"/>
              <w:rPr>
                <w:rFonts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761F5379">
            <w:pPr>
              <w:rPr>
                <w:rFonts w:ascii="仿宋" w:hAnsi="仿宋" w:eastAsia="仿宋" w:cs="仿宋"/>
                <w:color w:val="auto"/>
                <w:highlight w:val="none"/>
              </w:rPr>
            </w:pPr>
          </w:p>
        </w:tc>
      </w:tr>
      <w:tr w14:paraId="5E2ACD3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5A315FA">
            <w:pPr>
              <w:pStyle w:val="41"/>
              <w:kinsoku w:val="0"/>
              <w:overflowPunct w:val="0"/>
              <w:spacing w:before="146"/>
              <w:ind w:left="137"/>
              <w:rPr>
                <w:rFonts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6628988C">
            <w:pPr>
              <w:rPr>
                <w:rFonts w:ascii="仿宋" w:hAnsi="仿宋" w:eastAsia="仿宋" w:cs="仿宋"/>
                <w:color w:val="auto"/>
                <w:highlight w:val="none"/>
              </w:rPr>
            </w:pPr>
          </w:p>
        </w:tc>
      </w:tr>
      <w:tr w14:paraId="1CB04A31">
        <w:tblPrEx>
          <w:tblCellMar>
            <w:top w:w="0" w:type="dxa"/>
            <w:left w:w="0" w:type="dxa"/>
            <w:bottom w:w="0" w:type="dxa"/>
            <w:right w:w="0" w:type="dxa"/>
          </w:tblCellMar>
        </w:tblPrEx>
        <w:trPr>
          <w:trHeight w:val="148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9041035">
            <w:pPr>
              <w:pStyle w:val="41"/>
              <w:kinsoku w:val="0"/>
              <w:overflowPunct w:val="0"/>
              <w:spacing w:before="141" w:line="312" w:lineRule="exact"/>
              <w:ind w:left="257" w:right="133" w:hanging="120"/>
              <w:rPr>
                <w:rFonts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526C4854">
            <w:pPr>
              <w:rPr>
                <w:rFonts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14:paraId="3929F5C2">
            <w:pPr>
              <w:pStyle w:val="41"/>
              <w:kinsoku w:val="0"/>
              <w:overflowPunct w:val="0"/>
              <w:spacing w:before="4"/>
              <w:rPr>
                <w:rFonts w:ascii="仿宋" w:hAnsi="仿宋" w:eastAsia="仿宋" w:cs="仿宋"/>
                <w:b/>
                <w:bCs/>
                <w:color w:val="auto"/>
                <w:sz w:val="20"/>
                <w:szCs w:val="20"/>
                <w:highlight w:val="none"/>
              </w:rPr>
            </w:pPr>
          </w:p>
          <w:p w14:paraId="0C5EC0C9">
            <w:pPr>
              <w:pStyle w:val="41"/>
              <w:kinsoku w:val="0"/>
              <w:overflowPunct w:val="0"/>
              <w:ind w:left="366"/>
              <w:rPr>
                <w:rFonts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42BC7C0F">
            <w:pPr>
              <w:rPr>
                <w:rFonts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14:paraId="6E190D58">
            <w:pPr>
              <w:pStyle w:val="41"/>
              <w:kinsoku w:val="0"/>
              <w:overflowPunct w:val="0"/>
              <w:spacing w:before="4"/>
              <w:rPr>
                <w:rFonts w:ascii="仿宋" w:hAnsi="仿宋" w:eastAsia="仿宋" w:cs="仿宋"/>
                <w:b/>
                <w:bCs/>
                <w:color w:val="auto"/>
                <w:sz w:val="20"/>
                <w:szCs w:val="20"/>
                <w:highlight w:val="none"/>
              </w:rPr>
            </w:pPr>
          </w:p>
          <w:p w14:paraId="5F0C41FE">
            <w:pPr>
              <w:pStyle w:val="41"/>
              <w:kinsoku w:val="0"/>
              <w:overflowPunct w:val="0"/>
              <w:ind w:left="383"/>
              <w:rPr>
                <w:rFonts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tcPr>
          <w:p w14:paraId="715B3116">
            <w:pPr>
              <w:rPr>
                <w:rFonts w:ascii="仿宋" w:hAnsi="仿宋" w:eastAsia="仿宋" w:cs="仿宋"/>
                <w:color w:val="auto"/>
                <w:highlight w:val="none"/>
              </w:rPr>
            </w:pPr>
          </w:p>
        </w:tc>
      </w:tr>
      <w:tr w14:paraId="7737C41A">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38547AE6">
            <w:pPr>
              <w:pStyle w:val="41"/>
              <w:kinsoku w:val="0"/>
              <w:overflowPunct w:val="0"/>
              <w:rPr>
                <w:rFonts w:ascii="仿宋" w:hAnsi="仿宋" w:eastAsia="仿宋" w:cs="仿宋"/>
                <w:b/>
                <w:bCs/>
                <w:color w:val="auto"/>
                <w:highlight w:val="none"/>
              </w:rPr>
            </w:pPr>
          </w:p>
          <w:p w14:paraId="46DAE551">
            <w:pPr>
              <w:pStyle w:val="41"/>
              <w:kinsoku w:val="0"/>
              <w:overflowPunct w:val="0"/>
              <w:rPr>
                <w:rFonts w:ascii="仿宋" w:hAnsi="仿宋" w:eastAsia="仿宋" w:cs="仿宋"/>
                <w:b/>
                <w:bCs/>
                <w:color w:val="auto"/>
                <w:highlight w:val="none"/>
              </w:rPr>
            </w:pPr>
          </w:p>
          <w:p w14:paraId="69934DD6">
            <w:pPr>
              <w:pStyle w:val="41"/>
              <w:kinsoku w:val="0"/>
              <w:overflowPunct w:val="0"/>
              <w:rPr>
                <w:rFonts w:ascii="仿宋" w:hAnsi="仿宋" w:eastAsia="仿宋" w:cs="仿宋"/>
                <w:b/>
                <w:bCs/>
                <w:color w:val="auto"/>
                <w:highlight w:val="none"/>
              </w:rPr>
            </w:pPr>
          </w:p>
          <w:p w14:paraId="0873CAAA">
            <w:pPr>
              <w:pStyle w:val="41"/>
              <w:kinsoku w:val="0"/>
              <w:overflowPunct w:val="0"/>
              <w:spacing w:line="475"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54AB6684">
            <w:pPr>
              <w:pStyle w:val="41"/>
              <w:kinsoku w:val="0"/>
              <w:overflowPunct w:val="0"/>
              <w:spacing w:before="144"/>
              <w:ind w:left="236"/>
              <w:rPr>
                <w:rFonts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567DDAD9">
            <w:pPr>
              <w:rPr>
                <w:rFonts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14:paraId="3DC3109D">
            <w:pPr>
              <w:pStyle w:val="41"/>
              <w:kinsoku w:val="0"/>
              <w:overflowPunct w:val="0"/>
              <w:spacing w:before="144"/>
              <w:ind w:left="118"/>
              <w:rPr>
                <w:rFonts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280E2BEC">
            <w:pPr>
              <w:rPr>
                <w:rFonts w:ascii="仿宋" w:hAnsi="仿宋" w:eastAsia="仿宋" w:cs="仿宋"/>
                <w:color w:val="auto"/>
                <w:highlight w:val="none"/>
              </w:rPr>
            </w:pPr>
          </w:p>
        </w:tc>
      </w:tr>
      <w:tr w14:paraId="4DA167C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DBDC3FA">
            <w:pPr>
              <w:rPr>
                <w:rFonts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14:paraId="5B1B7C39">
            <w:pPr>
              <w:pStyle w:val="41"/>
              <w:kinsoku w:val="0"/>
              <w:overflowPunct w:val="0"/>
              <w:spacing w:before="145"/>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单位行政和技术负责人</w:t>
            </w:r>
          </w:p>
        </w:tc>
      </w:tr>
      <w:tr w14:paraId="3DF1404C">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42B8EA8">
            <w:pPr>
              <w:pStyle w:val="41"/>
              <w:kinsoku w:val="0"/>
              <w:overflowPunct w:val="0"/>
              <w:spacing w:before="145"/>
              <w:jc w:val="center"/>
              <w:rPr>
                <w:rFonts w:ascii="仿宋" w:hAnsi="仿宋" w:eastAsia="仿宋" w:cs="仿宋"/>
                <w:color w:val="auto"/>
                <w:highlight w:val="none"/>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44B371EA">
            <w:pPr>
              <w:pStyle w:val="41"/>
              <w:kinsoku w:val="0"/>
              <w:overflowPunct w:val="0"/>
              <w:spacing w:before="145"/>
              <w:ind w:left="416"/>
              <w:rPr>
                <w:rFonts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5DFD2DD4">
            <w:pPr>
              <w:pStyle w:val="41"/>
              <w:kinsoku w:val="0"/>
              <w:overflowPunct w:val="0"/>
              <w:spacing w:before="145"/>
              <w:ind w:left="452"/>
              <w:rPr>
                <w:rFonts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4B3C323A">
            <w:pPr>
              <w:pStyle w:val="41"/>
              <w:kinsoku w:val="0"/>
              <w:overflowPunct w:val="0"/>
              <w:spacing w:before="145"/>
              <w:ind w:left="450"/>
              <w:rPr>
                <w:rFonts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6F392818">
            <w:pPr>
              <w:pStyle w:val="41"/>
              <w:tabs>
                <w:tab w:val="left" w:pos="479"/>
              </w:tabs>
              <w:kinsoku w:val="0"/>
              <w:overflowPunct w:val="0"/>
              <w:spacing w:before="145"/>
              <w:ind w:right="1"/>
              <w:jc w:val="center"/>
              <w:rPr>
                <w:rFonts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14:paraId="594FF884">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B8A2361">
            <w:pPr>
              <w:pStyle w:val="41"/>
              <w:tabs>
                <w:tab w:val="left" w:pos="479"/>
              </w:tabs>
              <w:kinsoku w:val="0"/>
              <w:overflowPunct w:val="0"/>
              <w:spacing w:before="145"/>
              <w:ind w:right="1"/>
              <w:jc w:val="cente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048F3DF5">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0F57CCA3">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2F284512">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F83FFE8">
            <w:pPr>
              <w:rPr>
                <w:rFonts w:ascii="仿宋" w:hAnsi="仿宋" w:eastAsia="仿宋" w:cs="仿宋"/>
                <w:color w:val="auto"/>
                <w:highlight w:val="none"/>
              </w:rPr>
            </w:pPr>
          </w:p>
        </w:tc>
      </w:tr>
      <w:tr w14:paraId="5F08514A">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1F9D2760">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1D5CFCAF">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3055470">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2644159">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42523C8">
            <w:pPr>
              <w:rPr>
                <w:rFonts w:ascii="仿宋" w:hAnsi="仿宋" w:eastAsia="仿宋" w:cs="仿宋"/>
                <w:color w:val="auto"/>
                <w:highlight w:val="none"/>
              </w:rPr>
            </w:pPr>
          </w:p>
        </w:tc>
      </w:tr>
      <w:tr w14:paraId="20B3F62F">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4D4DBCD">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794D7777">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4D1BA25">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DF6FB3D">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5DF3842">
            <w:pPr>
              <w:rPr>
                <w:rFonts w:ascii="仿宋" w:hAnsi="仿宋" w:eastAsia="仿宋" w:cs="仿宋"/>
                <w:color w:val="auto"/>
                <w:highlight w:val="none"/>
              </w:rPr>
            </w:pPr>
          </w:p>
        </w:tc>
      </w:tr>
      <w:tr w14:paraId="1D565E37">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FC82F0E">
            <w:pPr>
              <w:pStyle w:val="41"/>
              <w:kinsoku w:val="0"/>
              <w:overflowPunct w:val="0"/>
              <w:spacing w:before="1"/>
              <w:rPr>
                <w:rFonts w:ascii="仿宋" w:hAnsi="仿宋" w:eastAsia="仿宋" w:cs="仿宋"/>
                <w:b/>
                <w:bCs/>
                <w:color w:val="auto"/>
                <w:sz w:val="23"/>
                <w:szCs w:val="23"/>
                <w:highlight w:val="none"/>
              </w:rPr>
            </w:pPr>
          </w:p>
          <w:p w14:paraId="69D6943B">
            <w:pPr>
              <w:pStyle w:val="41"/>
              <w:kinsoku w:val="0"/>
              <w:overflowPunct w:val="0"/>
              <w:spacing w:line="237"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3311751F">
            <w:pPr>
              <w:rPr>
                <w:rFonts w:ascii="仿宋" w:hAnsi="仿宋" w:eastAsia="仿宋" w:cs="仿宋"/>
                <w:color w:val="auto"/>
                <w:highlight w:val="none"/>
              </w:rPr>
            </w:pPr>
          </w:p>
        </w:tc>
      </w:tr>
    </w:tbl>
    <w:p w14:paraId="1A2CADE3">
      <w:pPr>
        <w:pStyle w:val="38"/>
        <w:spacing w:line="440" w:lineRule="exact"/>
        <w:ind w:firstLine="0"/>
        <w:jc w:val="both"/>
        <w:rPr>
          <w:rFonts w:ascii="仿宋" w:hAnsi="仿宋" w:eastAsia="仿宋" w:cs="仿宋"/>
          <w:b/>
          <w:color w:val="auto"/>
          <w:sz w:val="30"/>
          <w:szCs w:val="30"/>
          <w:highlight w:val="none"/>
        </w:rPr>
      </w:pPr>
    </w:p>
    <w:p w14:paraId="4FAB311D">
      <w:pPr>
        <w:pStyle w:val="38"/>
        <w:spacing w:line="440" w:lineRule="exact"/>
        <w:ind w:firstLine="0"/>
        <w:jc w:val="both"/>
        <w:rPr>
          <w:rFonts w:ascii="仿宋" w:hAnsi="仿宋" w:eastAsia="仿宋" w:cs="仿宋"/>
          <w:b/>
          <w:color w:val="auto"/>
          <w:sz w:val="30"/>
          <w:szCs w:val="30"/>
          <w:highlight w:val="none"/>
        </w:rPr>
      </w:pPr>
    </w:p>
    <w:p w14:paraId="606D46E2">
      <w:pPr>
        <w:pStyle w:val="38"/>
        <w:spacing w:line="440" w:lineRule="exact"/>
        <w:ind w:firstLine="0"/>
        <w:jc w:val="both"/>
        <w:rPr>
          <w:rFonts w:ascii="仿宋" w:hAnsi="仿宋" w:eastAsia="仿宋" w:cs="仿宋"/>
          <w:b/>
          <w:color w:val="auto"/>
          <w:sz w:val="30"/>
          <w:szCs w:val="30"/>
          <w:highlight w:val="none"/>
        </w:rPr>
      </w:pPr>
    </w:p>
    <w:p w14:paraId="4117EF71">
      <w:pPr>
        <w:pStyle w:val="38"/>
        <w:spacing w:line="440" w:lineRule="exact"/>
        <w:ind w:firstLine="0"/>
        <w:jc w:val="both"/>
        <w:rPr>
          <w:rFonts w:ascii="仿宋" w:hAnsi="仿宋" w:eastAsia="仿宋" w:cs="仿宋"/>
          <w:b/>
          <w:color w:val="auto"/>
          <w:sz w:val="30"/>
          <w:szCs w:val="30"/>
          <w:highlight w:val="none"/>
        </w:rPr>
      </w:pPr>
    </w:p>
    <w:p w14:paraId="72560745">
      <w:pPr>
        <w:pStyle w:val="38"/>
        <w:spacing w:line="440" w:lineRule="exact"/>
        <w:ind w:firstLine="0"/>
        <w:jc w:val="both"/>
        <w:rPr>
          <w:rFonts w:ascii="仿宋" w:hAnsi="仿宋" w:eastAsia="仿宋" w:cs="仿宋"/>
          <w:b/>
          <w:color w:val="auto"/>
          <w:sz w:val="30"/>
          <w:szCs w:val="30"/>
          <w:highlight w:val="none"/>
        </w:rPr>
      </w:pPr>
    </w:p>
    <w:p w14:paraId="4CB6F653">
      <w:pPr>
        <w:pStyle w:val="38"/>
        <w:spacing w:line="440" w:lineRule="exact"/>
        <w:ind w:firstLine="0"/>
        <w:jc w:val="both"/>
        <w:rPr>
          <w:rFonts w:ascii="仿宋" w:hAnsi="仿宋" w:eastAsia="仿宋" w:cs="仿宋"/>
          <w:b/>
          <w:color w:val="auto"/>
          <w:sz w:val="30"/>
          <w:szCs w:val="30"/>
          <w:highlight w:val="none"/>
        </w:rPr>
      </w:pPr>
    </w:p>
    <w:p w14:paraId="6FDEEE12">
      <w:pPr>
        <w:pStyle w:val="17"/>
        <w:rPr>
          <w:color w:val="auto"/>
          <w:highlight w:val="none"/>
          <w:lang w:eastAsia="zh-CN"/>
        </w:rPr>
      </w:pPr>
    </w:p>
    <w:p w14:paraId="14351025">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
          <w:color w:val="auto"/>
          <w:sz w:val="36"/>
          <w:szCs w:val="36"/>
          <w:highlight w:val="none"/>
          <w:lang w:val="en-US" w:eastAsia="zh-CN"/>
        </w:rPr>
        <w:t>7</w:t>
      </w:r>
      <w:r>
        <w:rPr>
          <w:rFonts w:hint="eastAsia" w:ascii="仿宋" w:hAnsi="仿宋" w:eastAsia="仿宋" w:cs="仿宋"/>
          <w:b/>
          <w:color w:val="auto"/>
          <w:sz w:val="36"/>
          <w:szCs w:val="36"/>
          <w:highlight w:val="none"/>
          <w:lang w:eastAsia="zh-CN"/>
        </w:rPr>
        <w:t>、中小企业声明函(货物)</w:t>
      </w:r>
    </w:p>
    <w:p w14:paraId="39405695">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3D5ADBE8">
      <w:pPr>
        <w:numPr>
          <w:ilvl w:val="0"/>
          <w:numId w:val="9"/>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 （采购文件中明确的所属行业）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6C3166ED">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 </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（采购文件</w:t>
      </w:r>
      <w:r>
        <w:rPr>
          <w:rFonts w:hint="eastAsia" w:ascii="仿宋" w:hAnsi="仿宋" w:eastAsia="仿宋" w:cs="仿宋"/>
          <w:color w:val="auto"/>
          <w:highlight w:val="none"/>
          <w:u w:val="single"/>
          <w:lang w:val="en-US" w:eastAsia="zh-CN"/>
        </w:rPr>
        <w:t>中</w:t>
      </w:r>
      <w:r>
        <w:rPr>
          <w:rFonts w:hint="eastAsia" w:ascii="仿宋" w:hAnsi="仿宋" w:eastAsia="仿宋" w:cs="仿宋"/>
          <w:color w:val="auto"/>
          <w:highlight w:val="none"/>
          <w:u w:val="single"/>
          <w:lang w:eastAsia="zh-CN"/>
        </w:rPr>
        <w:t xml:space="preserve">明确的所属行业） </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38CDE3E5">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343F3FF5">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19563AEF">
      <w:pPr>
        <w:spacing w:line="360" w:lineRule="auto"/>
        <w:ind w:firstLine="480" w:firstLineChars="200"/>
        <w:rPr>
          <w:rFonts w:ascii="仿宋" w:hAnsi="仿宋" w:eastAsia="仿宋" w:cs="仿宋"/>
          <w:color w:val="auto"/>
          <w:highlight w:val="none"/>
          <w:lang w:eastAsia="zh-CN"/>
        </w:rPr>
      </w:pPr>
    </w:p>
    <w:p w14:paraId="2607DBA7">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21EBF8A0">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0E5E7215">
      <w:pPr>
        <w:spacing w:line="360" w:lineRule="auto"/>
        <w:ind w:firstLine="480" w:firstLineChars="200"/>
        <w:rPr>
          <w:rFonts w:ascii="仿宋" w:hAnsi="仿宋" w:eastAsia="仿宋" w:cs="仿宋"/>
          <w:color w:val="auto"/>
          <w:highlight w:val="none"/>
          <w:lang w:eastAsia="zh-CN"/>
        </w:rPr>
      </w:pPr>
    </w:p>
    <w:p w14:paraId="0F4666AC">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6E59B7BB">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29497857">
      <w:pPr>
        <w:tabs>
          <w:tab w:val="left" w:pos="3600"/>
        </w:tabs>
        <w:adjustRightInd w:val="0"/>
        <w:snapToGrid w:val="0"/>
        <w:spacing w:line="440" w:lineRule="exact"/>
        <w:jc w:val="center"/>
        <w:rPr>
          <w:rFonts w:ascii="仿宋" w:hAnsi="仿宋" w:eastAsia="仿宋" w:cs="仿宋"/>
          <w:color w:val="auto"/>
          <w:sz w:val="36"/>
          <w:szCs w:val="36"/>
          <w:highlight w:val="none"/>
          <w:lang w:eastAsia="zh-CN"/>
        </w:rPr>
      </w:pPr>
    </w:p>
    <w:p w14:paraId="4073355F">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5AD8095B">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5F57286C">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5F41C475">
      <w:pPr>
        <w:pStyle w:val="4"/>
        <w:rPr>
          <w:rFonts w:hint="eastAsia" w:ascii="仿宋" w:hAnsi="仿宋" w:eastAsia="仿宋" w:cs="仿宋"/>
          <w:color w:val="auto"/>
          <w:sz w:val="36"/>
          <w:szCs w:val="36"/>
          <w:highlight w:val="none"/>
          <w:lang w:val="en-US" w:eastAsia="zh-CN"/>
        </w:rPr>
      </w:pPr>
    </w:p>
    <w:p w14:paraId="6BAED196">
      <w:pPr>
        <w:rPr>
          <w:rFonts w:hint="eastAsia" w:ascii="仿宋" w:hAnsi="仿宋" w:eastAsia="仿宋" w:cs="仿宋"/>
          <w:color w:val="auto"/>
          <w:sz w:val="36"/>
          <w:szCs w:val="36"/>
          <w:highlight w:val="none"/>
          <w:lang w:val="en-US" w:eastAsia="zh-CN"/>
        </w:rPr>
      </w:pPr>
    </w:p>
    <w:p w14:paraId="3FDC5831">
      <w:pPr>
        <w:pStyle w:val="4"/>
        <w:rPr>
          <w:rFonts w:hint="eastAsia" w:ascii="仿宋" w:hAnsi="仿宋" w:eastAsia="仿宋" w:cs="仿宋"/>
          <w:color w:val="auto"/>
          <w:sz w:val="36"/>
          <w:szCs w:val="36"/>
          <w:highlight w:val="none"/>
          <w:lang w:val="en-US" w:eastAsia="zh-CN"/>
        </w:rPr>
      </w:pPr>
    </w:p>
    <w:p w14:paraId="0FEBAAD3">
      <w:pPr>
        <w:rPr>
          <w:rFonts w:hint="eastAsia" w:ascii="仿宋" w:hAnsi="仿宋" w:eastAsia="仿宋" w:cs="仿宋"/>
          <w:color w:val="auto"/>
          <w:sz w:val="36"/>
          <w:szCs w:val="36"/>
          <w:highlight w:val="none"/>
          <w:lang w:val="en-US" w:eastAsia="zh-CN"/>
        </w:rPr>
      </w:pPr>
    </w:p>
    <w:p w14:paraId="25C10160">
      <w:pPr>
        <w:pStyle w:val="4"/>
        <w:rPr>
          <w:rFonts w:hint="eastAsia" w:ascii="仿宋" w:hAnsi="仿宋" w:eastAsia="仿宋" w:cs="仿宋"/>
          <w:color w:val="auto"/>
          <w:sz w:val="36"/>
          <w:szCs w:val="36"/>
          <w:highlight w:val="none"/>
          <w:lang w:val="en-US" w:eastAsia="zh-CN"/>
        </w:rPr>
      </w:pPr>
    </w:p>
    <w:p w14:paraId="5435EA69">
      <w:pPr>
        <w:rPr>
          <w:rFonts w:hint="eastAsia" w:ascii="仿宋" w:hAnsi="仿宋" w:eastAsia="仿宋" w:cs="仿宋"/>
          <w:color w:val="auto"/>
          <w:sz w:val="36"/>
          <w:szCs w:val="36"/>
          <w:highlight w:val="none"/>
          <w:lang w:val="en-US" w:eastAsia="zh-CN"/>
        </w:rPr>
      </w:pPr>
    </w:p>
    <w:p w14:paraId="5673412F">
      <w:pPr>
        <w:pStyle w:val="4"/>
        <w:rPr>
          <w:rFonts w:hint="eastAsia" w:ascii="仿宋" w:hAnsi="仿宋" w:eastAsia="仿宋" w:cs="仿宋"/>
          <w:color w:val="auto"/>
          <w:sz w:val="36"/>
          <w:szCs w:val="36"/>
          <w:highlight w:val="none"/>
          <w:lang w:val="en-US" w:eastAsia="zh-CN"/>
        </w:rPr>
      </w:pPr>
    </w:p>
    <w:p w14:paraId="4452B347">
      <w:pPr>
        <w:rPr>
          <w:rFonts w:hint="eastAsia" w:ascii="仿宋" w:hAnsi="仿宋" w:eastAsia="仿宋" w:cs="仿宋"/>
          <w:color w:val="auto"/>
          <w:sz w:val="36"/>
          <w:szCs w:val="36"/>
          <w:highlight w:val="none"/>
          <w:lang w:val="en-US" w:eastAsia="zh-CN"/>
        </w:rPr>
      </w:pPr>
    </w:p>
    <w:p w14:paraId="5AA181AB">
      <w:pPr>
        <w:pStyle w:val="4"/>
        <w:rPr>
          <w:rFonts w:hint="eastAsia"/>
          <w:color w:val="auto"/>
          <w:highlight w:val="none"/>
          <w:lang w:val="en-US" w:eastAsia="zh-CN"/>
        </w:rPr>
      </w:pPr>
    </w:p>
    <w:p w14:paraId="2BC431CE">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0E2E9787">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25FD3F7B">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63CE8DCF">
      <w:pPr>
        <w:spacing w:line="360" w:lineRule="auto"/>
        <w:ind w:firstLine="480" w:firstLineChars="200"/>
        <w:rPr>
          <w:rFonts w:hint="eastAsia" w:ascii="仿宋" w:hAnsi="仿宋" w:eastAsia="仿宋" w:cs="仿宋"/>
          <w:color w:val="auto"/>
          <w:highlight w:val="none"/>
          <w:lang w:val="en-US" w:eastAsia="zh-CN"/>
        </w:rPr>
      </w:pPr>
    </w:p>
    <w:p w14:paraId="53E0BA80">
      <w:pPr>
        <w:spacing w:line="360" w:lineRule="auto"/>
        <w:ind w:firstLine="640" w:firstLineChars="200"/>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中小企业划型标准规定</w:t>
      </w:r>
    </w:p>
    <w:p w14:paraId="5FC50269">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一、根据《中华人民共和国中小企业促进法》和《国务院关于进一步促进中小企业发展的若干意见》(国发〔2009〕36号)，制定本规定。</w:t>
      </w:r>
    </w:p>
    <w:p w14:paraId="1E6C5AD9">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二、中小企业划分为中型、小型、微型三种类型，具体标准根据企业从业人员、营业收入、资产总额等指标，结合行业特点制定。</w:t>
      </w:r>
    </w:p>
    <w:p w14:paraId="5D3BDA11">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83BF86C">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四、各行业划型标准为：</w:t>
      </w:r>
    </w:p>
    <w:p w14:paraId="46C03CEA">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20EA67C6">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B47EB8F">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6BDEB10">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EF9CE70">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B0E52F">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836385F">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4C96DC4">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0836E0B">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E76C1A">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0BB3E36">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1398F61">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756FF02">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3F9BB1E">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20A77B6">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42DDA10">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5EBAADF9">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五、企业类型的划分以统计部门的统计数据为依据。</w:t>
      </w:r>
    </w:p>
    <w:p w14:paraId="69E51C23">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六、本规定适用于在中华人民共和国境内依法设立的各类所有制和各种组织形式的企业。个体工商户和本规定以外的行业，参照本规定进行划型。</w:t>
      </w:r>
    </w:p>
    <w:p w14:paraId="6695C6DE">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55357B86">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八、本规定由工业和信息化部、国家统计局会同有关部门根据《国民经济行业分类》修订情况和企业发展变化情况适时修订。</w:t>
      </w:r>
    </w:p>
    <w:p w14:paraId="0E9FD427">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九、本规定由工业和信息化部、国家统计局会同有关部门负责解释。</w:t>
      </w:r>
    </w:p>
    <w:p w14:paraId="73F4A6C5">
      <w:pPr>
        <w:spacing w:line="360" w:lineRule="auto"/>
        <w:ind w:firstLine="480" w:firstLineChars="200"/>
        <w:rPr>
          <w:rFonts w:hint="eastAsia" w:ascii="仿宋" w:hAnsi="仿宋" w:eastAsia="仿宋" w:cs="仿宋"/>
          <w:color w:val="auto"/>
          <w:highlight w:val="none"/>
          <w:lang w:eastAsia="zh-CN"/>
        </w:rPr>
        <w:sectPr>
          <w:pgSz w:w="11907" w:h="16840"/>
          <w:pgMar w:top="1440" w:right="1213" w:bottom="1151" w:left="1457" w:header="720" w:footer="1134" w:gutter="0"/>
          <w:pgBorders>
            <w:top w:val="none" w:sz="0" w:space="0"/>
            <w:left w:val="none" w:sz="0" w:space="0"/>
            <w:bottom w:val="none" w:sz="0" w:space="0"/>
            <w:right w:val="none" w:sz="0" w:space="0"/>
          </w:pgBorders>
          <w:cols w:space="720" w:num="1"/>
          <w:titlePg/>
        </w:sectPr>
      </w:pPr>
      <w:r>
        <w:rPr>
          <w:rFonts w:hint="eastAsia" w:ascii="仿宋" w:hAnsi="仿宋" w:eastAsia="仿宋" w:cs="仿宋"/>
          <w:color w:val="auto"/>
          <w:highlight w:val="none"/>
          <w:lang w:eastAsia="zh-CN"/>
        </w:rPr>
        <w:t>十、本规定自发布之日起执行，原国家经贸委、原国家计委、财政部和国家统计局2003年颁布的《中小企业标准暂行规定》同时废止</w:t>
      </w:r>
    </w:p>
    <w:p w14:paraId="7F3D7A0D">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68342AB2">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4A3F6BF1">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38726E86">
      <w:pPr>
        <w:tabs>
          <w:tab w:val="left" w:pos="3600"/>
        </w:tabs>
        <w:adjustRightInd w:val="0"/>
        <w:snapToGrid w:val="0"/>
        <w:spacing w:line="440" w:lineRule="exact"/>
        <w:jc w:val="center"/>
        <w:rPr>
          <w:rFonts w:ascii="仿宋" w:hAnsi="仿宋" w:eastAsia="仿宋" w:cs="仿宋"/>
          <w:b/>
          <w:bCs/>
          <w:color w:val="auto"/>
          <w:spacing w:val="6"/>
          <w:sz w:val="36"/>
          <w:szCs w:val="36"/>
          <w:highlight w:val="none"/>
          <w:lang w:eastAsia="zh-CN"/>
        </w:rPr>
      </w:pPr>
      <w:r>
        <w:rPr>
          <w:rFonts w:hint="eastAsia" w:ascii="仿宋" w:hAnsi="仿宋" w:eastAsia="仿宋" w:cs="仿宋"/>
          <w:color w:val="auto"/>
          <w:sz w:val="36"/>
          <w:szCs w:val="36"/>
          <w:highlight w:val="none"/>
          <w:lang w:val="en-US" w:eastAsia="zh-CN"/>
        </w:rPr>
        <w:t>8</w:t>
      </w:r>
      <w:r>
        <w:rPr>
          <w:rFonts w:hint="eastAsia" w:ascii="仿宋" w:hAnsi="仿宋" w:eastAsia="仿宋" w:cs="仿宋"/>
          <w:color w:val="auto"/>
          <w:sz w:val="36"/>
          <w:szCs w:val="36"/>
          <w:highlight w:val="none"/>
          <w:lang w:eastAsia="zh-CN"/>
        </w:rPr>
        <w:t>、</w:t>
      </w:r>
      <w:r>
        <w:rPr>
          <w:rFonts w:hint="eastAsia" w:ascii="仿宋" w:hAnsi="仿宋" w:eastAsia="仿宋" w:cs="仿宋"/>
          <w:b/>
          <w:bCs/>
          <w:color w:val="auto"/>
          <w:spacing w:val="6"/>
          <w:sz w:val="36"/>
          <w:szCs w:val="36"/>
          <w:highlight w:val="none"/>
          <w:lang w:eastAsia="zh-CN"/>
        </w:rPr>
        <w:t>残疾人福利性单位声明函</w:t>
      </w:r>
    </w:p>
    <w:p w14:paraId="3ED73BB0">
      <w:pPr>
        <w:widowControl/>
        <w:adjustRightInd w:val="0"/>
        <w:snapToGrid w:val="0"/>
        <w:spacing w:line="440" w:lineRule="exact"/>
        <w:ind w:firstLine="514" w:firstLineChars="200"/>
        <w:rPr>
          <w:rFonts w:ascii="仿宋" w:hAnsi="仿宋" w:eastAsia="仿宋" w:cs="仿宋"/>
          <w:color w:val="auto"/>
          <w:spacing w:val="6"/>
          <w:highlight w:val="none"/>
          <w:lang w:eastAsia="zh-CN"/>
        </w:rPr>
      </w:pPr>
    </w:p>
    <w:p w14:paraId="22B44BF1">
      <w:pPr>
        <w:widowControl/>
        <w:adjustRightInd w:val="0"/>
        <w:snapToGrid w:val="0"/>
        <w:spacing w:line="440" w:lineRule="exact"/>
        <w:ind w:firstLine="51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单位的</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项目采购活动提供本单位制造的货物（由本单位承担工程/提供服务），或者提供其他残疾人福利性单位制造的货物（不包括使用非残疾人福利性单位注册商标的货物）。</w:t>
      </w:r>
    </w:p>
    <w:p w14:paraId="6C8DFD16">
      <w:pPr>
        <w:widowControl/>
        <w:adjustRightInd w:val="0"/>
        <w:snapToGrid w:val="0"/>
        <w:spacing w:line="440" w:lineRule="exact"/>
        <w:ind w:firstLine="51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本单位对上述声明的真实性负责。如有虚假，将依法承担相应责任。</w:t>
      </w:r>
    </w:p>
    <w:p w14:paraId="07215A2A">
      <w:pPr>
        <w:widowControl/>
        <w:adjustRightInd w:val="0"/>
        <w:snapToGrid w:val="0"/>
        <w:spacing w:line="440" w:lineRule="exact"/>
        <w:ind w:firstLine="51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w:t>
      </w:r>
    </w:p>
    <w:p w14:paraId="4460137B">
      <w:pPr>
        <w:widowControl/>
        <w:adjustRightInd w:val="0"/>
        <w:snapToGrid w:val="0"/>
        <w:spacing w:line="440" w:lineRule="exact"/>
        <w:ind w:firstLine="5654" w:firstLineChars="2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单位名称（盖章）：</w:t>
      </w:r>
    </w:p>
    <w:p w14:paraId="379EA88F">
      <w:pPr>
        <w:widowControl/>
        <w:adjustRightInd w:val="0"/>
        <w:snapToGrid w:val="0"/>
        <w:spacing w:line="440" w:lineRule="exact"/>
        <w:ind w:firstLine="51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日  期：</w:t>
      </w:r>
    </w:p>
    <w:p w14:paraId="2C7E42FA">
      <w:pPr>
        <w:pStyle w:val="4"/>
        <w:numPr>
          <w:ilvl w:val="1"/>
          <w:numId w:val="0"/>
        </w:numPr>
        <w:spacing w:line="240" w:lineRule="atLeast"/>
        <w:jc w:val="left"/>
        <w:rPr>
          <w:rFonts w:ascii="仿宋" w:hAnsi="仿宋" w:eastAsia="仿宋" w:cs="仿宋"/>
          <w:bCs/>
          <w:color w:val="auto"/>
          <w:sz w:val="24"/>
          <w:highlight w:val="none"/>
          <w:lang w:eastAsia="zh-CN"/>
        </w:rPr>
      </w:pPr>
    </w:p>
    <w:p w14:paraId="15A32C20">
      <w:pPr>
        <w:pStyle w:val="4"/>
        <w:numPr>
          <w:ilvl w:val="1"/>
          <w:numId w:val="0"/>
        </w:numPr>
        <w:spacing w:line="240" w:lineRule="atLeast"/>
        <w:jc w:val="left"/>
        <w:rPr>
          <w:rFonts w:ascii="仿宋" w:hAnsi="仿宋" w:eastAsia="仿宋" w:cs="仿宋"/>
          <w:bCs/>
          <w:color w:val="auto"/>
          <w:sz w:val="24"/>
          <w:highlight w:val="none"/>
          <w:lang w:eastAsia="zh-CN"/>
        </w:rPr>
      </w:pPr>
    </w:p>
    <w:p w14:paraId="252A0603">
      <w:pPr>
        <w:pStyle w:val="4"/>
        <w:numPr>
          <w:ilvl w:val="1"/>
          <w:numId w:val="0"/>
        </w:numPr>
        <w:spacing w:line="240" w:lineRule="atLeast"/>
        <w:jc w:val="left"/>
        <w:rPr>
          <w:rFonts w:ascii="仿宋" w:hAnsi="仿宋" w:eastAsia="仿宋" w:cs="仿宋"/>
          <w:bCs/>
          <w:color w:val="auto"/>
          <w:sz w:val="24"/>
          <w:highlight w:val="none"/>
          <w:lang w:eastAsia="zh-CN"/>
        </w:rPr>
      </w:pPr>
    </w:p>
    <w:p w14:paraId="64E10AC9">
      <w:pPr>
        <w:rPr>
          <w:rFonts w:ascii="仿宋" w:hAnsi="仿宋" w:eastAsia="仿宋" w:cs="仿宋"/>
          <w:b/>
          <w:bCs/>
          <w:color w:val="auto"/>
          <w:highlight w:val="none"/>
          <w:lang w:eastAsia="zh-CN"/>
        </w:rPr>
      </w:pPr>
    </w:p>
    <w:p w14:paraId="10A3E0FA">
      <w:pPr>
        <w:pStyle w:val="33"/>
        <w:rPr>
          <w:rFonts w:ascii="仿宋" w:hAnsi="仿宋" w:eastAsia="仿宋" w:cs="仿宋"/>
          <w:b/>
          <w:bCs/>
          <w:color w:val="auto"/>
          <w:highlight w:val="none"/>
          <w:lang w:eastAsia="zh-CN"/>
        </w:rPr>
      </w:pPr>
    </w:p>
    <w:p w14:paraId="78D165E6">
      <w:pPr>
        <w:pStyle w:val="33"/>
        <w:rPr>
          <w:rFonts w:ascii="仿宋" w:hAnsi="仿宋" w:eastAsia="仿宋" w:cs="仿宋"/>
          <w:b/>
          <w:bCs/>
          <w:color w:val="auto"/>
          <w:highlight w:val="none"/>
          <w:lang w:eastAsia="zh-CN"/>
        </w:rPr>
      </w:pPr>
    </w:p>
    <w:p w14:paraId="7BAF11A1">
      <w:pPr>
        <w:pStyle w:val="33"/>
        <w:rPr>
          <w:rFonts w:ascii="仿宋" w:hAnsi="仿宋" w:eastAsia="仿宋" w:cs="仿宋"/>
          <w:b/>
          <w:bCs/>
          <w:color w:val="auto"/>
          <w:highlight w:val="none"/>
          <w:lang w:eastAsia="zh-CN"/>
        </w:rPr>
      </w:pPr>
    </w:p>
    <w:p w14:paraId="13EB5158">
      <w:pPr>
        <w:pStyle w:val="33"/>
        <w:rPr>
          <w:rFonts w:ascii="仿宋" w:hAnsi="仿宋" w:eastAsia="仿宋" w:cs="仿宋"/>
          <w:b/>
          <w:bCs/>
          <w:color w:val="auto"/>
          <w:highlight w:val="none"/>
          <w:lang w:eastAsia="zh-CN"/>
        </w:rPr>
      </w:pPr>
    </w:p>
    <w:p w14:paraId="4A435A67">
      <w:pPr>
        <w:pStyle w:val="33"/>
        <w:rPr>
          <w:rFonts w:ascii="仿宋" w:hAnsi="仿宋" w:eastAsia="仿宋" w:cs="仿宋"/>
          <w:b/>
          <w:bCs/>
          <w:color w:val="auto"/>
          <w:highlight w:val="none"/>
          <w:lang w:eastAsia="zh-CN"/>
        </w:rPr>
      </w:pPr>
    </w:p>
    <w:p w14:paraId="69B10DFF">
      <w:pPr>
        <w:pStyle w:val="33"/>
        <w:rPr>
          <w:rFonts w:ascii="仿宋" w:hAnsi="仿宋" w:eastAsia="仿宋" w:cs="仿宋"/>
          <w:b/>
          <w:bCs/>
          <w:color w:val="auto"/>
          <w:highlight w:val="none"/>
          <w:lang w:eastAsia="zh-CN"/>
        </w:rPr>
      </w:pPr>
    </w:p>
    <w:p w14:paraId="3EA66DA7">
      <w:pPr>
        <w:pStyle w:val="33"/>
        <w:rPr>
          <w:rFonts w:ascii="仿宋" w:hAnsi="仿宋" w:eastAsia="仿宋" w:cs="仿宋"/>
          <w:b/>
          <w:bCs/>
          <w:color w:val="auto"/>
          <w:highlight w:val="none"/>
          <w:lang w:eastAsia="zh-CN"/>
        </w:rPr>
      </w:pPr>
    </w:p>
    <w:p w14:paraId="4E57771B">
      <w:pPr>
        <w:pStyle w:val="33"/>
        <w:rPr>
          <w:rFonts w:ascii="仿宋" w:hAnsi="仿宋" w:eastAsia="仿宋" w:cs="仿宋"/>
          <w:b/>
          <w:bCs/>
          <w:color w:val="auto"/>
          <w:highlight w:val="none"/>
          <w:lang w:eastAsia="zh-CN"/>
        </w:rPr>
      </w:pPr>
    </w:p>
    <w:p w14:paraId="716DE6C4">
      <w:pPr>
        <w:pStyle w:val="33"/>
        <w:rPr>
          <w:rFonts w:ascii="仿宋" w:hAnsi="仿宋" w:eastAsia="仿宋" w:cs="仿宋"/>
          <w:b/>
          <w:bCs/>
          <w:color w:val="auto"/>
          <w:highlight w:val="none"/>
          <w:lang w:eastAsia="zh-CN"/>
        </w:rPr>
      </w:pPr>
    </w:p>
    <w:p w14:paraId="73EF3135">
      <w:pPr>
        <w:pStyle w:val="33"/>
        <w:rPr>
          <w:rFonts w:ascii="仿宋" w:hAnsi="仿宋" w:eastAsia="仿宋" w:cs="仿宋"/>
          <w:b/>
          <w:bCs/>
          <w:color w:val="auto"/>
          <w:highlight w:val="none"/>
          <w:lang w:eastAsia="zh-CN"/>
        </w:rPr>
      </w:pPr>
    </w:p>
    <w:p w14:paraId="072A9F13">
      <w:pPr>
        <w:pStyle w:val="33"/>
        <w:rPr>
          <w:rFonts w:ascii="仿宋" w:hAnsi="仿宋" w:eastAsia="仿宋" w:cs="仿宋"/>
          <w:b/>
          <w:bCs/>
          <w:color w:val="auto"/>
          <w:highlight w:val="none"/>
          <w:lang w:eastAsia="zh-CN"/>
        </w:rPr>
      </w:pPr>
    </w:p>
    <w:p w14:paraId="553BCB47">
      <w:pPr>
        <w:pStyle w:val="33"/>
        <w:rPr>
          <w:rFonts w:ascii="仿宋" w:hAnsi="仿宋" w:eastAsia="仿宋" w:cs="仿宋"/>
          <w:b/>
          <w:bCs/>
          <w:color w:val="auto"/>
          <w:highlight w:val="none"/>
          <w:lang w:eastAsia="zh-CN"/>
        </w:rPr>
      </w:pPr>
    </w:p>
    <w:p w14:paraId="64F1E918">
      <w:pPr>
        <w:pStyle w:val="33"/>
        <w:rPr>
          <w:rFonts w:ascii="仿宋" w:hAnsi="仿宋" w:eastAsia="仿宋" w:cs="仿宋"/>
          <w:b/>
          <w:bCs/>
          <w:color w:val="auto"/>
          <w:highlight w:val="none"/>
          <w:lang w:eastAsia="zh-CN"/>
        </w:rPr>
      </w:pPr>
    </w:p>
    <w:p w14:paraId="26C8D84A">
      <w:pPr>
        <w:pStyle w:val="33"/>
        <w:rPr>
          <w:rFonts w:ascii="仿宋" w:hAnsi="仿宋" w:eastAsia="仿宋" w:cs="仿宋"/>
          <w:b/>
          <w:bCs/>
          <w:color w:val="auto"/>
          <w:highlight w:val="none"/>
          <w:lang w:eastAsia="zh-CN"/>
        </w:rPr>
      </w:pPr>
    </w:p>
    <w:p w14:paraId="141F0176">
      <w:pPr>
        <w:pStyle w:val="33"/>
        <w:rPr>
          <w:rFonts w:ascii="仿宋" w:hAnsi="仿宋" w:eastAsia="仿宋" w:cs="仿宋"/>
          <w:b/>
          <w:bCs/>
          <w:color w:val="auto"/>
          <w:highlight w:val="none"/>
          <w:lang w:eastAsia="zh-CN"/>
        </w:rPr>
      </w:pPr>
    </w:p>
    <w:p w14:paraId="5BE240F8">
      <w:pPr>
        <w:pStyle w:val="33"/>
        <w:rPr>
          <w:rFonts w:ascii="仿宋" w:hAnsi="仿宋" w:eastAsia="仿宋" w:cs="仿宋"/>
          <w:b/>
          <w:bCs/>
          <w:color w:val="auto"/>
          <w:highlight w:val="none"/>
          <w:lang w:eastAsia="zh-CN"/>
        </w:rPr>
      </w:pPr>
    </w:p>
    <w:p w14:paraId="14B42687">
      <w:pPr>
        <w:pStyle w:val="33"/>
        <w:rPr>
          <w:rFonts w:ascii="仿宋" w:hAnsi="仿宋" w:eastAsia="仿宋" w:cs="仿宋"/>
          <w:b/>
          <w:bCs/>
          <w:color w:val="auto"/>
          <w:highlight w:val="none"/>
          <w:lang w:eastAsia="zh-CN"/>
        </w:rPr>
      </w:pPr>
    </w:p>
    <w:p w14:paraId="1F3952D1">
      <w:pPr>
        <w:pStyle w:val="33"/>
        <w:rPr>
          <w:rFonts w:ascii="仿宋" w:hAnsi="仿宋" w:eastAsia="仿宋" w:cs="仿宋"/>
          <w:b/>
          <w:bCs/>
          <w:color w:val="auto"/>
          <w:highlight w:val="none"/>
          <w:lang w:eastAsia="zh-CN"/>
        </w:rPr>
      </w:pPr>
    </w:p>
    <w:p w14:paraId="7ACE3339">
      <w:pPr>
        <w:pStyle w:val="4"/>
        <w:numPr>
          <w:ilvl w:val="1"/>
          <w:numId w:val="0"/>
        </w:numPr>
        <w:spacing w:line="240" w:lineRule="atLeast"/>
        <w:jc w:val="left"/>
        <w:rPr>
          <w:rFonts w:ascii="仿宋" w:hAnsi="仿宋" w:eastAsia="仿宋" w:cs="仿宋"/>
          <w:bCs/>
          <w:color w:val="auto"/>
          <w:sz w:val="24"/>
          <w:highlight w:val="none"/>
          <w:lang w:eastAsia="zh-CN"/>
        </w:rPr>
      </w:pPr>
    </w:p>
    <w:p w14:paraId="53ED7149">
      <w:pPr>
        <w:tabs>
          <w:tab w:val="left" w:pos="3600"/>
        </w:tabs>
        <w:adjustRightInd w:val="0"/>
        <w:snapToGrid w:val="0"/>
        <w:spacing w:line="440" w:lineRule="exact"/>
        <w:jc w:val="center"/>
        <w:rPr>
          <w:rFonts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val="en-US" w:eastAsia="zh-CN"/>
        </w:rPr>
        <w:t>9</w:t>
      </w:r>
      <w:r>
        <w:rPr>
          <w:rFonts w:hint="eastAsia" w:ascii="仿宋" w:hAnsi="仿宋" w:eastAsia="仿宋" w:cs="仿宋"/>
          <w:b/>
          <w:bCs/>
          <w:color w:val="auto"/>
          <w:sz w:val="36"/>
          <w:szCs w:val="36"/>
          <w:highlight w:val="none"/>
          <w:lang w:eastAsia="zh-CN"/>
        </w:rPr>
        <w:t>、评分标准和细则中技术部分证明材料（格式自拟</w:t>
      </w:r>
      <w:r>
        <w:rPr>
          <w:rFonts w:hint="eastAsia" w:ascii="仿宋" w:hAnsi="仿宋" w:eastAsia="仿宋" w:cs="仿宋"/>
          <w:color w:val="auto"/>
          <w:sz w:val="36"/>
          <w:szCs w:val="36"/>
          <w:highlight w:val="none"/>
          <w:lang w:eastAsia="zh-CN"/>
        </w:rPr>
        <w:t>）</w:t>
      </w:r>
    </w:p>
    <w:p w14:paraId="58ACEA96">
      <w:pPr>
        <w:pStyle w:val="4"/>
        <w:numPr>
          <w:ilvl w:val="1"/>
          <w:numId w:val="0"/>
        </w:numPr>
        <w:spacing w:line="240" w:lineRule="atLeast"/>
        <w:ind w:left="629" w:leftChars="257"/>
        <w:rPr>
          <w:rFonts w:ascii="仿宋" w:hAnsi="仿宋" w:eastAsia="仿宋" w:cs="仿宋"/>
          <w:color w:val="auto"/>
          <w:sz w:val="24"/>
          <w:highlight w:val="none"/>
          <w:lang w:eastAsia="zh-CN"/>
        </w:rPr>
      </w:pPr>
    </w:p>
    <w:p w14:paraId="25AD97A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val="en-US" w:eastAsia="zh-CN"/>
        </w:rPr>
        <w:t>商务</w:t>
      </w:r>
      <w:r>
        <w:rPr>
          <w:rFonts w:hint="eastAsia" w:ascii="仿宋" w:hAnsi="仿宋" w:eastAsia="仿宋" w:cs="仿宋"/>
          <w:color w:val="auto"/>
          <w:highlight w:val="none"/>
          <w:u w:val="single"/>
          <w:lang w:eastAsia="zh-CN"/>
        </w:rPr>
        <w:t>标准和细则中技术部分</w:t>
      </w:r>
      <w:r>
        <w:rPr>
          <w:rFonts w:hint="eastAsia" w:ascii="仿宋" w:hAnsi="仿宋" w:eastAsia="仿宋" w:cs="仿宋"/>
          <w:color w:val="auto"/>
          <w:highlight w:val="none"/>
          <w:lang w:eastAsia="zh-CN"/>
        </w:rPr>
        <w:t>要求的其他资格证明文件（主要包括：技术指标参数</w:t>
      </w:r>
      <w:r>
        <w:rPr>
          <w:rFonts w:hint="eastAsia" w:ascii="仿宋" w:hAnsi="仿宋" w:eastAsia="仿宋" w:cs="仿宋"/>
          <w:color w:val="auto"/>
          <w:highlight w:val="none"/>
          <w:lang w:val="en-US" w:eastAsia="zh-CN"/>
        </w:rPr>
        <w:t>响应情况</w:t>
      </w:r>
      <w:r>
        <w:rPr>
          <w:rFonts w:hint="eastAsia" w:ascii="仿宋" w:hAnsi="仿宋" w:eastAsia="仿宋" w:cs="仿宋"/>
          <w:color w:val="auto"/>
          <w:szCs w:val="21"/>
          <w:highlight w:val="none"/>
          <w:lang w:eastAsia="zh-CN" w:bidi="ar-SA"/>
        </w:rPr>
        <w:t>等</w:t>
      </w:r>
      <w:r>
        <w:rPr>
          <w:rFonts w:hint="eastAsia" w:ascii="仿宋" w:hAnsi="仿宋" w:eastAsia="仿宋" w:cs="仿宋"/>
          <w:color w:val="auto"/>
          <w:highlight w:val="none"/>
          <w:lang w:eastAsia="zh-CN"/>
        </w:rPr>
        <w:t>）。</w:t>
      </w:r>
    </w:p>
    <w:p w14:paraId="397F22F5">
      <w:pPr>
        <w:pStyle w:val="11"/>
        <w:tabs>
          <w:tab w:val="left" w:pos="5580"/>
        </w:tabs>
        <w:spacing w:line="240" w:lineRule="atLeas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2.复印件上应加盖本单位章（自然人投标的无需盖章，需要签字）。</w:t>
      </w:r>
    </w:p>
    <w:p w14:paraId="55435711">
      <w:pPr>
        <w:pStyle w:val="5"/>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p>
    <w:p w14:paraId="482274B3">
      <w:pPr>
        <w:rPr>
          <w:rFonts w:ascii="仿宋" w:hAnsi="仿宋" w:eastAsia="仿宋" w:cs="仿宋"/>
          <w:color w:val="auto"/>
          <w:highlight w:val="none"/>
          <w:lang w:eastAsia="zh-CN"/>
        </w:rPr>
      </w:pPr>
    </w:p>
    <w:p w14:paraId="3E7F64BA">
      <w:pPr>
        <w:pStyle w:val="4"/>
        <w:numPr>
          <w:ilvl w:val="1"/>
          <w:numId w:val="0"/>
        </w:numPr>
        <w:spacing w:line="240" w:lineRule="atLeast"/>
        <w:ind w:left="629" w:leftChars="257"/>
        <w:rPr>
          <w:rFonts w:ascii="仿宋" w:hAnsi="仿宋" w:eastAsia="仿宋" w:cs="仿宋"/>
          <w:color w:val="auto"/>
          <w:sz w:val="24"/>
          <w:highlight w:val="none"/>
          <w:lang w:eastAsia="zh-CN"/>
        </w:rPr>
      </w:pPr>
    </w:p>
    <w:p w14:paraId="44B6623A">
      <w:pPr>
        <w:tabs>
          <w:tab w:val="left" w:pos="3600"/>
        </w:tabs>
        <w:adjustRightInd w:val="0"/>
        <w:snapToGrid w:val="0"/>
        <w:spacing w:line="440" w:lineRule="exact"/>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w:t>
      </w:r>
      <w:r>
        <w:rPr>
          <w:rFonts w:hint="eastAsia" w:ascii="仿宋" w:hAnsi="仿宋" w:eastAsia="仿宋" w:cs="仿宋"/>
          <w:b/>
          <w:bCs/>
          <w:color w:val="auto"/>
          <w:sz w:val="36"/>
          <w:szCs w:val="36"/>
          <w:highlight w:val="none"/>
          <w:lang w:val="en-US" w:eastAsia="zh-CN"/>
        </w:rPr>
        <w:t>0</w:t>
      </w:r>
      <w:r>
        <w:rPr>
          <w:rFonts w:hint="eastAsia" w:ascii="仿宋" w:hAnsi="仿宋" w:eastAsia="仿宋" w:cs="仿宋"/>
          <w:b/>
          <w:bCs/>
          <w:color w:val="auto"/>
          <w:sz w:val="36"/>
          <w:szCs w:val="36"/>
          <w:highlight w:val="none"/>
          <w:lang w:eastAsia="zh-CN"/>
        </w:rPr>
        <w:t>、评分标准和细则中商务部分证明材料（格式自拟）</w:t>
      </w:r>
    </w:p>
    <w:p w14:paraId="6195F067">
      <w:pPr>
        <w:pStyle w:val="11"/>
        <w:tabs>
          <w:tab w:val="left" w:pos="5580"/>
        </w:tabs>
        <w:spacing w:line="240" w:lineRule="atLeast"/>
        <w:rPr>
          <w:rFonts w:ascii="仿宋" w:hAnsi="仿宋" w:eastAsia="仿宋" w:cs="仿宋"/>
          <w:color w:val="auto"/>
          <w:highlight w:val="none"/>
          <w:lang w:eastAsia="zh-CN"/>
        </w:rPr>
      </w:pPr>
    </w:p>
    <w:p w14:paraId="080B0133">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评分标准和细则中商务部分</w:t>
      </w:r>
      <w:r>
        <w:rPr>
          <w:rFonts w:hint="eastAsia" w:ascii="仿宋" w:hAnsi="仿宋" w:eastAsia="仿宋" w:cs="仿宋"/>
          <w:color w:val="auto"/>
          <w:highlight w:val="none"/>
          <w:lang w:eastAsia="zh-CN"/>
        </w:rPr>
        <w:t>要求的其他资格证明文件（主要包括：</w:t>
      </w:r>
      <w:r>
        <w:rPr>
          <w:rFonts w:hint="eastAsia" w:ascii="仿宋" w:hAnsi="仿宋" w:eastAsia="仿宋" w:cs="仿宋"/>
          <w:color w:val="auto"/>
          <w:highlight w:val="none"/>
          <w:lang w:val="en-US" w:eastAsia="zh-CN"/>
        </w:rPr>
        <w:t>商务要求响应情况等</w:t>
      </w:r>
      <w:r>
        <w:rPr>
          <w:rFonts w:hint="eastAsia" w:ascii="仿宋" w:hAnsi="仿宋" w:eastAsia="仿宋" w:cs="仿宋"/>
          <w:color w:val="auto"/>
          <w:highlight w:val="none"/>
          <w:lang w:eastAsia="zh-CN"/>
        </w:rPr>
        <w:t>）。</w:t>
      </w:r>
    </w:p>
    <w:p w14:paraId="7729BB05">
      <w:pPr>
        <w:pStyle w:val="11"/>
        <w:tabs>
          <w:tab w:val="left" w:pos="5580"/>
        </w:tabs>
        <w:spacing w:line="240" w:lineRule="atLeast"/>
        <w:ind w:firstLine="735" w:firstLineChars="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2.复印件上应加盖本单位章（自然人投标的无需盖章，需要签字）。</w:t>
      </w:r>
    </w:p>
    <w:p w14:paraId="12FE8834">
      <w:pPr>
        <w:pStyle w:val="4"/>
        <w:numPr>
          <w:ilvl w:val="1"/>
          <w:numId w:val="0"/>
        </w:numPr>
        <w:spacing w:line="240" w:lineRule="atLeast"/>
        <w:jc w:val="left"/>
        <w:rPr>
          <w:rFonts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 xml:space="preserve">    </w:t>
      </w:r>
    </w:p>
    <w:p w14:paraId="1CB020EE">
      <w:pPr>
        <w:pStyle w:val="4"/>
        <w:numPr>
          <w:ilvl w:val="1"/>
          <w:numId w:val="0"/>
        </w:numPr>
        <w:spacing w:line="240" w:lineRule="atLeast"/>
        <w:jc w:val="left"/>
        <w:rPr>
          <w:rFonts w:ascii="仿宋" w:hAnsi="仿宋" w:eastAsia="仿宋" w:cs="仿宋"/>
          <w:bCs/>
          <w:color w:val="auto"/>
          <w:sz w:val="24"/>
          <w:highlight w:val="none"/>
          <w:lang w:eastAsia="zh-CN"/>
        </w:rPr>
      </w:pPr>
    </w:p>
    <w:p w14:paraId="61F963C5">
      <w:pPr>
        <w:pStyle w:val="4"/>
        <w:numPr>
          <w:ilvl w:val="1"/>
          <w:numId w:val="0"/>
        </w:numPr>
        <w:spacing w:line="240" w:lineRule="atLeast"/>
        <w:jc w:val="left"/>
        <w:rPr>
          <w:rFonts w:ascii="仿宋" w:hAnsi="仿宋" w:eastAsia="仿宋" w:cs="仿宋"/>
          <w:bCs/>
          <w:color w:val="auto"/>
          <w:sz w:val="24"/>
          <w:highlight w:val="none"/>
          <w:lang w:eastAsia="zh-CN"/>
        </w:rPr>
      </w:pPr>
    </w:p>
    <w:p w14:paraId="5B897495">
      <w:pPr>
        <w:rPr>
          <w:rFonts w:ascii="仿宋" w:hAnsi="仿宋" w:eastAsia="仿宋" w:cs="仿宋"/>
          <w:color w:val="auto"/>
          <w:highlight w:val="none"/>
          <w:lang w:eastAsia="zh-CN"/>
        </w:rPr>
      </w:pPr>
    </w:p>
    <w:p w14:paraId="1461AED3">
      <w:pPr>
        <w:pStyle w:val="4"/>
        <w:numPr>
          <w:ilvl w:val="1"/>
          <w:numId w:val="0"/>
        </w:numPr>
        <w:spacing w:line="240" w:lineRule="atLeast"/>
        <w:jc w:val="left"/>
        <w:rPr>
          <w:rFonts w:ascii="仿宋" w:hAnsi="仿宋" w:eastAsia="仿宋" w:cs="仿宋"/>
          <w:bCs/>
          <w:color w:val="auto"/>
          <w:sz w:val="24"/>
          <w:highlight w:val="none"/>
          <w:lang w:eastAsia="zh-CN"/>
        </w:rPr>
      </w:pPr>
    </w:p>
    <w:p w14:paraId="68CB7909">
      <w:pPr>
        <w:pStyle w:val="4"/>
        <w:numPr>
          <w:ilvl w:val="1"/>
          <w:numId w:val="0"/>
        </w:numPr>
        <w:spacing w:line="240" w:lineRule="atLeast"/>
        <w:jc w:val="left"/>
        <w:rPr>
          <w:rFonts w:ascii="仿宋" w:hAnsi="仿宋" w:eastAsia="仿宋" w:cs="仿宋"/>
          <w:bCs/>
          <w:color w:val="auto"/>
          <w:sz w:val="24"/>
          <w:highlight w:val="none"/>
          <w:lang w:eastAsia="zh-CN"/>
        </w:rPr>
      </w:pPr>
    </w:p>
    <w:p w14:paraId="0696185D">
      <w:pPr>
        <w:tabs>
          <w:tab w:val="left" w:pos="3600"/>
        </w:tabs>
        <w:adjustRightInd w:val="0"/>
        <w:snapToGrid w:val="0"/>
        <w:spacing w:line="440" w:lineRule="exact"/>
        <w:jc w:val="center"/>
        <w:rPr>
          <w:rFonts w:ascii="仿宋" w:hAnsi="仿宋" w:eastAsia="仿宋" w:cs="仿宋"/>
          <w:b/>
          <w:bCs/>
          <w:color w:val="auto"/>
          <w:w w:val="90"/>
          <w:sz w:val="36"/>
          <w:szCs w:val="36"/>
          <w:highlight w:val="none"/>
          <w:lang w:eastAsia="zh-CN"/>
        </w:rPr>
      </w:pPr>
      <w:r>
        <w:rPr>
          <w:rFonts w:hint="eastAsia" w:ascii="仿宋" w:hAnsi="仿宋" w:eastAsia="仿宋" w:cs="仿宋"/>
          <w:b/>
          <w:bCs/>
          <w:color w:val="auto"/>
          <w:sz w:val="36"/>
          <w:szCs w:val="36"/>
          <w:highlight w:val="none"/>
          <w:lang w:eastAsia="zh-CN"/>
        </w:rPr>
        <w:t>1</w:t>
      </w:r>
      <w:r>
        <w:rPr>
          <w:rFonts w:hint="eastAsia" w:ascii="仿宋" w:hAnsi="仿宋" w:eastAsia="仿宋" w:cs="仿宋"/>
          <w:b/>
          <w:bCs/>
          <w:color w:val="auto"/>
          <w:sz w:val="36"/>
          <w:szCs w:val="36"/>
          <w:highlight w:val="none"/>
          <w:lang w:val="en-US" w:eastAsia="zh-CN"/>
        </w:rPr>
        <w:t>1</w:t>
      </w: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w w:val="90"/>
          <w:sz w:val="36"/>
          <w:szCs w:val="36"/>
          <w:highlight w:val="none"/>
          <w:lang w:eastAsia="zh-CN"/>
        </w:rPr>
        <w:t>供应商认为有必要提供的其他证明材料（格式自拟）</w:t>
      </w:r>
    </w:p>
    <w:p w14:paraId="2AE5CF9F">
      <w:pPr>
        <w:pStyle w:val="11"/>
        <w:tabs>
          <w:tab w:val="left" w:pos="5580"/>
        </w:tabs>
        <w:spacing w:line="240" w:lineRule="atLeast"/>
        <w:ind w:firstLine="490" w:firstLineChars="200"/>
        <w:rPr>
          <w:rFonts w:ascii="仿宋" w:hAnsi="仿宋" w:eastAsia="仿宋" w:cs="仿宋"/>
          <w:color w:val="auto"/>
          <w:highlight w:val="none"/>
          <w:lang w:eastAsia="zh-CN"/>
        </w:rPr>
      </w:pPr>
    </w:p>
    <w:p w14:paraId="5C966DAF">
      <w:pPr>
        <w:pStyle w:val="11"/>
        <w:tabs>
          <w:tab w:val="left" w:pos="5580"/>
        </w:tabs>
        <w:spacing w:line="240" w:lineRule="atLeas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说明：复印件上应加盖本单位章（自然人投标的无需盖章，需要签字）。</w:t>
      </w:r>
    </w:p>
    <w:p w14:paraId="16F8AAAF">
      <w:pPr>
        <w:pStyle w:val="12"/>
        <w:ind w:left="2880"/>
        <w:rPr>
          <w:color w:val="auto"/>
          <w:highlight w:val="none"/>
          <w:lang w:eastAsia="zh-CN"/>
        </w:rPr>
      </w:pPr>
    </w:p>
    <w:sectPr>
      <w:headerReference r:id="rId20" w:type="default"/>
      <w:footerReference r:id="rId21" w:type="default"/>
      <w:pgSz w:w="11905" w:h="16838"/>
      <w:pgMar w:top="1440" w:right="1417" w:bottom="1440" w:left="1417" w:header="850" w:footer="992" w:gutter="0"/>
      <w:pgNumType w:fmt="decimal"/>
      <w:cols w:space="0" w:num="1"/>
      <w:rtlGutter w:val="0"/>
      <w:docGrid w:type="linesAndChars" w:linePitch="332" w:charSpace="10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BF99487-2E2D-4AD7-BCE5-3179EC710312}"/>
  </w:font>
  <w:font w:name="黑体">
    <w:panose1 w:val="02010609060101010101"/>
    <w:charset w:val="86"/>
    <w:family w:val="auto"/>
    <w:pitch w:val="default"/>
    <w:sig w:usb0="800002BF" w:usb1="38CF7CFA" w:usb2="00000016" w:usb3="00000000" w:csb0="00040001" w:csb1="00000000"/>
    <w:embedRegular r:id="rId2" w:fontKey="{F973BA16-AC29-4CD5-9AAE-A02DBBC940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227CEAF8-F9BB-45B9-9BC2-FC749FE94317}"/>
  </w:font>
  <w:font w:name="_x000B__x000C_">
    <w:altName w:val="Courier New"/>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embedRegular r:id="rId4" w:fontKey="{955011F0-2AE0-4E7C-BB97-A55BDCD09A7F}"/>
  </w:font>
  <w:font w:name="楷体">
    <w:panose1 w:val="02010609060101010101"/>
    <w:charset w:val="86"/>
    <w:family w:val="auto"/>
    <w:pitch w:val="default"/>
    <w:sig w:usb0="800002BF" w:usb1="38CF7CFA" w:usb2="00000016" w:usb3="00000000" w:csb0="00040001" w:csb1="00000000"/>
    <w:embedRegular r:id="rId5" w:fontKey="{38595E94-8D41-451A-A26A-70C5525E5605}"/>
  </w:font>
  <w:font w:name="微软雅黑">
    <w:panose1 w:val="020B0503020204020204"/>
    <w:charset w:val="86"/>
    <w:family w:val="swiss"/>
    <w:pitch w:val="default"/>
    <w:sig w:usb0="80000287" w:usb1="2ACF3C50" w:usb2="00000016" w:usb3="00000000" w:csb0="0004001F" w:csb1="00000000"/>
    <w:embedRegular r:id="rId6" w:fontKey="{CF2C5F7B-2519-4C91-BC0F-0FE3D61192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399B2">
    <w:pPr>
      <w:pStyle w:val="15"/>
      <w:ind w:right="360"/>
      <w:jc w:val="both"/>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7213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02072137">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6"/>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B4CF42"/>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26B4CF42"/>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40E8">
    <w:pPr>
      <w:pStyle w:val="1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D2895">
                          <w:pPr>
                            <w:pStyle w:val="1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14:paraId="3F7D2895">
                    <w:pPr>
                      <w:pStyle w:val="1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D1DAC">
    <w:pPr>
      <w:pStyle w:val="1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35DF3">
                          <w:pPr>
                            <w:pStyle w:val="15"/>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14:paraId="29535DF3">
                    <w:pPr>
                      <w:pStyle w:val="15"/>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E6863">
    <w:pPr>
      <w:pStyle w:val="1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1DB96">
                          <w:pPr>
                            <w:pStyle w:val="15"/>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14:paraId="2781DB96">
                    <w:pPr>
                      <w:pStyle w:val="15"/>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75E83">
    <w:pPr>
      <w:pStyle w:val="15"/>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122D3">
                          <w:pPr>
                            <w:pStyle w:val="15"/>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14:paraId="4BE122D3">
                    <w:pPr>
                      <w:pStyle w:val="15"/>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8F382">
    <w:pPr>
      <w:pStyle w:val="15"/>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9A21C">
                          <w:pPr>
                            <w:pStyle w:val="1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14:paraId="4949A21C">
                    <w:pPr>
                      <w:pStyle w:val="1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3D9AA">
    <w:pPr>
      <w:pStyle w:val="15"/>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A60A7">
                          <w:pPr>
                            <w:pStyle w:val="15"/>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14:paraId="538A60A7">
                    <w:pPr>
                      <w:pStyle w:val="15"/>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9BCDA">
    <w:pPr>
      <w:pStyle w:val="15"/>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FAA10">
                          <w:pPr>
                            <w:pStyle w:val="15"/>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UiM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rVIjNAIAAGUEAAAOAAAAAAAAAAEAIAAAAB8BAABkcnMvZTJvRG9jLnhtbFBL&#10;BQYAAAAABgAGAFkBAADFBQAAAAA=&#10;">
              <v:fill on="f" focussize="0,0"/>
              <v:stroke on="f" weight="0.5pt"/>
              <v:imagedata o:title=""/>
              <o:lock v:ext="edit" aspectratio="f"/>
              <v:textbox inset="0mm,0mm,0mm,0mm" style="mso-fit-shape-to-text:t;">
                <w:txbxContent>
                  <w:p w14:paraId="147FAA10">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EFD24">
    <w:pPr>
      <w:pStyle w:val="15"/>
      <w:ind w:right="360"/>
      <w:jc w:val="both"/>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3F77A">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4673F77A">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6"/>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C37919">
                          <w:pPr>
                            <w:pStyle w:val="15"/>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55C37919">
                    <w:pPr>
                      <w:pStyle w:val="15"/>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13CC2">
    <w:pPr>
      <w:spacing w:before="1" w:line="176" w:lineRule="auto"/>
      <w:ind w:left="7834"/>
      <w:rPr>
        <w:rFonts w:ascii="宋体" w:hAnsi="宋体" w:eastAsia="宋体" w:cs="宋体"/>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C029C">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111C029C">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43695">
    <w:pPr>
      <w:pStyle w:val="15"/>
      <w:ind w:right="360"/>
      <w:jc w:val="both"/>
    </w:pPr>
    <w:r>
      <w:rPr>
        <w:sz w:val="13"/>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C0528">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78BC0528">
                    <w:pPr>
                      <w:pStyle w:val="15"/>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sz w:val="13"/>
        <w:szCs w:val="13"/>
      </w:rPr>
      <w:t xml:space="preserve"> </w:t>
    </w:r>
    <w:r>
      <w:rPr>
        <w:rFonts w:hint="eastAsia"/>
      </w:rPr>
      <w:t xml:space="preserve">  </w:t>
    </w:r>
  </w:p>
  <w:p w14:paraId="6182F891">
    <w:pPr>
      <w:pStyle w:val="15"/>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300E1">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A9713">
                          <w:pPr>
                            <w:pStyle w:val="1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5A7A9713">
                    <w:pPr>
                      <w:pStyle w:val="1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D743B">
    <w:pPr>
      <w:pStyle w:val="1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B0267">
                          <w:pPr>
                            <w:pStyle w:val="15"/>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01EB0267">
                    <w:pPr>
                      <w:pStyle w:val="1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E098C">
    <w:pPr>
      <w:pStyle w:val="1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E6B46">
                          <w:pPr>
                            <w:pStyle w:val="1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40DE6B46">
                    <w:pPr>
                      <w:pStyle w:val="1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11BD1">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D73D5">
                          <w:pPr>
                            <w:pStyle w:val="1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332D73D5">
                    <w:pPr>
                      <w:pStyle w:val="15"/>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9CAD9">
    <w:pPr>
      <w:pStyle w:val="1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11F4F">
                          <w:pPr>
                            <w:pStyle w:val="1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50F11F4F">
                    <w:pPr>
                      <w:pStyle w:val="1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0DD03">
    <w:pPr>
      <w:pStyle w:val="16"/>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D256D">
    <w:pPr>
      <w:pStyle w:val="16"/>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27C25">
    <w:pPr>
      <w:pStyle w:val="16"/>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1DAE7"/>
    <w:multiLevelType w:val="singleLevel"/>
    <w:tmpl w:val="91A1DAE7"/>
    <w:lvl w:ilvl="0" w:tentative="0">
      <w:start w:val="1"/>
      <w:numFmt w:val="chineseCounting"/>
      <w:suff w:val="space"/>
      <w:lvlText w:val="第%1部分"/>
      <w:lvlJc w:val="left"/>
      <w:rPr>
        <w:rFonts w:hint="eastAsia"/>
      </w:rPr>
    </w:lvl>
  </w:abstractNum>
  <w:abstractNum w:abstractNumId="1">
    <w:nsid w:val="CF0DAD01"/>
    <w:multiLevelType w:val="singleLevel"/>
    <w:tmpl w:val="CF0DAD01"/>
    <w:lvl w:ilvl="0" w:tentative="0">
      <w:start w:val="1"/>
      <w:numFmt w:val="decimal"/>
      <w:suff w:val="space"/>
      <w:lvlText w:val="%1."/>
      <w:lvlJc w:val="left"/>
    </w:lvl>
  </w:abstractNum>
  <w:abstractNum w:abstractNumId="2">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21BC14CE"/>
    <w:multiLevelType w:val="singleLevel"/>
    <w:tmpl w:val="21BC14CE"/>
    <w:lvl w:ilvl="0" w:tentative="0">
      <w:start w:val="6"/>
      <w:numFmt w:val="chineseCounting"/>
      <w:suff w:val="nothing"/>
      <w:lvlText w:val="%1、"/>
      <w:lvlJc w:val="left"/>
      <w:rPr>
        <w:rFonts w:hint="eastAsia"/>
      </w:rPr>
    </w:lvl>
  </w:abstractNum>
  <w:abstractNum w:abstractNumId="5">
    <w:nsid w:val="498D00C3"/>
    <w:multiLevelType w:val="singleLevel"/>
    <w:tmpl w:val="498D00C3"/>
    <w:lvl w:ilvl="0" w:tentative="0">
      <w:start w:val="1"/>
      <w:numFmt w:val="decimal"/>
      <w:suff w:val="nothing"/>
      <w:lvlText w:val="%1、"/>
      <w:lvlJc w:val="left"/>
    </w:lvl>
  </w:abstractNum>
  <w:abstractNum w:abstractNumId="6">
    <w:nsid w:val="55CD4C99"/>
    <w:multiLevelType w:val="singleLevel"/>
    <w:tmpl w:val="55CD4C99"/>
    <w:lvl w:ilvl="0" w:tentative="0">
      <w:start w:val="1"/>
      <w:numFmt w:val="chineseCounting"/>
      <w:suff w:val="nothing"/>
      <w:lvlText w:val="%1、"/>
      <w:lvlJc w:val="left"/>
    </w:lvl>
  </w:abstractNum>
  <w:abstractNum w:abstractNumId="7">
    <w:nsid w:val="583C33E9"/>
    <w:multiLevelType w:val="singleLevel"/>
    <w:tmpl w:val="583C33E9"/>
    <w:lvl w:ilvl="0" w:tentative="0">
      <w:start w:val="1"/>
      <w:numFmt w:val="decimal"/>
      <w:suff w:val="nothing"/>
      <w:lvlText w:val="（%1）"/>
      <w:lvlJc w:val="left"/>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0"/>
  </w:num>
  <w:num w:numId="3">
    <w:abstractNumId w:val="4"/>
  </w:num>
  <w:num w:numId="4">
    <w:abstractNumId w:val="7"/>
  </w:num>
  <w:num w:numId="5">
    <w:abstractNumId w:val="6"/>
  </w:num>
  <w:num w:numId="6">
    <w:abstractNumId w:val="3"/>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23"/>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NGJkMjkxZDQzMGFhNzBiMDk4ODQyOWJmZDE3YzIifQ=="/>
  </w:docVars>
  <w:rsids>
    <w:rsidRoot w:val="430832B2"/>
    <w:rsid w:val="00036274"/>
    <w:rsid w:val="000E7277"/>
    <w:rsid w:val="00153D08"/>
    <w:rsid w:val="001909B2"/>
    <w:rsid w:val="00232484"/>
    <w:rsid w:val="004259D8"/>
    <w:rsid w:val="00461E17"/>
    <w:rsid w:val="00464AB6"/>
    <w:rsid w:val="00471CA4"/>
    <w:rsid w:val="00495089"/>
    <w:rsid w:val="00562077"/>
    <w:rsid w:val="00597163"/>
    <w:rsid w:val="005D4E0B"/>
    <w:rsid w:val="005E0AA6"/>
    <w:rsid w:val="00643BE3"/>
    <w:rsid w:val="006761BB"/>
    <w:rsid w:val="006D00E3"/>
    <w:rsid w:val="0076445C"/>
    <w:rsid w:val="008276FA"/>
    <w:rsid w:val="008849F7"/>
    <w:rsid w:val="008D1783"/>
    <w:rsid w:val="008D4A14"/>
    <w:rsid w:val="009143D6"/>
    <w:rsid w:val="00A329DF"/>
    <w:rsid w:val="00A75CA8"/>
    <w:rsid w:val="00AA277B"/>
    <w:rsid w:val="00AB0B74"/>
    <w:rsid w:val="00AF420A"/>
    <w:rsid w:val="00BA4013"/>
    <w:rsid w:val="00C26A7F"/>
    <w:rsid w:val="00C377E4"/>
    <w:rsid w:val="00C57AF5"/>
    <w:rsid w:val="00C74FD6"/>
    <w:rsid w:val="00D00791"/>
    <w:rsid w:val="00D00D67"/>
    <w:rsid w:val="00D03DFD"/>
    <w:rsid w:val="00D84377"/>
    <w:rsid w:val="00DE0124"/>
    <w:rsid w:val="00E52F76"/>
    <w:rsid w:val="00E56748"/>
    <w:rsid w:val="00EB29FB"/>
    <w:rsid w:val="00ED05CA"/>
    <w:rsid w:val="00F050C2"/>
    <w:rsid w:val="00F70359"/>
    <w:rsid w:val="00FB6C7A"/>
    <w:rsid w:val="011C441A"/>
    <w:rsid w:val="01205D5C"/>
    <w:rsid w:val="0123584C"/>
    <w:rsid w:val="014631E4"/>
    <w:rsid w:val="014F6266"/>
    <w:rsid w:val="015514B2"/>
    <w:rsid w:val="01577813"/>
    <w:rsid w:val="016427B3"/>
    <w:rsid w:val="016C709F"/>
    <w:rsid w:val="01714809"/>
    <w:rsid w:val="019F0F2F"/>
    <w:rsid w:val="01BA3FA8"/>
    <w:rsid w:val="01E44B68"/>
    <w:rsid w:val="01EF3980"/>
    <w:rsid w:val="02113BC2"/>
    <w:rsid w:val="021A6F6E"/>
    <w:rsid w:val="02310B96"/>
    <w:rsid w:val="02614ACA"/>
    <w:rsid w:val="027D687D"/>
    <w:rsid w:val="0298074F"/>
    <w:rsid w:val="029B6DF8"/>
    <w:rsid w:val="02E7054D"/>
    <w:rsid w:val="03065EF4"/>
    <w:rsid w:val="03120DC1"/>
    <w:rsid w:val="03152839"/>
    <w:rsid w:val="03531E23"/>
    <w:rsid w:val="035508BA"/>
    <w:rsid w:val="03D270B5"/>
    <w:rsid w:val="03DF7ECE"/>
    <w:rsid w:val="042A106A"/>
    <w:rsid w:val="04700DA8"/>
    <w:rsid w:val="04770389"/>
    <w:rsid w:val="04856CE4"/>
    <w:rsid w:val="04864EB4"/>
    <w:rsid w:val="049E59B4"/>
    <w:rsid w:val="04A5170B"/>
    <w:rsid w:val="04AE2658"/>
    <w:rsid w:val="04B35139"/>
    <w:rsid w:val="04BC1D77"/>
    <w:rsid w:val="04C64537"/>
    <w:rsid w:val="04D61271"/>
    <w:rsid w:val="04E11CA6"/>
    <w:rsid w:val="050F221F"/>
    <w:rsid w:val="051E7B81"/>
    <w:rsid w:val="052B11CF"/>
    <w:rsid w:val="058638AE"/>
    <w:rsid w:val="0591547A"/>
    <w:rsid w:val="059268C4"/>
    <w:rsid w:val="05B43558"/>
    <w:rsid w:val="05BA5A3D"/>
    <w:rsid w:val="05BD6F2F"/>
    <w:rsid w:val="05CE725F"/>
    <w:rsid w:val="05D26519"/>
    <w:rsid w:val="05E43238"/>
    <w:rsid w:val="06141E47"/>
    <w:rsid w:val="062E44A1"/>
    <w:rsid w:val="06385AA9"/>
    <w:rsid w:val="063B7194"/>
    <w:rsid w:val="066A7A79"/>
    <w:rsid w:val="067376C2"/>
    <w:rsid w:val="068F23C3"/>
    <w:rsid w:val="06A20D46"/>
    <w:rsid w:val="06C96786"/>
    <w:rsid w:val="06F117ED"/>
    <w:rsid w:val="072C60C0"/>
    <w:rsid w:val="073826E5"/>
    <w:rsid w:val="074F6B51"/>
    <w:rsid w:val="07560E5F"/>
    <w:rsid w:val="076242BA"/>
    <w:rsid w:val="07B0770E"/>
    <w:rsid w:val="07C3421A"/>
    <w:rsid w:val="07E54CE8"/>
    <w:rsid w:val="08147C9D"/>
    <w:rsid w:val="08253C96"/>
    <w:rsid w:val="08323FEC"/>
    <w:rsid w:val="085D5AE7"/>
    <w:rsid w:val="086504F8"/>
    <w:rsid w:val="088C7521"/>
    <w:rsid w:val="091D420B"/>
    <w:rsid w:val="09231976"/>
    <w:rsid w:val="093F2ABC"/>
    <w:rsid w:val="095073FA"/>
    <w:rsid w:val="098032F7"/>
    <w:rsid w:val="099723FA"/>
    <w:rsid w:val="099B238B"/>
    <w:rsid w:val="09A3752A"/>
    <w:rsid w:val="09B17236"/>
    <w:rsid w:val="09BB7723"/>
    <w:rsid w:val="09E92566"/>
    <w:rsid w:val="0A007485"/>
    <w:rsid w:val="0A226110"/>
    <w:rsid w:val="0A271261"/>
    <w:rsid w:val="0A3B59B5"/>
    <w:rsid w:val="0A495E4D"/>
    <w:rsid w:val="0A5A5434"/>
    <w:rsid w:val="0A622E54"/>
    <w:rsid w:val="0A9357F1"/>
    <w:rsid w:val="0A982D0F"/>
    <w:rsid w:val="0AA82B31"/>
    <w:rsid w:val="0AC736EC"/>
    <w:rsid w:val="0AEC1713"/>
    <w:rsid w:val="0AFE7394"/>
    <w:rsid w:val="0B213EE8"/>
    <w:rsid w:val="0B2F3756"/>
    <w:rsid w:val="0B3D750A"/>
    <w:rsid w:val="0B440899"/>
    <w:rsid w:val="0B472137"/>
    <w:rsid w:val="0B641CFB"/>
    <w:rsid w:val="0B81389B"/>
    <w:rsid w:val="0B8736EC"/>
    <w:rsid w:val="0B941400"/>
    <w:rsid w:val="0B9E39F1"/>
    <w:rsid w:val="0BB54396"/>
    <w:rsid w:val="0BF26C44"/>
    <w:rsid w:val="0C13062D"/>
    <w:rsid w:val="0C1429D4"/>
    <w:rsid w:val="0C442687"/>
    <w:rsid w:val="0C844FE0"/>
    <w:rsid w:val="0C9D4705"/>
    <w:rsid w:val="0CA37841"/>
    <w:rsid w:val="0CC0289C"/>
    <w:rsid w:val="0CEC09FC"/>
    <w:rsid w:val="0CF364CE"/>
    <w:rsid w:val="0D533015"/>
    <w:rsid w:val="0D625AD8"/>
    <w:rsid w:val="0D9030DE"/>
    <w:rsid w:val="0D9378B6"/>
    <w:rsid w:val="0D9F26FE"/>
    <w:rsid w:val="0DC43F13"/>
    <w:rsid w:val="0DCF4D92"/>
    <w:rsid w:val="0DF71E4A"/>
    <w:rsid w:val="0E3E1813"/>
    <w:rsid w:val="0E58693D"/>
    <w:rsid w:val="0E8C1181"/>
    <w:rsid w:val="0EBE2D47"/>
    <w:rsid w:val="0F152C78"/>
    <w:rsid w:val="0F356E0A"/>
    <w:rsid w:val="0F5025E4"/>
    <w:rsid w:val="0F8110A9"/>
    <w:rsid w:val="0FA22205"/>
    <w:rsid w:val="0FB83603"/>
    <w:rsid w:val="0FBD5951"/>
    <w:rsid w:val="0FDC276E"/>
    <w:rsid w:val="0FFE0D46"/>
    <w:rsid w:val="10015291"/>
    <w:rsid w:val="10685029"/>
    <w:rsid w:val="1084479B"/>
    <w:rsid w:val="10922C9A"/>
    <w:rsid w:val="10DF6D44"/>
    <w:rsid w:val="10E30B54"/>
    <w:rsid w:val="10F7015B"/>
    <w:rsid w:val="111821AF"/>
    <w:rsid w:val="11352510"/>
    <w:rsid w:val="114227C7"/>
    <w:rsid w:val="114535BD"/>
    <w:rsid w:val="116457F1"/>
    <w:rsid w:val="11790B97"/>
    <w:rsid w:val="11A43746"/>
    <w:rsid w:val="11D566EF"/>
    <w:rsid w:val="11E12A09"/>
    <w:rsid w:val="12184141"/>
    <w:rsid w:val="12326DC2"/>
    <w:rsid w:val="12552003"/>
    <w:rsid w:val="127D570A"/>
    <w:rsid w:val="12891287"/>
    <w:rsid w:val="1291653A"/>
    <w:rsid w:val="129526FC"/>
    <w:rsid w:val="12E070F9"/>
    <w:rsid w:val="12E23A01"/>
    <w:rsid w:val="13015F66"/>
    <w:rsid w:val="130308CA"/>
    <w:rsid w:val="13086650"/>
    <w:rsid w:val="1312560D"/>
    <w:rsid w:val="1326612C"/>
    <w:rsid w:val="132C218A"/>
    <w:rsid w:val="133F71C2"/>
    <w:rsid w:val="13620D48"/>
    <w:rsid w:val="13651CF4"/>
    <w:rsid w:val="13691C8A"/>
    <w:rsid w:val="136C7D4D"/>
    <w:rsid w:val="136D678A"/>
    <w:rsid w:val="13916645"/>
    <w:rsid w:val="13A60FAF"/>
    <w:rsid w:val="13D55805"/>
    <w:rsid w:val="13F84D28"/>
    <w:rsid w:val="1419582D"/>
    <w:rsid w:val="142B46CE"/>
    <w:rsid w:val="14602089"/>
    <w:rsid w:val="14841E5F"/>
    <w:rsid w:val="14953EB8"/>
    <w:rsid w:val="14B46A8F"/>
    <w:rsid w:val="14CD6092"/>
    <w:rsid w:val="14DD6D28"/>
    <w:rsid w:val="15007F26"/>
    <w:rsid w:val="15200D24"/>
    <w:rsid w:val="1525173B"/>
    <w:rsid w:val="153C6A85"/>
    <w:rsid w:val="154F67B8"/>
    <w:rsid w:val="156B02D6"/>
    <w:rsid w:val="156D1711"/>
    <w:rsid w:val="159F732A"/>
    <w:rsid w:val="15A00DC2"/>
    <w:rsid w:val="15B8610B"/>
    <w:rsid w:val="15C31338"/>
    <w:rsid w:val="15DE4373"/>
    <w:rsid w:val="15E839EB"/>
    <w:rsid w:val="16010E59"/>
    <w:rsid w:val="16105F47"/>
    <w:rsid w:val="16250E07"/>
    <w:rsid w:val="16490368"/>
    <w:rsid w:val="16533BFB"/>
    <w:rsid w:val="167B61DA"/>
    <w:rsid w:val="16873D30"/>
    <w:rsid w:val="1694258C"/>
    <w:rsid w:val="169D2B08"/>
    <w:rsid w:val="16C61301"/>
    <w:rsid w:val="16DD57C1"/>
    <w:rsid w:val="16EA2C3C"/>
    <w:rsid w:val="16F969DB"/>
    <w:rsid w:val="170E4BCF"/>
    <w:rsid w:val="17150407"/>
    <w:rsid w:val="171D0CC1"/>
    <w:rsid w:val="171F0B4E"/>
    <w:rsid w:val="172577D0"/>
    <w:rsid w:val="173C4B1A"/>
    <w:rsid w:val="174A3FF4"/>
    <w:rsid w:val="174F0CF1"/>
    <w:rsid w:val="1756362C"/>
    <w:rsid w:val="17626C76"/>
    <w:rsid w:val="176A1687"/>
    <w:rsid w:val="177D34DC"/>
    <w:rsid w:val="178644DD"/>
    <w:rsid w:val="17881C02"/>
    <w:rsid w:val="178E694D"/>
    <w:rsid w:val="17A34B99"/>
    <w:rsid w:val="17C57205"/>
    <w:rsid w:val="17E9335B"/>
    <w:rsid w:val="17EB3771"/>
    <w:rsid w:val="17F24A94"/>
    <w:rsid w:val="18890233"/>
    <w:rsid w:val="1890511D"/>
    <w:rsid w:val="18910E95"/>
    <w:rsid w:val="18BD5FDF"/>
    <w:rsid w:val="18CC2463"/>
    <w:rsid w:val="18DF7E53"/>
    <w:rsid w:val="18FE29CF"/>
    <w:rsid w:val="1910625E"/>
    <w:rsid w:val="19445F08"/>
    <w:rsid w:val="19567E2C"/>
    <w:rsid w:val="19791440"/>
    <w:rsid w:val="198D3D53"/>
    <w:rsid w:val="19C21571"/>
    <w:rsid w:val="19D24BCD"/>
    <w:rsid w:val="19EC2827"/>
    <w:rsid w:val="1A6A7BF0"/>
    <w:rsid w:val="1A6C043C"/>
    <w:rsid w:val="1AA14F3E"/>
    <w:rsid w:val="1ABB2559"/>
    <w:rsid w:val="1AC473D9"/>
    <w:rsid w:val="1AC94917"/>
    <w:rsid w:val="1ACD57BB"/>
    <w:rsid w:val="1AF122FC"/>
    <w:rsid w:val="1AFF3BAB"/>
    <w:rsid w:val="1B2938B4"/>
    <w:rsid w:val="1B3867B7"/>
    <w:rsid w:val="1B3917D2"/>
    <w:rsid w:val="1B526E30"/>
    <w:rsid w:val="1B5A42F2"/>
    <w:rsid w:val="1B8F4956"/>
    <w:rsid w:val="1B9F4C44"/>
    <w:rsid w:val="1BA46EB4"/>
    <w:rsid w:val="1BE65325"/>
    <w:rsid w:val="1BF54431"/>
    <w:rsid w:val="1C30363D"/>
    <w:rsid w:val="1C71170A"/>
    <w:rsid w:val="1C770BAC"/>
    <w:rsid w:val="1C8812E8"/>
    <w:rsid w:val="1C8D5583"/>
    <w:rsid w:val="1CA83733"/>
    <w:rsid w:val="1CAB78D6"/>
    <w:rsid w:val="1CBF4223"/>
    <w:rsid w:val="1CC048D1"/>
    <w:rsid w:val="1CC67E42"/>
    <w:rsid w:val="1CF66B88"/>
    <w:rsid w:val="1CFB0C7C"/>
    <w:rsid w:val="1CFF3DC8"/>
    <w:rsid w:val="1D28001A"/>
    <w:rsid w:val="1D450060"/>
    <w:rsid w:val="1D6A7173"/>
    <w:rsid w:val="1D6F5759"/>
    <w:rsid w:val="1DA74335"/>
    <w:rsid w:val="1DA82F09"/>
    <w:rsid w:val="1DBD70AE"/>
    <w:rsid w:val="1DDE4B7D"/>
    <w:rsid w:val="1E122A78"/>
    <w:rsid w:val="1E435DE1"/>
    <w:rsid w:val="1E4F61D8"/>
    <w:rsid w:val="1E6813A9"/>
    <w:rsid w:val="1E6D1634"/>
    <w:rsid w:val="1E812ED1"/>
    <w:rsid w:val="1E831280"/>
    <w:rsid w:val="1E9272EE"/>
    <w:rsid w:val="1EBB4EBE"/>
    <w:rsid w:val="1ECE4F82"/>
    <w:rsid w:val="1EE5064C"/>
    <w:rsid w:val="1F0321C6"/>
    <w:rsid w:val="1F0664F1"/>
    <w:rsid w:val="1F0E3240"/>
    <w:rsid w:val="1F106FB8"/>
    <w:rsid w:val="1F253C6E"/>
    <w:rsid w:val="1F5B26D6"/>
    <w:rsid w:val="1F6007D8"/>
    <w:rsid w:val="1F6C3F34"/>
    <w:rsid w:val="1F802FD4"/>
    <w:rsid w:val="1F9C074E"/>
    <w:rsid w:val="1FA922C3"/>
    <w:rsid w:val="1FB748C5"/>
    <w:rsid w:val="1FC3402A"/>
    <w:rsid w:val="1FCE03C0"/>
    <w:rsid w:val="202A6722"/>
    <w:rsid w:val="203828DD"/>
    <w:rsid w:val="20497A92"/>
    <w:rsid w:val="205D4216"/>
    <w:rsid w:val="20746CEC"/>
    <w:rsid w:val="20796498"/>
    <w:rsid w:val="207B2B57"/>
    <w:rsid w:val="209978B1"/>
    <w:rsid w:val="209D4381"/>
    <w:rsid w:val="20A33CCB"/>
    <w:rsid w:val="20BE129F"/>
    <w:rsid w:val="20CB2108"/>
    <w:rsid w:val="20E00C0C"/>
    <w:rsid w:val="20EE3329"/>
    <w:rsid w:val="211A31D2"/>
    <w:rsid w:val="218454A5"/>
    <w:rsid w:val="21903D8A"/>
    <w:rsid w:val="21DC7694"/>
    <w:rsid w:val="21F7470F"/>
    <w:rsid w:val="22086693"/>
    <w:rsid w:val="22181233"/>
    <w:rsid w:val="22561186"/>
    <w:rsid w:val="228127CE"/>
    <w:rsid w:val="22965E6B"/>
    <w:rsid w:val="22AE28BF"/>
    <w:rsid w:val="22D64075"/>
    <w:rsid w:val="22D700DE"/>
    <w:rsid w:val="22F917C9"/>
    <w:rsid w:val="23226B91"/>
    <w:rsid w:val="23463622"/>
    <w:rsid w:val="235B1AD6"/>
    <w:rsid w:val="235B27CC"/>
    <w:rsid w:val="23866C6B"/>
    <w:rsid w:val="23874BA3"/>
    <w:rsid w:val="238D7E59"/>
    <w:rsid w:val="23A52724"/>
    <w:rsid w:val="23C2284B"/>
    <w:rsid w:val="23DE58D7"/>
    <w:rsid w:val="23E07E45"/>
    <w:rsid w:val="23E32D30"/>
    <w:rsid w:val="23F46EA8"/>
    <w:rsid w:val="2426737F"/>
    <w:rsid w:val="242C7FB7"/>
    <w:rsid w:val="24420E29"/>
    <w:rsid w:val="24532B5A"/>
    <w:rsid w:val="245B2E54"/>
    <w:rsid w:val="247952B4"/>
    <w:rsid w:val="24862E11"/>
    <w:rsid w:val="24F24E35"/>
    <w:rsid w:val="25002F8D"/>
    <w:rsid w:val="250A091E"/>
    <w:rsid w:val="25546BA5"/>
    <w:rsid w:val="25550156"/>
    <w:rsid w:val="255F6E8A"/>
    <w:rsid w:val="256D43FD"/>
    <w:rsid w:val="25772925"/>
    <w:rsid w:val="258D4BC1"/>
    <w:rsid w:val="258E522C"/>
    <w:rsid w:val="25FB512C"/>
    <w:rsid w:val="262B2929"/>
    <w:rsid w:val="266B40F4"/>
    <w:rsid w:val="267D2FA7"/>
    <w:rsid w:val="267F67D1"/>
    <w:rsid w:val="268B6833"/>
    <w:rsid w:val="26900A13"/>
    <w:rsid w:val="26A73C77"/>
    <w:rsid w:val="26B733C2"/>
    <w:rsid w:val="26D37563"/>
    <w:rsid w:val="26DC54DA"/>
    <w:rsid w:val="273B6420"/>
    <w:rsid w:val="274B4345"/>
    <w:rsid w:val="2759752E"/>
    <w:rsid w:val="275B723E"/>
    <w:rsid w:val="27641FEC"/>
    <w:rsid w:val="27870033"/>
    <w:rsid w:val="27A00FD5"/>
    <w:rsid w:val="280B656E"/>
    <w:rsid w:val="28195D94"/>
    <w:rsid w:val="283D072F"/>
    <w:rsid w:val="283D6877"/>
    <w:rsid w:val="286536CA"/>
    <w:rsid w:val="286955CC"/>
    <w:rsid w:val="286B44D3"/>
    <w:rsid w:val="289B1FE8"/>
    <w:rsid w:val="28B5472C"/>
    <w:rsid w:val="290F6532"/>
    <w:rsid w:val="291718D0"/>
    <w:rsid w:val="291C049E"/>
    <w:rsid w:val="291F0973"/>
    <w:rsid w:val="292875F4"/>
    <w:rsid w:val="29384AB9"/>
    <w:rsid w:val="293935AF"/>
    <w:rsid w:val="293A037F"/>
    <w:rsid w:val="293D4896"/>
    <w:rsid w:val="294E1863"/>
    <w:rsid w:val="29556C6B"/>
    <w:rsid w:val="299249BD"/>
    <w:rsid w:val="29D37560"/>
    <w:rsid w:val="29DB685D"/>
    <w:rsid w:val="29EC3DAC"/>
    <w:rsid w:val="29F20F87"/>
    <w:rsid w:val="2A015314"/>
    <w:rsid w:val="2A2644A5"/>
    <w:rsid w:val="2A2953D2"/>
    <w:rsid w:val="2A5E151F"/>
    <w:rsid w:val="2A6F2C28"/>
    <w:rsid w:val="2A937A76"/>
    <w:rsid w:val="2AB303AA"/>
    <w:rsid w:val="2ACB6489"/>
    <w:rsid w:val="2ACD0275"/>
    <w:rsid w:val="2ADC5AFD"/>
    <w:rsid w:val="2AE56C24"/>
    <w:rsid w:val="2AF23A16"/>
    <w:rsid w:val="2AF552B4"/>
    <w:rsid w:val="2AF9470D"/>
    <w:rsid w:val="2B22254D"/>
    <w:rsid w:val="2B2A724C"/>
    <w:rsid w:val="2B3330A0"/>
    <w:rsid w:val="2B396545"/>
    <w:rsid w:val="2B482FF6"/>
    <w:rsid w:val="2B4B519A"/>
    <w:rsid w:val="2B762634"/>
    <w:rsid w:val="2B973B3C"/>
    <w:rsid w:val="2B97636B"/>
    <w:rsid w:val="2B980A61"/>
    <w:rsid w:val="2BC74505"/>
    <w:rsid w:val="2BD870AF"/>
    <w:rsid w:val="2BE5357A"/>
    <w:rsid w:val="2BF043F9"/>
    <w:rsid w:val="2C2A1339"/>
    <w:rsid w:val="2C302A48"/>
    <w:rsid w:val="2C650DA2"/>
    <w:rsid w:val="2C6A7F5A"/>
    <w:rsid w:val="2CAE3D57"/>
    <w:rsid w:val="2CD70408"/>
    <w:rsid w:val="2CF36B5F"/>
    <w:rsid w:val="2CFB5024"/>
    <w:rsid w:val="2D031F0A"/>
    <w:rsid w:val="2D173C07"/>
    <w:rsid w:val="2D1B0C53"/>
    <w:rsid w:val="2D261D28"/>
    <w:rsid w:val="2D2D342B"/>
    <w:rsid w:val="2D380A40"/>
    <w:rsid w:val="2D7E66F1"/>
    <w:rsid w:val="2D8E211C"/>
    <w:rsid w:val="2D95546D"/>
    <w:rsid w:val="2D9D7FEB"/>
    <w:rsid w:val="2DA570F4"/>
    <w:rsid w:val="2DB43A1E"/>
    <w:rsid w:val="2DB85DC1"/>
    <w:rsid w:val="2DDB2F86"/>
    <w:rsid w:val="2DDB5965"/>
    <w:rsid w:val="2DF1140A"/>
    <w:rsid w:val="2E0D2420"/>
    <w:rsid w:val="2E1B0C2F"/>
    <w:rsid w:val="2E2D19AE"/>
    <w:rsid w:val="2E344345"/>
    <w:rsid w:val="2E3662A3"/>
    <w:rsid w:val="2E496547"/>
    <w:rsid w:val="2E4F43FC"/>
    <w:rsid w:val="2E764B34"/>
    <w:rsid w:val="2EB85F02"/>
    <w:rsid w:val="2ECB148D"/>
    <w:rsid w:val="2ED0014B"/>
    <w:rsid w:val="2ED161A3"/>
    <w:rsid w:val="2EE43FBD"/>
    <w:rsid w:val="2F265E4E"/>
    <w:rsid w:val="2F2820FC"/>
    <w:rsid w:val="2F7B19FE"/>
    <w:rsid w:val="2FA50B1C"/>
    <w:rsid w:val="2FAD33C2"/>
    <w:rsid w:val="2FB86C3C"/>
    <w:rsid w:val="2FC516F9"/>
    <w:rsid w:val="2FD815CC"/>
    <w:rsid w:val="301A16BC"/>
    <w:rsid w:val="301B400C"/>
    <w:rsid w:val="30486A4B"/>
    <w:rsid w:val="309E3029"/>
    <w:rsid w:val="30B013AF"/>
    <w:rsid w:val="30FD3213"/>
    <w:rsid w:val="310E0297"/>
    <w:rsid w:val="313A1B8F"/>
    <w:rsid w:val="319518C6"/>
    <w:rsid w:val="31AF60BD"/>
    <w:rsid w:val="31C54436"/>
    <w:rsid w:val="31DE4CF4"/>
    <w:rsid w:val="31E57E30"/>
    <w:rsid w:val="32140CAC"/>
    <w:rsid w:val="32290665"/>
    <w:rsid w:val="32387E25"/>
    <w:rsid w:val="325141C6"/>
    <w:rsid w:val="325E21E3"/>
    <w:rsid w:val="32792DB7"/>
    <w:rsid w:val="32A23F73"/>
    <w:rsid w:val="32AD108D"/>
    <w:rsid w:val="32B435BE"/>
    <w:rsid w:val="32BF4B25"/>
    <w:rsid w:val="32F67E2E"/>
    <w:rsid w:val="32F819B1"/>
    <w:rsid w:val="330B38C7"/>
    <w:rsid w:val="332B21BB"/>
    <w:rsid w:val="335B1D88"/>
    <w:rsid w:val="335C76C1"/>
    <w:rsid w:val="335D7402"/>
    <w:rsid w:val="33711F29"/>
    <w:rsid w:val="337B3536"/>
    <w:rsid w:val="339A10EE"/>
    <w:rsid w:val="3464452F"/>
    <w:rsid w:val="3469771D"/>
    <w:rsid w:val="34755008"/>
    <w:rsid w:val="34976726"/>
    <w:rsid w:val="349A75F8"/>
    <w:rsid w:val="34AC63E7"/>
    <w:rsid w:val="34F903B8"/>
    <w:rsid w:val="351A6043"/>
    <w:rsid w:val="35414648"/>
    <w:rsid w:val="35427B0F"/>
    <w:rsid w:val="35487054"/>
    <w:rsid w:val="356B5D1D"/>
    <w:rsid w:val="357F49FA"/>
    <w:rsid w:val="3586192A"/>
    <w:rsid w:val="3589141A"/>
    <w:rsid w:val="35B2271F"/>
    <w:rsid w:val="35FB6CDA"/>
    <w:rsid w:val="36163AE0"/>
    <w:rsid w:val="36394B26"/>
    <w:rsid w:val="366003CD"/>
    <w:rsid w:val="368F25A7"/>
    <w:rsid w:val="369D74F4"/>
    <w:rsid w:val="36A4475E"/>
    <w:rsid w:val="36A56C68"/>
    <w:rsid w:val="36AA5E0A"/>
    <w:rsid w:val="36CA0C5E"/>
    <w:rsid w:val="36D05553"/>
    <w:rsid w:val="36E45212"/>
    <w:rsid w:val="36F91182"/>
    <w:rsid w:val="37066C5A"/>
    <w:rsid w:val="370E607B"/>
    <w:rsid w:val="371C74DF"/>
    <w:rsid w:val="37217B5C"/>
    <w:rsid w:val="372E04CB"/>
    <w:rsid w:val="374E6478"/>
    <w:rsid w:val="37520F41"/>
    <w:rsid w:val="37597C5C"/>
    <w:rsid w:val="3762161D"/>
    <w:rsid w:val="378679C0"/>
    <w:rsid w:val="378F65A8"/>
    <w:rsid w:val="379C5435"/>
    <w:rsid w:val="37A05DB8"/>
    <w:rsid w:val="37A12630"/>
    <w:rsid w:val="37AC319E"/>
    <w:rsid w:val="37B30F66"/>
    <w:rsid w:val="37BC4B4A"/>
    <w:rsid w:val="37D44BCF"/>
    <w:rsid w:val="37DE58F5"/>
    <w:rsid w:val="37E405CE"/>
    <w:rsid w:val="38083993"/>
    <w:rsid w:val="383733B0"/>
    <w:rsid w:val="384B2A52"/>
    <w:rsid w:val="385B709E"/>
    <w:rsid w:val="38715716"/>
    <w:rsid w:val="387E0FDF"/>
    <w:rsid w:val="38895400"/>
    <w:rsid w:val="389329EF"/>
    <w:rsid w:val="389425B0"/>
    <w:rsid w:val="38966328"/>
    <w:rsid w:val="38B36EDA"/>
    <w:rsid w:val="38BD4DB8"/>
    <w:rsid w:val="38C13A06"/>
    <w:rsid w:val="38C56C0D"/>
    <w:rsid w:val="38DE52AC"/>
    <w:rsid w:val="38E2244B"/>
    <w:rsid w:val="38E3090A"/>
    <w:rsid w:val="38E53BA7"/>
    <w:rsid w:val="390A63CE"/>
    <w:rsid w:val="390C7ED6"/>
    <w:rsid w:val="393042D6"/>
    <w:rsid w:val="39A1380C"/>
    <w:rsid w:val="39A77BA6"/>
    <w:rsid w:val="39C07B4A"/>
    <w:rsid w:val="3A0473C9"/>
    <w:rsid w:val="3A1273C6"/>
    <w:rsid w:val="3A4F49E1"/>
    <w:rsid w:val="3A5E2E76"/>
    <w:rsid w:val="3A6D6A80"/>
    <w:rsid w:val="3A8A3C6B"/>
    <w:rsid w:val="3AE06945"/>
    <w:rsid w:val="3AFA401D"/>
    <w:rsid w:val="3AFF2602"/>
    <w:rsid w:val="3B1339F6"/>
    <w:rsid w:val="3B2A146C"/>
    <w:rsid w:val="3B3E1CA2"/>
    <w:rsid w:val="3B7F7C46"/>
    <w:rsid w:val="3B805D44"/>
    <w:rsid w:val="3B8B7C9A"/>
    <w:rsid w:val="3B941E1F"/>
    <w:rsid w:val="3B970458"/>
    <w:rsid w:val="3BA119E0"/>
    <w:rsid w:val="3BAB20EB"/>
    <w:rsid w:val="3BB05953"/>
    <w:rsid w:val="3BCC2061"/>
    <w:rsid w:val="3BD71372"/>
    <w:rsid w:val="3BDE19D1"/>
    <w:rsid w:val="3C0462BF"/>
    <w:rsid w:val="3C220102"/>
    <w:rsid w:val="3C5950AB"/>
    <w:rsid w:val="3C851CFB"/>
    <w:rsid w:val="3C893FAF"/>
    <w:rsid w:val="3C8C70EA"/>
    <w:rsid w:val="3C8E4303"/>
    <w:rsid w:val="3C911F9E"/>
    <w:rsid w:val="3C946E63"/>
    <w:rsid w:val="3CA32CD3"/>
    <w:rsid w:val="3CA827C1"/>
    <w:rsid w:val="3CAD59EE"/>
    <w:rsid w:val="3CB1207B"/>
    <w:rsid w:val="3CB925E5"/>
    <w:rsid w:val="3CC5567F"/>
    <w:rsid w:val="3CDA4418"/>
    <w:rsid w:val="3D2C725B"/>
    <w:rsid w:val="3D38095E"/>
    <w:rsid w:val="3D643600"/>
    <w:rsid w:val="3D723DD3"/>
    <w:rsid w:val="3D751F42"/>
    <w:rsid w:val="3D820B0E"/>
    <w:rsid w:val="3D992E0C"/>
    <w:rsid w:val="3DA87F4F"/>
    <w:rsid w:val="3DB60995"/>
    <w:rsid w:val="3DC2196D"/>
    <w:rsid w:val="3DD57ECA"/>
    <w:rsid w:val="3DF71617"/>
    <w:rsid w:val="3DFB02CF"/>
    <w:rsid w:val="3DFE0BF8"/>
    <w:rsid w:val="3E1D0952"/>
    <w:rsid w:val="3E3300C3"/>
    <w:rsid w:val="3E500D27"/>
    <w:rsid w:val="3E611186"/>
    <w:rsid w:val="3E7C7D6E"/>
    <w:rsid w:val="3E80503E"/>
    <w:rsid w:val="3F385E8A"/>
    <w:rsid w:val="3F6A3151"/>
    <w:rsid w:val="3F874C1D"/>
    <w:rsid w:val="3F973103"/>
    <w:rsid w:val="3F9B2645"/>
    <w:rsid w:val="3FB84DD6"/>
    <w:rsid w:val="3FD64258"/>
    <w:rsid w:val="3FFB2F15"/>
    <w:rsid w:val="400F1993"/>
    <w:rsid w:val="403F2E01"/>
    <w:rsid w:val="405B3EA5"/>
    <w:rsid w:val="40814B23"/>
    <w:rsid w:val="408E72C3"/>
    <w:rsid w:val="408E7BCF"/>
    <w:rsid w:val="40AB15B8"/>
    <w:rsid w:val="40B26236"/>
    <w:rsid w:val="40BC2ADD"/>
    <w:rsid w:val="40C14C05"/>
    <w:rsid w:val="40C764D4"/>
    <w:rsid w:val="40D95381"/>
    <w:rsid w:val="41042A54"/>
    <w:rsid w:val="413B181B"/>
    <w:rsid w:val="416359C8"/>
    <w:rsid w:val="41681350"/>
    <w:rsid w:val="416F668A"/>
    <w:rsid w:val="41713E9C"/>
    <w:rsid w:val="419378A9"/>
    <w:rsid w:val="419F6662"/>
    <w:rsid w:val="41A72D03"/>
    <w:rsid w:val="41B63597"/>
    <w:rsid w:val="41BC55E0"/>
    <w:rsid w:val="41BF069E"/>
    <w:rsid w:val="41F1134F"/>
    <w:rsid w:val="420B7389"/>
    <w:rsid w:val="421B2707"/>
    <w:rsid w:val="423563C7"/>
    <w:rsid w:val="427A45C5"/>
    <w:rsid w:val="42836415"/>
    <w:rsid w:val="428B4394"/>
    <w:rsid w:val="42B25EB1"/>
    <w:rsid w:val="42B807A3"/>
    <w:rsid w:val="42C57370"/>
    <w:rsid w:val="42DD6902"/>
    <w:rsid w:val="42FF450A"/>
    <w:rsid w:val="430832B2"/>
    <w:rsid w:val="43144276"/>
    <w:rsid w:val="43264088"/>
    <w:rsid w:val="43333AFF"/>
    <w:rsid w:val="434966C0"/>
    <w:rsid w:val="43603D96"/>
    <w:rsid w:val="43713C1A"/>
    <w:rsid w:val="437C4518"/>
    <w:rsid w:val="43900453"/>
    <w:rsid w:val="43AA4B1B"/>
    <w:rsid w:val="43AD25D6"/>
    <w:rsid w:val="43C42B78"/>
    <w:rsid w:val="43C96054"/>
    <w:rsid w:val="43CB7C06"/>
    <w:rsid w:val="43CE514A"/>
    <w:rsid w:val="43D2785E"/>
    <w:rsid w:val="43EB0B8A"/>
    <w:rsid w:val="43F26816"/>
    <w:rsid w:val="43F87E97"/>
    <w:rsid w:val="440F5F31"/>
    <w:rsid w:val="441E0010"/>
    <w:rsid w:val="442073EE"/>
    <w:rsid w:val="44352E99"/>
    <w:rsid w:val="445769C9"/>
    <w:rsid w:val="44637696"/>
    <w:rsid w:val="44740DA7"/>
    <w:rsid w:val="44881E95"/>
    <w:rsid w:val="449851D6"/>
    <w:rsid w:val="44C7578F"/>
    <w:rsid w:val="44D31AB8"/>
    <w:rsid w:val="44D33BE7"/>
    <w:rsid w:val="44F3065E"/>
    <w:rsid w:val="45111167"/>
    <w:rsid w:val="4517597F"/>
    <w:rsid w:val="45375E5B"/>
    <w:rsid w:val="45442C68"/>
    <w:rsid w:val="454815E5"/>
    <w:rsid w:val="455D72FE"/>
    <w:rsid w:val="457C2033"/>
    <w:rsid w:val="45CF47E4"/>
    <w:rsid w:val="45F70027"/>
    <w:rsid w:val="46084EB5"/>
    <w:rsid w:val="4609638B"/>
    <w:rsid w:val="4618694C"/>
    <w:rsid w:val="466873A1"/>
    <w:rsid w:val="466A125B"/>
    <w:rsid w:val="46994235"/>
    <w:rsid w:val="46A2549B"/>
    <w:rsid w:val="46A95479"/>
    <w:rsid w:val="46B8390E"/>
    <w:rsid w:val="46B856BC"/>
    <w:rsid w:val="46BC13D0"/>
    <w:rsid w:val="46F77B89"/>
    <w:rsid w:val="47190850"/>
    <w:rsid w:val="4743767B"/>
    <w:rsid w:val="475264AF"/>
    <w:rsid w:val="4757256C"/>
    <w:rsid w:val="475F022D"/>
    <w:rsid w:val="476D46F8"/>
    <w:rsid w:val="478A4765"/>
    <w:rsid w:val="47BD4669"/>
    <w:rsid w:val="47DD09F6"/>
    <w:rsid w:val="47E90CDF"/>
    <w:rsid w:val="47F15329"/>
    <w:rsid w:val="481728B6"/>
    <w:rsid w:val="481D433B"/>
    <w:rsid w:val="482657E1"/>
    <w:rsid w:val="486A0BB4"/>
    <w:rsid w:val="487B3318"/>
    <w:rsid w:val="4883365B"/>
    <w:rsid w:val="48A3643A"/>
    <w:rsid w:val="48B93029"/>
    <w:rsid w:val="48C3022C"/>
    <w:rsid w:val="48DA45E2"/>
    <w:rsid w:val="48DB1915"/>
    <w:rsid w:val="496D1745"/>
    <w:rsid w:val="49726A4B"/>
    <w:rsid w:val="498868D5"/>
    <w:rsid w:val="49984EFD"/>
    <w:rsid w:val="49B0569C"/>
    <w:rsid w:val="49B65212"/>
    <w:rsid w:val="49C469F4"/>
    <w:rsid w:val="4A076C56"/>
    <w:rsid w:val="4A113A61"/>
    <w:rsid w:val="4A2319E6"/>
    <w:rsid w:val="4A431F7F"/>
    <w:rsid w:val="4A711501"/>
    <w:rsid w:val="4A7B0469"/>
    <w:rsid w:val="4AA659FB"/>
    <w:rsid w:val="4AAF0341"/>
    <w:rsid w:val="4ADB07DF"/>
    <w:rsid w:val="4ADE5F63"/>
    <w:rsid w:val="4AE253FD"/>
    <w:rsid w:val="4B097E96"/>
    <w:rsid w:val="4B105AC6"/>
    <w:rsid w:val="4B140ACE"/>
    <w:rsid w:val="4B530740"/>
    <w:rsid w:val="4B54430C"/>
    <w:rsid w:val="4B6E4EE3"/>
    <w:rsid w:val="4B7B64DF"/>
    <w:rsid w:val="4B863FDA"/>
    <w:rsid w:val="4B8C0D53"/>
    <w:rsid w:val="4BA10E14"/>
    <w:rsid w:val="4BB01057"/>
    <w:rsid w:val="4BB20330"/>
    <w:rsid w:val="4BB73B85"/>
    <w:rsid w:val="4BD411EA"/>
    <w:rsid w:val="4BF478AD"/>
    <w:rsid w:val="4C0A7260"/>
    <w:rsid w:val="4C17384D"/>
    <w:rsid w:val="4C257A37"/>
    <w:rsid w:val="4C552A37"/>
    <w:rsid w:val="4C64712B"/>
    <w:rsid w:val="4C700EF1"/>
    <w:rsid w:val="4C760354"/>
    <w:rsid w:val="4C8428D4"/>
    <w:rsid w:val="4C891B35"/>
    <w:rsid w:val="4CB2155E"/>
    <w:rsid w:val="4CB33459"/>
    <w:rsid w:val="4CD4494E"/>
    <w:rsid w:val="4CD82614"/>
    <w:rsid w:val="4CE216E4"/>
    <w:rsid w:val="4D190232"/>
    <w:rsid w:val="4D20222E"/>
    <w:rsid w:val="4D48432B"/>
    <w:rsid w:val="4D7F6F33"/>
    <w:rsid w:val="4D8712BE"/>
    <w:rsid w:val="4DA62A1D"/>
    <w:rsid w:val="4DDE31B9"/>
    <w:rsid w:val="4DF50B78"/>
    <w:rsid w:val="4E11030D"/>
    <w:rsid w:val="4E361CE8"/>
    <w:rsid w:val="4E636855"/>
    <w:rsid w:val="4E6443BB"/>
    <w:rsid w:val="4E6938E7"/>
    <w:rsid w:val="4E6A5759"/>
    <w:rsid w:val="4E6F0D56"/>
    <w:rsid w:val="4E701DC0"/>
    <w:rsid w:val="4E7E543D"/>
    <w:rsid w:val="4E93713A"/>
    <w:rsid w:val="4EA26BC8"/>
    <w:rsid w:val="4EBB21ED"/>
    <w:rsid w:val="4ECA741E"/>
    <w:rsid w:val="4EE5336B"/>
    <w:rsid w:val="4EFE07F8"/>
    <w:rsid w:val="4F006719"/>
    <w:rsid w:val="4F075432"/>
    <w:rsid w:val="4F2E489B"/>
    <w:rsid w:val="4F387055"/>
    <w:rsid w:val="4F4467E9"/>
    <w:rsid w:val="4F4C72E9"/>
    <w:rsid w:val="4F5166AD"/>
    <w:rsid w:val="4F5D25FD"/>
    <w:rsid w:val="4F643265"/>
    <w:rsid w:val="4F741231"/>
    <w:rsid w:val="4FB41D44"/>
    <w:rsid w:val="4FB76E58"/>
    <w:rsid w:val="4FB93303"/>
    <w:rsid w:val="4FBC32D6"/>
    <w:rsid w:val="4FCE7CFE"/>
    <w:rsid w:val="50101C63"/>
    <w:rsid w:val="50105D76"/>
    <w:rsid w:val="502B5E6D"/>
    <w:rsid w:val="5060304C"/>
    <w:rsid w:val="50874A7C"/>
    <w:rsid w:val="50A576C5"/>
    <w:rsid w:val="50BB3EFC"/>
    <w:rsid w:val="50BB6995"/>
    <w:rsid w:val="50BF6E81"/>
    <w:rsid w:val="50DB059A"/>
    <w:rsid w:val="50FC6175"/>
    <w:rsid w:val="50FF0870"/>
    <w:rsid w:val="51050676"/>
    <w:rsid w:val="511C3DE5"/>
    <w:rsid w:val="51312C3A"/>
    <w:rsid w:val="513D513B"/>
    <w:rsid w:val="513F080C"/>
    <w:rsid w:val="5142015D"/>
    <w:rsid w:val="51742B67"/>
    <w:rsid w:val="518E2B89"/>
    <w:rsid w:val="51A206CC"/>
    <w:rsid w:val="51A86022"/>
    <w:rsid w:val="51CD2EEC"/>
    <w:rsid w:val="51FE3FDB"/>
    <w:rsid w:val="52285DEB"/>
    <w:rsid w:val="52654DCD"/>
    <w:rsid w:val="527436A9"/>
    <w:rsid w:val="527E1EAF"/>
    <w:rsid w:val="52BA3904"/>
    <w:rsid w:val="52D719EE"/>
    <w:rsid w:val="52DA541F"/>
    <w:rsid w:val="52E23E17"/>
    <w:rsid w:val="5306542C"/>
    <w:rsid w:val="530A15C8"/>
    <w:rsid w:val="533662E6"/>
    <w:rsid w:val="53390376"/>
    <w:rsid w:val="533C1C56"/>
    <w:rsid w:val="534A52A6"/>
    <w:rsid w:val="53796D79"/>
    <w:rsid w:val="53842532"/>
    <w:rsid w:val="53914B2C"/>
    <w:rsid w:val="53DC38BE"/>
    <w:rsid w:val="53F65A75"/>
    <w:rsid w:val="540A24A6"/>
    <w:rsid w:val="541D6439"/>
    <w:rsid w:val="546A09A4"/>
    <w:rsid w:val="54713E32"/>
    <w:rsid w:val="549B6C4C"/>
    <w:rsid w:val="549E4143"/>
    <w:rsid w:val="54A77BD0"/>
    <w:rsid w:val="54DE52B7"/>
    <w:rsid w:val="54E87AB4"/>
    <w:rsid w:val="552535BC"/>
    <w:rsid w:val="55314FB7"/>
    <w:rsid w:val="553813F1"/>
    <w:rsid w:val="5539030F"/>
    <w:rsid w:val="556D4B16"/>
    <w:rsid w:val="557E3F74"/>
    <w:rsid w:val="55821076"/>
    <w:rsid w:val="55A25EB5"/>
    <w:rsid w:val="55EB6513"/>
    <w:rsid w:val="55EB785C"/>
    <w:rsid w:val="55F926AC"/>
    <w:rsid w:val="55FC3817"/>
    <w:rsid w:val="56020031"/>
    <w:rsid w:val="56156687"/>
    <w:rsid w:val="56292132"/>
    <w:rsid w:val="56493792"/>
    <w:rsid w:val="56562A21"/>
    <w:rsid w:val="56777341"/>
    <w:rsid w:val="56811F6E"/>
    <w:rsid w:val="56D402F0"/>
    <w:rsid w:val="570A3D11"/>
    <w:rsid w:val="572F4B71"/>
    <w:rsid w:val="575329D5"/>
    <w:rsid w:val="57601BE6"/>
    <w:rsid w:val="576959DB"/>
    <w:rsid w:val="57790E97"/>
    <w:rsid w:val="577D2B82"/>
    <w:rsid w:val="578C4726"/>
    <w:rsid w:val="57B4461F"/>
    <w:rsid w:val="57B57AC0"/>
    <w:rsid w:val="57C74156"/>
    <w:rsid w:val="57C77E54"/>
    <w:rsid w:val="580746F5"/>
    <w:rsid w:val="5835112D"/>
    <w:rsid w:val="583F5C3D"/>
    <w:rsid w:val="5849381E"/>
    <w:rsid w:val="588A3951"/>
    <w:rsid w:val="58931AE5"/>
    <w:rsid w:val="589A5311"/>
    <w:rsid w:val="589F66DB"/>
    <w:rsid w:val="590E0796"/>
    <w:rsid w:val="59147ABA"/>
    <w:rsid w:val="5918680C"/>
    <w:rsid w:val="59243D76"/>
    <w:rsid w:val="594015B1"/>
    <w:rsid w:val="59554FEC"/>
    <w:rsid w:val="595A0DC1"/>
    <w:rsid w:val="596D4A2C"/>
    <w:rsid w:val="599B0EFC"/>
    <w:rsid w:val="599C2C1B"/>
    <w:rsid w:val="599C7120"/>
    <w:rsid w:val="59BD150F"/>
    <w:rsid w:val="59BD511F"/>
    <w:rsid w:val="59EC3BA2"/>
    <w:rsid w:val="59F2174F"/>
    <w:rsid w:val="5A130C2C"/>
    <w:rsid w:val="5A392A01"/>
    <w:rsid w:val="5A39563D"/>
    <w:rsid w:val="5A44578C"/>
    <w:rsid w:val="5ADA4D86"/>
    <w:rsid w:val="5ADF2A17"/>
    <w:rsid w:val="5ADF38F8"/>
    <w:rsid w:val="5AE0581C"/>
    <w:rsid w:val="5AE96334"/>
    <w:rsid w:val="5AF13737"/>
    <w:rsid w:val="5B073D10"/>
    <w:rsid w:val="5B2F3729"/>
    <w:rsid w:val="5B31213F"/>
    <w:rsid w:val="5B5F738D"/>
    <w:rsid w:val="5B735943"/>
    <w:rsid w:val="5B9E3940"/>
    <w:rsid w:val="5BA54009"/>
    <w:rsid w:val="5BC11E3D"/>
    <w:rsid w:val="5BC27B41"/>
    <w:rsid w:val="5BE43388"/>
    <w:rsid w:val="5BE80399"/>
    <w:rsid w:val="5C0056E3"/>
    <w:rsid w:val="5C142F3C"/>
    <w:rsid w:val="5C167E2B"/>
    <w:rsid w:val="5C313040"/>
    <w:rsid w:val="5C643EC4"/>
    <w:rsid w:val="5C857737"/>
    <w:rsid w:val="5CCF1148"/>
    <w:rsid w:val="5CD53D28"/>
    <w:rsid w:val="5CE9389A"/>
    <w:rsid w:val="5CF718B7"/>
    <w:rsid w:val="5D0460DC"/>
    <w:rsid w:val="5D2366CB"/>
    <w:rsid w:val="5D3331A6"/>
    <w:rsid w:val="5D8A153C"/>
    <w:rsid w:val="5D9F2ADA"/>
    <w:rsid w:val="5DDC1EC7"/>
    <w:rsid w:val="5DE1497B"/>
    <w:rsid w:val="5E135BA1"/>
    <w:rsid w:val="5E1D1079"/>
    <w:rsid w:val="5E211941"/>
    <w:rsid w:val="5E3E0745"/>
    <w:rsid w:val="5E5167DF"/>
    <w:rsid w:val="5E6D59C3"/>
    <w:rsid w:val="5E8537C2"/>
    <w:rsid w:val="5E9341CF"/>
    <w:rsid w:val="5E9C0CBE"/>
    <w:rsid w:val="5EA902B4"/>
    <w:rsid w:val="5EDA6373"/>
    <w:rsid w:val="5EEA1364"/>
    <w:rsid w:val="5EF46D8B"/>
    <w:rsid w:val="5F182D44"/>
    <w:rsid w:val="5F1A6ABC"/>
    <w:rsid w:val="5F5A15AE"/>
    <w:rsid w:val="5F8D54E0"/>
    <w:rsid w:val="5F8F68A5"/>
    <w:rsid w:val="5F9C1BC7"/>
    <w:rsid w:val="5F9E767D"/>
    <w:rsid w:val="5FA16C3A"/>
    <w:rsid w:val="5FC4513D"/>
    <w:rsid w:val="5FD72BFF"/>
    <w:rsid w:val="5FFB68ED"/>
    <w:rsid w:val="600B2DC4"/>
    <w:rsid w:val="601259E5"/>
    <w:rsid w:val="601F4136"/>
    <w:rsid w:val="6022031E"/>
    <w:rsid w:val="604007A4"/>
    <w:rsid w:val="60602BF4"/>
    <w:rsid w:val="60911000"/>
    <w:rsid w:val="60AA69DE"/>
    <w:rsid w:val="60D5193A"/>
    <w:rsid w:val="60DC7024"/>
    <w:rsid w:val="60E0018A"/>
    <w:rsid w:val="610E79A4"/>
    <w:rsid w:val="61183C2B"/>
    <w:rsid w:val="61250DD1"/>
    <w:rsid w:val="614150DB"/>
    <w:rsid w:val="6151078F"/>
    <w:rsid w:val="61695AD8"/>
    <w:rsid w:val="617D1400"/>
    <w:rsid w:val="617F354E"/>
    <w:rsid w:val="61903A3C"/>
    <w:rsid w:val="61C24BFD"/>
    <w:rsid w:val="61C3168D"/>
    <w:rsid w:val="61C55405"/>
    <w:rsid w:val="61E3018A"/>
    <w:rsid w:val="620D46B6"/>
    <w:rsid w:val="62145A44"/>
    <w:rsid w:val="623770E9"/>
    <w:rsid w:val="626004E0"/>
    <w:rsid w:val="627110E9"/>
    <w:rsid w:val="62AB7805"/>
    <w:rsid w:val="62AC3ECF"/>
    <w:rsid w:val="62CC5A99"/>
    <w:rsid w:val="633D546F"/>
    <w:rsid w:val="634A483E"/>
    <w:rsid w:val="637A3FCD"/>
    <w:rsid w:val="638217A9"/>
    <w:rsid w:val="6386335A"/>
    <w:rsid w:val="63A236A6"/>
    <w:rsid w:val="63BB0870"/>
    <w:rsid w:val="63C51B85"/>
    <w:rsid w:val="63D77671"/>
    <w:rsid w:val="63DC6A36"/>
    <w:rsid w:val="641C32D6"/>
    <w:rsid w:val="642B45E0"/>
    <w:rsid w:val="64366989"/>
    <w:rsid w:val="64604EAC"/>
    <w:rsid w:val="64740A1C"/>
    <w:rsid w:val="64805FF8"/>
    <w:rsid w:val="64AC312A"/>
    <w:rsid w:val="64AF3B73"/>
    <w:rsid w:val="64C1262D"/>
    <w:rsid w:val="64C9520C"/>
    <w:rsid w:val="64D137DA"/>
    <w:rsid w:val="64D7429C"/>
    <w:rsid w:val="64E078AA"/>
    <w:rsid w:val="65075D34"/>
    <w:rsid w:val="650F3891"/>
    <w:rsid w:val="652E63B1"/>
    <w:rsid w:val="65384140"/>
    <w:rsid w:val="65385EEE"/>
    <w:rsid w:val="653D443F"/>
    <w:rsid w:val="65434447"/>
    <w:rsid w:val="65677A9C"/>
    <w:rsid w:val="656F7113"/>
    <w:rsid w:val="65D200F0"/>
    <w:rsid w:val="65DF0A5F"/>
    <w:rsid w:val="65F73581"/>
    <w:rsid w:val="65FA31A3"/>
    <w:rsid w:val="6604604E"/>
    <w:rsid w:val="66457796"/>
    <w:rsid w:val="664D3C1B"/>
    <w:rsid w:val="667E186F"/>
    <w:rsid w:val="668F4233"/>
    <w:rsid w:val="66A5387A"/>
    <w:rsid w:val="66AA3C6A"/>
    <w:rsid w:val="66BC5441"/>
    <w:rsid w:val="66C25C39"/>
    <w:rsid w:val="66C2621A"/>
    <w:rsid w:val="66D926B2"/>
    <w:rsid w:val="66FE060F"/>
    <w:rsid w:val="672A7AB8"/>
    <w:rsid w:val="674117DB"/>
    <w:rsid w:val="67495941"/>
    <w:rsid w:val="67573E7B"/>
    <w:rsid w:val="6764746E"/>
    <w:rsid w:val="67656B1B"/>
    <w:rsid w:val="679542C8"/>
    <w:rsid w:val="67AE419D"/>
    <w:rsid w:val="67AF209E"/>
    <w:rsid w:val="67B22635"/>
    <w:rsid w:val="67B25503"/>
    <w:rsid w:val="67B60664"/>
    <w:rsid w:val="67BE74C9"/>
    <w:rsid w:val="68227E19"/>
    <w:rsid w:val="683769EB"/>
    <w:rsid w:val="683C6122"/>
    <w:rsid w:val="683E7CBF"/>
    <w:rsid w:val="684F37DE"/>
    <w:rsid w:val="685272C6"/>
    <w:rsid w:val="686D1E60"/>
    <w:rsid w:val="6870620A"/>
    <w:rsid w:val="68745672"/>
    <w:rsid w:val="687E7D7B"/>
    <w:rsid w:val="688A1EA1"/>
    <w:rsid w:val="689403AD"/>
    <w:rsid w:val="68957218"/>
    <w:rsid w:val="68AE714D"/>
    <w:rsid w:val="68B2669E"/>
    <w:rsid w:val="68CB6160"/>
    <w:rsid w:val="68D04F89"/>
    <w:rsid w:val="68E22B52"/>
    <w:rsid w:val="68E415E7"/>
    <w:rsid w:val="68EB131E"/>
    <w:rsid w:val="68F3373D"/>
    <w:rsid w:val="69173045"/>
    <w:rsid w:val="69182A19"/>
    <w:rsid w:val="69232129"/>
    <w:rsid w:val="69277887"/>
    <w:rsid w:val="69764EE6"/>
    <w:rsid w:val="698C50B9"/>
    <w:rsid w:val="698E1753"/>
    <w:rsid w:val="69B642C0"/>
    <w:rsid w:val="69B95123"/>
    <w:rsid w:val="69D47128"/>
    <w:rsid w:val="69E55F18"/>
    <w:rsid w:val="69F07ED0"/>
    <w:rsid w:val="69FE3890"/>
    <w:rsid w:val="6A10379F"/>
    <w:rsid w:val="6A4F72AA"/>
    <w:rsid w:val="6A636242"/>
    <w:rsid w:val="6A7176EF"/>
    <w:rsid w:val="6A7A0A2B"/>
    <w:rsid w:val="6A7F636D"/>
    <w:rsid w:val="6AB161D5"/>
    <w:rsid w:val="6AC67AF8"/>
    <w:rsid w:val="6ACF7A12"/>
    <w:rsid w:val="6AD22940"/>
    <w:rsid w:val="6ADE7537"/>
    <w:rsid w:val="6AF26B3F"/>
    <w:rsid w:val="6B0A0356"/>
    <w:rsid w:val="6B133F99"/>
    <w:rsid w:val="6B171379"/>
    <w:rsid w:val="6B221B0E"/>
    <w:rsid w:val="6B426B13"/>
    <w:rsid w:val="6B9419A4"/>
    <w:rsid w:val="6BC4672D"/>
    <w:rsid w:val="6BDA0D35"/>
    <w:rsid w:val="6BDD159D"/>
    <w:rsid w:val="6C122EBF"/>
    <w:rsid w:val="6C163593"/>
    <w:rsid w:val="6C1965DE"/>
    <w:rsid w:val="6C2008E3"/>
    <w:rsid w:val="6C364F34"/>
    <w:rsid w:val="6C3A4520"/>
    <w:rsid w:val="6C6204DD"/>
    <w:rsid w:val="6C6B60B5"/>
    <w:rsid w:val="6C727F37"/>
    <w:rsid w:val="6C7543E1"/>
    <w:rsid w:val="6C7D42B4"/>
    <w:rsid w:val="6C8A3E98"/>
    <w:rsid w:val="6C963B87"/>
    <w:rsid w:val="6CA96079"/>
    <w:rsid w:val="6CAC1F8A"/>
    <w:rsid w:val="6CAD0F6F"/>
    <w:rsid w:val="6CC81EA4"/>
    <w:rsid w:val="6CE17B08"/>
    <w:rsid w:val="6CE575F5"/>
    <w:rsid w:val="6CEB1759"/>
    <w:rsid w:val="6CF42792"/>
    <w:rsid w:val="6D171F4F"/>
    <w:rsid w:val="6D21195D"/>
    <w:rsid w:val="6D37776E"/>
    <w:rsid w:val="6D69517B"/>
    <w:rsid w:val="6D895E36"/>
    <w:rsid w:val="6D9E3998"/>
    <w:rsid w:val="6DD644F6"/>
    <w:rsid w:val="6DF17581"/>
    <w:rsid w:val="6E030F65"/>
    <w:rsid w:val="6E1D497B"/>
    <w:rsid w:val="6E3B6FDA"/>
    <w:rsid w:val="6EAB3BD4"/>
    <w:rsid w:val="6EBC5A8F"/>
    <w:rsid w:val="6EC81716"/>
    <w:rsid w:val="6EC8214A"/>
    <w:rsid w:val="6F1976C8"/>
    <w:rsid w:val="6F1D055D"/>
    <w:rsid w:val="6F2D6397"/>
    <w:rsid w:val="6F4A0A27"/>
    <w:rsid w:val="6F634051"/>
    <w:rsid w:val="6F926779"/>
    <w:rsid w:val="6FFC5967"/>
    <w:rsid w:val="70021CEB"/>
    <w:rsid w:val="703272CA"/>
    <w:rsid w:val="703412AA"/>
    <w:rsid w:val="704838FD"/>
    <w:rsid w:val="7066454C"/>
    <w:rsid w:val="707F6878"/>
    <w:rsid w:val="709119F6"/>
    <w:rsid w:val="70AF7F0C"/>
    <w:rsid w:val="70B02BD5"/>
    <w:rsid w:val="70BC644D"/>
    <w:rsid w:val="70D16063"/>
    <w:rsid w:val="70F562D7"/>
    <w:rsid w:val="713D2934"/>
    <w:rsid w:val="713D64DC"/>
    <w:rsid w:val="714A1292"/>
    <w:rsid w:val="71722787"/>
    <w:rsid w:val="718720E0"/>
    <w:rsid w:val="71941D4C"/>
    <w:rsid w:val="71EA6A44"/>
    <w:rsid w:val="71F7318A"/>
    <w:rsid w:val="720634E7"/>
    <w:rsid w:val="72094B9E"/>
    <w:rsid w:val="721A3870"/>
    <w:rsid w:val="722B3B02"/>
    <w:rsid w:val="723D2D95"/>
    <w:rsid w:val="724063E2"/>
    <w:rsid w:val="724A31D9"/>
    <w:rsid w:val="724B41D6"/>
    <w:rsid w:val="724F3AC4"/>
    <w:rsid w:val="72567E7E"/>
    <w:rsid w:val="726349EC"/>
    <w:rsid w:val="726A37A2"/>
    <w:rsid w:val="72873F22"/>
    <w:rsid w:val="728E35F1"/>
    <w:rsid w:val="72DB435C"/>
    <w:rsid w:val="73131D48"/>
    <w:rsid w:val="731750C1"/>
    <w:rsid w:val="73346A56"/>
    <w:rsid w:val="737C6513"/>
    <w:rsid w:val="739641CD"/>
    <w:rsid w:val="73F76C73"/>
    <w:rsid w:val="740766C8"/>
    <w:rsid w:val="740C0054"/>
    <w:rsid w:val="746135D3"/>
    <w:rsid w:val="74825670"/>
    <w:rsid w:val="7493410F"/>
    <w:rsid w:val="74C104FD"/>
    <w:rsid w:val="74CC297A"/>
    <w:rsid w:val="74E27C24"/>
    <w:rsid w:val="753541F8"/>
    <w:rsid w:val="7544268D"/>
    <w:rsid w:val="755B467D"/>
    <w:rsid w:val="75781DD0"/>
    <w:rsid w:val="757C3A15"/>
    <w:rsid w:val="75824D9D"/>
    <w:rsid w:val="7585250B"/>
    <w:rsid w:val="759233F8"/>
    <w:rsid w:val="75AB1C93"/>
    <w:rsid w:val="75B25848"/>
    <w:rsid w:val="75B258B6"/>
    <w:rsid w:val="75F80545"/>
    <w:rsid w:val="761B163F"/>
    <w:rsid w:val="761F3505"/>
    <w:rsid w:val="76486327"/>
    <w:rsid w:val="76636B42"/>
    <w:rsid w:val="76695DFA"/>
    <w:rsid w:val="767303DF"/>
    <w:rsid w:val="76766876"/>
    <w:rsid w:val="76810114"/>
    <w:rsid w:val="76C23869"/>
    <w:rsid w:val="76E41762"/>
    <w:rsid w:val="76E46ECE"/>
    <w:rsid w:val="76F10634"/>
    <w:rsid w:val="7717316E"/>
    <w:rsid w:val="77603777"/>
    <w:rsid w:val="77786406"/>
    <w:rsid w:val="777C610E"/>
    <w:rsid w:val="77901BB9"/>
    <w:rsid w:val="77925931"/>
    <w:rsid w:val="779B3C6B"/>
    <w:rsid w:val="77AB5706"/>
    <w:rsid w:val="77BD3D54"/>
    <w:rsid w:val="77C7479C"/>
    <w:rsid w:val="77F975BF"/>
    <w:rsid w:val="781C01C8"/>
    <w:rsid w:val="78342545"/>
    <w:rsid w:val="783759D1"/>
    <w:rsid w:val="786D6438"/>
    <w:rsid w:val="787B3EF7"/>
    <w:rsid w:val="787D26D8"/>
    <w:rsid w:val="788E3223"/>
    <w:rsid w:val="789569D7"/>
    <w:rsid w:val="78E06AB0"/>
    <w:rsid w:val="791B54B2"/>
    <w:rsid w:val="792E168A"/>
    <w:rsid w:val="793A6280"/>
    <w:rsid w:val="7946709B"/>
    <w:rsid w:val="795766F4"/>
    <w:rsid w:val="798E0318"/>
    <w:rsid w:val="799C4EEE"/>
    <w:rsid w:val="79AF62F8"/>
    <w:rsid w:val="7A0D2DBC"/>
    <w:rsid w:val="7A1F0FD2"/>
    <w:rsid w:val="7A326EC1"/>
    <w:rsid w:val="7A463E45"/>
    <w:rsid w:val="7A6F44BC"/>
    <w:rsid w:val="7A721678"/>
    <w:rsid w:val="7A752F65"/>
    <w:rsid w:val="7A811C8D"/>
    <w:rsid w:val="7AA3205E"/>
    <w:rsid w:val="7AC415A1"/>
    <w:rsid w:val="7AD93877"/>
    <w:rsid w:val="7ADB3C24"/>
    <w:rsid w:val="7B191EC6"/>
    <w:rsid w:val="7B192E57"/>
    <w:rsid w:val="7B256B43"/>
    <w:rsid w:val="7B285B5E"/>
    <w:rsid w:val="7B2F7570"/>
    <w:rsid w:val="7B446F42"/>
    <w:rsid w:val="7B4C229B"/>
    <w:rsid w:val="7B7D62B0"/>
    <w:rsid w:val="7BDF18AF"/>
    <w:rsid w:val="7BF53DED"/>
    <w:rsid w:val="7BFA6408"/>
    <w:rsid w:val="7BFC0690"/>
    <w:rsid w:val="7C042B76"/>
    <w:rsid w:val="7C10112E"/>
    <w:rsid w:val="7C1D50F5"/>
    <w:rsid w:val="7C251DE6"/>
    <w:rsid w:val="7C4756F7"/>
    <w:rsid w:val="7C4E6587"/>
    <w:rsid w:val="7C6070F8"/>
    <w:rsid w:val="7C6106D5"/>
    <w:rsid w:val="7C6151AF"/>
    <w:rsid w:val="7C6D4186"/>
    <w:rsid w:val="7C7E6484"/>
    <w:rsid w:val="7C867CD4"/>
    <w:rsid w:val="7CBD556F"/>
    <w:rsid w:val="7CC540BD"/>
    <w:rsid w:val="7CCC32E3"/>
    <w:rsid w:val="7CF806FC"/>
    <w:rsid w:val="7D1E37C3"/>
    <w:rsid w:val="7D3B0F76"/>
    <w:rsid w:val="7D3B2C58"/>
    <w:rsid w:val="7D423759"/>
    <w:rsid w:val="7D5E4872"/>
    <w:rsid w:val="7D695F1A"/>
    <w:rsid w:val="7D712C70"/>
    <w:rsid w:val="7D816BD7"/>
    <w:rsid w:val="7D925508"/>
    <w:rsid w:val="7DD956AA"/>
    <w:rsid w:val="7E214310"/>
    <w:rsid w:val="7E224C88"/>
    <w:rsid w:val="7E2D5B39"/>
    <w:rsid w:val="7E42351F"/>
    <w:rsid w:val="7E7E6C0F"/>
    <w:rsid w:val="7EB63962"/>
    <w:rsid w:val="7ED160D1"/>
    <w:rsid w:val="7EDB5E10"/>
    <w:rsid w:val="7EEE3521"/>
    <w:rsid w:val="7F105D97"/>
    <w:rsid w:val="7F1A34C9"/>
    <w:rsid w:val="7F2B4D67"/>
    <w:rsid w:val="7F6F0035"/>
    <w:rsid w:val="7F9F5AC1"/>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next w:val="7"/>
    <w:qFormat/>
    <w:uiPriority w:val="0"/>
    <w:pPr>
      <w:autoSpaceDE w:val="0"/>
      <w:autoSpaceDN w:val="0"/>
      <w:adjustRightInd w:val="0"/>
      <w:ind w:firstLine="420"/>
    </w:pPr>
    <w:rPr>
      <w:rFonts w:ascii="宋体"/>
      <w:szCs w:val="20"/>
    </w:rPr>
  </w:style>
  <w:style w:type="paragraph" w:styleId="7">
    <w:name w:val="toa heading"/>
    <w:basedOn w:val="1"/>
    <w:next w:val="1"/>
    <w:qFormat/>
    <w:uiPriority w:val="0"/>
    <w:pPr>
      <w:spacing w:before="120"/>
    </w:pPr>
    <w:rPr>
      <w:rFonts w:ascii="Cambria" w:hAnsi="Cambria"/>
      <w:szCs w:val="20"/>
    </w:rPr>
  </w:style>
  <w:style w:type="paragraph" w:styleId="8">
    <w:name w:val="index 6"/>
    <w:basedOn w:val="1"/>
    <w:next w:val="1"/>
    <w:qFormat/>
    <w:uiPriority w:val="0"/>
    <w:pPr>
      <w:spacing w:line="240" w:lineRule="auto"/>
      <w:ind w:left="1000" w:leftChars="1000" w:firstLine="0" w:firstLineChars="0"/>
      <w:jc w:val="both"/>
    </w:pPr>
    <w:rPr>
      <w:rFonts w:ascii="Times New Roman" w:hAnsi="Times New Roman" w:cs="Times New Roman"/>
      <w:kern w:val="2"/>
    </w:rPr>
  </w:style>
  <w:style w:type="paragraph" w:styleId="9">
    <w:name w:val="Body Text"/>
    <w:basedOn w:val="1"/>
    <w:next w:val="1"/>
    <w:qFormat/>
    <w:uiPriority w:val="99"/>
    <w:pPr>
      <w:numPr>
        <w:ilvl w:val="0"/>
        <w:numId w:val="1"/>
      </w:numPr>
      <w:tabs>
        <w:tab w:val="clear" w:pos="780"/>
      </w:tabs>
      <w:ind w:left="0" w:firstLine="0"/>
    </w:pPr>
    <w:rPr>
      <w:rFonts w:ascii="黑体" w:eastAsia="黑体"/>
      <w:sz w:val="22"/>
    </w:rPr>
  </w:style>
  <w:style w:type="paragraph" w:styleId="10">
    <w:name w:val="Body Text Indent"/>
    <w:basedOn w:val="1"/>
    <w:next w:val="1"/>
    <w:qFormat/>
    <w:uiPriority w:val="0"/>
    <w:pPr>
      <w:spacing w:after="120"/>
      <w:ind w:left="200" w:leftChars="200"/>
    </w:pPr>
  </w:style>
  <w:style w:type="paragraph" w:styleId="11">
    <w:name w:val="Plain Text"/>
    <w:basedOn w:val="1"/>
    <w:next w:val="12"/>
    <w:qFormat/>
    <w:uiPriority w:val="0"/>
    <w:rPr>
      <w:rFonts w:ascii="宋体"/>
      <w:szCs w:val="20"/>
      <w:u w:color="000000"/>
    </w:rPr>
  </w:style>
  <w:style w:type="paragraph" w:styleId="12">
    <w:name w:val="index 7"/>
    <w:basedOn w:val="1"/>
    <w:next w:val="1"/>
    <w:qFormat/>
    <w:uiPriority w:val="0"/>
    <w:pPr>
      <w:ind w:left="1200" w:leftChars="1200"/>
    </w:pPr>
    <w:rPr>
      <w:color w:val="auto"/>
      <w:kern w:val="2"/>
    </w:rPr>
  </w:style>
  <w:style w:type="paragraph" w:styleId="13">
    <w:name w:val="Date"/>
    <w:basedOn w:val="1"/>
    <w:next w:val="1"/>
    <w:qFormat/>
    <w:uiPriority w:val="0"/>
    <w:rPr>
      <w:rFonts w:ascii="Arial" w:hAnsi="Arial" w:eastAsia="仿宋_GB2312"/>
      <w:sz w:val="32"/>
      <w:szCs w:val="20"/>
      <w:u w:color="000000"/>
    </w:rPr>
  </w:style>
  <w:style w:type="paragraph" w:styleId="14">
    <w:name w:val="Balloon Text"/>
    <w:basedOn w:val="1"/>
    <w:qFormat/>
    <w:uiPriority w:val="0"/>
    <w:rPr>
      <w:sz w:val="18"/>
      <w:szCs w:val="18"/>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qFormat/>
    <w:uiPriority w:val="0"/>
    <w:pPr>
      <w:widowControl/>
      <w:spacing w:after="100" w:line="276" w:lineRule="auto"/>
      <w:jc w:val="left"/>
    </w:pPr>
    <w:rPr>
      <w:kern w:val="0"/>
      <w:sz w:val="22"/>
    </w:rPr>
  </w:style>
  <w:style w:type="paragraph" w:styleId="18">
    <w:name w:val="footnote text"/>
    <w:basedOn w:val="1"/>
    <w:semiHidden/>
    <w:unhideWhenUsed/>
    <w:qFormat/>
    <w:uiPriority w:val="99"/>
    <w:pPr>
      <w:snapToGrid w:val="0"/>
    </w:pPr>
    <w:rPr>
      <w:sz w:val="18"/>
      <w:szCs w:val="18"/>
    </w:rPr>
  </w:style>
  <w:style w:type="paragraph" w:styleId="19">
    <w:name w:val="Body Text 2"/>
    <w:basedOn w:val="1"/>
    <w:qFormat/>
    <w:uiPriority w:val="0"/>
    <w:pPr>
      <w:tabs>
        <w:tab w:val="left" w:pos="0"/>
      </w:tabs>
      <w:spacing w:line="400" w:lineRule="atLeast"/>
    </w:pPr>
    <w:rPr>
      <w:rFonts w:ascii="Arial" w:hAnsi="Arial"/>
    </w:rPr>
  </w:style>
  <w:style w:type="paragraph" w:styleId="20">
    <w:name w:val="Normal (Web)"/>
    <w:basedOn w:val="1"/>
    <w:qFormat/>
    <w:uiPriority w:val="99"/>
    <w:pPr>
      <w:widowControl/>
    </w:pPr>
    <w:rPr>
      <w:rFonts w:ascii="宋体" w:hAnsi="宋体" w:eastAsia="宋体" w:cs="宋体"/>
    </w:rPr>
  </w:style>
  <w:style w:type="paragraph" w:styleId="21">
    <w:name w:val="Title"/>
    <w:basedOn w:val="1"/>
    <w:next w:val="1"/>
    <w:qFormat/>
    <w:uiPriority w:val="0"/>
    <w:pPr>
      <w:spacing w:before="240" w:after="60"/>
      <w:jc w:val="center"/>
      <w:outlineLvl w:val="0"/>
    </w:pPr>
    <w:rPr>
      <w:rFonts w:ascii="Cambria" w:hAnsi="Cambria"/>
      <w:b/>
      <w:bCs/>
      <w:sz w:val="32"/>
      <w:szCs w:val="32"/>
    </w:rPr>
  </w:style>
  <w:style w:type="paragraph" w:styleId="22">
    <w:name w:val="Body Text First Indent"/>
    <w:basedOn w:val="9"/>
    <w:next w:val="8"/>
    <w:qFormat/>
    <w:uiPriority w:val="0"/>
    <w:pPr>
      <w:tabs>
        <w:tab w:val="left" w:pos="780"/>
      </w:tabs>
      <w:spacing w:after="220" w:afterLines="0" w:line="220" w:lineRule="atLeast"/>
      <w:ind w:firstLine="420"/>
    </w:pPr>
    <w:rPr>
      <w:rFonts w:ascii="Times New Roman" w:hAnsi="Times New Roman" w:eastAsia="宋体" w:cs="Times New Roman"/>
      <w:sz w:val="21"/>
      <w:szCs w:val="20"/>
    </w:rPr>
  </w:style>
  <w:style w:type="paragraph" w:styleId="23">
    <w:name w:val="Body Text First Indent 2"/>
    <w:basedOn w:val="10"/>
    <w:next w:val="1"/>
    <w:qFormat/>
    <w:uiPriority w:val="0"/>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Hyperlink"/>
    <w:qFormat/>
    <w:uiPriority w:val="99"/>
    <w:rPr>
      <w:color w:val="0000FF"/>
      <w:u w:val="single"/>
    </w:rPr>
  </w:style>
  <w:style w:type="character" w:styleId="29">
    <w:name w:val="footnote reference"/>
    <w:basedOn w:val="26"/>
    <w:semiHidden/>
    <w:unhideWhenUsed/>
    <w:qFormat/>
    <w:uiPriority w:val="99"/>
    <w:rPr>
      <w:vertAlign w:val="superscript"/>
    </w:rPr>
  </w:style>
  <w:style w:type="paragraph" w:customStyle="1" w:styleId="30">
    <w:name w:val="大标题"/>
    <w:basedOn w:val="1"/>
    <w:next w:val="23"/>
    <w:qFormat/>
    <w:uiPriority w:val="0"/>
    <w:pPr>
      <w:jc w:val="center"/>
    </w:pPr>
    <w:rPr>
      <w:rFonts w:ascii="Arial" w:hAnsi="Arial" w:eastAsia="宋体" w:cs="Times New Roman"/>
      <w:b/>
      <w:sz w:val="28"/>
      <w:szCs w:val="24"/>
    </w:rPr>
  </w:style>
  <w:style w:type="paragraph" w:customStyle="1" w:styleId="31">
    <w:name w:val="样式 样式 左侧:  2 字符 + 左侧:  0.85 厘米 首行缩进:  2 字符1"/>
    <w:basedOn w:val="1"/>
    <w:qFormat/>
    <w:uiPriority w:val="0"/>
    <w:pPr>
      <w:ind w:left="482" w:firstLine="200" w:firstLineChars="200"/>
    </w:pPr>
    <w:rPr>
      <w:rFonts w:cs="宋体"/>
      <w:szCs w:val="20"/>
    </w:rPr>
  </w:style>
  <w:style w:type="paragraph" w:customStyle="1" w:styleId="32">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33">
    <w:name w:val="正文格式"/>
    <w:basedOn w:val="1"/>
    <w:qFormat/>
    <w:uiPriority w:val="99"/>
    <w:pPr>
      <w:widowControl/>
      <w:adjustRightInd w:val="0"/>
      <w:snapToGrid w:val="0"/>
      <w:spacing w:line="400" w:lineRule="atLeast"/>
      <w:ind w:firstLine="482"/>
      <w:textAlignment w:val="baseline"/>
    </w:pPr>
  </w:style>
  <w:style w:type="paragraph" w:customStyle="1" w:styleId="34">
    <w:name w:val="文档正文"/>
    <w:basedOn w:val="6"/>
    <w:qFormat/>
    <w:uiPriority w:val="0"/>
    <w:pPr>
      <w:spacing w:line="360" w:lineRule="auto"/>
    </w:pPr>
    <w:rPr>
      <w:rFonts w:hAnsi="宋体"/>
      <w:b/>
      <w:bCs/>
    </w:rPr>
  </w:style>
  <w:style w:type="paragraph" w:customStyle="1" w:styleId="35">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6">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7">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8">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9">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0">
    <w:name w:val="Table caption|1"/>
    <w:basedOn w:val="1"/>
    <w:qFormat/>
    <w:uiPriority w:val="0"/>
    <w:rPr>
      <w:rFonts w:ascii="宋体" w:hAnsi="宋体" w:eastAsia="宋体" w:cs="宋体"/>
      <w:sz w:val="22"/>
      <w:szCs w:val="22"/>
      <w:lang w:val="zh-TW" w:eastAsia="zh-TW" w:bidi="zh-TW"/>
    </w:rPr>
  </w:style>
  <w:style w:type="paragraph" w:customStyle="1" w:styleId="41">
    <w:name w:val="Table Paragraph"/>
    <w:basedOn w:val="1"/>
    <w:qFormat/>
    <w:uiPriority w:val="1"/>
    <w:pPr>
      <w:autoSpaceDE w:val="0"/>
      <w:autoSpaceDN w:val="0"/>
      <w:adjustRightInd w:val="0"/>
    </w:pPr>
    <w:rPr>
      <w:rFonts w:eastAsia="宋体"/>
    </w:rPr>
  </w:style>
  <w:style w:type="paragraph" w:customStyle="1" w:styleId="42">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3">
    <w:name w:val="图例"/>
    <w:basedOn w:val="1"/>
    <w:qFormat/>
    <w:uiPriority w:val="0"/>
    <w:pPr>
      <w:spacing w:before="120" w:after="120" w:line="360" w:lineRule="auto"/>
      <w:jc w:val="center"/>
    </w:pPr>
    <w:rPr>
      <w:rFonts w:eastAsia="仿宋_GB2312"/>
      <w:b/>
    </w:rPr>
  </w:style>
  <w:style w:type="paragraph" w:customStyle="1" w:styleId="44">
    <w:name w:val="WPS Plain"/>
    <w:qFormat/>
    <w:uiPriority w:val="0"/>
    <w:rPr>
      <w:rFonts w:ascii="Times New Roman" w:hAnsi="Times New Roman" w:eastAsia="宋体" w:cs="Times New Roman"/>
      <w:lang w:val="en-US" w:eastAsia="zh-CN" w:bidi="ar-SA"/>
    </w:rPr>
  </w:style>
  <w:style w:type="paragraph" w:customStyle="1" w:styleId="45">
    <w:name w:val="样式 左侧:  0 厘米 悬挂缩进: 2.5 字符"/>
    <w:basedOn w:val="1"/>
    <w:qFormat/>
    <w:uiPriority w:val="0"/>
    <w:pPr>
      <w:ind w:left="525" w:hanging="525" w:hangingChars="250"/>
    </w:pPr>
    <w:rPr>
      <w:szCs w:val="20"/>
    </w:rPr>
  </w:style>
  <w:style w:type="character" w:customStyle="1" w:styleId="46">
    <w:name w:val="font11"/>
    <w:basedOn w:val="26"/>
    <w:qFormat/>
    <w:uiPriority w:val="0"/>
    <w:rPr>
      <w:rFonts w:ascii="Calibri" w:hAnsi="Calibri" w:cs="Calibri"/>
      <w:color w:val="000000"/>
      <w:sz w:val="20"/>
      <w:szCs w:val="20"/>
      <w:u w:val="none"/>
    </w:rPr>
  </w:style>
  <w:style w:type="paragraph" w:styleId="47">
    <w:name w:val="List Paragraph"/>
    <w:basedOn w:val="1"/>
    <w:qFormat/>
    <w:uiPriority w:val="0"/>
    <w:pPr>
      <w:widowControl/>
      <w:ind w:firstLine="420" w:firstLineChars="200"/>
    </w:pPr>
  </w:style>
  <w:style w:type="paragraph" w:customStyle="1" w:styleId="48">
    <w:name w:val="列出段落1"/>
    <w:basedOn w:val="1"/>
    <w:qFormat/>
    <w:uiPriority w:val="34"/>
    <w:pPr>
      <w:ind w:firstLine="420" w:firstLineChars="200"/>
    </w:pPr>
  </w:style>
  <w:style w:type="table" w:customStyle="1" w:styleId="49">
    <w:name w:val="Table Normal"/>
    <w:semiHidden/>
    <w:unhideWhenUsed/>
    <w:qFormat/>
    <w:uiPriority w:val="0"/>
    <w:tblPr>
      <w:tblCellMar>
        <w:top w:w="0" w:type="dxa"/>
        <w:left w:w="0" w:type="dxa"/>
        <w:bottom w:w="0" w:type="dxa"/>
        <w:right w:w="0" w:type="dxa"/>
      </w:tblCellMar>
    </w:tblPr>
  </w:style>
  <w:style w:type="paragraph" w:customStyle="1" w:styleId="50">
    <w:name w:val="p15"/>
    <w:basedOn w:val="1"/>
    <w:qFormat/>
    <w:uiPriority w:val="0"/>
    <w:pPr>
      <w:snapToGrid/>
      <w:spacing w:after="0"/>
    </w:pPr>
    <w:rPr>
      <w:rFonts w:ascii="Arial Unicode MS" w:hAnsi="Arial Unicode MS" w:eastAsia="宋体" w:cs="宋体"/>
      <w:color w:val="000000"/>
      <w:sz w:val="24"/>
      <w:szCs w:val="24"/>
    </w:rPr>
  </w:style>
  <w:style w:type="paragraph" w:customStyle="1" w:styleId="51">
    <w:name w:val="Body text|4"/>
    <w:basedOn w:val="1"/>
    <w:qFormat/>
    <w:uiPriority w:val="0"/>
    <w:pPr>
      <w:spacing w:after="580"/>
    </w:pPr>
    <w:rPr>
      <w:rFonts w:ascii="MingLiU" w:hAnsi="MingLiU" w:eastAsia="MingLiU" w:cs="MingLiU"/>
      <w:color w:val="00005D"/>
      <w:sz w:val="56"/>
      <w:szCs w:val="56"/>
      <w:lang w:val="zh-TW" w:eastAsia="zh-TW" w:bidi="zh-TW"/>
    </w:rPr>
  </w:style>
  <w:style w:type="character" w:customStyle="1" w:styleId="52">
    <w:name w:val="font61"/>
    <w:basedOn w:val="26"/>
    <w:qFormat/>
    <w:uiPriority w:val="0"/>
    <w:rPr>
      <w:rFonts w:hint="default" w:ascii="方正仿宋_GBK" w:hAnsi="方正仿宋_GBK" w:eastAsia="方正仿宋_GBK" w:cs="方正仿宋_GBK"/>
      <w:color w:val="000000"/>
      <w:sz w:val="18"/>
      <w:szCs w:val="18"/>
      <w:u w:val="none"/>
    </w:rPr>
  </w:style>
  <w:style w:type="character" w:customStyle="1" w:styleId="53">
    <w:name w:val="font121"/>
    <w:basedOn w:val="26"/>
    <w:qFormat/>
    <w:uiPriority w:val="0"/>
    <w:rPr>
      <w:rFonts w:hint="eastAsia" w:ascii="宋体" w:hAnsi="宋体" w:eastAsia="宋体" w:cs="宋体"/>
      <w:color w:val="000000"/>
      <w:sz w:val="18"/>
      <w:szCs w:val="18"/>
      <w:u w:val="none"/>
    </w:rPr>
  </w:style>
  <w:style w:type="character" w:customStyle="1" w:styleId="54">
    <w:name w:val="font51"/>
    <w:basedOn w:val="26"/>
    <w:qFormat/>
    <w:uiPriority w:val="0"/>
    <w:rPr>
      <w:rFonts w:hint="default" w:ascii="Arial" w:hAnsi="Arial" w:cs="Arial"/>
      <w:color w:val="000000"/>
      <w:sz w:val="18"/>
      <w:szCs w:val="18"/>
      <w:u w:val="none"/>
    </w:rPr>
  </w:style>
  <w:style w:type="character" w:customStyle="1" w:styleId="55">
    <w:name w:val="font31"/>
    <w:basedOn w:val="26"/>
    <w:qFormat/>
    <w:uiPriority w:val="0"/>
    <w:rPr>
      <w:rFonts w:hint="eastAsia" w:ascii="宋体" w:hAnsi="宋体" w:eastAsia="宋体" w:cs="宋体"/>
      <w:color w:val="000000"/>
      <w:sz w:val="22"/>
      <w:szCs w:val="22"/>
      <w:u w:val="none"/>
    </w:rPr>
  </w:style>
  <w:style w:type="character" w:customStyle="1" w:styleId="56">
    <w:name w:val="font41"/>
    <w:basedOn w:val="26"/>
    <w:qFormat/>
    <w:uiPriority w:val="0"/>
    <w:rPr>
      <w:rFonts w:hint="eastAsia" w:ascii="宋体" w:hAnsi="宋体" w:eastAsia="宋体" w:cs="宋体"/>
      <w:color w:val="000000"/>
      <w:sz w:val="18"/>
      <w:szCs w:val="18"/>
      <w:u w:val="none"/>
    </w:rPr>
  </w:style>
  <w:style w:type="character" w:customStyle="1" w:styleId="57">
    <w:name w:val="font01"/>
    <w:basedOn w:val="26"/>
    <w:qFormat/>
    <w:uiPriority w:val="0"/>
    <w:rPr>
      <w:rFonts w:hint="eastAsia" w:ascii="宋体" w:hAnsi="宋体" w:eastAsia="宋体" w:cs="宋体"/>
      <w:color w:val="000000"/>
      <w:sz w:val="22"/>
      <w:szCs w:val="22"/>
      <w:u w:val="none"/>
    </w:rPr>
  </w:style>
  <w:style w:type="character" w:customStyle="1" w:styleId="58">
    <w:name w:val="font21"/>
    <w:basedOn w:val="26"/>
    <w:qFormat/>
    <w:uiPriority w:val="0"/>
    <w:rPr>
      <w:rFonts w:hint="eastAsia" w:ascii="宋体" w:hAnsi="宋体" w:eastAsia="宋体" w:cs="宋体"/>
      <w:color w:val="00B050"/>
      <w:sz w:val="20"/>
      <w:szCs w:val="20"/>
      <w:u w:val="none"/>
    </w:rPr>
  </w:style>
  <w:style w:type="paragraph" w:customStyle="1" w:styleId="59">
    <w:name w:val="首行缩进"/>
    <w:basedOn w:val="1"/>
    <w:qFormat/>
    <w:uiPriority w:val="0"/>
    <w:pPr>
      <w:ind w:firstLine="480" w:firstLineChars="200"/>
    </w:pPr>
    <w:rPr>
      <w:lang w:val="zh-CN"/>
    </w:rPr>
  </w:style>
  <w:style w:type="paragraph" w:customStyle="1" w:styleId="60">
    <w:name w:val="NormalIndent"/>
    <w:basedOn w:val="1"/>
    <w:qFormat/>
    <w:uiPriority w:val="0"/>
    <w:pPr>
      <w:ind w:firstLine="420"/>
      <w:jc w:val="left"/>
    </w:pPr>
    <w:rPr>
      <w:rFonts w:ascii="宋体" w:hAnsi="Calibri"/>
      <w:kern w:val="0"/>
      <w:sz w:val="24"/>
      <w:szCs w:val="20"/>
    </w:rPr>
  </w:style>
  <w:style w:type="paragraph" w:customStyle="1" w:styleId="61">
    <w:name w:val="null3"/>
    <w:hidden/>
    <w:qFormat/>
    <w:uiPriority w:val="0"/>
    <w:rPr>
      <w:rFonts w:hint="eastAsia" w:asciiTheme="minorHAnsi" w:hAnsiTheme="minorHAnsi" w:eastAsiaTheme="minorEastAsia" w:cstheme="minorBidi"/>
      <w:lang w:val="en-US" w:eastAsia="zh-Hans"/>
    </w:rPr>
  </w:style>
  <w:style w:type="character" w:customStyle="1" w:styleId="62">
    <w:name w:val="font71"/>
    <w:basedOn w:val="26"/>
    <w:qFormat/>
    <w:uiPriority w:val="0"/>
    <w:rPr>
      <w:rFonts w:hint="eastAsia" w:ascii="宋体" w:hAnsi="宋体" w:eastAsia="宋体" w:cs="宋体"/>
      <w:color w:val="000000"/>
      <w:sz w:val="20"/>
      <w:szCs w:val="20"/>
      <w:u w:val="none"/>
    </w:rPr>
  </w:style>
  <w:style w:type="paragraph" w:customStyle="1" w:styleId="63">
    <w:name w:val="正文_1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_Style 3"/>
    <w:basedOn w:val="1"/>
    <w:next w:val="1"/>
    <w:qFormat/>
    <w:uiPriority w:val="0"/>
    <w:pPr>
      <w:ind w:firstLine="420" w:firstLineChars="200"/>
    </w:pPr>
  </w:style>
  <w:style w:type="paragraph" w:customStyle="1" w:styleId="6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header" Target="header3.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84</Pages>
  <Words>3591</Words>
  <Characters>4088</Characters>
  <Lines>389</Lines>
  <Paragraphs>109</Paragraphs>
  <TotalTime>34</TotalTime>
  <ScaleCrop>false</ScaleCrop>
  <LinksUpToDate>false</LinksUpToDate>
  <CharactersWithSpaces>4228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2025-06-19T09:19:00Z</cp:lastPrinted>
  <dcterms:modified xsi:type="dcterms:W3CDTF">2025-07-04T13:30:13Z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F46D2E9697F64E0FA8CB7E9FAF1C064B_13</vt:lpwstr>
  </property>
  <property fmtid="{D5CDD505-2E9C-101B-9397-08002B2CF9AE}" pid="4" name="KSOTemplateDocerSaveRecord">
    <vt:lpwstr>eyJoZGlkIjoiMDZjMzVjM2UwMmNjYWIxMzVjMjQ1ZTBlMjNlMTRmNjAiLCJ1c2VySWQiOiI2MzIyMDk4NzcifQ==</vt:lpwstr>
  </property>
</Properties>
</file>