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b w:val="0"/>
          <w:bCs w:val="0"/>
          <w:color w:val="auto"/>
          <w:sz w:val="40"/>
          <w:szCs w:val="40"/>
          <w:lang w:eastAsia="zh-CN"/>
        </w:rPr>
      </w:pPr>
    </w:p>
    <w:p>
      <w:pPr>
        <w:pStyle w:val="2"/>
        <w:rPr>
          <w:rFonts w:hint="eastAsia"/>
          <w:color w:val="auto"/>
          <w:lang w:eastAsia="zh-CN"/>
        </w:rPr>
      </w:pPr>
    </w:p>
    <w:p>
      <w:pPr>
        <w:spacing w:line="360" w:lineRule="auto"/>
        <w:jc w:val="center"/>
        <w:rPr>
          <w:rFonts w:hint="eastAsia" w:ascii="方正小标宋简体" w:hAnsi="方正小标宋简体" w:eastAsia="方正小标宋简体" w:cs="方正小标宋简体"/>
          <w:b w:val="0"/>
          <w:bCs w:val="0"/>
          <w:color w:val="auto"/>
          <w:sz w:val="40"/>
          <w:szCs w:val="40"/>
          <w:lang w:eastAsia="zh-CN"/>
        </w:rPr>
      </w:pPr>
    </w:p>
    <w:p>
      <w:pPr>
        <w:pStyle w:val="2"/>
        <w:jc w:val="center"/>
        <w:rPr>
          <w:rFonts w:hint="eastAsia" w:eastAsia="方正小标宋简体"/>
          <w:color w:val="auto"/>
          <w:lang w:val="en-US" w:eastAsia="zh-CN"/>
        </w:rPr>
      </w:pPr>
      <w:r>
        <w:rPr>
          <w:rFonts w:hint="eastAsia" w:ascii="方正小标宋简体" w:hAnsi="方正小标宋简体" w:eastAsia="方正小标宋简体" w:cs="方正小标宋简体"/>
          <w:b w:val="0"/>
          <w:bCs w:val="0"/>
          <w:color w:val="auto"/>
          <w:sz w:val="48"/>
          <w:szCs w:val="48"/>
          <w:lang w:val="en-US" w:eastAsia="zh-CN"/>
        </w:rPr>
        <w:t>塔城地区公安局交警支队监管指挥中心改扩建项目（施工）（二次）</w:t>
      </w:r>
    </w:p>
    <w:p>
      <w:pPr>
        <w:spacing w:line="360" w:lineRule="auto"/>
        <w:jc w:val="center"/>
        <w:rPr>
          <w:rFonts w:hint="eastAsia" w:ascii="方正小标宋简体" w:hAnsi="方正小标宋简体" w:eastAsia="方正小标宋简体" w:cs="方正小标宋简体"/>
          <w:b w:val="0"/>
          <w:bCs w:val="0"/>
          <w:color w:val="auto"/>
          <w:sz w:val="44"/>
          <w:szCs w:val="44"/>
        </w:rPr>
      </w:pPr>
    </w:p>
    <w:p>
      <w:pPr>
        <w:spacing w:line="360" w:lineRule="auto"/>
        <w:jc w:val="center"/>
        <w:rPr>
          <w:rFonts w:hint="eastAsia" w:ascii="方正小标宋简体" w:hAnsi="方正小标宋简体" w:eastAsia="方正小标宋简体" w:cs="方正小标宋简体"/>
          <w:b w:val="0"/>
          <w:bCs w:val="0"/>
          <w:color w:val="auto"/>
          <w:sz w:val="72"/>
          <w:szCs w:val="72"/>
        </w:rPr>
      </w:pPr>
      <w:r>
        <w:rPr>
          <w:rFonts w:hint="eastAsia" w:ascii="方正小标宋简体" w:hAnsi="方正小标宋简体" w:eastAsia="方正小标宋简体" w:cs="方正小标宋简体"/>
          <w:b w:val="0"/>
          <w:bCs w:val="0"/>
          <w:color w:val="auto"/>
          <w:sz w:val="72"/>
          <w:szCs w:val="72"/>
          <w:lang w:val="en-US" w:eastAsia="zh-CN"/>
        </w:rPr>
        <w:t>招标</w:t>
      </w:r>
      <w:r>
        <w:rPr>
          <w:rFonts w:hint="eastAsia" w:ascii="方正小标宋简体" w:hAnsi="方正小标宋简体" w:eastAsia="方正小标宋简体" w:cs="方正小标宋简体"/>
          <w:b w:val="0"/>
          <w:bCs w:val="0"/>
          <w:color w:val="auto"/>
          <w:sz w:val="72"/>
          <w:szCs w:val="72"/>
        </w:rPr>
        <w:t>文件</w:t>
      </w:r>
    </w:p>
    <w:p>
      <w:pPr>
        <w:pStyle w:val="27"/>
        <w:jc w:val="center"/>
        <w:rPr>
          <w:rFonts w:hint="default"/>
          <w:color w:val="auto"/>
          <w:lang w:val="en-US"/>
        </w:rPr>
      </w:pPr>
      <w:r>
        <w:rPr>
          <w:rFonts w:hint="eastAsia" w:ascii="方正小标宋简体" w:hAnsi="方正小标宋简体" w:eastAsia="方正小标宋简体" w:cs="方正小标宋简体"/>
          <w:b w:val="0"/>
          <w:bCs w:val="0"/>
          <w:color w:val="auto"/>
          <w:kern w:val="0"/>
          <w:sz w:val="24"/>
          <w:lang w:eastAsia="zh-CN"/>
        </w:rPr>
        <w:t>招标</w:t>
      </w:r>
      <w:r>
        <w:rPr>
          <w:rFonts w:hint="eastAsia" w:ascii="方正小标宋简体" w:hAnsi="方正小标宋简体" w:eastAsia="方正小标宋简体" w:cs="方正小标宋简体"/>
          <w:b w:val="0"/>
          <w:bCs w:val="0"/>
          <w:color w:val="auto"/>
          <w:kern w:val="0"/>
          <w:sz w:val="24"/>
        </w:rPr>
        <w:t>文件编号</w:t>
      </w:r>
      <w:r>
        <w:rPr>
          <w:rFonts w:hint="eastAsia" w:ascii="方正小标宋简体" w:hAnsi="方正小标宋简体" w:eastAsia="方正小标宋简体" w:cs="方正小标宋简体"/>
          <w:b w:val="0"/>
          <w:bCs w:val="0"/>
          <w:color w:val="auto"/>
          <w:w w:val="95"/>
          <w:sz w:val="24"/>
        </w:rPr>
        <w:t>：</w:t>
      </w:r>
      <w:r>
        <w:rPr>
          <w:rFonts w:hint="eastAsia" w:ascii="方正小标宋简体" w:hAnsi="方正小标宋简体" w:eastAsia="方正小标宋简体" w:cs="方正小标宋简体"/>
          <w:b w:val="0"/>
          <w:bCs w:val="0"/>
          <w:color w:val="auto"/>
          <w:kern w:val="0"/>
          <w:sz w:val="24"/>
          <w:lang w:eastAsia="zh-CN"/>
        </w:rPr>
        <w:t>GJ</w:t>
      </w:r>
      <w:r>
        <w:rPr>
          <w:rFonts w:hint="eastAsia" w:ascii="方正小标宋简体" w:hAnsi="方正小标宋简体" w:eastAsia="方正小标宋简体" w:cs="方正小标宋简体"/>
          <w:b w:val="0"/>
          <w:bCs w:val="0"/>
          <w:color w:val="auto"/>
          <w:kern w:val="0"/>
          <w:sz w:val="24"/>
          <w:lang w:val="en-US" w:eastAsia="zh-CN"/>
        </w:rPr>
        <w:t>GC2022-GC002（2）</w:t>
      </w:r>
    </w:p>
    <w:p>
      <w:pPr>
        <w:overflowPunct w:val="0"/>
        <w:spacing w:line="500" w:lineRule="exact"/>
        <w:jc w:val="center"/>
        <w:rPr>
          <w:rFonts w:hint="eastAsia" w:ascii="方正小标宋简体" w:hAnsi="方正小标宋简体" w:eastAsia="方正小标宋简体" w:cs="方正小标宋简体"/>
          <w:b w:val="0"/>
          <w:bCs w:val="0"/>
          <w:color w:val="auto"/>
          <w:sz w:val="32"/>
          <w:szCs w:val="32"/>
        </w:rPr>
      </w:pPr>
    </w:p>
    <w:p>
      <w:pPr>
        <w:overflowPunct w:val="0"/>
        <w:spacing w:line="500" w:lineRule="exact"/>
        <w:rPr>
          <w:rFonts w:hint="eastAsia" w:ascii="方正小标宋简体" w:hAnsi="方正小标宋简体" w:eastAsia="方正小标宋简体" w:cs="方正小标宋简体"/>
          <w:b w:val="0"/>
          <w:bCs w:val="0"/>
          <w:color w:val="auto"/>
          <w:sz w:val="32"/>
          <w:szCs w:val="32"/>
        </w:rPr>
      </w:pPr>
    </w:p>
    <w:p>
      <w:pPr>
        <w:overflowPunct w:val="0"/>
        <w:spacing w:line="500" w:lineRule="exact"/>
        <w:rPr>
          <w:rFonts w:hint="eastAsia" w:ascii="方正小标宋简体" w:hAnsi="方正小标宋简体" w:eastAsia="方正小标宋简体" w:cs="方正小标宋简体"/>
          <w:b w:val="0"/>
          <w:bCs w:val="0"/>
          <w:color w:val="auto"/>
          <w:sz w:val="32"/>
          <w:szCs w:val="32"/>
        </w:rPr>
      </w:pPr>
    </w:p>
    <w:p>
      <w:pPr>
        <w:pStyle w:val="2"/>
        <w:rPr>
          <w:rFonts w:hint="eastAsia" w:ascii="方正小标宋简体" w:hAnsi="方正小标宋简体" w:eastAsia="方正小标宋简体" w:cs="方正小标宋简体"/>
          <w:b w:val="0"/>
          <w:bCs w:val="0"/>
          <w:color w:val="auto"/>
          <w:sz w:val="32"/>
          <w:szCs w:val="32"/>
        </w:rPr>
      </w:pPr>
    </w:p>
    <w:p>
      <w:pPr>
        <w:pStyle w:val="2"/>
        <w:rPr>
          <w:rFonts w:hint="eastAsia" w:ascii="方正小标宋简体" w:hAnsi="方正小标宋简体" w:eastAsia="方正小标宋简体" w:cs="方正小标宋简体"/>
          <w:b w:val="0"/>
          <w:bCs w:val="0"/>
          <w:color w:val="auto"/>
          <w:sz w:val="32"/>
          <w:szCs w:val="32"/>
        </w:rPr>
      </w:pPr>
    </w:p>
    <w:p>
      <w:pPr>
        <w:overflowPunct w:val="0"/>
        <w:spacing w:line="500" w:lineRule="exact"/>
        <w:rPr>
          <w:rFonts w:hint="eastAsia" w:ascii="方正小标宋简体" w:hAnsi="方正小标宋简体" w:eastAsia="方正小标宋简体" w:cs="方正小标宋简体"/>
          <w:b w:val="0"/>
          <w:bCs w:val="0"/>
          <w:color w:val="auto"/>
          <w:sz w:val="32"/>
          <w:szCs w:val="32"/>
        </w:rPr>
      </w:pPr>
    </w:p>
    <w:p>
      <w:pPr>
        <w:overflowPunct w:val="0"/>
        <w:spacing w:line="500" w:lineRule="exact"/>
        <w:ind w:firstLine="150" w:firstLineChars="50"/>
        <w:rPr>
          <w:rFonts w:hint="eastAsia" w:ascii="方正小标宋简体" w:hAnsi="方正小标宋简体" w:eastAsia="方正小标宋简体" w:cs="方正小标宋简体"/>
          <w:b w:val="0"/>
          <w:bCs w:val="0"/>
          <w:color w:val="auto"/>
          <w:sz w:val="30"/>
          <w:szCs w:val="30"/>
          <w:lang w:eastAsia="zh-CN"/>
        </w:rPr>
      </w:pPr>
      <w:r>
        <w:rPr>
          <w:rFonts w:hint="eastAsia" w:ascii="方正小标宋简体" w:hAnsi="方正小标宋简体" w:eastAsia="方正小标宋简体" w:cs="方正小标宋简体"/>
          <w:b w:val="0"/>
          <w:bCs w:val="0"/>
          <w:color w:val="auto"/>
          <w:sz w:val="30"/>
          <w:szCs w:val="30"/>
        </w:rPr>
        <w:t>采</w:t>
      </w:r>
      <w:r>
        <w:rPr>
          <w:rFonts w:hint="eastAsia" w:ascii="方正小标宋简体" w:hAnsi="方正小标宋简体" w:eastAsia="方正小标宋简体" w:cs="方正小标宋简体"/>
          <w:b w:val="0"/>
          <w:bCs w:val="0"/>
          <w:color w:val="auto"/>
          <w:sz w:val="30"/>
          <w:szCs w:val="30"/>
          <w:lang w:val="en-US" w:eastAsia="zh-CN"/>
        </w:rPr>
        <w:t xml:space="preserve">   </w:t>
      </w:r>
      <w:r>
        <w:rPr>
          <w:rFonts w:hint="eastAsia" w:ascii="方正小标宋简体" w:hAnsi="方正小标宋简体" w:eastAsia="方正小标宋简体" w:cs="方正小标宋简体"/>
          <w:b w:val="0"/>
          <w:bCs w:val="0"/>
          <w:color w:val="auto"/>
          <w:sz w:val="30"/>
          <w:szCs w:val="30"/>
        </w:rPr>
        <w:t>购</w:t>
      </w:r>
      <w:r>
        <w:rPr>
          <w:rFonts w:hint="eastAsia" w:ascii="方正小标宋简体" w:hAnsi="方正小标宋简体" w:eastAsia="方正小标宋简体" w:cs="方正小标宋简体"/>
          <w:b w:val="0"/>
          <w:bCs w:val="0"/>
          <w:color w:val="auto"/>
          <w:sz w:val="30"/>
          <w:szCs w:val="30"/>
          <w:lang w:val="en-US" w:eastAsia="zh-CN"/>
        </w:rPr>
        <w:t xml:space="preserve">   </w:t>
      </w:r>
      <w:r>
        <w:rPr>
          <w:rFonts w:hint="eastAsia" w:ascii="方正小标宋简体" w:hAnsi="方正小标宋简体" w:eastAsia="方正小标宋简体" w:cs="方正小标宋简体"/>
          <w:b w:val="0"/>
          <w:bCs w:val="0"/>
          <w:color w:val="auto"/>
          <w:sz w:val="30"/>
          <w:szCs w:val="30"/>
        </w:rPr>
        <w:t>人：</w:t>
      </w:r>
      <w:r>
        <w:rPr>
          <w:rFonts w:hint="eastAsia" w:ascii="方正小标宋简体" w:hAnsi="方正小标宋简体" w:eastAsia="方正小标宋简体" w:cs="方正小标宋简体"/>
          <w:b w:val="0"/>
          <w:bCs w:val="0"/>
          <w:color w:val="auto"/>
          <w:sz w:val="30"/>
          <w:szCs w:val="30"/>
          <w:lang w:eastAsia="zh-CN"/>
        </w:rPr>
        <w:t>伊犁哈萨克自治州塔城地区公安局</w:t>
      </w:r>
    </w:p>
    <w:p>
      <w:pPr>
        <w:overflowPunct w:val="0"/>
        <w:spacing w:line="500" w:lineRule="exact"/>
        <w:rPr>
          <w:rFonts w:hint="eastAsia" w:ascii="方正小标宋简体" w:hAnsi="方正小标宋简体" w:eastAsia="方正小标宋简体" w:cs="方正小标宋简体"/>
          <w:b w:val="0"/>
          <w:bCs w:val="0"/>
          <w:color w:val="auto"/>
          <w:sz w:val="30"/>
          <w:szCs w:val="30"/>
        </w:rPr>
      </w:pPr>
    </w:p>
    <w:p>
      <w:pPr>
        <w:overflowPunct w:val="0"/>
        <w:spacing w:line="500" w:lineRule="exact"/>
        <w:rPr>
          <w:rFonts w:hint="eastAsia" w:ascii="方正小标宋简体" w:hAnsi="方正小标宋简体" w:eastAsia="方正小标宋简体" w:cs="方正小标宋简体"/>
          <w:b w:val="0"/>
          <w:bCs w:val="0"/>
          <w:color w:val="auto"/>
          <w:sz w:val="30"/>
          <w:szCs w:val="30"/>
        </w:rPr>
      </w:pPr>
    </w:p>
    <w:p>
      <w:pPr>
        <w:overflowPunct w:val="0"/>
        <w:spacing w:line="500" w:lineRule="exact"/>
        <w:ind w:firstLine="150" w:firstLineChars="50"/>
        <w:rPr>
          <w:rFonts w:hint="eastAsia" w:ascii="方正小标宋简体" w:hAnsi="方正小标宋简体" w:eastAsia="方正小标宋简体" w:cs="方正小标宋简体"/>
          <w:b w:val="0"/>
          <w:bCs w:val="0"/>
          <w:color w:val="auto"/>
          <w:sz w:val="30"/>
          <w:szCs w:val="30"/>
          <w:lang w:eastAsia="zh-CN"/>
        </w:rPr>
      </w:pPr>
      <w:r>
        <w:rPr>
          <w:rFonts w:hint="eastAsia" w:ascii="方正小标宋简体" w:hAnsi="方正小标宋简体" w:eastAsia="方正小标宋简体" w:cs="方正小标宋简体"/>
          <w:b w:val="0"/>
          <w:bCs w:val="0"/>
          <w:color w:val="auto"/>
          <w:sz w:val="30"/>
          <w:szCs w:val="30"/>
        </w:rPr>
        <w:t>采购代理机构：</w:t>
      </w:r>
      <w:r>
        <w:rPr>
          <w:rFonts w:hint="eastAsia" w:ascii="方正小标宋简体" w:hAnsi="方正小标宋简体" w:eastAsia="方正小标宋简体" w:cs="方正小标宋简体"/>
          <w:b w:val="0"/>
          <w:bCs w:val="0"/>
          <w:color w:val="auto"/>
          <w:sz w:val="30"/>
          <w:szCs w:val="30"/>
          <w:lang w:eastAsia="zh-CN"/>
        </w:rPr>
        <w:t>国金工程项目管理有限公司</w:t>
      </w:r>
    </w:p>
    <w:p>
      <w:pPr>
        <w:overflowPunct w:val="0"/>
        <w:spacing w:line="500" w:lineRule="exact"/>
        <w:rPr>
          <w:rFonts w:hint="eastAsia" w:ascii="方正小标宋简体" w:hAnsi="方正小标宋简体" w:eastAsia="方正小标宋简体" w:cs="方正小标宋简体"/>
          <w:b w:val="0"/>
          <w:bCs w:val="0"/>
          <w:color w:val="auto"/>
          <w:sz w:val="36"/>
          <w:szCs w:val="36"/>
        </w:rPr>
      </w:pPr>
    </w:p>
    <w:p>
      <w:pPr>
        <w:overflowPunct w:val="0"/>
        <w:spacing w:line="500" w:lineRule="exact"/>
        <w:jc w:val="center"/>
        <w:rPr>
          <w:rFonts w:hint="eastAsia" w:ascii="方正小标宋简体" w:hAnsi="方正小标宋简体" w:eastAsia="方正小标宋简体" w:cs="方正小标宋简体"/>
          <w:b w:val="0"/>
          <w:bCs w:val="0"/>
          <w:color w:val="auto"/>
          <w:sz w:val="32"/>
          <w:szCs w:val="32"/>
        </w:rPr>
      </w:pPr>
    </w:p>
    <w:p>
      <w:pPr>
        <w:overflowPunct w:val="0"/>
        <w:spacing w:line="500" w:lineRule="exact"/>
        <w:jc w:val="center"/>
        <w:rPr>
          <w:rFonts w:hint="eastAsia" w:ascii="方正小标宋简体" w:hAnsi="方正小标宋简体" w:eastAsia="方正小标宋简体" w:cs="方正小标宋简体"/>
          <w:b w:val="0"/>
          <w:bCs w:val="0"/>
          <w:color w:val="auto"/>
          <w:spacing w:val="40"/>
          <w:sz w:val="32"/>
          <w:szCs w:val="32"/>
        </w:rPr>
        <w:sectPr>
          <w:headerReference r:id="rId3" w:type="first"/>
          <w:footerReference r:id="rId5" w:type="first"/>
          <w:footerReference r:id="rId4" w:type="even"/>
          <w:pgSz w:w="11906" w:h="16838"/>
          <w:pgMar w:top="1418" w:right="1418" w:bottom="1418" w:left="1418" w:header="1134" w:footer="1134" w:gutter="0"/>
          <w:pgNumType w:start="0"/>
          <w:cols w:space="720" w:num="1"/>
          <w:docGrid w:type="lines" w:linePitch="312" w:charSpace="0"/>
        </w:sectPr>
      </w:pPr>
      <w:r>
        <w:rPr>
          <w:rFonts w:hint="eastAsia" w:ascii="方正小标宋简体" w:hAnsi="方正小标宋简体" w:eastAsia="方正小标宋简体" w:cs="方正小标宋简体"/>
          <w:b w:val="0"/>
          <w:bCs w:val="0"/>
          <w:color w:val="auto"/>
          <w:sz w:val="32"/>
          <w:szCs w:val="32"/>
        </w:rPr>
        <w:t>202</w:t>
      </w:r>
      <w:r>
        <w:rPr>
          <w:rFonts w:hint="eastAsia" w:ascii="方正小标宋简体" w:hAnsi="方正小标宋简体" w:eastAsia="方正小标宋简体" w:cs="方正小标宋简体"/>
          <w:b w:val="0"/>
          <w:bCs w:val="0"/>
          <w:color w:val="auto"/>
          <w:sz w:val="32"/>
          <w:szCs w:val="32"/>
          <w:lang w:val="en-US" w:eastAsia="zh-CN"/>
        </w:rPr>
        <w:t>2</w:t>
      </w:r>
      <w:r>
        <w:rPr>
          <w:rFonts w:hint="eastAsia" w:ascii="方正小标宋简体" w:hAnsi="方正小标宋简体" w:eastAsia="方正小标宋简体" w:cs="方正小标宋简体"/>
          <w:b w:val="0"/>
          <w:bCs w:val="0"/>
          <w:color w:val="auto"/>
          <w:sz w:val="32"/>
          <w:szCs w:val="32"/>
        </w:rPr>
        <w:t>年</w:t>
      </w:r>
      <w:r>
        <w:rPr>
          <w:rFonts w:hint="eastAsia" w:ascii="方正小标宋简体" w:hAnsi="方正小标宋简体" w:eastAsia="方正小标宋简体" w:cs="方正小标宋简体"/>
          <w:b w:val="0"/>
          <w:bCs w:val="0"/>
          <w:color w:val="auto"/>
          <w:sz w:val="32"/>
          <w:szCs w:val="32"/>
          <w:lang w:val="en-US" w:eastAsia="zh-CN"/>
        </w:rPr>
        <w:t>6月</w:t>
      </w:r>
    </w:p>
    <w:p>
      <w:pPr>
        <w:spacing w:line="360" w:lineRule="auto"/>
        <w:rPr>
          <w:rFonts w:hint="eastAsia" w:ascii="方正小标宋简体" w:hAnsi="方正小标宋简体" w:eastAsia="方正小标宋简体" w:cs="方正小标宋简体"/>
          <w:b w:val="0"/>
          <w:bCs w:val="0"/>
          <w:color w:val="auto"/>
          <w:sz w:val="32"/>
          <w:szCs w:val="32"/>
        </w:rPr>
      </w:pPr>
    </w:p>
    <w:p>
      <w:pPr>
        <w:pStyle w:val="2"/>
        <w:rPr>
          <w:rFonts w:hint="eastAsia"/>
          <w:color w:val="auto"/>
        </w:rPr>
      </w:pPr>
    </w:p>
    <w:sdt>
      <w:sdtPr>
        <w:rPr>
          <w:rFonts w:ascii="宋体" w:hAnsi="宋体" w:eastAsia="宋体" w:cs="Times New Roman"/>
          <w:color w:val="auto"/>
          <w:kern w:val="2"/>
          <w:sz w:val="21"/>
          <w:szCs w:val="24"/>
          <w:lang w:val="en-US" w:eastAsia="zh-CN" w:bidi="ar-SA"/>
        </w:rPr>
        <w:id w:val="147477024"/>
        <w15:color w:val="DBDBDB"/>
        <w:docPartObj>
          <w:docPartGallery w:val="Table of Contents"/>
          <w:docPartUnique/>
        </w:docPartObj>
      </w:sdtPr>
      <w:sdtEndPr>
        <w:rPr>
          <w:rFonts w:hint="eastAsia" w:ascii="仿宋_GB2312" w:hAnsi="仿宋" w:eastAsia="仿宋_GB2312"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00"/>
            <w:tabs>
              <w:tab w:val="right" w:leader="dot" w:pos="9746"/>
            </w:tabs>
            <w:rPr>
              <w:color w:val="auto"/>
            </w:rPr>
          </w:pPr>
          <w:r>
            <w:rPr>
              <w:rFonts w:hint="eastAsia" w:ascii="仿宋_GB2312" w:hAnsi="仿宋" w:eastAsia="仿宋_GB2312"/>
              <w:color w:val="auto"/>
              <w:sz w:val="28"/>
            </w:rPr>
            <w:fldChar w:fldCharType="begin"/>
          </w:r>
          <w:r>
            <w:rPr>
              <w:rFonts w:hint="eastAsia" w:ascii="仿宋_GB2312" w:hAnsi="仿宋" w:eastAsia="仿宋_GB2312"/>
              <w:color w:val="auto"/>
              <w:sz w:val="28"/>
            </w:rPr>
            <w:instrText xml:space="preserve">TOC \o "1-1" \h \u </w:instrText>
          </w:r>
          <w:r>
            <w:rPr>
              <w:rFonts w:hint="eastAsia" w:ascii="仿宋_GB2312" w:hAnsi="仿宋" w:eastAsia="仿宋_GB2312"/>
              <w:color w:val="auto"/>
              <w:sz w:val="28"/>
            </w:rPr>
            <w:fldChar w:fldCharType="separate"/>
          </w: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_Toc17100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rPr>
            <w:t>第一章</w:t>
          </w:r>
          <w:r>
            <w:rPr>
              <w:rFonts w:hint="eastAsia" w:ascii="方正小标宋简体" w:hAnsi="方正小标宋简体" w:eastAsia="方正小标宋简体" w:cs="方正小标宋简体"/>
              <w:bCs w:val="0"/>
              <w:color w:val="auto"/>
              <w:szCs w:val="28"/>
              <w:lang w:val="en-US" w:eastAsia="zh-CN"/>
            </w:rPr>
            <w:t xml:space="preserve"> </w:t>
          </w:r>
          <w:r>
            <w:rPr>
              <w:rFonts w:hint="eastAsia" w:ascii="方正小标宋简体" w:hAnsi="方正小标宋简体" w:eastAsia="方正小标宋简体" w:cs="方正小标宋简体"/>
              <w:bCs w:val="0"/>
              <w:color w:val="auto"/>
              <w:szCs w:val="28"/>
              <w:lang w:eastAsia="zh-CN"/>
            </w:rPr>
            <w:t>招标</w:t>
          </w:r>
          <w:r>
            <w:rPr>
              <w:rFonts w:hint="eastAsia" w:ascii="方正小标宋简体" w:hAnsi="方正小标宋简体" w:eastAsia="方正小标宋简体" w:cs="方正小标宋简体"/>
              <w:bCs w:val="0"/>
              <w:color w:val="auto"/>
              <w:szCs w:val="28"/>
              <w:lang w:val="en-US" w:eastAsia="zh-CN"/>
            </w:rPr>
            <w:t>公告</w:t>
          </w:r>
          <w:r>
            <w:rPr>
              <w:color w:val="auto"/>
            </w:rPr>
            <w:tab/>
          </w:r>
          <w:r>
            <w:rPr>
              <w:rFonts w:hint="eastAsia"/>
              <w:color w:val="auto"/>
              <w:lang w:val="en-US" w:eastAsia="zh-CN"/>
            </w:rPr>
            <w:t>1</w:t>
          </w:r>
          <w:r>
            <w:rPr>
              <w:rFonts w:hint="eastAsia" w:ascii="仿宋_GB2312" w:hAnsi="仿宋" w:eastAsia="仿宋_GB2312"/>
              <w:color w:val="auto"/>
            </w:rPr>
            <w:fldChar w:fldCharType="end"/>
          </w:r>
        </w:p>
        <w:p>
          <w:pPr>
            <w:pStyle w:val="100"/>
            <w:tabs>
              <w:tab w:val="right" w:leader="dot" w:pos="9746"/>
            </w:tabs>
            <w:rPr>
              <w:color w:val="auto"/>
            </w:rPr>
          </w:pP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_Toc15116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rPr>
            <w:t xml:space="preserve">第二章 </w:t>
          </w:r>
          <w:r>
            <w:rPr>
              <w:rFonts w:hint="eastAsia" w:ascii="方正小标宋简体" w:hAnsi="方正小标宋简体" w:eastAsia="方正小标宋简体" w:cs="方正小标宋简体"/>
              <w:bCs w:val="0"/>
              <w:color w:val="auto"/>
              <w:szCs w:val="28"/>
              <w:lang w:eastAsia="zh-CN"/>
            </w:rPr>
            <w:t>投标须知前附表</w:t>
          </w:r>
          <w:r>
            <w:rPr>
              <w:color w:val="auto"/>
            </w:rPr>
            <w:tab/>
          </w:r>
          <w:r>
            <w:rPr>
              <w:rFonts w:hint="eastAsia"/>
              <w:color w:val="auto"/>
              <w:lang w:val="en-US" w:eastAsia="zh-CN"/>
            </w:rPr>
            <w:t>2</w:t>
          </w:r>
          <w:r>
            <w:rPr>
              <w:rFonts w:hint="eastAsia" w:ascii="仿宋_GB2312" w:hAnsi="仿宋" w:eastAsia="仿宋_GB2312"/>
              <w:color w:val="auto"/>
            </w:rPr>
            <w:fldChar w:fldCharType="end"/>
          </w:r>
        </w:p>
        <w:p>
          <w:pPr>
            <w:pStyle w:val="100"/>
            <w:tabs>
              <w:tab w:val="right" w:leader="dot" w:pos="9746"/>
            </w:tabs>
            <w:rPr>
              <w:rFonts w:hint="default" w:ascii="方正小标宋简体" w:hAnsi="方正小标宋简体" w:eastAsia="方正小标宋简体" w:cs="方正小标宋简体"/>
              <w:bCs w:val="0"/>
              <w:color w:val="auto"/>
              <w:szCs w:val="28"/>
              <w:lang w:val="en-US" w:eastAsia="zh-CN"/>
            </w:rPr>
          </w:pP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_Toc7668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rPr>
            <w:t>第三章 项目采购需求</w:t>
          </w:r>
          <w:r>
            <w:rPr>
              <w:color w:val="auto"/>
            </w:rPr>
            <w:tab/>
          </w:r>
          <w:r>
            <w:rPr>
              <w:rFonts w:hint="eastAsia"/>
              <w:color w:val="auto"/>
              <w:lang w:val="en-US" w:eastAsia="zh-CN"/>
            </w:rPr>
            <w:t>12</w:t>
          </w:r>
        </w:p>
        <w:p>
          <w:pPr>
            <w:pStyle w:val="100"/>
            <w:tabs>
              <w:tab w:val="right" w:leader="dot" w:pos="9746"/>
            </w:tabs>
            <w:rPr>
              <w:rFonts w:hint="default" w:ascii="宋体" w:hAnsi="宋体" w:eastAsia="宋体" w:cs="宋体"/>
              <w:color w:val="auto"/>
              <w:lang w:val="en-US" w:eastAsia="zh-CN"/>
            </w:rPr>
          </w:pPr>
          <w:r>
            <w:rPr>
              <w:rFonts w:hint="eastAsia" w:ascii="宋体" w:hAnsi="宋体" w:eastAsia="宋体" w:cs="宋体"/>
              <w:color w:val="auto"/>
              <w:lang w:eastAsia="zh-CN"/>
            </w:rPr>
            <w:t>项目建设规模及内容</w:t>
          </w:r>
          <w:r>
            <w:rPr>
              <w:rFonts w:hint="eastAsia" w:ascii="宋体" w:hAnsi="宋体" w:eastAsia="宋体" w:cs="宋体"/>
              <w:color w:val="auto"/>
              <w:lang w:eastAsia="zh-CN"/>
            </w:rPr>
            <w:tab/>
          </w:r>
          <w:r>
            <w:rPr>
              <w:rFonts w:hint="eastAsia" w:ascii="宋体" w:hAnsi="宋体" w:eastAsia="宋体" w:cs="宋体"/>
              <w:color w:val="auto"/>
              <w:lang w:val="en-US" w:eastAsia="zh-CN"/>
            </w:rPr>
            <w:t>14</w:t>
          </w:r>
        </w:p>
        <w:p>
          <w:pPr>
            <w:pStyle w:val="100"/>
            <w:tabs>
              <w:tab w:val="right" w:leader="dot" w:pos="9746"/>
            </w:tabs>
            <w:rPr>
              <w:rFonts w:hint="default" w:ascii="宋体" w:hAnsi="宋体" w:eastAsia="宋体" w:cs="宋体"/>
              <w:color w:val="auto"/>
              <w:lang w:val="en-US" w:eastAsia="zh-CN"/>
            </w:rPr>
          </w:pPr>
          <w:r>
            <w:rPr>
              <w:rFonts w:hint="eastAsia" w:ascii="宋体" w:hAnsi="宋体" w:eastAsia="宋体" w:cs="宋体"/>
              <w:color w:val="auto"/>
              <w:lang w:eastAsia="zh-CN"/>
            </w:rPr>
            <w:t>建设清单</w:t>
          </w:r>
          <w:r>
            <w:rPr>
              <w:rFonts w:hint="eastAsia" w:ascii="宋体" w:hAnsi="宋体" w:eastAsia="宋体" w:cs="宋体"/>
              <w:color w:val="auto"/>
              <w:lang w:eastAsia="zh-CN"/>
            </w:rPr>
            <w:tab/>
          </w:r>
          <w:r>
            <w:rPr>
              <w:rFonts w:hint="eastAsia" w:ascii="宋体" w:hAnsi="宋体" w:eastAsia="宋体" w:cs="宋体"/>
              <w:color w:val="auto"/>
              <w:lang w:val="en-US" w:eastAsia="zh-CN"/>
            </w:rPr>
            <w:t>14</w:t>
          </w:r>
        </w:p>
        <w:p>
          <w:pPr>
            <w:pStyle w:val="100"/>
            <w:tabs>
              <w:tab w:val="right" w:leader="dot" w:pos="9746"/>
            </w:tabs>
            <w:rPr>
              <w:rFonts w:hint="eastAsia" w:eastAsia="仿宋_GB2312"/>
              <w:color w:val="auto"/>
              <w:lang w:val="en-US" w:eastAsia="zh-CN"/>
            </w:rPr>
          </w:pPr>
          <w:r>
            <w:rPr>
              <w:rFonts w:hint="eastAsia" w:ascii="仿宋_GB2312" w:hAnsi="仿宋" w:eastAsia="仿宋_GB2312"/>
              <w:color w:val="auto"/>
            </w:rPr>
            <w:fldChar w:fldCharType="end"/>
          </w:r>
        </w:p>
        <w:p>
          <w:pPr>
            <w:pStyle w:val="100"/>
            <w:tabs>
              <w:tab w:val="right" w:leader="dot" w:pos="9746"/>
            </w:tabs>
            <w:rPr>
              <w:rFonts w:hint="eastAsia" w:eastAsia="仿宋_GB2312"/>
              <w:color w:val="auto"/>
              <w:lang w:val="en-US" w:eastAsia="zh-CN"/>
            </w:rPr>
          </w:pP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_Toc4850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rPr>
            <w:t>第四章  合同主要条款</w:t>
          </w:r>
          <w:r>
            <w:rPr>
              <w:color w:val="auto"/>
            </w:rPr>
            <w:tab/>
          </w:r>
          <w:r>
            <w:rPr>
              <w:rFonts w:hint="eastAsia"/>
              <w:color w:val="auto"/>
              <w:lang w:val="en-US" w:eastAsia="zh-CN"/>
            </w:rPr>
            <w:t>3</w:t>
          </w:r>
          <w:r>
            <w:rPr>
              <w:rFonts w:hint="eastAsia" w:ascii="仿宋_GB2312" w:hAnsi="仿宋" w:eastAsia="仿宋_GB2312"/>
              <w:color w:val="auto"/>
            </w:rPr>
            <w:fldChar w:fldCharType="end"/>
          </w:r>
          <w:r>
            <w:rPr>
              <w:rFonts w:hint="eastAsia" w:ascii="Calibri Light" w:hAnsi="Calibri Light" w:eastAsia="仿宋_GB2312" w:cs="Calibri Light"/>
              <w:color w:val="auto"/>
              <w:lang w:val="en-US" w:eastAsia="zh-CN"/>
            </w:rPr>
            <w:t>6</w:t>
          </w:r>
        </w:p>
        <w:p>
          <w:pPr>
            <w:pStyle w:val="100"/>
            <w:tabs>
              <w:tab w:val="right" w:leader="dot" w:pos="9746"/>
            </w:tabs>
            <w:rPr>
              <w:color w:val="auto"/>
            </w:rPr>
          </w:pP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_Toc6339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rPr>
            <w:t xml:space="preserve">第五章  </w:t>
          </w:r>
          <w:r>
            <w:rPr>
              <w:rFonts w:hint="eastAsia" w:ascii="方正小标宋简体" w:hAnsi="方正小标宋简体" w:eastAsia="方正小标宋简体" w:cs="方正小标宋简体"/>
              <w:bCs w:val="0"/>
              <w:color w:val="auto"/>
              <w:szCs w:val="28"/>
              <w:lang w:eastAsia="zh-CN"/>
            </w:rPr>
            <w:t>投标文件</w:t>
          </w:r>
          <w:r>
            <w:rPr>
              <w:rFonts w:hint="eastAsia" w:ascii="方正小标宋简体" w:hAnsi="方正小标宋简体" w:eastAsia="方正小标宋简体" w:cs="方正小标宋简体"/>
              <w:bCs w:val="0"/>
              <w:color w:val="auto"/>
              <w:szCs w:val="28"/>
            </w:rPr>
            <w:t>格式</w:t>
          </w:r>
          <w:r>
            <w:rPr>
              <w:color w:val="auto"/>
            </w:rPr>
            <w:tab/>
          </w:r>
          <w:r>
            <w:rPr>
              <w:color w:val="auto"/>
            </w:rPr>
            <w:fldChar w:fldCharType="begin"/>
          </w:r>
          <w:r>
            <w:rPr>
              <w:color w:val="auto"/>
            </w:rPr>
            <w:instrText xml:space="preserve"> PAGEREF _Toc6339 </w:instrText>
          </w:r>
          <w:r>
            <w:rPr>
              <w:color w:val="auto"/>
            </w:rPr>
            <w:fldChar w:fldCharType="separate"/>
          </w:r>
          <w:r>
            <w:rPr>
              <w:color w:val="auto"/>
            </w:rPr>
            <w:t>41</w:t>
          </w:r>
          <w:r>
            <w:rPr>
              <w:color w:val="auto"/>
            </w:rPr>
            <w:fldChar w:fldCharType="end"/>
          </w:r>
          <w:r>
            <w:rPr>
              <w:rFonts w:hint="eastAsia" w:ascii="仿宋_GB2312" w:hAnsi="仿宋" w:eastAsia="仿宋_GB2312"/>
              <w:color w:val="auto"/>
            </w:rPr>
            <w:fldChar w:fldCharType="end"/>
          </w:r>
        </w:p>
        <w:p>
          <w:pPr>
            <w:pStyle w:val="100"/>
            <w:tabs>
              <w:tab w:val="right" w:leader="dot" w:pos="9746"/>
            </w:tabs>
            <w:rPr>
              <w:rFonts w:hint="default" w:ascii="Calibri Light" w:hAnsi="Calibri Light" w:eastAsia="仿宋_GB2312" w:cs="Calibri Light"/>
              <w:color w:val="auto"/>
              <w:lang w:val="en-US" w:eastAsia="zh-CN"/>
            </w:rPr>
          </w:pPr>
        </w:p>
        <w:p>
          <w:pPr>
            <w:pStyle w:val="100"/>
            <w:tabs>
              <w:tab w:val="right" w:leader="dot" w:pos="9746"/>
            </w:tabs>
            <w:rPr>
              <w:rFonts w:hint="eastAsia" w:eastAsia="仿宋_GB2312"/>
              <w:color w:val="auto"/>
              <w:lang w:val="en-US" w:eastAsia="zh-CN"/>
            </w:rPr>
          </w:pPr>
          <w:r>
            <w:rPr>
              <w:rFonts w:hint="eastAsia" w:ascii="仿宋_GB2312" w:hAnsi="仿宋" w:eastAsia="仿宋_GB2312"/>
              <w:color w:val="auto"/>
            </w:rPr>
            <w:fldChar w:fldCharType="begin"/>
          </w:r>
          <w:r>
            <w:rPr>
              <w:rFonts w:hint="eastAsia" w:ascii="仿宋_GB2312" w:hAnsi="仿宋" w:eastAsia="仿宋_GB2312"/>
              <w:color w:val="auto"/>
            </w:rPr>
            <w:instrText xml:space="preserve"> HYPERLINK \l _Toc8482 </w:instrText>
          </w:r>
          <w:r>
            <w:rPr>
              <w:rFonts w:hint="eastAsia" w:ascii="仿宋_GB2312" w:hAnsi="仿宋" w:eastAsia="仿宋_GB2312"/>
              <w:color w:val="auto"/>
            </w:rPr>
            <w:fldChar w:fldCharType="separate"/>
          </w:r>
          <w:r>
            <w:rPr>
              <w:rFonts w:hint="eastAsia" w:ascii="方正小标宋简体" w:hAnsi="方正小标宋简体" w:eastAsia="方正小标宋简体" w:cs="方正小标宋简体"/>
              <w:bCs w:val="0"/>
              <w:color w:val="auto"/>
              <w:szCs w:val="28"/>
              <w:lang w:val="en-US" w:eastAsia="zh-CN"/>
            </w:rPr>
            <w:t>第六章 评标标准</w:t>
          </w:r>
          <w:r>
            <w:rPr>
              <w:color w:val="auto"/>
            </w:rPr>
            <w:tab/>
          </w:r>
          <w:r>
            <w:rPr>
              <w:rFonts w:hint="eastAsia"/>
              <w:color w:val="auto"/>
              <w:lang w:val="en-US" w:eastAsia="zh-CN"/>
            </w:rPr>
            <w:t>4</w:t>
          </w:r>
          <w:r>
            <w:rPr>
              <w:rFonts w:hint="eastAsia" w:ascii="仿宋_GB2312" w:hAnsi="仿宋" w:eastAsia="仿宋_GB2312"/>
              <w:color w:val="auto"/>
            </w:rPr>
            <w:fldChar w:fldCharType="end"/>
          </w:r>
          <w:r>
            <w:rPr>
              <w:rFonts w:hint="eastAsia" w:ascii="Calibri Light" w:hAnsi="Calibri Light" w:eastAsia="仿宋_GB2312" w:cs="Calibri Light"/>
              <w:color w:val="auto"/>
              <w:lang w:val="en-US" w:eastAsia="zh-CN"/>
            </w:rPr>
            <w:t>7</w:t>
          </w:r>
        </w:p>
        <w:p>
          <w:pPr>
            <w:pStyle w:val="100"/>
            <w:tabs>
              <w:tab w:val="right" w:leader="dot" w:pos="9746"/>
            </w:tabs>
            <w:rPr>
              <w:rFonts w:hint="default"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_Toc20175 </w:instrText>
          </w:r>
          <w:r>
            <w:rPr>
              <w:rFonts w:hint="eastAsia" w:ascii="宋体" w:hAnsi="宋体" w:eastAsia="宋体" w:cs="宋体"/>
              <w:color w:val="auto"/>
            </w:rPr>
            <w:fldChar w:fldCharType="separate"/>
          </w:r>
          <w:r>
            <w:rPr>
              <w:rFonts w:hint="eastAsia" w:ascii="宋体" w:hAnsi="宋体" w:eastAsia="宋体" w:cs="宋体"/>
              <w:color w:val="auto"/>
              <w:lang w:eastAsia="zh-CN"/>
            </w:rPr>
            <w:t>附表</w:t>
          </w:r>
          <w:r>
            <w:rPr>
              <w:rFonts w:hint="eastAsia" w:ascii="宋体" w:hAnsi="宋体" w:eastAsia="宋体" w:cs="宋体"/>
              <w:color w:val="auto"/>
              <w:lang w:val="en-US" w:eastAsia="zh-CN"/>
            </w:rPr>
            <w:t>1：资格审查</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lang w:val="en-US" w:eastAsia="zh-CN"/>
            </w:rPr>
            <w:t>0</w:t>
          </w:r>
        </w:p>
        <w:p>
          <w:pPr>
            <w:pStyle w:val="100"/>
            <w:tabs>
              <w:tab w:val="right" w:leader="dot" w:pos="9746"/>
            </w:tabs>
            <w:rPr>
              <w:rFonts w:hint="default"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_Toc21521 </w:instrText>
          </w:r>
          <w:r>
            <w:rPr>
              <w:rFonts w:hint="eastAsia" w:ascii="宋体" w:hAnsi="宋体" w:eastAsia="宋体" w:cs="宋体"/>
              <w:color w:val="auto"/>
            </w:rPr>
            <w:fldChar w:fldCharType="separate"/>
          </w:r>
          <w:r>
            <w:rPr>
              <w:rFonts w:hint="eastAsia" w:ascii="宋体" w:hAnsi="宋体" w:eastAsia="宋体" w:cs="宋体"/>
              <w:color w:val="auto"/>
            </w:rPr>
            <w:t>附表</w:t>
          </w:r>
          <w:r>
            <w:rPr>
              <w:rFonts w:hint="eastAsia" w:ascii="宋体" w:hAnsi="宋体" w:eastAsia="宋体" w:cs="宋体"/>
              <w:color w:val="auto"/>
              <w:lang w:val="en-US" w:eastAsia="zh-CN"/>
            </w:rPr>
            <w:t>2</w:t>
          </w:r>
          <w:r>
            <w:rPr>
              <w:rFonts w:hint="eastAsia" w:ascii="宋体" w:hAnsi="宋体" w:eastAsia="宋体" w:cs="宋体"/>
              <w:color w:val="auto"/>
            </w:rPr>
            <w:t>：初步评审-符合性审查表</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eastAsia="宋体" w:cs="宋体"/>
              <w:color w:val="auto"/>
              <w:lang w:val="en-US" w:eastAsia="zh-CN"/>
            </w:rPr>
            <w:t>51</w:t>
          </w:r>
        </w:p>
        <w:p>
          <w:pPr>
            <w:pStyle w:val="100"/>
            <w:tabs>
              <w:tab w:val="right" w:leader="dot" w:pos="9746"/>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_Toc25437 </w:instrText>
          </w:r>
          <w:r>
            <w:rPr>
              <w:rFonts w:hint="eastAsia" w:ascii="宋体" w:hAnsi="宋体" w:eastAsia="宋体" w:cs="宋体"/>
              <w:color w:val="auto"/>
            </w:rPr>
            <w:fldChar w:fldCharType="separate"/>
          </w:r>
          <w:r>
            <w:rPr>
              <w:rFonts w:hint="eastAsia" w:ascii="宋体" w:hAnsi="宋体" w:eastAsia="宋体" w:cs="宋体"/>
              <w:color w:val="auto"/>
            </w:rPr>
            <w:t>附表</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eastAsia="zh-CN"/>
            </w:rPr>
            <w:t>详细评审</w:t>
          </w:r>
          <w:r>
            <w:rPr>
              <w:rFonts w:hint="eastAsia" w:ascii="宋体" w:hAnsi="宋体" w:eastAsia="宋体" w:cs="宋体"/>
              <w:color w:val="auto"/>
            </w:rPr>
            <w:t>表</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lang w:val="en-US" w:eastAsia="zh-CN"/>
            </w:rPr>
            <w:t>2</w:t>
          </w:r>
        </w:p>
        <w:p>
          <w:pPr>
            <w:pStyle w:val="100"/>
            <w:tabs>
              <w:tab w:val="right" w:leader="dot" w:pos="9746"/>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_Toc14960 </w:instrText>
          </w:r>
          <w:r>
            <w:rPr>
              <w:rFonts w:hint="eastAsia" w:ascii="宋体" w:hAnsi="宋体" w:eastAsia="宋体" w:cs="宋体"/>
              <w:color w:val="auto"/>
            </w:rPr>
            <w:fldChar w:fldCharType="separate"/>
          </w:r>
          <w:r>
            <w:rPr>
              <w:rFonts w:hint="eastAsia" w:ascii="宋体" w:hAnsi="宋体" w:eastAsia="宋体" w:cs="宋体"/>
              <w:color w:val="auto"/>
            </w:rPr>
            <w:t>（1）商务技术部分评审（</w:t>
          </w:r>
          <w:r>
            <w:rPr>
              <w:rFonts w:hint="eastAsia" w:ascii="宋体" w:hAnsi="宋体" w:eastAsia="宋体" w:cs="宋体"/>
              <w:color w:val="auto"/>
              <w:lang w:val="en-US" w:eastAsia="zh-CN"/>
            </w:rPr>
            <w:t>8</w:t>
          </w:r>
          <w:r>
            <w:rPr>
              <w:rFonts w:hint="eastAsia" w:ascii="宋体" w:hAnsi="宋体" w:eastAsia="宋体" w:cs="宋体"/>
              <w:color w:val="auto"/>
            </w:rPr>
            <w:t>0分）</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lang w:val="en-US" w:eastAsia="zh-CN"/>
            </w:rPr>
            <w:t>3</w:t>
          </w:r>
        </w:p>
        <w:p>
          <w:pPr>
            <w:pStyle w:val="100"/>
            <w:tabs>
              <w:tab w:val="right" w:leader="dot" w:pos="9746"/>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_Toc16321 </w:instrText>
          </w:r>
          <w:r>
            <w:rPr>
              <w:rFonts w:hint="eastAsia" w:ascii="宋体" w:hAnsi="宋体" w:eastAsia="宋体" w:cs="宋体"/>
              <w:color w:val="auto"/>
            </w:rPr>
            <w:fldChar w:fldCharType="separate"/>
          </w:r>
          <w:r>
            <w:rPr>
              <w:rFonts w:hint="eastAsia" w:ascii="宋体" w:hAnsi="宋体" w:eastAsia="宋体" w:cs="宋体"/>
              <w:color w:val="auto"/>
            </w:rPr>
            <w:t>（2）经济部分</w:t>
          </w:r>
          <w:r>
            <w:rPr>
              <w:rFonts w:hint="eastAsia" w:ascii="宋体" w:hAnsi="宋体" w:eastAsia="宋体" w:cs="宋体"/>
              <w:color w:val="auto"/>
              <w:lang w:val="en-US" w:eastAsia="zh-CN"/>
            </w:rPr>
            <w:t>2</w:t>
          </w:r>
          <w:r>
            <w:rPr>
              <w:rFonts w:hint="eastAsia" w:ascii="宋体" w:hAnsi="宋体" w:eastAsia="宋体" w:cs="宋体"/>
              <w:color w:val="auto"/>
            </w:rPr>
            <w:t>0分</w:t>
          </w:r>
          <w:r>
            <w:rPr>
              <w:rFonts w:hint="eastAsia" w:ascii="宋体" w:hAnsi="宋体" w:eastAsia="宋体" w:cs="宋体"/>
              <w:color w:val="auto"/>
            </w:rPr>
            <w:fldChar w:fldCharType="end"/>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_Toc16521 </w:instrText>
          </w:r>
          <w:r>
            <w:rPr>
              <w:rFonts w:hint="eastAsia" w:ascii="宋体" w:hAnsi="宋体" w:eastAsia="宋体" w:cs="宋体"/>
              <w:color w:val="auto"/>
            </w:rPr>
            <w:fldChar w:fldCharType="separate"/>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lang w:val="en-US" w:eastAsia="zh-CN"/>
            </w:rPr>
            <w:t>4</w:t>
          </w:r>
        </w:p>
        <w:p>
          <w:pPr>
            <w:pStyle w:val="100"/>
            <w:tabs>
              <w:tab w:val="right" w:leader="dot" w:pos="9746"/>
            </w:tabs>
            <w:rPr>
              <w:rFonts w:hint="eastAsia" w:ascii="宋体" w:hAnsi="宋体" w:eastAsia="宋体" w:cs="宋体"/>
              <w:color w:val="auto"/>
            </w:rPr>
          </w:pPr>
        </w:p>
        <w:p>
          <w:pPr>
            <w:tabs>
              <w:tab w:val="right" w:leader="middleDot" w:pos="8400"/>
            </w:tabs>
            <w:spacing w:line="180" w:lineRule="atLeast"/>
            <w:rPr>
              <w:rFonts w:hint="eastAsia" w:ascii="仿宋_GB2312" w:hAnsi="仿宋" w:eastAsia="仿宋_GB2312"/>
              <w:color w:val="auto"/>
              <w:sz w:val="28"/>
            </w:rPr>
          </w:pPr>
          <w:r>
            <w:rPr>
              <w:rFonts w:hint="eastAsia" w:ascii="仿宋_GB2312" w:hAnsi="仿宋" w:eastAsia="仿宋_GB2312"/>
              <w:color w:val="auto"/>
            </w:rPr>
            <w:fldChar w:fldCharType="end"/>
          </w:r>
        </w:p>
      </w:sdtContent>
    </w:sdt>
    <w:p>
      <w:pPr>
        <w:spacing w:line="360" w:lineRule="auto"/>
        <w:rPr>
          <w:rFonts w:hint="eastAsia" w:ascii="方正小标宋简体" w:hAnsi="方正小标宋简体" w:eastAsia="方正小标宋简体" w:cs="方正小标宋简体"/>
          <w:b w:val="0"/>
          <w:bCs w:val="0"/>
          <w:color w:val="auto"/>
          <w:sz w:val="32"/>
          <w:szCs w:val="32"/>
        </w:rPr>
      </w:pPr>
    </w:p>
    <w:p>
      <w:pPr>
        <w:pStyle w:val="68"/>
        <w:widowControl w:val="0"/>
        <w:numPr>
          <w:ilvl w:val="0"/>
          <w:numId w:val="0"/>
        </w:numPr>
        <w:spacing w:line="500" w:lineRule="exact"/>
        <w:jc w:val="center"/>
        <w:rPr>
          <w:rFonts w:hint="eastAsia" w:ascii="方正小标宋简体" w:hAnsi="方正小标宋简体" w:eastAsia="方正小标宋简体" w:cs="方正小标宋简体"/>
          <w:b w:val="0"/>
          <w:bCs w:val="0"/>
          <w:color w:val="auto"/>
          <w:sz w:val="28"/>
          <w:szCs w:val="28"/>
          <w:lang w:eastAsia="zh-CN"/>
        </w:rPr>
        <w:sectPr>
          <w:footerReference r:id="rId6" w:type="default"/>
          <w:pgSz w:w="11906" w:h="16838"/>
          <w:pgMar w:top="1440" w:right="1080" w:bottom="1440" w:left="1080" w:header="851" w:footer="992" w:gutter="0"/>
          <w:pgNumType w:start="1"/>
          <w:cols w:space="720" w:num="1"/>
          <w:docGrid w:linePitch="312" w:charSpace="0"/>
        </w:sectPr>
      </w:pPr>
    </w:p>
    <w:p>
      <w:pPr>
        <w:keepNext w:val="0"/>
        <w:keepLines w:val="0"/>
        <w:pageBreakBefore w:val="0"/>
        <w:kinsoku w:val="0"/>
        <w:wordWrap/>
        <w:overflowPunct w:val="0"/>
        <w:topLinePunct w:val="0"/>
        <w:autoSpaceDE w:val="0"/>
        <w:autoSpaceDN w:val="0"/>
        <w:bidi w:val="0"/>
        <w:adjustRightInd w:val="0"/>
        <w:snapToGrid w:val="0"/>
        <w:spacing w:line="240" w:lineRule="auto"/>
        <w:jc w:val="center"/>
        <w:outlineLvl w:val="0"/>
        <w:rPr>
          <w:rFonts w:hint="eastAsia" w:ascii="方正小标宋简体" w:hAnsi="方正小标宋简体" w:eastAsia="方正小标宋简体" w:cs="方正小标宋简体"/>
          <w:b w:val="0"/>
          <w:bCs w:val="0"/>
          <w:color w:val="auto"/>
          <w:sz w:val="28"/>
          <w:szCs w:val="28"/>
          <w:lang w:val="en-US" w:eastAsia="zh-CN"/>
        </w:rPr>
      </w:pPr>
      <w:bookmarkStart w:id="0" w:name="_Toc17100"/>
      <w:bookmarkStart w:id="1" w:name="_Toc154996575"/>
      <w:r>
        <w:rPr>
          <w:rFonts w:hint="eastAsia" w:ascii="方正小标宋简体" w:hAnsi="方正小标宋简体" w:eastAsia="方正小标宋简体" w:cs="方正小标宋简体"/>
          <w:b w:val="0"/>
          <w:bCs w:val="0"/>
          <w:color w:val="auto"/>
          <w:sz w:val="28"/>
          <w:szCs w:val="28"/>
        </w:rPr>
        <w:t>第一章</w:t>
      </w:r>
      <w:r>
        <w:rPr>
          <w:rFonts w:hint="eastAsia" w:ascii="方正小标宋简体" w:hAnsi="方正小标宋简体" w:eastAsia="方正小标宋简体" w:cs="方正小标宋简体"/>
          <w:b w:val="0"/>
          <w:bCs w:val="0"/>
          <w:color w:val="auto"/>
          <w:sz w:val="28"/>
          <w:szCs w:val="28"/>
          <w:lang w:val="en-US" w:eastAsia="zh-CN"/>
        </w:rPr>
        <w:t xml:space="preserve">   </w:t>
      </w:r>
      <w:r>
        <w:rPr>
          <w:rFonts w:hint="eastAsia" w:ascii="方正小标宋简体" w:hAnsi="方正小标宋简体" w:eastAsia="方正小标宋简体" w:cs="方正小标宋简体"/>
          <w:b w:val="0"/>
          <w:bCs w:val="0"/>
          <w:color w:val="auto"/>
          <w:sz w:val="28"/>
          <w:szCs w:val="28"/>
          <w:lang w:eastAsia="zh-CN"/>
        </w:rPr>
        <w:t>招标</w:t>
      </w:r>
      <w:r>
        <w:rPr>
          <w:rFonts w:hint="eastAsia" w:ascii="方正小标宋简体" w:hAnsi="方正小标宋简体" w:eastAsia="方正小标宋简体" w:cs="方正小标宋简体"/>
          <w:b w:val="0"/>
          <w:bCs w:val="0"/>
          <w:color w:val="auto"/>
          <w:sz w:val="28"/>
          <w:szCs w:val="28"/>
          <w:lang w:val="en-US" w:eastAsia="zh-CN"/>
        </w:rPr>
        <w:t>公告</w:t>
      </w:r>
      <w:bookmarkEnd w:id="0"/>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lang w:val="en-US" w:eastAsia="zh-CN"/>
        </w:rPr>
        <w:t>国金工程项目管理有限</w:t>
      </w:r>
      <w:r>
        <w:rPr>
          <w:rFonts w:hint="eastAsia" w:asciiTheme="minorEastAsia" w:hAnsiTheme="minorEastAsia" w:eastAsiaTheme="minorEastAsia" w:cstheme="minorEastAsia"/>
          <w:b w:val="0"/>
          <w:bCs w:val="0"/>
          <w:color w:val="auto"/>
          <w:sz w:val="24"/>
          <w:lang w:eastAsia="zh-CN"/>
        </w:rPr>
        <w:t>公司受伊犁哈萨克自治州塔城地区公安局的委托</w:t>
      </w:r>
      <w:r>
        <w:rPr>
          <w:rFonts w:hint="eastAsia" w:asciiTheme="minorEastAsia" w:hAnsiTheme="minorEastAsia" w:eastAsiaTheme="minorEastAsia" w:cstheme="minorEastAsia"/>
          <w:b w:val="0"/>
          <w:bCs w:val="0"/>
          <w:color w:val="auto"/>
          <w:sz w:val="24"/>
        </w:rPr>
        <w:t>，对</w:t>
      </w:r>
      <w:r>
        <w:rPr>
          <w:rFonts w:hint="eastAsia" w:asciiTheme="minorEastAsia" w:hAnsiTheme="minorEastAsia" w:eastAsiaTheme="minorEastAsia" w:cstheme="minorEastAsia"/>
          <w:b w:val="0"/>
          <w:bCs w:val="0"/>
          <w:color w:val="auto"/>
          <w:sz w:val="24"/>
          <w:lang w:val="en-US" w:eastAsia="zh-CN"/>
        </w:rPr>
        <w:t>伊犁哈萨克自治州塔城地区公安局交警支队监管指挥中心改扩建项目（施工）（二次）进行公开招标。该项目</w:t>
      </w:r>
      <w:r>
        <w:rPr>
          <w:rFonts w:hint="eastAsia" w:asciiTheme="minorEastAsia" w:hAnsiTheme="minorEastAsia" w:eastAsiaTheme="minorEastAsia" w:cstheme="minorEastAsia"/>
          <w:b w:val="0"/>
          <w:bCs w:val="0"/>
          <w:color w:val="auto"/>
          <w:sz w:val="24"/>
        </w:rPr>
        <w:t>资金已落实到位，具备招标条件，现将有关事项公告如下：</w:t>
      </w:r>
    </w:p>
    <w:p>
      <w:pPr>
        <w:keepNext w:val="0"/>
        <w:keepLines w:val="0"/>
        <w:pageBreakBefore w:val="0"/>
        <w:numPr>
          <w:ilvl w:val="0"/>
          <w:numId w:val="1"/>
        </w:numPr>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项目名称：塔城地区公安局交警支队监管指挥中心改扩建项目（施工）（二次）</w:t>
      </w:r>
    </w:p>
    <w:p>
      <w:pPr>
        <w:keepNext w:val="0"/>
        <w:keepLines w:val="0"/>
        <w:pageBreakBefore w:val="0"/>
        <w:numPr>
          <w:ilvl w:val="0"/>
          <w:numId w:val="1"/>
        </w:numPr>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项目编号：GJGC2022-GC002（2）</w:t>
      </w:r>
    </w:p>
    <w:p>
      <w:pPr>
        <w:keepNext w:val="0"/>
        <w:keepLines w:val="0"/>
        <w:widowControl/>
        <w:suppressLineNumbers w:val="0"/>
        <w:jc w:val="left"/>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三、</w:t>
      </w:r>
      <w:r>
        <w:rPr>
          <w:rFonts w:hint="eastAsia" w:asciiTheme="minorEastAsia" w:hAnsiTheme="minorEastAsia" w:eastAsiaTheme="minorEastAsia" w:cstheme="minorEastAsia"/>
          <w:b w:val="0"/>
          <w:bCs w:val="0"/>
          <w:color w:val="auto"/>
          <w:sz w:val="24"/>
          <w:lang w:val="zh-CN" w:eastAsia="zh-CN"/>
        </w:rPr>
        <w:t>工程概况：</w:t>
      </w:r>
      <w:r>
        <w:rPr>
          <w:rFonts w:hint="eastAsia" w:asciiTheme="minorEastAsia" w:hAnsiTheme="minorEastAsia" w:eastAsiaTheme="minorEastAsia" w:cstheme="minorEastAsia"/>
          <w:b w:val="0"/>
          <w:bCs w:val="0"/>
          <w:color w:val="auto"/>
          <w:sz w:val="24"/>
          <w:lang w:val="en-US" w:eastAsia="zh-CN"/>
        </w:rPr>
        <w:t>按照监管指挥中心的基础建设要求，对交警支队五楼会议室进行改造；更换部分后台相关应用服务器及核心交换服务器等设备，通过国标级联对接地区联网共享平台，接入路面监控和道路交通信号控制系统；车辆数据推送；综合监管网络改造。</w:t>
      </w:r>
      <w:r>
        <w:rPr>
          <w:rFonts w:hint="eastAsia" w:asciiTheme="minorEastAsia" w:hAnsiTheme="minorEastAsia" w:eastAsiaTheme="minorEastAsia" w:cstheme="minorEastAsia"/>
          <w:b w:val="0"/>
          <w:bCs w:val="0"/>
          <w:color w:val="auto"/>
          <w:sz w:val="24"/>
          <w:lang w:eastAsia="zh-CN"/>
        </w:rPr>
        <w:t>具体建设内容如下：</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1、</w:t>
      </w:r>
      <w:r>
        <w:rPr>
          <w:rFonts w:hint="eastAsia" w:asciiTheme="minorEastAsia" w:hAnsiTheme="minorEastAsia" w:eastAsiaTheme="minorEastAsia" w:cstheme="minorEastAsia"/>
          <w:b w:val="0"/>
          <w:bCs w:val="0"/>
          <w:color w:val="auto"/>
          <w:sz w:val="24"/>
          <w:lang w:eastAsia="zh-CN"/>
        </w:rPr>
        <w:t>监管指挥中心：</w:t>
      </w:r>
      <w:r>
        <w:rPr>
          <w:rFonts w:hint="eastAsia" w:asciiTheme="minorEastAsia" w:hAnsiTheme="minorEastAsia" w:eastAsiaTheme="minorEastAsia" w:cstheme="minorEastAsia"/>
          <w:b w:val="0"/>
          <w:bCs w:val="0"/>
          <w:color w:val="auto"/>
          <w:sz w:val="24"/>
          <w:lang w:val="en-US" w:eastAsia="zh-CN"/>
        </w:rPr>
        <w:t>LED大屏，音频系统，视频会议系统，监管办公电脑，会议桌椅，接地防雷系统等</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2、</w:t>
      </w:r>
      <w:r>
        <w:rPr>
          <w:rFonts w:hint="eastAsia" w:asciiTheme="minorEastAsia" w:hAnsiTheme="minorEastAsia" w:eastAsiaTheme="minorEastAsia" w:cstheme="minorEastAsia"/>
          <w:b w:val="0"/>
          <w:bCs w:val="0"/>
          <w:color w:val="auto"/>
          <w:sz w:val="24"/>
          <w:lang w:eastAsia="zh-CN"/>
        </w:rPr>
        <w:t>监管指挥中心装修：</w:t>
      </w:r>
      <w:r>
        <w:rPr>
          <w:rFonts w:hint="eastAsia" w:asciiTheme="minorEastAsia" w:hAnsiTheme="minorEastAsia" w:eastAsiaTheme="minorEastAsia" w:cstheme="minorEastAsia"/>
          <w:b w:val="0"/>
          <w:bCs w:val="0"/>
          <w:color w:val="auto"/>
          <w:sz w:val="24"/>
          <w:lang w:val="en-US" w:eastAsia="zh-CN"/>
        </w:rPr>
        <w:t>以</w:t>
      </w:r>
      <w:r>
        <w:rPr>
          <w:rFonts w:hint="eastAsia" w:asciiTheme="minorEastAsia" w:hAnsiTheme="minorEastAsia" w:eastAsiaTheme="minorEastAsia" w:cstheme="minorEastAsia"/>
          <w:b w:val="0"/>
          <w:bCs w:val="0"/>
          <w:color w:val="auto"/>
          <w:sz w:val="24"/>
          <w:lang w:eastAsia="zh-CN"/>
        </w:rPr>
        <w:t>甲方最终确认的效果图为准。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3、车辆大数据推送软件</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4、综合监管网络升级改造。</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四、采购预算：541.6683万元（伍佰肆拾壹万陆仟陆佰捌拾叁元）</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五、投标人资格要求：</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1、投标人须符合《中华人民共和国政府采购法》第22条规定，在中华人民共和国境内注册的具有独立法人资格的企业，营业执照范围内且具有相应的经营范围；</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lang w:val="en-US" w:eastAsia="zh-CN"/>
        </w:rPr>
        <w:t>1、投标人须具备有效的资质证书，具备通信工程施工总承包二级及以上资质或电子与智能化工程专业承包二级及以上资质。</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2、投标人须提供通过“信用中国”网站（www.creditchina.gov.cn）和中国政府采购网（www.ccgp.gov.cn）渠道查询的本单位信用记录的网页，被列入失信被执行人、税后违法黑名单、政府采购严重违法失信行为记录名单的单位，将被拒绝参与本次政府采购活动；</w:t>
      </w:r>
    </w:p>
    <w:p>
      <w:pPr>
        <w:keepNext w:val="0"/>
        <w:keepLines w:val="0"/>
        <w:pageBreakBefore w:val="0"/>
        <w:kinsoku w:val="0"/>
        <w:wordWrap/>
        <w:overflowPunct w:val="0"/>
        <w:topLinePunct w:val="0"/>
        <w:autoSpaceDE w:val="0"/>
        <w:autoSpaceDN w:val="0"/>
        <w:bidi w:val="0"/>
        <w:adjustRightInd w:val="0"/>
        <w:snapToGrid w:val="0"/>
        <w:spacing w:line="240" w:lineRule="auto"/>
        <w:rPr>
          <w:rFonts w:hint="default"/>
          <w:color w:val="auto"/>
          <w:lang w:val="en-US" w:eastAsia="zh-CN"/>
        </w:rPr>
      </w:pPr>
      <w:r>
        <w:rPr>
          <w:rFonts w:hint="eastAsia" w:asciiTheme="minorEastAsia" w:hAnsiTheme="minorEastAsia" w:eastAsiaTheme="minorEastAsia" w:cstheme="minorEastAsia"/>
          <w:b w:val="0"/>
          <w:bCs w:val="0"/>
          <w:color w:val="auto"/>
          <w:sz w:val="24"/>
          <w:lang w:val="en-US" w:eastAsia="zh-CN"/>
        </w:rPr>
        <w:t>3、投标人单位负责人为同一人或者存在控股、管理关系的不同单位，不得参加同一标段投标或者未划分标段的同一招标项目投标，生产型企业生产场地为同一地址的，销售型企业之间股东有关联的，一律视为有直接控股、管理关系。投标单位之间有上述关系的，应主动声明，否则将给予列入不良记录名单；</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5、本项目不接受联合体投标。</w:t>
      </w:r>
    </w:p>
    <w:p>
      <w:pPr>
        <w:keepNext w:val="0"/>
        <w:keepLines w:val="0"/>
        <w:pageBreakBefore w:val="0"/>
        <w:kinsoku w:val="0"/>
        <w:wordWrap/>
        <w:overflowPunct w:val="0"/>
        <w:topLinePunct w:val="0"/>
        <w:autoSpaceDE w:val="0"/>
        <w:autoSpaceDN w:val="0"/>
        <w:bidi w:val="0"/>
        <w:adjustRightInd w:val="0"/>
        <w:snapToGrid w:val="0"/>
        <w:spacing w:line="240" w:lineRule="auto"/>
        <w:rPr>
          <w:rFonts w:hint="default"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六、招标方式：公开招标</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七、获取招标文件方式：现场获取或邮箱获取</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1、请于2022年6月27日至2022年7月2日每个工作日上午10:30-13:00分，下午16：30-19：00分（北京时间），携带营业执照副本原件、通信工程施工总承包二级及以上资质或电子与智能化工程专业承包二级及以上资质证书原件、法人授权委托书和委托人身份证原件及“信用中国”网站（失信被执行人、税收违法黑名单）、“中国政府采购网”（政府采购严重违法失信行为记录名单）网页截图,以上证件加盖单位公章的复印件两份，到国金工程项目管理有限公司（地址:塔城市文化路文化广场南侧综合楼4号）报名并购买招标文件，资料不全者不予报名。招标文件售价400.0元/套，售后不退。</w:t>
      </w:r>
    </w:p>
    <w:p>
      <w:pPr>
        <w:pStyle w:val="2"/>
        <w:ind w:left="0" w:leftChars="0" w:firstLine="0" w:firstLineChars="0"/>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2、若不能到现场购买招标文件的投标人可将证件资料原件并加盖公章的扫描件以PDF文档形式发送至1974517763@qq.com邮箱。</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八、发布公告媒介：</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本项目招标公告发布在新疆政府采购网（http://www.ccgp-xinjiang.gov.cn/）。</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九、投标截止及开标时间地点：</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1、投标截止及开标时间：</w:t>
      </w:r>
      <w:bookmarkStart w:id="222" w:name="_GoBack"/>
      <w:bookmarkEnd w:id="222"/>
      <w:r>
        <w:rPr>
          <w:rFonts w:hint="eastAsia" w:asciiTheme="minorEastAsia" w:hAnsiTheme="minorEastAsia" w:eastAsiaTheme="minorEastAsia" w:cstheme="minorEastAsia"/>
          <w:b/>
          <w:bCs/>
          <w:color w:val="auto"/>
          <w:sz w:val="24"/>
          <w:lang w:val="en-US" w:eastAsia="zh-CN"/>
        </w:rPr>
        <w:t>2022年7月18日10:30</w:t>
      </w:r>
      <w:r>
        <w:rPr>
          <w:rFonts w:hint="eastAsia" w:asciiTheme="minorEastAsia" w:hAnsiTheme="minorEastAsia" w:eastAsiaTheme="minorEastAsia" w:cstheme="minorEastAsia"/>
          <w:b w:val="0"/>
          <w:bCs w:val="0"/>
          <w:color w:val="auto"/>
          <w:sz w:val="24"/>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2、开标地址：国金工程项目管理有限公司（</w:t>
      </w:r>
      <w:r>
        <w:rPr>
          <w:rFonts w:hint="eastAsia" w:asciiTheme="minorEastAsia" w:hAnsiTheme="minorEastAsia" w:eastAsiaTheme="minorEastAsia" w:cstheme="minorEastAsia"/>
          <w:b/>
          <w:bCs/>
          <w:color w:val="auto"/>
          <w:sz w:val="24"/>
          <w:lang w:val="zh-CN" w:eastAsia="zh-CN"/>
        </w:rPr>
        <w:t>乌鲁木齐新市区高新街217号盈科广场A座2710室</w:t>
      </w:r>
      <w:r>
        <w:rPr>
          <w:rFonts w:hint="eastAsia" w:asciiTheme="minorEastAsia" w:hAnsiTheme="minorEastAsia" w:eastAsiaTheme="minorEastAsia" w:cstheme="minorEastAsia"/>
          <w:b w:val="0"/>
          <w:bCs w:val="0"/>
          <w:color w:val="auto"/>
          <w:sz w:val="24"/>
          <w:lang w:val="en-US" w:eastAsia="zh-CN"/>
        </w:rPr>
        <w:t xml:space="preserve">）  </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3、逾期送达或者未送达指定地点的投标文件，招标人不予受理。</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十、联系方式：</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招标人：</w:t>
      </w:r>
      <w:r>
        <w:rPr>
          <w:rFonts w:hint="eastAsia" w:asciiTheme="minorEastAsia" w:hAnsiTheme="minorEastAsia" w:eastAsiaTheme="minorEastAsia" w:cstheme="minorEastAsia"/>
          <w:b w:val="0"/>
          <w:bCs w:val="0"/>
          <w:color w:val="auto"/>
          <w:sz w:val="24"/>
          <w:lang w:eastAsia="zh-CN"/>
        </w:rPr>
        <w:t>伊犁哈萨克自治州塔城地区公安局</w:t>
      </w:r>
    </w:p>
    <w:p>
      <w:pPr>
        <w:keepNext w:val="0"/>
        <w:keepLines w:val="0"/>
        <w:pageBreakBefore w:val="0"/>
        <w:kinsoku w:val="0"/>
        <w:wordWrap/>
        <w:overflowPunct w:val="0"/>
        <w:topLinePunct w:val="0"/>
        <w:autoSpaceDE w:val="0"/>
        <w:autoSpaceDN w:val="0"/>
        <w:bidi w:val="0"/>
        <w:adjustRightInd w:val="0"/>
        <w:snapToGrid w:val="0"/>
        <w:spacing w:line="240" w:lineRule="auto"/>
        <w:rPr>
          <w:rFonts w:hint="default"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rPr>
        <w:t>联系人：</w:t>
      </w:r>
      <w:r>
        <w:rPr>
          <w:rFonts w:hint="eastAsia" w:asciiTheme="minorEastAsia" w:hAnsiTheme="minorEastAsia" w:eastAsiaTheme="minorEastAsia" w:cstheme="minorEastAsia"/>
          <w:b w:val="0"/>
          <w:bCs w:val="0"/>
          <w:color w:val="auto"/>
          <w:sz w:val="24"/>
          <w:lang w:eastAsia="zh-CN"/>
        </w:rPr>
        <w:t>徐建新</w:t>
      </w:r>
      <w:r>
        <w:rPr>
          <w:rFonts w:hint="eastAsia" w:asciiTheme="minorEastAsia" w:hAnsiTheme="minorEastAsia" w:eastAsiaTheme="minorEastAsia" w:cstheme="minorEastAsia"/>
          <w:b w:val="0"/>
          <w:bCs w:val="0"/>
          <w:color w:val="auto"/>
          <w:sz w:val="24"/>
        </w:rPr>
        <w:t>    联系电话：</w:t>
      </w:r>
      <w:r>
        <w:rPr>
          <w:rFonts w:hint="eastAsia" w:asciiTheme="minorEastAsia" w:hAnsiTheme="minorEastAsia" w:eastAsiaTheme="minorEastAsia" w:cstheme="minorEastAsia"/>
          <w:b w:val="0"/>
          <w:bCs w:val="0"/>
          <w:color w:val="auto"/>
          <w:sz w:val="24"/>
          <w:lang w:val="en-US" w:eastAsia="zh-CN"/>
        </w:rPr>
        <w:t>13070310027</w:t>
      </w:r>
    </w:p>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招标代理机构：</w:t>
      </w:r>
      <w:r>
        <w:rPr>
          <w:rFonts w:hint="eastAsia" w:asciiTheme="minorEastAsia" w:hAnsiTheme="minorEastAsia" w:eastAsiaTheme="minorEastAsia" w:cstheme="minorEastAsia"/>
          <w:b w:val="0"/>
          <w:bCs w:val="0"/>
          <w:color w:val="auto"/>
          <w:sz w:val="24"/>
          <w:lang w:val="en-US" w:eastAsia="zh-CN"/>
        </w:rPr>
        <w:t>国金工程项目管理有限公司</w:t>
      </w:r>
    </w:p>
    <w:p>
      <w:pPr>
        <w:keepNext w:val="0"/>
        <w:keepLines w:val="0"/>
        <w:pageBreakBefore w:val="0"/>
        <w:kinsoku w:val="0"/>
        <w:wordWrap/>
        <w:overflowPunct w:val="0"/>
        <w:topLinePunct w:val="0"/>
        <w:autoSpaceDE w:val="0"/>
        <w:autoSpaceDN w:val="0"/>
        <w:bidi w:val="0"/>
        <w:adjustRightInd w:val="0"/>
        <w:snapToGrid w:val="0"/>
        <w:spacing w:line="240" w:lineRule="auto"/>
        <w:rPr>
          <w:rFonts w:hint="default"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rPr>
        <w:t>联系人：</w:t>
      </w:r>
      <w:r>
        <w:rPr>
          <w:rFonts w:hint="eastAsia" w:asciiTheme="minorEastAsia" w:hAnsiTheme="minorEastAsia" w:eastAsiaTheme="minorEastAsia" w:cstheme="minorEastAsia"/>
          <w:b w:val="0"/>
          <w:bCs w:val="0"/>
          <w:color w:val="auto"/>
          <w:sz w:val="24"/>
          <w:lang w:eastAsia="zh-CN"/>
        </w:rPr>
        <w:t>马雪儿</w:t>
      </w:r>
      <w:r>
        <w:rPr>
          <w:rFonts w:hint="eastAsia" w:asciiTheme="minorEastAsia" w:hAnsiTheme="minorEastAsia" w:eastAsiaTheme="minorEastAsia" w:cstheme="minorEastAsia"/>
          <w:b w:val="0"/>
          <w:bCs w:val="0"/>
          <w:color w:val="auto"/>
          <w:sz w:val="24"/>
        </w:rPr>
        <w:t>  </w:t>
      </w:r>
      <w:r>
        <w:rPr>
          <w:rFonts w:hint="eastAsia" w:asciiTheme="minorEastAsia" w:hAnsiTheme="minorEastAsia" w:eastAsiaTheme="minorEastAsia" w:cstheme="minorEastAsia"/>
          <w:b w:val="0"/>
          <w:bCs w:val="0"/>
          <w:color w:val="auto"/>
          <w:sz w:val="24"/>
          <w:lang w:val="en-US" w:eastAsia="zh-CN"/>
        </w:rPr>
        <w:t xml:space="preserve"> </w:t>
      </w:r>
      <w:r>
        <w:rPr>
          <w:rFonts w:hint="eastAsia" w:asciiTheme="minorEastAsia" w:hAnsiTheme="minorEastAsia" w:eastAsiaTheme="minorEastAsia" w:cstheme="minorEastAsia"/>
          <w:b w:val="0"/>
          <w:bCs w:val="0"/>
          <w:color w:val="auto"/>
          <w:sz w:val="24"/>
        </w:rPr>
        <w:t>联系电话：</w:t>
      </w:r>
      <w:r>
        <w:rPr>
          <w:rFonts w:hint="eastAsia" w:asciiTheme="minorEastAsia" w:hAnsiTheme="minorEastAsia" w:eastAsiaTheme="minorEastAsia" w:cstheme="minorEastAsia"/>
          <w:b w:val="0"/>
          <w:bCs w:val="0"/>
          <w:color w:val="auto"/>
          <w:sz w:val="24"/>
          <w:lang w:val="en-US" w:eastAsia="zh-CN"/>
        </w:rPr>
        <w:t>13070310202</w:t>
      </w:r>
    </w:p>
    <w:p>
      <w:pPr>
        <w:pStyle w:val="2"/>
        <w:ind w:left="0" w:leftChars="0" w:firstLine="0" w:firstLineChars="0"/>
        <w:rPr>
          <w:rFonts w:hint="eastAsia" w:ascii="方正小标宋简体" w:hAnsi="方正小标宋简体" w:eastAsia="方正小标宋简体" w:cs="方正小标宋简体"/>
          <w:b w:val="0"/>
          <w:bCs w:val="0"/>
          <w:color w:val="auto"/>
          <w:sz w:val="28"/>
          <w:szCs w:val="28"/>
        </w:rPr>
      </w:pPr>
    </w:p>
    <w:p>
      <w:pPr>
        <w:keepNext w:val="0"/>
        <w:keepLines w:val="0"/>
        <w:pageBreakBefore w:val="0"/>
        <w:kinsoku w:val="0"/>
        <w:wordWrap/>
        <w:overflowPunct w:val="0"/>
        <w:topLinePunct w:val="0"/>
        <w:autoSpaceDE w:val="0"/>
        <w:autoSpaceDN w:val="0"/>
        <w:bidi w:val="0"/>
        <w:adjustRightInd w:val="0"/>
        <w:snapToGrid w:val="0"/>
        <w:spacing w:line="240" w:lineRule="auto"/>
        <w:jc w:val="center"/>
        <w:outlineLvl w:val="0"/>
        <w:rPr>
          <w:rFonts w:hint="eastAsia" w:ascii="方正小标宋简体" w:hAnsi="方正小标宋简体" w:eastAsia="方正小标宋简体" w:cs="方正小标宋简体"/>
          <w:b w:val="0"/>
          <w:bCs w:val="0"/>
          <w:color w:val="auto"/>
          <w:sz w:val="28"/>
          <w:szCs w:val="28"/>
        </w:rPr>
      </w:pPr>
      <w:bookmarkStart w:id="2" w:name="_Toc15116"/>
      <w:r>
        <w:rPr>
          <w:rFonts w:hint="eastAsia" w:ascii="方正小标宋简体" w:hAnsi="方正小标宋简体" w:eastAsia="方正小标宋简体" w:cs="方正小标宋简体"/>
          <w:b w:val="0"/>
          <w:bCs w:val="0"/>
          <w:color w:val="auto"/>
          <w:sz w:val="28"/>
          <w:szCs w:val="28"/>
        </w:rPr>
        <w:t>第二章 投标须知前附表</w:t>
      </w:r>
      <w:bookmarkEnd w:id="2"/>
    </w:p>
    <w:tbl>
      <w:tblPr>
        <w:tblStyle w:val="2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项号</w:t>
            </w:r>
          </w:p>
        </w:tc>
        <w:tc>
          <w:tcPr>
            <w:tcW w:w="9521"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1</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项目名称：</w:t>
            </w:r>
            <w:r>
              <w:rPr>
                <w:rFonts w:hint="eastAsia" w:hAnsi="宋体" w:cs="宋体"/>
                <w:b w:val="0"/>
                <w:bCs w:val="0"/>
                <w:color w:val="auto"/>
                <w:sz w:val="24"/>
                <w:szCs w:val="24"/>
                <w:lang w:val="en-US" w:eastAsia="zh-CN"/>
              </w:rPr>
              <w:t>塔城地区公安局交警支队监管指挥中心改扩建项目（施工）（二次）</w:t>
            </w:r>
          </w:p>
          <w:p>
            <w:pPr>
              <w:keepNext w:val="0"/>
              <w:keepLines w:val="0"/>
              <w:pageBreakBefore w:val="0"/>
              <w:widowControl w:val="0"/>
              <w:wordWrap/>
              <w:overflowPunct w:val="0"/>
              <w:topLinePunct w:val="0"/>
              <w:autoSpaceDE/>
              <w:autoSpaceDN/>
              <w:bidi w:val="0"/>
              <w:snapToGrid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招标</w:t>
            </w:r>
            <w:r>
              <w:rPr>
                <w:rFonts w:hint="eastAsia" w:ascii="宋体" w:hAnsi="宋体" w:eastAsia="宋体" w:cs="宋体"/>
                <w:b w:val="0"/>
                <w:bCs w:val="0"/>
                <w:color w:val="auto"/>
                <w:sz w:val="24"/>
                <w:szCs w:val="24"/>
              </w:rPr>
              <w:t>文件编号：</w:t>
            </w:r>
            <w:r>
              <w:rPr>
                <w:rFonts w:hint="eastAsia" w:asciiTheme="minorEastAsia" w:hAnsiTheme="minorEastAsia" w:eastAsiaTheme="minorEastAsia" w:cstheme="minorEastAsia"/>
                <w:b w:val="0"/>
                <w:bCs w:val="0"/>
                <w:color w:val="auto"/>
                <w:sz w:val="24"/>
                <w:lang w:val="en-US" w:eastAsia="zh-CN"/>
              </w:rPr>
              <w:t>GJGC2022-GC002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2</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招标人</w:t>
            </w:r>
            <w:r>
              <w:rPr>
                <w:rFonts w:hint="eastAsia" w:ascii="宋体" w:hAnsi="宋体" w:eastAsia="宋体" w:cs="宋体"/>
                <w:b w:val="0"/>
                <w:bCs w:val="0"/>
                <w:color w:val="auto"/>
                <w:kern w:val="2"/>
                <w:sz w:val="24"/>
                <w:szCs w:val="24"/>
              </w:rPr>
              <w:t>：</w:t>
            </w:r>
            <w:r>
              <w:rPr>
                <w:rFonts w:hint="eastAsia" w:hAnsi="宋体" w:cs="宋体"/>
                <w:b w:val="0"/>
                <w:bCs w:val="0"/>
                <w:color w:val="auto"/>
                <w:kern w:val="2"/>
                <w:sz w:val="24"/>
                <w:szCs w:val="24"/>
                <w:lang w:eastAsia="zh-CN"/>
              </w:rPr>
              <w:t>伊犁哈萨克自治州塔城地区公安局</w:t>
            </w:r>
          </w:p>
          <w:p>
            <w:pPr>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  址：</w:t>
            </w:r>
            <w:r>
              <w:rPr>
                <w:rFonts w:hint="eastAsia" w:ascii="宋体" w:hAnsi="宋体" w:cs="宋体"/>
                <w:b w:val="0"/>
                <w:bCs w:val="0"/>
                <w:color w:val="auto"/>
                <w:sz w:val="24"/>
                <w:szCs w:val="24"/>
                <w:lang w:eastAsia="zh-CN"/>
              </w:rPr>
              <w:t>新疆塔城地区塔城市六合广场</w:t>
            </w:r>
            <w:r>
              <w:rPr>
                <w:rFonts w:hint="eastAsia" w:ascii="宋体" w:hAnsi="宋体" w:eastAsia="宋体" w:cs="宋体"/>
                <w:b w:val="0"/>
                <w:bCs w:val="0"/>
                <w:color w:val="auto"/>
                <w:sz w:val="24"/>
                <w:szCs w:val="24"/>
              </w:rPr>
              <w:t xml:space="preserve"> </w:t>
            </w:r>
          </w:p>
          <w:p>
            <w:pPr>
              <w:keepNext w:val="0"/>
              <w:keepLines w:val="0"/>
              <w:pageBreakBefore w:val="0"/>
              <w:widowControl w:val="0"/>
              <w:wordWrap/>
              <w:topLinePunct w:val="0"/>
              <w:autoSpaceDE/>
              <w:autoSpaceDN/>
              <w:bidi w:val="0"/>
              <w:snapToGrid w:val="0"/>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联系人：</w:t>
            </w:r>
            <w:r>
              <w:rPr>
                <w:rFonts w:hint="eastAsia" w:ascii="宋体" w:hAnsi="宋体" w:cs="宋体"/>
                <w:b w:val="0"/>
                <w:bCs w:val="0"/>
                <w:color w:val="auto"/>
                <w:sz w:val="24"/>
                <w:szCs w:val="24"/>
                <w:lang w:eastAsia="zh-CN"/>
              </w:rPr>
              <w:t>徐建新</w:t>
            </w:r>
            <w:r>
              <w:rPr>
                <w:rFonts w:hint="eastAsia" w:ascii="宋体" w:hAnsi="宋体" w:eastAsia="宋体" w:cs="宋体"/>
                <w:b w:val="0"/>
                <w:bCs w:val="0"/>
                <w:color w:val="auto"/>
                <w:sz w:val="24"/>
                <w:szCs w:val="24"/>
              </w:rPr>
              <w:t xml:space="preserve">                       联系电话：</w:t>
            </w:r>
            <w:r>
              <w:rPr>
                <w:rFonts w:hint="eastAsia" w:ascii="宋体" w:hAnsi="宋体" w:cs="宋体"/>
                <w:b w:val="0"/>
                <w:bCs w:val="0"/>
                <w:color w:val="auto"/>
                <w:sz w:val="24"/>
                <w:szCs w:val="24"/>
                <w:lang w:val="en-US" w:eastAsia="zh-CN"/>
              </w:rPr>
              <w:t>13070310027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3</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rPr>
              <w:t>采购代理机构：</w:t>
            </w:r>
            <w:r>
              <w:rPr>
                <w:rFonts w:hint="eastAsia" w:ascii="宋体" w:hAnsi="宋体" w:eastAsia="宋体" w:cs="宋体"/>
                <w:b w:val="0"/>
                <w:bCs w:val="0"/>
                <w:color w:val="auto"/>
                <w:sz w:val="24"/>
                <w:szCs w:val="24"/>
                <w:lang w:val="en-US" w:eastAsia="zh-CN"/>
              </w:rPr>
              <w:t>国金工程项目管理有限</w:t>
            </w:r>
            <w:r>
              <w:rPr>
                <w:rFonts w:hint="eastAsia" w:ascii="宋体" w:hAnsi="宋体" w:eastAsia="宋体" w:cs="宋体"/>
                <w:b w:val="0"/>
                <w:bCs w:val="0"/>
                <w:color w:val="auto"/>
                <w:kern w:val="2"/>
                <w:sz w:val="24"/>
                <w:szCs w:val="24"/>
                <w:lang w:eastAsia="zh-CN"/>
              </w:rPr>
              <w:t>公司</w:t>
            </w:r>
          </w:p>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rPr>
              <w:t>地址：</w:t>
            </w:r>
            <w:r>
              <w:rPr>
                <w:rFonts w:hint="eastAsia" w:ascii="宋体" w:hAnsi="宋体" w:eastAsia="宋体" w:cs="宋体"/>
                <w:b w:val="0"/>
                <w:bCs w:val="0"/>
                <w:color w:val="auto"/>
                <w:sz w:val="24"/>
                <w:szCs w:val="24"/>
                <w:lang w:val="en-US" w:eastAsia="zh-CN"/>
              </w:rPr>
              <w:t>塔城市文化</w:t>
            </w:r>
            <w:r>
              <w:rPr>
                <w:rFonts w:hint="eastAsia" w:ascii="宋体" w:hAnsi="宋体" w:eastAsia="宋体" w:cs="宋体"/>
                <w:b w:val="0"/>
                <w:bCs w:val="0"/>
                <w:color w:val="auto"/>
                <w:sz w:val="24"/>
                <w:szCs w:val="24"/>
              </w:rPr>
              <w:t>路</w:t>
            </w:r>
            <w:r>
              <w:rPr>
                <w:rFonts w:hint="eastAsia" w:ascii="宋体" w:hAnsi="宋体" w:eastAsia="宋体" w:cs="宋体"/>
                <w:b w:val="0"/>
                <w:bCs w:val="0"/>
                <w:color w:val="auto"/>
                <w:sz w:val="24"/>
                <w:szCs w:val="24"/>
                <w:lang w:val="en-US" w:eastAsia="zh-CN"/>
              </w:rPr>
              <w:t>文化广场南侧综合楼4号</w:t>
            </w:r>
          </w:p>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rPr>
              <w:t>邮政编码：834700</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rPr>
              <w:t>联系人：</w:t>
            </w:r>
            <w:r>
              <w:rPr>
                <w:rFonts w:hint="eastAsia" w:ascii="宋体" w:hAnsi="宋体" w:eastAsia="宋体" w:cs="宋体"/>
                <w:b w:val="0"/>
                <w:bCs w:val="0"/>
                <w:color w:val="auto"/>
                <w:kern w:val="2"/>
                <w:sz w:val="24"/>
                <w:szCs w:val="24"/>
                <w:lang w:val="en-US" w:eastAsia="zh-CN"/>
              </w:rPr>
              <w:t>马雪儿</w:t>
            </w:r>
            <w:r>
              <w:rPr>
                <w:rFonts w:hint="eastAsia" w:ascii="宋体" w:hAnsi="宋体" w:eastAsia="宋体" w:cs="宋体"/>
                <w:b w:val="0"/>
                <w:bCs w:val="0"/>
                <w:color w:val="auto"/>
                <w:kern w:val="2"/>
                <w:sz w:val="24"/>
                <w:szCs w:val="24"/>
              </w:rPr>
              <w:t xml:space="preserve">   联系电话：</w:t>
            </w:r>
            <w:r>
              <w:rPr>
                <w:rFonts w:hint="eastAsia" w:ascii="宋体" w:hAnsi="宋体" w:eastAsia="宋体" w:cs="宋体"/>
                <w:b w:val="0"/>
                <w:bCs w:val="0"/>
                <w:color w:val="auto"/>
                <w:kern w:val="2"/>
                <w:sz w:val="24"/>
                <w:szCs w:val="24"/>
                <w:lang w:val="en-US" w:eastAsia="zh-CN"/>
              </w:rPr>
              <w:t>13070310202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4</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投标</w:t>
            </w:r>
            <w:r>
              <w:rPr>
                <w:rFonts w:hint="eastAsia" w:ascii="宋体" w:hAnsi="宋体" w:eastAsia="宋体" w:cs="宋体"/>
                <w:b w:val="0"/>
                <w:bCs w:val="0"/>
                <w:color w:val="auto"/>
                <w:kern w:val="2"/>
                <w:sz w:val="24"/>
                <w:szCs w:val="24"/>
              </w:rPr>
              <w:t>文件有效期：递交</w:t>
            </w:r>
            <w:r>
              <w:rPr>
                <w:rFonts w:hint="eastAsia" w:ascii="宋体" w:hAnsi="宋体" w:eastAsia="宋体" w:cs="宋体"/>
                <w:b w:val="0"/>
                <w:bCs w:val="0"/>
                <w:color w:val="auto"/>
                <w:kern w:val="2"/>
                <w:sz w:val="24"/>
                <w:szCs w:val="24"/>
                <w:lang w:eastAsia="zh-CN"/>
              </w:rPr>
              <w:t>投标文件</w:t>
            </w:r>
            <w:r>
              <w:rPr>
                <w:rFonts w:hint="eastAsia" w:ascii="宋体" w:hAnsi="宋体" w:eastAsia="宋体" w:cs="宋体"/>
                <w:b w:val="0"/>
                <w:bCs w:val="0"/>
                <w:color w:val="auto"/>
                <w:kern w:val="2"/>
                <w:sz w:val="24"/>
                <w:szCs w:val="24"/>
              </w:rPr>
              <w:t>截止之日起</w:t>
            </w:r>
            <w:r>
              <w:rPr>
                <w:rFonts w:hint="eastAsia" w:ascii="宋体" w:hAnsi="宋体" w:eastAsia="宋体" w:cs="宋体"/>
                <w:b w:val="0"/>
                <w:bCs w:val="0"/>
                <w:color w:val="auto"/>
                <w:kern w:val="2"/>
                <w:sz w:val="24"/>
                <w:szCs w:val="24"/>
                <w:u w:val="single"/>
                <w:lang w:val="en-US" w:eastAsia="zh-CN"/>
              </w:rPr>
              <w:t>90</w:t>
            </w:r>
            <w:r>
              <w:rPr>
                <w:rFonts w:hint="eastAsia" w:ascii="宋体" w:hAnsi="宋体" w:eastAsia="宋体" w:cs="宋体"/>
                <w:b w:val="0"/>
                <w:bCs w:val="0"/>
                <w:color w:val="auto"/>
                <w:kern w:val="2"/>
                <w:sz w:val="24"/>
                <w:szCs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5</w:t>
            </w:r>
          </w:p>
        </w:tc>
        <w:tc>
          <w:tcPr>
            <w:tcW w:w="9521" w:type="dxa"/>
            <w:vAlign w:val="center"/>
          </w:tcPr>
          <w:p>
            <w:pPr>
              <w:overflowPunct w:val="0"/>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投标</w:t>
            </w:r>
            <w:r>
              <w:rPr>
                <w:rFonts w:hint="eastAsia" w:ascii="宋体" w:hAnsi="宋体" w:eastAsia="宋体" w:cs="宋体"/>
                <w:b w:val="0"/>
                <w:bCs w:val="0"/>
                <w:color w:val="auto"/>
                <w:kern w:val="2"/>
                <w:sz w:val="24"/>
                <w:szCs w:val="24"/>
              </w:rPr>
              <w:t>文件的份数</w:t>
            </w:r>
            <w:r>
              <w:rPr>
                <w:rFonts w:hint="eastAsia" w:ascii="宋体" w:hAnsi="宋体" w:eastAsia="宋体" w:cs="宋体"/>
                <w:b w:val="0"/>
                <w:bCs w:val="0"/>
                <w:color w:val="auto"/>
                <w:kern w:val="2"/>
                <w:sz w:val="24"/>
                <w:szCs w:val="24"/>
                <w:lang w:eastAsia="zh-CN"/>
              </w:rPr>
              <w:t>及</w:t>
            </w:r>
            <w:r>
              <w:rPr>
                <w:rFonts w:hint="eastAsia" w:ascii="宋体" w:hAnsi="宋体" w:eastAsia="宋体" w:cs="宋体"/>
                <w:b w:val="0"/>
                <w:bCs w:val="0"/>
                <w:color w:val="auto"/>
                <w:kern w:val="2"/>
                <w:sz w:val="24"/>
                <w:szCs w:val="24"/>
              </w:rPr>
              <w:t>投标</w:t>
            </w:r>
            <w:r>
              <w:rPr>
                <w:rFonts w:hint="eastAsia" w:ascii="宋体" w:hAnsi="宋体" w:eastAsia="宋体" w:cs="宋体"/>
                <w:color w:val="auto"/>
                <w:kern w:val="2"/>
                <w:sz w:val="24"/>
                <w:szCs w:val="24"/>
                <w:lang w:val="en-US" w:eastAsia="zh-CN" w:bidi="ar-SA"/>
              </w:rPr>
              <w:t>报价一览表</w:t>
            </w:r>
            <w:r>
              <w:rPr>
                <w:rFonts w:hint="eastAsia" w:ascii="宋体" w:hAnsi="宋体" w:eastAsia="宋体" w:cs="宋体"/>
                <w:b w:val="0"/>
                <w:bCs w:val="0"/>
                <w:color w:val="auto"/>
                <w:kern w:val="2"/>
                <w:sz w:val="24"/>
                <w:szCs w:val="24"/>
              </w:rPr>
              <w:t>：一式</w:t>
            </w:r>
            <w:r>
              <w:rPr>
                <w:rFonts w:hint="eastAsia" w:ascii="宋体" w:hAnsi="宋体" w:cs="宋体"/>
                <w:b w:val="0"/>
                <w:bCs w:val="0"/>
                <w:color w:val="auto"/>
                <w:kern w:val="2"/>
                <w:sz w:val="24"/>
                <w:szCs w:val="24"/>
                <w:u w:val="single"/>
                <w:lang w:val="en-US" w:eastAsia="zh-CN"/>
              </w:rPr>
              <w:t>5</w:t>
            </w:r>
            <w:r>
              <w:rPr>
                <w:rFonts w:hint="eastAsia" w:ascii="宋体" w:hAnsi="宋体" w:eastAsia="宋体" w:cs="宋体"/>
                <w:b w:val="0"/>
                <w:bCs w:val="0"/>
                <w:color w:val="auto"/>
                <w:kern w:val="2"/>
                <w:sz w:val="24"/>
                <w:szCs w:val="24"/>
              </w:rPr>
              <w:t>份，其中正本</w:t>
            </w:r>
            <w:r>
              <w:rPr>
                <w:rFonts w:hint="eastAsia" w:ascii="宋体" w:hAnsi="宋体" w:eastAsia="宋体" w:cs="宋体"/>
                <w:b w:val="0"/>
                <w:bCs w:val="0"/>
                <w:color w:val="auto"/>
                <w:kern w:val="2"/>
                <w:sz w:val="24"/>
                <w:szCs w:val="24"/>
                <w:u w:val="single"/>
                <w:lang w:val="en-US" w:eastAsia="zh-CN"/>
              </w:rPr>
              <w:t>1</w:t>
            </w:r>
            <w:r>
              <w:rPr>
                <w:rFonts w:hint="eastAsia" w:ascii="宋体" w:hAnsi="宋体" w:eastAsia="宋体" w:cs="宋体"/>
                <w:b w:val="0"/>
                <w:bCs w:val="0"/>
                <w:color w:val="auto"/>
                <w:kern w:val="2"/>
                <w:sz w:val="24"/>
                <w:szCs w:val="24"/>
              </w:rPr>
              <w:t>份，副本</w:t>
            </w:r>
            <w:r>
              <w:rPr>
                <w:rFonts w:hint="eastAsia" w:ascii="宋体" w:hAnsi="宋体" w:cs="宋体"/>
                <w:b w:val="0"/>
                <w:bCs w:val="0"/>
                <w:color w:val="auto"/>
                <w:kern w:val="2"/>
                <w:sz w:val="24"/>
                <w:szCs w:val="24"/>
                <w:u w:val="single"/>
                <w:lang w:val="en-US" w:eastAsia="zh-CN"/>
              </w:rPr>
              <w:t>4</w:t>
            </w:r>
            <w:r>
              <w:rPr>
                <w:rFonts w:hint="eastAsia" w:ascii="宋体" w:hAnsi="宋体" w:eastAsia="宋体" w:cs="宋体"/>
                <w:b w:val="0"/>
                <w:bCs w:val="0"/>
                <w:color w:val="auto"/>
                <w:kern w:val="2"/>
                <w:sz w:val="24"/>
                <w:szCs w:val="24"/>
              </w:rPr>
              <w:t>份</w:t>
            </w:r>
            <w:r>
              <w:rPr>
                <w:rFonts w:hint="eastAsia" w:ascii="宋体" w:hAnsi="宋体" w:eastAsia="宋体" w:cs="宋体"/>
                <w:b w:val="0"/>
                <w:bCs w:val="0"/>
                <w:color w:val="auto"/>
                <w:kern w:val="2"/>
                <w:sz w:val="24"/>
                <w:szCs w:val="24"/>
                <w:lang w:eastAsia="zh-CN"/>
              </w:rPr>
              <w:t>，</w:t>
            </w:r>
            <w:r>
              <w:rPr>
                <w:rFonts w:hint="eastAsia" w:ascii="宋体" w:hAnsi="宋体" w:eastAsia="宋体" w:cs="宋体"/>
                <w:color w:val="auto"/>
                <w:kern w:val="2"/>
                <w:sz w:val="24"/>
                <w:szCs w:val="24"/>
                <w:lang w:val="en-US" w:eastAsia="zh-CN" w:bidi="ar-SA"/>
              </w:rPr>
              <w:t>电子版</w:t>
            </w:r>
            <w:r>
              <w:rPr>
                <w:rFonts w:hint="eastAsia" w:ascii="宋体" w:hAnsi="宋体" w:eastAsia="宋体" w:cs="宋体"/>
                <w:color w:val="auto"/>
                <w:kern w:val="2"/>
                <w:sz w:val="24"/>
                <w:szCs w:val="24"/>
                <w:u w:val="single"/>
                <w:lang w:val="en-US" w:eastAsia="zh-CN" w:bidi="ar-SA"/>
              </w:rPr>
              <w:t>1</w:t>
            </w:r>
            <w:r>
              <w:rPr>
                <w:rFonts w:hint="eastAsia" w:ascii="宋体" w:hAnsi="宋体" w:eastAsia="宋体" w:cs="宋体"/>
                <w:color w:val="auto"/>
                <w:kern w:val="2"/>
                <w:sz w:val="24"/>
                <w:szCs w:val="24"/>
                <w:lang w:val="en-US" w:eastAsia="zh-CN" w:bidi="ar-SA"/>
              </w:rPr>
              <w:t>份（pdf格式，须单独密封提交）。</w:t>
            </w:r>
            <w:r>
              <w:rPr>
                <w:rFonts w:hint="eastAsia" w:ascii="宋体" w:hAnsi="宋体" w:eastAsia="宋体" w:cs="宋体"/>
                <w:b w:val="0"/>
                <w:bCs w:val="0"/>
                <w:color w:val="auto"/>
                <w:kern w:val="2"/>
                <w:sz w:val="24"/>
                <w:szCs w:val="24"/>
                <w:lang w:eastAsia="zh-CN"/>
              </w:rPr>
              <w:t>投标</w:t>
            </w:r>
            <w:r>
              <w:rPr>
                <w:rFonts w:hint="eastAsia" w:ascii="宋体" w:hAnsi="宋体" w:eastAsia="宋体" w:cs="宋体"/>
                <w:b w:val="0"/>
                <w:bCs w:val="0"/>
                <w:color w:val="auto"/>
                <w:kern w:val="2"/>
                <w:sz w:val="24"/>
                <w:szCs w:val="24"/>
                <w:lang w:val="en-US" w:eastAsia="zh-CN"/>
              </w:rPr>
              <w:t>报</w:t>
            </w:r>
            <w:r>
              <w:rPr>
                <w:rFonts w:hint="eastAsia" w:ascii="宋体" w:hAnsi="宋体" w:eastAsia="宋体" w:cs="宋体"/>
                <w:color w:val="auto"/>
                <w:kern w:val="2"/>
                <w:sz w:val="24"/>
                <w:szCs w:val="24"/>
                <w:lang w:val="en-US" w:eastAsia="zh-CN" w:bidi="ar-SA"/>
              </w:rPr>
              <w:t>价一览表</w:t>
            </w:r>
            <w:r>
              <w:rPr>
                <w:rFonts w:hint="eastAsia" w:ascii="宋体" w:hAnsi="宋体" w:eastAsia="宋体" w:cs="宋体"/>
                <w:color w:val="auto"/>
                <w:kern w:val="2"/>
                <w:sz w:val="24"/>
                <w:szCs w:val="24"/>
                <w:u w:val="single"/>
                <w:lang w:val="en-US" w:eastAsia="zh-CN" w:bidi="ar-SA"/>
              </w:rPr>
              <w:t>1</w:t>
            </w:r>
            <w:r>
              <w:rPr>
                <w:rFonts w:hint="eastAsia" w:ascii="宋体" w:hAnsi="宋体" w:eastAsia="宋体" w:cs="宋体"/>
                <w:color w:val="auto"/>
                <w:kern w:val="2"/>
                <w:sz w:val="24"/>
                <w:szCs w:val="24"/>
                <w:lang w:val="en-US" w:eastAsia="zh-CN" w:bidi="ar-SA"/>
              </w:rPr>
              <w:t>份（另行制作一份，单独密封提交）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6</w:t>
            </w:r>
          </w:p>
        </w:tc>
        <w:tc>
          <w:tcPr>
            <w:tcW w:w="9521" w:type="dxa"/>
            <w:vAlign w:val="center"/>
          </w:tcPr>
          <w:p>
            <w:pPr>
              <w:pStyle w:val="2"/>
              <w:keepNext w:val="0"/>
              <w:keepLines w:val="0"/>
              <w:pageBreakBefore w:val="0"/>
              <w:widowControl w:val="0"/>
              <w:wordWrap/>
              <w:topLinePunct w:val="0"/>
              <w:autoSpaceDE/>
              <w:autoSpaceDN/>
              <w:bidi w:val="0"/>
              <w:snapToGrid w:val="0"/>
              <w:spacing w:line="240" w:lineRule="auto"/>
              <w:ind w:firstLine="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招标人不</w:t>
            </w:r>
            <w:r>
              <w:rPr>
                <w:rFonts w:hint="eastAsia" w:ascii="宋体" w:hAnsi="宋体" w:eastAsia="宋体" w:cs="宋体"/>
                <w:b w:val="0"/>
                <w:bCs w:val="0"/>
                <w:color w:val="auto"/>
                <w:sz w:val="24"/>
                <w:szCs w:val="24"/>
              </w:rPr>
              <w:t>统一组织各</w:t>
            </w:r>
            <w:r>
              <w:rPr>
                <w:rFonts w:hint="eastAsia" w:ascii="宋体" w:hAnsi="宋体" w:eastAsia="宋体" w:cs="宋体"/>
                <w:b w:val="0"/>
                <w:bCs w:val="0"/>
                <w:color w:val="auto"/>
                <w:sz w:val="24"/>
                <w:szCs w:val="24"/>
                <w:lang w:eastAsia="zh-CN"/>
              </w:rPr>
              <w:t>投标单位进行</w:t>
            </w:r>
            <w:r>
              <w:rPr>
                <w:rFonts w:hint="eastAsia" w:ascii="宋体" w:hAnsi="宋体" w:eastAsia="宋体" w:cs="宋体"/>
                <w:b w:val="0"/>
                <w:bCs w:val="0"/>
                <w:color w:val="auto"/>
                <w:sz w:val="24"/>
                <w:szCs w:val="24"/>
              </w:rPr>
              <w:t>实地考察</w:t>
            </w:r>
            <w:r>
              <w:rPr>
                <w:rFonts w:hint="eastAsia" w:ascii="宋体" w:hAnsi="宋体" w:eastAsia="宋体" w:cs="宋体"/>
                <w:b w:val="0"/>
                <w:bCs w:val="0"/>
                <w:color w:val="auto"/>
                <w:sz w:val="24"/>
                <w:szCs w:val="24"/>
                <w:lang w:eastAsia="zh-CN"/>
              </w:rPr>
              <w:t>，投标单位应自行对需要实施的项目基本情况进行了解</w:t>
            </w:r>
            <w:r>
              <w:rPr>
                <w:rFonts w:hint="eastAsia" w:ascii="宋体" w:hAnsi="宋体" w:eastAsia="宋体" w:cs="宋体"/>
                <w:b w:val="0"/>
                <w:bCs w:val="0"/>
                <w:color w:val="auto"/>
                <w:sz w:val="24"/>
                <w:szCs w:val="24"/>
              </w:rPr>
              <w:t>。如有疑问，于</w:t>
            </w:r>
            <w:r>
              <w:rPr>
                <w:rFonts w:hint="eastAsia" w:ascii="宋体" w:hAnsi="宋体" w:cs="宋体"/>
                <w:b w:val="0"/>
                <w:bCs w:val="0"/>
                <w:color w:val="auto"/>
                <w:sz w:val="24"/>
                <w:szCs w:val="24"/>
                <w:lang w:eastAsia="zh-CN"/>
              </w:rPr>
              <w:t>2022年7月18日</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0前以书面形式（必须加盖</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公章）送达或传真至采购代理机构（同时将电子版发送至</w:t>
            </w:r>
            <w:r>
              <w:rPr>
                <w:rFonts w:hint="eastAsia" w:ascii="宋体" w:hAnsi="宋体" w:eastAsia="宋体" w:cs="宋体"/>
                <w:b w:val="0"/>
                <w:bCs w:val="0"/>
                <w:color w:val="auto"/>
                <w:sz w:val="24"/>
                <w:szCs w:val="24"/>
                <w:lang w:val="en-US" w:eastAsia="zh-CN"/>
              </w:rPr>
              <w:t>1974517763</w:t>
            </w:r>
            <w:r>
              <w:rPr>
                <w:rFonts w:hint="eastAsia" w:ascii="宋体" w:hAnsi="宋体" w:eastAsia="宋体" w:cs="宋体"/>
                <w:b w:val="0"/>
                <w:bCs w:val="0"/>
                <w:color w:val="auto"/>
                <w:sz w:val="24"/>
                <w:szCs w:val="24"/>
              </w:rPr>
              <w:t>@qq.com）。</w:t>
            </w: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szCs w:val="24"/>
              </w:rPr>
              <w:t>和采购代理机构将视情况以书面形式予以答复，并发至领取</w:t>
            </w:r>
            <w:r>
              <w:rPr>
                <w:rFonts w:hint="eastAsia" w:ascii="宋体" w:hAnsi="宋体" w:eastAsia="宋体" w:cs="宋体"/>
                <w:b w:val="0"/>
                <w:bCs w:val="0"/>
                <w:color w:val="auto"/>
                <w:sz w:val="24"/>
                <w:szCs w:val="24"/>
                <w:lang w:eastAsia="zh-CN"/>
              </w:rPr>
              <w:t>招标采购</w:t>
            </w:r>
            <w:r>
              <w:rPr>
                <w:rFonts w:hint="eastAsia" w:ascii="宋体" w:hAnsi="宋体" w:eastAsia="宋体" w:cs="宋体"/>
                <w:b w:val="0"/>
                <w:bCs w:val="0"/>
                <w:color w:val="auto"/>
                <w:sz w:val="24"/>
                <w:szCs w:val="24"/>
              </w:rPr>
              <w:t>文件的各位</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7</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递交</w:t>
            </w:r>
            <w:r>
              <w:rPr>
                <w:rFonts w:hint="eastAsia" w:ascii="宋体" w:hAnsi="宋体" w:eastAsia="宋体" w:cs="宋体"/>
                <w:b w:val="0"/>
                <w:bCs w:val="0"/>
                <w:color w:val="auto"/>
                <w:kern w:val="2"/>
                <w:sz w:val="24"/>
                <w:szCs w:val="24"/>
                <w:lang w:eastAsia="zh-CN"/>
              </w:rPr>
              <w:t>投标</w:t>
            </w:r>
            <w:r>
              <w:rPr>
                <w:rFonts w:hint="eastAsia" w:ascii="宋体" w:hAnsi="宋体" w:eastAsia="宋体" w:cs="宋体"/>
                <w:b w:val="0"/>
                <w:bCs w:val="0"/>
                <w:color w:val="auto"/>
                <w:kern w:val="2"/>
                <w:sz w:val="24"/>
                <w:szCs w:val="24"/>
              </w:rPr>
              <w:t>文件截止时间：</w:t>
            </w:r>
            <w:r>
              <w:rPr>
                <w:rFonts w:hint="eastAsia" w:hAnsi="宋体" w:cs="宋体"/>
                <w:b w:val="0"/>
                <w:bCs w:val="0"/>
                <w:color w:val="auto"/>
                <w:sz w:val="24"/>
                <w:szCs w:val="24"/>
                <w:lang w:eastAsia="zh-CN"/>
              </w:rPr>
              <w:t>2022年7月18日</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kern w:val="2"/>
                <w:sz w:val="24"/>
                <w:szCs w:val="24"/>
              </w:rPr>
              <w:t>时</w:t>
            </w:r>
          </w:p>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rPr>
              <w:t>递交</w:t>
            </w:r>
            <w:r>
              <w:rPr>
                <w:rFonts w:hint="eastAsia" w:ascii="宋体" w:hAnsi="宋体" w:eastAsia="宋体" w:cs="宋体"/>
                <w:b w:val="0"/>
                <w:bCs w:val="0"/>
                <w:color w:val="auto"/>
                <w:kern w:val="2"/>
                <w:sz w:val="24"/>
                <w:szCs w:val="24"/>
                <w:lang w:eastAsia="zh-CN"/>
              </w:rPr>
              <w:t>投标</w:t>
            </w:r>
            <w:r>
              <w:rPr>
                <w:rFonts w:hint="eastAsia" w:ascii="宋体" w:hAnsi="宋体" w:eastAsia="宋体" w:cs="宋体"/>
                <w:b w:val="0"/>
                <w:bCs w:val="0"/>
                <w:color w:val="auto"/>
                <w:kern w:val="2"/>
                <w:sz w:val="24"/>
                <w:szCs w:val="24"/>
              </w:rPr>
              <w:t>文件地点：</w:t>
            </w:r>
            <w:r>
              <w:rPr>
                <w:rFonts w:hint="eastAsia" w:asciiTheme="minorEastAsia" w:hAnsiTheme="minorEastAsia" w:eastAsiaTheme="minorEastAsia" w:cstheme="minorEastAsia"/>
                <w:b/>
                <w:bCs/>
                <w:color w:val="auto"/>
                <w:sz w:val="24"/>
                <w:lang w:val="zh-CN" w:eastAsia="zh-CN"/>
              </w:rPr>
              <w:t>乌鲁木齐新市区高新街217号盈科广场A座2710室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8</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开标</w:t>
            </w:r>
            <w:r>
              <w:rPr>
                <w:rFonts w:hint="eastAsia" w:ascii="宋体" w:hAnsi="宋体" w:eastAsia="宋体" w:cs="宋体"/>
                <w:b w:val="0"/>
                <w:bCs w:val="0"/>
                <w:color w:val="auto"/>
                <w:kern w:val="2"/>
                <w:sz w:val="24"/>
                <w:szCs w:val="24"/>
              </w:rPr>
              <w:t>时间：</w:t>
            </w:r>
            <w:r>
              <w:rPr>
                <w:rFonts w:hint="eastAsia" w:hAnsi="宋体" w:cs="宋体"/>
                <w:b w:val="0"/>
                <w:bCs w:val="0"/>
                <w:color w:val="auto"/>
                <w:sz w:val="24"/>
                <w:szCs w:val="24"/>
                <w:lang w:eastAsia="zh-CN"/>
              </w:rPr>
              <w:t>2022年7月18日</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kern w:val="2"/>
                <w:sz w:val="24"/>
                <w:szCs w:val="24"/>
              </w:rPr>
              <w:t>时</w:t>
            </w:r>
          </w:p>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开标</w:t>
            </w:r>
            <w:r>
              <w:rPr>
                <w:rFonts w:hint="eastAsia" w:ascii="宋体" w:hAnsi="宋体" w:eastAsia="宋体" w:cs="宋体"/>
                <w:b w:val="0"/>
                <w:bCs w:val="0"/>
                <w:color w:val="auto"/>
                <w:kern w:val="2"/>
                <w:sz w:val="24"/>
                <w:szCs w:val="24"/>
              </w:rPr>
              <w:t>地点：</w:t>
            </w:r>
            <w:r>
              <w:rPr>
                <w:rFonts w:hint="eastAsia" w:asciiTheme="minorEastAsia" w:hAnsiTheme="minorEastAsia" w:eastAsiaTheme="minorEastAsia" w:cstheme="minorEastAsia"/>
                <w:b/>
                <w:bCs/>
                <w:color w:val="auto"/>
                <w:sz w:val="24"/>
                <w:lang w:val="zh-CN" w:eastAsia="zh-CN"/>
              </w:rPr>
              <w:t>乌鲁木齐新市区高新街217号盈科广场A座2710室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8" w:type="dxa"/>
            <w:vAlign w:val="center"/>
          </w:tcPr>
          <w:p>
            <w:pPr>
              <w:pStyle w:val="17"/>
              <w:spacing w:line="420" w:lineRule="exact"/>
              <w:jc w:val="center"/>
              <w:rPr>
                <w:rFonts w:hint="eastAsia" w:ascii="方正小标宋简体" w:hAnsi="方正小标宋简体" w:eastAsia="方正小标宋简体" w:cs="方正小标宋简体"/>
                <w:b w:val="0"/>
                <w:bCs w:val="0"/>
                <w:color w:val="auto"/>
                <w:kern w:val="2"/>
                <w:sz w:val="24"/>
                <w:szCs w:val="24"/>
              </w:rPr>
            </w:pPr>
            <w:r>
              <w:rPr>
                <w:rFonts w:hint="eastAsia" w:ascii="方正小标宋简体" w:hAnsi="方正小标宋简体" w:eastAsia="方正小标宋简体" w:cs="方正小标宋简体"/>
                <w:b w:val="0"/>
                <w:bCs w:val="0"/>
                <w:color w:val="auto"/>
                <w:kern w:val="2"/>
                <w:sz w:val="24"/>
                <w:szCs w:val="24"/>
              </w:rPr>
              <w:t>9</w:t>
            </w:r>
          </w:p>
        </w:tc>
        <w:tc>
          <w:tcPr>
            <w:tcW w:w="9521" w:type="dxa"/>
            <w:vAlign w:val="center"/>
          </w:tcPr>
          <w:p>
            <w:pPr>
              <w:keepNext w:val="0"/>
              <w:keepLines w:val="0"/>
              <w:pageBreakBefore w:val="0"/>
              <w:kinsoku w:val="0"/>
              <w:wordWrap/>
              <w:overflowPunct w:val="0"/>
              <w:topLinePunct w:val="0"/>
              <w:autoSpaceDE w:val="0"/>
              <w:autoSpaceDN w:val="0"/>
              <w:bidi w:val="0"/>
              <w:adjustRightInd w:val="0"/>
              <w:snapToGrid w:val="0"/>
              <w:spacing w:line="240" w:lineRule="auto"/>
              <w:rPr>
                <w:rFonts w:hint="eastAsia" w:asciiTheme="minorEastAsia" w:hAnsiTheme="minorEastAsia" w:eastAsiaTheme="minorEastAsia" w:cstheme="minorEastAsia"/>
                <w:b w:val="0"/>
                <w:bCs w:val="0"/>
                <w:color w:val="auto"/>
                <w:sz w:val="24"/>
                <w:lang w:val="en-US" w:eastAsia="zh-CN"/>
              </w:rPr>
            </w:pPr>
            <w:r>
              <w:rPr>
                <w:rFonts w:hint="eastAsia" w:ascii="宋体" w:hAnsi="宋体" w:eastAsia="宋体" w:cs="宋体"/>
                <w:b w:val="0"/>
                <w:bCs w:val="0"/>
                <w:color w:val="auto"/>
                <w:kern w:val="2"/>
                <w:sz w:val="24"/>
                <w:szCs w:val="24"/>
              </w:rPr>
              <w:t>采购预算：￥</w:t>
            </w:r>
            <w:r>
              <w:rPr>
                <w:rFonts w:hint="eastAsia" w:asciiTheme="minorEastAsia" w:hAnsiTheme="minorEastAsia" w:eastAsiaTheme="minorEastAsia" w:cstheme="minorEastAsia"/>
                <w:b w:val="0"/>
                <w:bCs w:val="0"/>
                <w:color w:val="auto"/>
                <w:sz w:val="24"/>
                <w:lang w:val="en-US" w:eastAsia="zh-CN"/>
              </w:rPr>
              <w:t>541.6683万元 大写：（伍佰肆拾壹万陆仟陆佰捌拾叁元）</w:t>
            </w:r>
          </w:p>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整（各招标人投标总报价不得超过此预算，否则投标无效）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8" w:type="dxa"/>
            <w:vAlign w:val="center"/>
          </w:tcPr>
          <w:p>
            <w:pPr>
              <w:pStyle w:val="17"/>
              <w:spacing w:line="420" w:lineRule="exact"/>
              <w:jc w:val="center"/>
              <w:rPr>
                <w:rFonts w:hint="default" w:ascii="方正小标宋简体" w:hAnsi="方正小标宋简体" w:eastAsia="方正小标宋简体" w:cs="方正小标宋简体"/>
                <w:b w:val="0"/>
                <w:bCs w:val="0"/>
                <w:color w:val="auto"/>
                <w:kern w:val="2"/>
                <w:sz w:val="24"/>
                <w:szCs w:val="24"/>
                <w:lang w:val="en-US" w:eastAsia="zh-CN"/>
              </w:rPr>
            </w:pPr>
            <w:r>
              <w:rPr>
                <w:rFonts w:hint="eastAsia" w:ascii="方正小标宋简体" w:hAnsi="方正小标宋简体" w:eastAsia="方正小标宋简体" w:cs="方正小标宋简体"/>
                <w:b w:val="0"/>
                <w:bCs w:val="0"/>
                <w:color w:val="auto"/>
                <w:kern w:val="2"/>
                <w:sz w:val="24"/>
                <w:szCs w:val="24"/>
                <w:lang w:val="en-US" w:eastAsia="zh-CN"/>
              </w:rPr>
              <w:t>10</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rPr>
              <w:t>质量标准</w:t>
            </w:r>
            <w:r>
              <w:rPr>
                <w:rFonts w:hint="eastAsia" w:ascii="宋体" w:hAnsi="宋体" w:eastAsia="宋体" w:cs="宋体"/>
                <w:b w:val="0"/>
                <w:bCs w:val="0"/>
                <w:color w:val="auto"/>
                <w:kern w:val="2"/>
                <w:sz w:val="24"/>
                <w:szCs w:val="24"/>
                <w:lang w:val="en-US" w:eastAsia="zh-CN"/>
              </w:rPr>
              <w:t>:</w:t>
            </w:r>
            <w:r>
              <w:rPr>
                <w:rFonts w:hint="eastAsia" w:hAnsi="宋体" w:cs="宋体"/>
                <w:b w:val="0"/>
                <w:bCs w:val="0"/>
                <w:color w:val="auto"/>
                <w:kern w:val="2"/>
                <w:sz w:val="24"/>
                <w:szCs w:val="24"/>
                <w:lang w:val="en-US" w:eastAsia="zh-CN"/>
              </w:rPr>
              <w:t>合格(</w:t>
            </w:r>
            <w:r>
              <w:rPr>
                <w:rFonts w:hint="eastAsia" w:ascii="宋体" w:hAnsi="宋体" w:eastAsia="宋体" w:cs="宋体"/>
                <w:b w:val="0"/>
                <w:bCs w:val="0"/>
                <w:color w:val="auto"/>
                <w:kern w:val="2"/>
                <w:sz w:val="24"/>
                <w:szCs w:val="24"/>
                <w:lang w:val="en-US" w:eastAsia="zh-CN"/>
              </w:rPr>
              <w:t>详见第三章项目采购需求</w:t>
            </w:r>
            <w:r>
              <w:rPr>
                <w:rFonts w:hint="eastAsia" w:hAnsi="宋体" w:cs="宋体"/>
                <w:b w:val="0"/>
                <w:bCs w:val="0"/>
                <w:color w:val="auto"/>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8" w:type="dxa"/>
            <w:vAlign w:val="center"/>
          </w:tcPr>
          <w:p>
            <w:pPr>
              <w:pStyle w:val="17"/>
              <w:spacing w:line="420" w:lineRule="exact"/>
              <w:jc w:val="center"/>
              <w:rPr>
                <w:rFonts w:hint="default" w:ascii="方正小标宋简体" w:hAnsi="方正小标宋简体" w:eastAsia="方正小标宋简体" w:cs="方正小标宋简体"/>
                <w:b w:val="0"/>
                <w:bCs w:val="0"/>
                <w:color w:val="auto"/>
                <w:kern w:val="2"/>
                <w:sz w:val="24"/>
                <w:szCs w:val="24"/>
                <w:lang w:val="en-US" w:eastAsia="zh-CN"/>
              </w:rPr>
            </w:pPr>
            <w:r>
              <w:rPr>
                <w:rFonts w:hint="eastAsia" w:ascii="方正小标宋简体" w:hAnsi="方正小标宋简体" w:eastAsia="方正小标宋简体" w:cs="方正小标宋简体"/>
                <w:b w:val="0"/>
                <w:bCs w:val="0"/>
                <w:color w:val="auto"/>
                <w:kern w:val="2"/>
                <w:sz w:val="24"/>
                <w:szCs w:val="24"/>
                <w:lang w:val="en-US" w:eastAsia="zh-CN"/>
              </w:rPr>
              <w:t>11</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default" w:ascii="宋体" w:hAnsi="宋体" w:eastAsia="宋体" w:cs="宋体"/>
                <w:b w:val="0"/>
                <w:bCs w:val="0"/>
                <w:color w:val="auto"/>
                <w:kern w:val="2"/>
                <w:sz w:val="24"/>
                <w:szCs w:val="24"/>
                <w:lang w:val="en-US" w:eastAsia="zh-CN"/>
              </w:rPr>
            </w:pPr>
            <w:r>
              <w:rPr>
                <w:rFonts w:hint="eastAsia" w:hAnsi="宋体" w:cs="宋体"/>
                <w:b w:val="0"/>
                <w:bCs w:val="0"/>
                <w:color w:val="auto"/>
                <w:kern w:val="2"/>
                <w:sz w:val="24"/>
                <w:szCs w:val="24"/>
                <w:lang w:eastAsia="zh-CN"/>
              </w:rPr>
              <w:t>交货完工</w:t>
            </w:r>
            <w:r>
              <w:rPr>
                <w:rFonts w:hint="eastAsia" w:ascii="宋体" w:hAnsi="宋体" w:eastAsia="宋体" w:cs="宋体"/>
                <w:b w:val="0"/>
                <w:bCs w:val="0"/>
                <w:color w:val="auto"/>
                <w:kern w:val="2"/>
                <w:sz w:val="24"/>
                <w:szCs w:val="24"/>
                <w:lang w:eastAsia="zh-CN"/>
              </w:rPr>
              <w:t>期：</w:t>
            </w:r>
            <w:r>
              <w:rPr>
                <w:rFonts w:hint="eastAsia" w:hAnsi="宋体" w:cs="宋体"/>
                <w:b w:val="0"/>
                <w:bCs w:val="0"/>
                <w:color w:val="auto"/>
                <w:kern w:val="2"/>
                <w:sz w:val="24"/>
                <w:szCs w:val="24"/>
                <w:lang w:eastAsia="zh-CN"/>
              </w:rPr>
              <w:t>自合同签订之日起</w:t>
            </w:r>
            <w:r>
              <w:rPr>
                <w:rFonts w:hint="eastAsia" w:hAnsi="宋体" w:cs="宋体"/>
                <w:b w:val="0"/>
                <w:bCs w:val="0"/>
                <w:color w:val="auto"/>
                <w:kern w:val="2"/>
                <w:sz w:val="24"/>
                <w:szCs w:val="24"/>
                <w:lang w:val="en-US" w:eastAsia="zh-CN"/>
              </w:rPr>
              <w:t>3</w:t>
            </w:r>
            <w:r>
              <w:rPr>
                <w:rFonts w:hint="eastAsia" w:hAnsi="宋体" w:cs="宋体"/>
                <w:b w:val="0"/>
                <w:bCs w:val="0"/>
                <w:color w:val="auto"/>
                <w:kern w:val="2"/>
                <w:sz w:val="24"/>
                <w:szCs w:val="24"/>
                <w:lang w:eastAsia="zh-CN"/>
              </w:rPr>
              <w:t>个月（具体按甲方约定要求）；</w:t>
            </w:r>
            <w:r>
              <w:rPr>
                <w:rFonts w:hint="eastAsia" w:hAnsi="宋体" w:cs="宋体"/>
                <w:b w:val="0"/>
                <w:bCs w:val="0"/>
                <w:color w:val="auto"/>
                <w:sz w:val="24"/>
                <w:szCs w:val="24"/>
                <w:lang w:val="en-US" w:eastAsia="zh-CN"/>
              </w:rPr>
              <w:t>系统售后维护服务：自验收合格之日起3年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8" w:type="dxa"/>
            <w:vAlign w:val="center"/>
          </w:tcPr>
          <w:p>
            <w:pPr>
              <w:pStyle w:val="17"/>
              <w:spacing w:line="420" w:lineRule="exact"/>
              <w:jc w:val="center"/>
              <w:rPr>
                <w:rFonts w:hint="default" w:ascii="方正小标宋简体" w:hAnsi="方正小标宋简体" w:eastAsia="方正小标宋简体" w:cs="方正小标宋简体"/>
                <w:b w:val="0"/>
                <w:bCs w:val="0"/>
                <w:color w:val="auto"/>
                <w:kern w:val="2"/>
                <w:sz w:val="24"/>
                <w:szCs w:val="24"/>
                <w:lang w:val="en-US" w:eastAsia="zh-CN"/>
              </w:rPr>
            </w:pPr>
            <w:r>
              <w:rPr>
                <w:rFonts w:hint="eastAsia" w:ascii="方正小标宋简体" w:hAnsi="方正小标宋简体" w:eastAsia="方正小标宋简体" w:cs="方正小标宋简体"/>
                <w:b w:val="0"/>
                <w:bCs w:val="0"/>
                <w:color w:val="auto"/>
                <w:kern w:val="2"/>
                <w:sz w:val="24"/>
                <w:szCs w:val="24"/>
                <w:lang w:val="en-US" w:eastAsia="zh-CN"/>
              </w:rPr>
              <w:t>12</w:t>
            </w:r>
          </w:p>
        </w:tc>
        <w:tc>
          <w:tcPr>
            <w:tcW w:w="9521" w:type="dxa"/>
            <w:vAlign w:val="center"/>
          </w:tcPr>
          <w:p>
            <w:pPr>
              <w:pStyle w:val="17"/>
              <w:keepNext w:val="0"/>
              <w:keepLines w:val="0"/>
              <w:pageBreakBefore w:val="0"/>
              <w:widowControl w:val="0"/>
              <w:wordWrap/>
              <w:topLinePunct w:val="0"/>
              <w:autoSpaceDE/>
              <w:autoSpaceDN/>
              <w:bidi w:val="0"/>
              <w:snapToGrid w:val="0"/>
              <w:spacing w:line="240" w:lineRule="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rPr>
              <w:t>评标方法</w:t>
            </w:r>
            <w:r>
              <w:rPr>
                <w:rFonts w:hint="eastAsia" w:ascii="宋体" w:hAnsi="宋体" w:eastAsia="宋体" w:cs="宋体"/>
                <w:b w:val="0"/>
                <w:bCs w:val="0"/>
                <w:color w:val="auto"/>
                <w:kern w:val="2"/>
                <w:sz w:val="24"/>
                <w:szCs w:val="24"/>
                <w:lang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8" w:type="dxa"/>
            <w:vAlign w:val="center"/>
          </w:tcPr>
          <w:p>
            <w:pPr>
              <w:pStyle w:val="17"/>
              <w:spacing w:line="420" w:lineRule="exact"/>
              <w:jc w:val="center"/>
              <w:rPr>
                <w:rFonts w:hint="default" w:ascii="方正小标宋简体" w:hAnsi="方正小标宋简体" w:eastAsia="方正小标宋简体" w:cs="方正小标宋简体"/>
                <w:b w:val="0"/>
                <w:bCs w:val="0"/>
                <w:color w:val="auto"/>
                <w:kern w:val="2"/>
                <w:sz w:val="24"/>
                <w:szCs w:val="24"/>
                <w:lang w:val="en-US" w:eastAsia="zh-CN"/>
              </w:rPr>
            </w:pPr>
            <w:r>
              <w:rPr>
                <w:rFonts w:hint="eastAsia" w:ascii="方正小标宋简体" w:hAnsi="方正小标宋简体" w:eastAsia="方正小标宋简体" w:cs="方正小标宋简体"/>
                <w:b w:val="0"/>
                <w:bCs w:val="0"/>
                <w:color w:val="auto"/>
                <w:kern w:val="2"/>
                <w:sz w:val="24"/>
                <w:szCs w:val="24"/>
                <w:lang w:val="en-US" w:eastAsia="zh-CN"/>
              </w:rPr>
              <w:t>13</w:t>
            </w:r>
          </w:p>
        </w:tc>
        <w:tc>
          <w:tcPr>
            <w:tcW w:w="9521" w:type="dxa"/>
            <w:vAlign w:val="center"/>
          </w:tcPr>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开标现场需查验：（1）法定代表人授权委托书</w:t>
            </w:r>
            <w:r>
              <w:rPr>
                <w:rFonts w:hint="eastAsia" w:ascii="宋体" w:hAnsi="宋体" w:eastAsia="宋体" w:cs="宋体"/>
                <w:b w:val="0"/>
                <w:bCs w:val="0"/>
                <w:color w:val="auto"/>
                <w:sz w:val="24"/>
                <w:szCs w:val="24"/>
                <w:lang w:eastAsia="zh-CN"/>
              </w:rPr>
              <w:t>原件</w:t>
            </w:r>
            <w:r>
              <w:rPr>
                <w:rFonts w:hint="eastAsia" w:ascii="宋体" w:hAnsi="宋体" w:eastAsia="宋体" w:cs="宋体"/>
                <w:b w:val="0"/>
                <w:bCs w:val="0"/>
                <w:color w:val="auto"/>
                <w:sz w:val="24"/>
                <w:szCs w:val="24"/>
              </w:rPr>
              <w:t>及被授权人身份证或法人证明书及法人身份证；（2）相应经营范围工商营业执照证</w:t>
            </w:r>
            <w:r>
              <w:rPr>
                <w:rFonts w:hint="eastAsia" w:ascii="宋体" w:hAnsi="宋体" w:eastAsia="宋体" w:cs="宋体"/>
                <w:b w:val="0"/>
                <w:bCs w:val="0"/>
                <w:color w:val="auto"/>
                <w:sz w:val="24"/>
                <w:szCs w:val="24"/>
                <w:lang w:eastAsia="zh-CN"/>
              </w:rPr>
              <w:t>原件</w:t>
            </w:r>
            <w:r>
              <w:rPr>
                <w:rFonts w:hint="eastAsia" w:ascii="宋体" w:hAnsi="宋体" w:cs="宋体"/>
                <w:b w:val="0"/>
                <w:bCs w:val="0"/>
                <w:color w:val="auto"/>
                <w:sz w:val="24"/>
                <w:szCs w:val="24"/>
                <w:lang w:eastAsia="zh-CN"/>
              </w:rPr>
              <w:t>或公证件</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Theme="minorEastAsia" w:hAnsiTheme="minorEastAsia" w:eastAsiaTheme="minorEastAsia" w:cstheme="minorEastAsia"/>
                <w:b w:val="0"/>
                <w:bCs w:val="0"/>
                <w:color w:val="auto"/>
                <w:sz w:val="24"/>
                <w:lang w:val="en-US" w:eastAsia="zh-CN"/>
              </w:rPr>
              <w:t>通信工程施工总承包二级及以上资质或电子与智能化工程专业承包二级及以上资质证书原件</w:t>
            </w:r>
            <w:r>
              <w:rPr>
                <w:rFonts w:hint="eastAsia" w:ascii="宋体" w:hAnsi="宋体" w:cs="宋体"/>
                <w:b w:val="0"/>
                <w:bCs w:val="0"/>
                <w:color w:val="auto"/>
                <w:sz w:val="24"/>
                <w:szCs w:val="24"/>
                <w:lang w:eastAsia="zh-CN"/>
              </w:rPr>
              <w:t>或公证件</w:t>
            </w:r>
            <w:r>
              <w:rPr>
                <w:rFonts w:hint="eastAsia" w:asciiTheme="minorEastAsia" w:hAnsiTheme="minorEastAsia" w:eastAsiaTheme="minorEastAsia" w:cstheme="minorEastAsia"/>
                <w:b w:val="0"/>
                <w:bCs w:val="0"/>
                <w:color w:val="auto"/>
                <w:sz w:val="24"/>
                <w:lang w:val="en-US" w:eastAsia="zh-CN"/>
              </w:rPr>
              <w:t>；（4）</w:t>
            </w:r>
            <w:r>
              <w:rPr>
                <w:rFonts w:hint="eastAsia" w:ascii="宋体" w:hAnsi="宋体" w:eastAsia="宋体" w:cs="宋体"/>
                <w:b w:val="0"/>
                <w:bCs w:val="0"/>
                <w:color w:val="auto"/>
                <w:sz w:val="24"/>
                <w:szCs w:val="24"/>
              </w:rPr>
              <w:t>招标代理机构开具的投标保证金收据</w:t>
            </w:r>
            <w:r>
              <w:rPr>
                <w:rFonts w:hint="eastAsia" w:ascii="宋体" w:hAnsi="宋体" w:eastAsia="宋体" w:cs="宋体"/>
                <w:b w:val="0"/>
                <w:bCs w:val="0"/>
                <w:color w:val="auto"/>
                <w:sz w:val="24"/>
                <w:szCs w:val="24"/>
                <w:lang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28" w:type="dxa"/>
            <w:vAlign w:val="center"/>
          </w:tcPr>
          <w:p>
            <w:pPr>
              <w:pStyle w:val="17"/>
              <w:spacing w:line="420" w:lineRule="exact"/>
              <w:jc w:val="center"/>
              <w:rPr>
                <w:rFonts w:hint="default" w:ascii="方正小标宋简体" w:hAnsi="方正小标宋简体" w:eastAsia="方正小标宋简体" w:cs="方正小标宋简体"/>
                <w:b w:val="0"/>
                <w:bCs w:val="0"/>
                <w:color w:val="auto"/>
                <w:kern w:val="2"/>
                <w:sz w:val="24"/>
                <w:szCs w:val="24"/>
                <w:lang w:val="en-US" w:eastAsia="zh-CN"/>
              </w:rPr>
            </w:pPr>
            <w:r>
              <w:rPr>
                <w:rFonts w:hint="eastAsia" w:ascii="方正小标宋简体" w:hAnsi="方正小标宋简体" w:eastAsia="方正小标宋简体" w:cs="方正小标宋简体"/>
                <w:b w:val="0"/>
                <w:bCs w:val="0"/>
                <w:color w:val="auto"/>
                <w:kern w:val="2"/>
                <w:sz w:val="24"/>
                <w:szCs w:val="24"/>
                <w:lang w:val="en-US" w:eastAsia="zh-CN"/>
              </w:rPr>
              <w:t>14</w:t>
            </w:r>
          </w:p>
        </w:tc>
        <w:tc>
          <w:tcPr>
            <w:tcW w:w="9521" w:type="dxa"/>
            <w:vAlign w:val="center"/>
          </w:tcPr>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投标保证金金额：</w:t>
            </w:r>
            <w:r>
              <w:rPr>
                <w:rFonts w:hint="eastAsia" w:ascii="宋体" w:hAnsi="宋体" w:eastAsia="宋体" w:cs="宋体"/>
                <w:b w:val="0"/>
                <w:bCs w:val="0"/>
                <w:color w:val="auto"/>
                <w:sz w:val="24"/>
                <w:szCs w:val="24"/>
                <w:lang w:val="en-US" w:eastAsia="zh-CN"/>
              </w:rPr>
              <w:t>壹拾万</w:t>
            </w:r>
            <w:r>
              <w:rPr>
                <w:rFonts w:hint="eastAsia" w:ascii="宋体" w:hAnsi="宋体" w:eastAsia="宋体" w:cs="宋体"/>
                <w:b w:val="0"/>
                <w:bCs w:val="0"/>
                <w:color w:val="auto"/>
                <w:sz w:val="24"/>
                <w:szCs w:val="24"/>
              </w:rPr>
              <w:t>元整（¥</w:t>
            </w:r>
            <w:r>
              <w:rPr>
                <w:rFonts w:hint="eastAsia" w:ascii="宋体" w:hAnsi="宋体" w:eastAsia="宋体" w:cs="宋体"/>
                <w:b w:val="0"/>
                <w:bCs w:val="0"/>
                <w:color w:val="auto"/>
                <w:sz w:val="24"/>
                <w:szCs w:val="24"/>
                <w:lang w:val="en-US" w:eastAsia="zh-CN"/>
              </w:rPr>
              <w:t>100000</w:t>
            </w:r>
            <w:r>
              <w:rPr>
                <w:rFonts w:hint="eastAsia" w:ascii="宋体" w:hAnsi="宋体" w:eastAsia="宋体" w:cs="宋体"/>
                <w:b w:val="0"/>
                <w:bCs w:val="0"/>
                <w:color w:val="auto"/>
                <w:sz w:val="24"/>
                <w:szCs w:val="24"/>
              </w:rPr>
              <w:t>元）</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招标</w:t>
            </w:r>
            <w:r>
              <w:rPr>
                <w:rFonts w:hint="eastAsia" w:ascii="宋体" w:hAnsi="宋体" w:eastAsia="宋体" w:cs="宋体"/>
                <w:b w:val="0"/>
                <w:bCs w:val="0"/>
                <w:color w:val="auto"/>
                <w:sz w:val="24"/>
                <w:szCs w:val="24"/>
              </w:rPr>
              <w:t>保证金缴纳账号：</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账户名：</w:t>
            </w:r>
            <w:r>
              <w:rPr>
                <w:rFonts w:hint="eastAsia" w:ascii="宋体" w:hAnsi="宋体" w:eastAsia="宋体" w:cs="宋体"/>
                <w:b w:val="0"/>
                <w:bCs w:val="0"/>
                <w:color w:val="auto"/>
                <w:sz w:val="24"/>
                <w:szCs w:val="24"/>
                <w:lang w:val="en-US" w:eastAsia="zh-CN"/>
              </w:rPr>
              <w:t>国金工程项目管理有限</w:t>
            </w:r>
            <w:r>
              <w:rPr>
                <w:rFonts w:hint="eastAsia" w:ascii="宋体" w:hAnsi="宋体" w:eastAsia="宋体" w:cs="宋体"/>
                <w:b w:val="0"/>
                <w:bCs w:val="0"/>
                <w:color w:val="auto"/>
                <w:sz w:val="24"/>
                <w:szCs w:val="24"/>
              </w:rPr>
              <w:t>公司</w:t>
            </w:r>
            <w:r>
              <w:rPr>
                <w:rFonts w:hint="eastAsia" w:ascii="宋体" w:hAnsi="宋体" w:eastAsia="宋体" w:cs="宋体"/>
                <w:b w:val="0"/>
                <w:bCs w:val="0"/>
                <w:color w:val="auto"/>
                <w:sz w:val="24"/>
                <w:szCs w:val="24"/>
                <w:lang w:eastAsia="zh-CN"/>
              </w:rPr>
              <w:t>乌鲁木齐分</w:t>
            </w:r>
            <w:r>
              <w:rPr>
                <w:rFonts w:hint="eastAsia" w:ascii="宋体" w:hAnsi="宋体" w:eastAsia="宋体" w:cs="宋体"/>
                <w:b w:val="0"/>
                <w:bCs w:val="0"/>
                <w:color w:val="auto"/>
                <w:sz w:val="24"/>
                <w:szCs w:val="24"/>
              </w:rPr>
              <w:t>公司</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lang w:val="en-US" w:eastAsia="zh-CN"/>
              </w:rPr>
              <w:t>中国工商银行股份有限公司乌鲁木齐高新技术产业开发区</w:t>
            </w:r>
            <w:r>
              <w:rPr>
                <w:rFonts w:hint="eastAsia" w:ascii="宋体" w:hAnsi="宋体" w:eastAsia="宋体" w:cs="宋体"/>
                <w:b w:val="0"/>
                <w:bCs w:val="0"/>
                <w:color w:val="auto"/>
                <w:sz w:val="24"/>
                <w:szCs w:val="24"/>
              </w:rPr>
              <w:t>支行</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开户账号：</w:t>
            </w:r>
            <w:r>
              <w:rPr>
                <w:rFonts w:hint="eastAsia" w:ascii="宋体" w:hAnsi="宋体" w:eastAsia="宋体" w:cs="宋体"/>
                <w:b w:val="0"/>
                <w:bCs w:val="0"/>
                <w:color w:val="auto"/>
                <w:sz w:val="24"/>
                <w:szCs w:val="24"/>
                <w:lang w:val="en-US" w:eastAsia="zh-CN"/>
              </w:rPr>
              <w:t>3002029109100116820</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行    号：</w:t>
            </w:r>
            <w:r>
              <w:rPr>
                <w:rFonts w:hint="eastAsia" w:ascii="宋体" w:hAnsi="宋体" w:eastAsia="宋体" w:cs="宋体"/>
                <w:b w:val="0"/>
                <w:bCs w:val="0"/>
                <w:color w:val="auto"/>
                <w:sz w:val="24"/>
                <w:szCs w:val="24"/>
                <w:lang w:val="en-US" w:eastAsia="zh-CN"/>
              </w:rPr>
              <w:t>102881002910</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保证金缴纳形式：应在投标截止日前从</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所在地企业基本账户以电汇或银行转账的方式，汇到指定的账户。汇款单上需注明</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名称、项目名称</w:t>
            </w:r>
            <w:r>
              <w:rPr>
                <w:rFonts w:hint="eastAsia" w:ascii="宋体" w:hAnsi="宋体" w:eastAsia="宋体" w:cs="宋体"/>
                <w:b w:val="0"/>
                <w:bCs w:val="0"/>
                <w:color w:val="auto"/>
                <w:sz w:val="24"/>
                <w:szCs w:val="24"/>
                <w:lang w:eastAsia="zh-CN"/>
              </w:rPr>
              <w:t>。</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保证金咨询电话：</w:t>
            </w:r>
            <w:r>
              <w:rPr>
                <w:rFonts w:hint="eastAsia" w:ascii="宋体" w:hAnsi="宋体" w:eastAsia="宋体" w:cs="宋体"/>
                <w:b w:val="0"/>
                <w:bCs w:val="0"/>
                <w:color w:val="auto"/>
                <w:sz w:val="24"/>
                <w:szCs w:val="24"/>
                <w:lang w:val="en-US" w:eastAsia="zh-CN"/>
              </w:rPr>
              <w:t>13070310202</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递交</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保证金截止时间：</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时间及</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文件递交截止时间前缴纳完毕（以实际到账为准）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未按照上述规定缴纳</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保证金,</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文件将被拒绝评审。</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投标保证金退还（不计息）：除投标文件规定不予退还保证金的情形外，未中标人的投标保证金在中标通知书发出后5个工作日内退还，中标人的投标保证金在签订合同后5个工作日内退还。</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b w:val="0"/>
                <w:bCs w:val="0"/>
                <w:color w:val="auto"/>
                <w:sz w:val="24"/>
                <w:szCs w:val="24"/>
              </w:rPr>
            </w:pPr>
            <w:r>
              <w:rPr>
                <w:rFonts w:hint="eastAsia" w:ascii="宋体" w:hAnsi="宋体" w:eastAsia="宋体" w:cs="宋体"/>
                <w:color w:val="auto"/>
                <w:kern w:val="2"/>
                <w:sz w:val="24"/>
                <w:szCs w:val="24"/>
                <w:lang w:val="en-US" w:eastAsia="zh-CN" w:bidi="ar-SA"/>
              </w:rPr>
              <w:t>退还投标保证金时，未中标人请携带开户银行许可证复印件及投标保证金收据原件办理；中标人请携带开户银行许可证复印件、投标保证金收据原件、与甲方签订的合同或协议复印件办理，资料不齐全不予办理。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28" w:type="dxa"/>
            <w:vAlign w:val="center"/>
          </w:tcPr>
          <w:p>
            <w:pPr>
              <w:pStyle w:val="17"/>
              <w:spacing w:line="4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15</w:t>
            </w:r>
          </w:p>
        </w:tc>
        <w:tc>
          <w:tcPr>
            <w:tcW w:w="9521" w:type="dxa"/>
            <w:vAlign w:val="center"/>
          </w:tcPr>
          <w:p>
            <w:pPr>
              <w:pStyle w:val="11"/>
              <w:topLinePunct/>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履约保证金：要求中标人提交履约保证金</w:t>
            </w:r>
          </w:p>
          <w:p>
            <w:pPr>
              <w:pStyle w:val="11"/>
              <w:topLinePunct/>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履约保证金的形式：现金或电汇</w:t>
            </w:r>
          </w:p>
          <w:p>
            <w:pPr>
              <w:pStyle w:val="11"/>
              <w:topLinePunct/>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履约保证金的金额：中标金额的10%</w:t>
            </w:r>
          </w:p>
          <w:p>
            <w:pPr>
              <w:pStyle w:val="89"/>
              <w:keepNext w:val="0"/>
              <w:keepLines w:val="0"/>
              <w:pageBreakBefore w:val="0"/>
              <w:widowControl w:val="0"/>
              <w:kinsoku w:val="0"/>
              <w:wordWrap/>
              <w:overflowPunct w:val="0"/>
              <w:topLinePunct w:val="0"/>
              <w:autoSpaceDE/>
              <w:autoSpaceDN/>
              <w:bidi w:val="0"/>
              <w:snapToGrid w:val="0"/>
              <w:spacing w:line="240" w:lineRule="auto"/>
              <w:ind w:right="98"/>
              <w:rPr>
                <w:rFonts w:hint="eastAsia" w:ascii="宋体" w:hAnsi="宋体" w:eastAsia="宋体" w:cs="宋体"/>
                <w:color w:val="auto"/>
                <w:kern w:val="2"/>
                <w:sz w:val="24"/>
                <w:szCs w:val="24"/>
                <w:lang w:val="en-US" w:eastAsia="zh-CN" w:bidi="ar-SA"/>
              </w:rPr>
            </w:pPr>
          </w:p>
        </w:tc>
      </w:tr>
    </w:tbl>
    <w:p>
      <w:pPr>
        <w:keepNext w:val="0"/>
        <w:keepLines w:val="0"/>
        <w:pageBreakBefore w:val="0"/>
        <w:widowControl w:val="0"/>
        <w:wordWrap/>
        <w:topLinePunct w:val="0"/>
        <w:bidi w:val="0"/>
        <w:snapToGrid w:val="0"/>
        <w:spacing w:line="240" w:lineRule="auto"/>
        <w:jc w:val="center"/>
        <w:textAlignment w:val="auto"/>
        <w:outlineLvl w:val="9"/>
        <w:rPr>
          <w:rFonts w:hint="eastAsia" w:ascii="宋体" w:hAnsi="宋体" w:eastAsia="宋体" w:cs="宋体"/>
          <w:b/>
          <w:color w:val="auto"/>
          <w:sz w:val="24"/>
          <w:szCs w:val="24"/>
        </w:rPr>
      </w:pPr>
    </w:p>
    <w:p>
      <w:pPr>
        <w:spacing w:line="240" w:lineRule="auto"/>
        <w:jc w:val="center"/>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A</w:t>
      </w:r>
      <w:bookmarkEnd w:id="1"/>
      <w:bookmarkStart w:id="3" w:name="_Toc154996576"/>
      <w:r>
        <w:rPr>
          <w:rFonts w:hint="eastAsia" w:ascii="方正小标宋简体" w:hAnsi="方正小标宋简体" w:eastAsia="方正小标宋简体" w:cs="方正小标宋简体"/>
          <w:b w:val="0"/>
          <w:bCs w:val="0"/>
          <w:color w:val="auto"/>
          <w:sz w:val="28"/>
          <w:szCs w:val="28"/>
          <w:lang w:eastAsia="zh-CN"/>
        </w:rPr>
        <w:t>招标</w:t>
      </w:r>
      <w:r>
        <w:rPr>
          <w:rFonts w:hint="eastAsia" w:ascii="方正小标宋简体" w:hAnsi="方正小标宋简体" w:eastAsia="方正小标宋简体" w:cs="方正小标宋简体"/>
          <w:b w:val="0"/>
          <w:bCs w:val="0"/>
          <w:color w:val="auto"/>
          <w:sz w:val="28"/>
          <w:szCs w:val="28"/>
        </w:rPr>
        <w:t>说明</w:t>
      </w:r>
    </w:p>
    <w:p>
      <w:pPr>
        <w:pStyle w:val="17"/>
        <w:spacing w:line="240" w:lineRule="auto"/>
        <w:ind w:firstLine="480" w:firstLineChars="200"/>
        <w:outlineLvl w:val="1"/>
        <w:rPr>
          <w:rFonts w:hint="eastAsia" w:ascii="宋体" w:hAnsi="宋体" w:eastAsia="宋体" w:cs="宋体"/>
          <w:b w:val="0"/>
          <w:bCs w:val="0"/>
          <w:color w:val="auto"/>
          <w:sz w:val="24"/>
        </w:rPr>
      </w:pPr>
      <w:bookmarkStart w:id="4" w:name="_Toc246216180"/>
      <w:bookmarkStart w:id="5" w:name="_Toc243906311"/>
      <w:bookmarkStart w:id="6" w:name="_Toc233274811"/>
      <w:bookmarkStart w:id="7" w:name="_Toc243907571"/>
      <w:r>
        <w:rPr>
          <w:rFonts w:hint="eastAsia" w:ascii="宋体" w:hAnsi="宋体" w:eastAsia="宋体" w:cs="宋体"/>
          <w:b w:val="0"/>
          <w:bCs w:val="0"/>
          <w:color w:val="auto"/>
          <w:sz w:val="24"/>
        </w:rPr>
        <w:t>1、适用范围</w:t>
      </w:r>
      <w:bookmarkEnd w:id="4"/>
      <w:bookmarkEnd w:id="5"/>
      <w:bookmarkEnd w:id="6"/>
      <w:bookmarkEnd w:id="7"/>
      <w:r>
        <w:rPr>
          <w:rFonts w:hint="eastAsia" w:ascii="宋体" w:hAnsi="宋体" w:eastAsia="宋体" w:cs="宋体"/>
          <w:b w:val="0"/>
          <w:bCs w:val="0"/>
          <w:color w:val="auto"/>
          <w:sz w:val="24"/>
        </w:rPr>
        <w:t>及</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依据</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 适用范围</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本</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文件仅适用</w:t>
      </w:r>
      <w:r>
        <w:rPr>
          <w:rFonts w:hint="eastAsia" w:hAnsi="宋体" w:cs="宋体"/>
          <w:b w:val="0"/>
          <w:bCs w:val="0"/>
          <w:color w:val="auto"/>
          <w:sz w:val="24"/>
          <w:lang w:eastAsia="zh-CN"/>
        </w:rPr>
        <w:t>伊犁哈萨克自治州</w:t>
      </w:r>
      <w:r>
        <w:rPr>
          <w:rFonts w:hint="eastAsia" w:hAnsi="宋体" w:cs="宋体"/>
          <w:b w:val="0"/>
          <w:bCs w:val="0"/>
          <w:color w:val="auto"/>
          <w:sz w:val="24"/>
          <w:szCs w:val="24"/>
          <w:lang w:val="en-US" w:eastAsia="zh-CN"/>
        </w:rPr>
        <w:t>塔城地区公安局交警支队监管指挥中心改扩建项目（施工）（二次）</w:t>
      </w:r>
      <w:r>
        <w:rPr>
          <w:rFonts w:hint="eastAsia" w:ascii="宋体" w:hAnsi="宋体" w:eastAsia="宋体" w:cs="宋体"/>
          <w:b w:val="0"/>
          <w:bCs w:val="0"/>
          <w:color w:val="auto"/>
          <w:sz w:val="24"/>
        </w:rPr>
        <w:t>。</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1.2</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依据</w:t>
      </w:r>
    </w:p>
    <w:p>
      <w:pPr>
        <w:widowControl/>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根据《中华人民共和国政府采购法》、《中华人民共和国政府采购法实施条例》及有关法律、法规。</w:t>
      </w:r>
    </w:p>
    <w:p>
      <w:pPr>
        <w:pStyle w:val="17"/>
        <w:spacing w:line="240" w:lineRule="auto"/>
        <w:ind w:firstLine="480" w:firstLineChars="200"/>
        <w:outlineLvl w:val="1"/>
        <w:rPr>
          <w:rFonts w:hint="eastAsia" w:ascii="宋体" w:hAnsi="宋体" w:eastAsia="宋体" w:cs="宋体"/>
          <w:b w:val="0"/>
          <w:bCs w:val="0"/>
          <w:color w:val="auto"/>
          <w:sz w:val="24"/>
        </w:rPr>
      </w:pPr>
      <w:bookmarkStart w:id="8" w:name="_Toc246216181"/>
      <w:bookmarkStart w:id="9" w:name="_Toc233274812"/>
      <w:bookmarkStart w:id="10" w:name="_Toc243906312"/>
      <w:bookmarkStart w:id="11" w:name="_Toc243907572"/>
      <w:r>
        <w:rPr>
          <w:rFonts w:hint="eastAsia" w:ascii="宋体" w:hAnsi="宋体" w:eastAsia="宋体" w:cs="宋体"/>
          <w:b w:val="0"/>
          <w:bCs w:val="0"/>
          <w:color w:val="auto"/>
          <w:sz w:val="24"/>
        </w:rPr>
        <w:t>2、定义</w:t>
      </w:r>
      <w:bookmarkEnd w:id="8"/>
      <w:bookmarkEnd w:id="9"/>
      <w:bookmarkEnd w:id="10"/>
      <w:bookmarkEnd w:id="11"/>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 “</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”系指</w:t>
      </w:r>
      <w:r>
        <w:rPr>
          <w:rFonts w:hint="eastAsia" w:hAnsi="宋体" w:cs="宋体"/>
          <w:b w:val="0"/>
          <w:bCs w:val="0"/>
          <w:color w:val="auto"/>
          <w:sz w:val="24"/>
          <w:lang w:eastAsia="zh-CN"/>
        </w:rPr>
        <w:t>伊犁哈萨克自治州塔城地区公安局</w:t>
      </w:r>
      <w:r>
        <w:rPr>
          <w:rFonts w:hint="eastAsia" w:ascii="宋体" w:hAnsi="宋体" w:eastAsia="宋体" w:cs="宋体"/>
          <w:b w:val="0"/>
          <w:bCs w:val="0"/>
          <w:color w:val="auto"/>
          <w:sz w:val="24"/>
        </w:rPr>
        <w:t>，在签订和执行合同阶段称“买方”。</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2.2 </w:t>
      </w:r>
      <w:r>
        <w:rPr>
          <w:rFonts w:hint="eastAsia" w:ascii="宋体" w:hAnsi="宋体" w:eastAsia="宋体" w:cs="宋体"/>
          <w:b w:val="0"/>
          <w:bCs w:val="0"/>
          <w:color w:val="auto"/>
          <w:sz w:val="24"/>
          <w:szCs w:val="24"/>
        </w:rPr>
        <w:t>“采购代理机构”</w:t>
      </w:r>
      <w:r>
        <w:rPr>
          <w:rFonts w:hint="eastAsia" w:ascii="宋体" w:hAnsi="宋体" w:eastAsia="宋体" w:cs="宋体"/>
          <w:b w:val="0"/>
          <w:bCs w:val="0"/>
          <w:color w:val="auto"/>
          <w:sz w:val="24"/>
        </w:rPr>
        <w:t>系指</w:t>
      </w:r>
      <w:r>
        <w:rPr>
          <w:rFonts w:hint="eastAsia" w:hAnsi="宋体" w:cs="宋体"/>
          <w:b w:val="0"/>
          <w:bCs w:val="0"/>
          <w:color w:val="auto"/>
          <w:sz w:val="24"/>
          <w:lang w:val="en-US" w:eastAsia="zh-CN"/>
        </w:rPr>
        <w:t>国金工程项目管理有限</w:t>
      </w:r>
      <w:r>
        <w:rPr>
          <w:rFonts w:hint="eastAsia" w:ascii="宋体" w:hAnsi="宋体" w:eastAsia="宋体" w:cs="宋体"/>
          <w:b w:val="0"/>
          <w:bCs w:val="0"/>
          <w:color w:val="auto"/>
          <w:sz w:val="24"/>
          <w:lang w:eastAsia="zh-CN"/>
        </w:rPr>
        <w:t>公司</w:t>
      </w:r>
      <w:r>
        <w:rPr>
          <w:rFonts w:hint="eastAsia" w:ascii="宋体" w:hAnsi="宋体" w:eastAsia="宋体" w:cs="宋体"/>
          <w:b w:val="0"/>
          <w:bCs w:val="0"/>
          <w:color w:val="auto"/>
          <w:sz w:val="24"/>
        </w:rPr>
        <w:t>。</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2.3 “</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”系指具备资格并响应</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文件要求提交</w:t>
      </w:r>
      <w:r>
        <w:rPr>
          <w:rFonts w:hint="eastAsia" w:hAnsi="宋体" w:cs="宋体"/>
          <w:b w:val="0"/>
          <w:bCs w:val="0"/>
          <w:color w:val="auto"/>
          <w:sz w:val="24"/>
          <w:lang w:eastAsia="zh-CN"/>
        </w:rPr>
        <w:t>投标文件</w:t>
      </w:r>
      <w:r>
        <w:rPr>
          <w:rFonts w:hint="eastAsia" w:ascii="宋体" w:hAnsi="宋体" w:eastAsia="宋体" w:cs="宋体"/>
          <w:b w:val="0"/>
          <w:bCs w:val="0"/>
          <w:color w:val="auto"/>
          <w:sz w:val="24"/>
        </w:rPr>
        <w:t>的法人，</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若</w:t>
      </w:r>
      <w:r>
        <w:rPr>
          <w:rFonts w:hint="eastAsia" w:hAnsi="宋体" w:cs="宋体"/>
          <w:b w:val="0"/>
          <w:bCs w:val="0"/>
          <w:color w:val="auto"/>
          <w:sz w:val="24"/>
          <w:lang w:eastAsia="zh-CN"/>
        </w:rPr>
        <w:t>中标</w:t>
      </w:r>
      <w:r>
        <w:rPr>
          <w:rFonts w:hint="eastAsia" w:ascii="宋体" w:hAnsi="宋体" w:eastAsia="宋体" w:cs="宋体"/>
          <w:b w:val="0"/>
          <w:bCs w:val="0"/>
          <w:color w:val="auto"/>
          <w:sz w:val="24"/>
        </w:rPr>
        <w:t>，在签订和执行合同阶段称“卖方”。</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2.4 “</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文件”系指由</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向</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发出的本采购项目的全部文件（包括修改文件、补充文件、答疑纪要、各种通知和附件等）。</w:t>
      </w:r>
    </w:p>
    <w:p>
      <w:pPr>
        <w:pStyle w:val="17"/>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 “</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”系指</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根据</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文件提交的所有文件。</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2.6 “合同货物”系指按合同条款、技术规范及标准、项目采购需求、本</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文件规定，</w:t>
      </w:r>
      <w:r>
        <w:rPr>
          <w:rFonts w:hint="eastAsia" w:hAnsi="宋体" w:cs="宋体"/>
          <w:b w:val="0"/>
          <w:bCs w:val="0"/>
          <w:color w:val="auto"/>
          <w:sz w:val="24"/>
          <w:lang w:eastAsia="zh-CN"/>
        </w:rPr>
        <w:t>中标投标单位</w:t>
      </w:r>
      <w:r>
        <w:rPr>
          <w:rFonts w:hint="eastAsia" w:ascii="宋体" w:hAnsi="宋体" w:eastAsia="宋体" w:cs="宋体"/>
          <w:b w:val="0"/>
          <w:bCs w:val="0"/>
          <w:color w:val="auto"/>
          <w:sz w:val="24"/>
        </w:rPr>
        <w:t>须向</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提供</w:t>
      </w:r>
      <w:r>
        <w:rPr>
          <w:rFonts w:hint="eastAsia" w:hAnsi="宋体" w:cs="宋体"/>
          <w:b w:val="0"/>
          <w:bCs w:val="0"/>
          <w:color w:val="auto"/>
          <w:sz w:val="24"/>
          <w:lang w:eastAsia="zh-CN"/>
        </w:rPr>
        <w:t>伊犁哈萨克自治州塔城地区公安局基层单位人脸识别门禁系统采购项目</w:t>
      </w:r>
      <w:r>
        <w:rPr>
          <w:rFonts w:hint="eastAsia" w:ascii="宋体" w:hAnsi="宋体" w:eastAsia="宋体" w:cs="宋体"/>
          <w:b w:val="0"/>
          <w:bCs w:val="0"/>
          <w:color w:val="auto"/>
          <w:sz w:val="24"/>
        </w:rPr>
        <w:t>采购清单所有货物。</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2.7 “服务”系指合同条款、技术规范及标准、项目采购需求、本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文件规定，</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为</w:t>
      </w:r>
      <w:r>
        <w:rPr>
          <w:rFonts w:hint="eastAsia" w:ascii="宋体" w:hAnsi="宋体" w:cs="宋体"/>
          <w:b w:val="0"/>
          <w:bCs w:val="0"/>
          <w:color w:val="auto"/>
          <w:sz w:val="24"/>
          <w:lang w:eastAsia="zh-CN"/>
        </w:rPr>
        <w:t>伊犁哈萨克自治州塔城地区公安局基层单位人脸识别门禁系统采购项目</w:t>
      </w:r>
      <w:r>
        <w:rPr>
          <w:rFonts w:hint="eastAsia" w:ascii="宋体" w:hAnsi="宋体" w:eastAsia="宋体" w:cs="宋体"/>
          <w:b w:val="0"/>
          <w:bCs w:val="0"/>
          <w:color w:val="auto"/>
          <w:sz w:val="24"/>
          <w:lang w:eastAsia="zh-CN"/>
        </w:rPr>
        <w:t>交付使用的</w:t>
      </w:r>
      <w:r>
        <w:rPr>
          <w:rFonts w:hint="eastAsia" w:ascii="宋体" w:hAnsi="宋体" w:eastAsia="宋体" w:cs="宋体"/>
          <w:b w:val="0"/>
          <w:bCs w:val="0"/>
          <w:color w:val="auto"/>
          <w:sz w:val="24"/>
        </w:rPr>
        <w:t>所有责任和义务。</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2.8凡提及的“天、日期、星期、月份和年份”系指公历日历的日历天、日期、星期、月份和年份。 </w:t>
      </w:r>
    </w:p>
    <w:p>
      <w:pPr>
        <w:pStyle w:val="17"/>
        <w:spacing w:line="240" w:lineRule="auto"/>
        <w:ind w:firstLine="480" w:firstLineChars="200"/>
        <w:outlineLvl w:val="1"/>
        <w:rPr>
          <w:rFonts w:hint="eastAsia" w:ascii="宋体" w:hAnsi="宋体" w:eastAsia="宋体" w:cs="宋体"/>
          <w:b w:val="0"/>
          <w:bCs w:val="0"/>
          <w:color w:val="auto"/>
          <w:sz w:val="24"/>
          <w:lang w:eastAsia="zh-CN"/>
        </w:rPr>
      </w:pPr>
      <w:bookmarkStart w:id="12" w:name="_Toc243906313"/>
      <w:bookmarkStart w:id="13" w:name="_Toc233274813"/>
      <w:bookmarkStart w:id="14" w:name="_Toc243907573"/>
      <w:bookmarkStart w:id="15" w:name="_Toc246216182"/>
      <w:r>
        <w:rPr>
          <w:rFonts w:hint="eastAsia" w:ascii="宋体" w:hAnsi="宋体" w:eastAsia="宋体" w:cs="宋体"/>
          <w:b w:val="0"/>
          <w:bCs w:val="0"/>
          <w:color w:val="auto"/>
          <w:sz w:val="24"/>
        </w:rPr>
        <w:t>3、采购范围及</w:t>
      </w:r>
      <w:bookmarkEnd w:id="12"/>
      <w:bookmarkEnd w:id="13"/>
      <w:bookmarkEnd w:id="14"/>
      <w:bookmarkEnd w:id="15"/>
      <w:r>
        <w:rPr>
          <w:rFonts w:hint="eastAsia" w:hAnsi="宋体" w:cs="宋体"/>
          <w:b w:val="0"/>
          <w:bCs w:val="0"/>
          <w:color w:val="auto"/>
          <w:sz w:val="24"/>
          <w:lang w:eastAsia="zh-CN"/>
        </w:rPr>
        <w:t>质量标准</w:t>
      </w:r>
    </w:p>
    <w:p>
      <w:pPr>
        <w:keepNext w:val="0"/>
        <w:keepLines w:val="0"/>
        <w:widowControl/>
        <w:suppressLineNumbers w:val="0"/>
        <w:jc w:val="left"/>
        <w:rPr>
          <w:rFonts w:hint="eastAsia" w:asciiTheme="minorEastAsia" w:hAnsiTheme="minorEastAsia" w:eastAsiaTheme="minorEastAsia" w:cstheme="minorEastAsia"/>
          <w:b w:val="0"/>
          <w:bCs w:val="0"/>
          <w:color w:val="auto"/>
          <w:sz w:val="24"/>
          <w:lang w:eastAsia="zh-CN"/>
        </w:rPr>
      </w:pPr>
      <w:r>
        <w:rPr>
          <w:rFonts w:hint="eastAsia" w:ascii="宋体" w:hAnsi="宋体" w:eastAsia="宋体" w:cs="宋体"/>
          <w:b w:val="0"/>
          <w:bCs w:val="0"/>
          <w:color w:val="auto"/>
          <w:sz w:val="24"/>
        </w:rPr>
        <w:t>3.1采购范围：</w:t>
      </w:r>
      <w:r>
        <w:rPr>
          <w:rFonts w:hint="eastAsia" w:asciiTheme="minorEastAsia" w:hAnsiTheme="minorEastAsia" w:eastAsiaTheme="minorEastAsia" w:cstheme="minorEastAsia"/>
          <w:b w:val="0"/>
          <w:bCs w:val="0"/>
          <w:color w:val="auto"/>
          <w:sz w:val="24"/>
          <w:lang w:val="en-US" w:eastAsia="zh-CN"/>
        </w:rPr>
        <w:t>按照监管指挥中心的基础建设要求，对交警支队五楼会议室进行改造；更换部分后台相关应用服务器及核心交换服务器等设备，通过国标级联对接地区联网共享平台，接入路面监控和道路交通信号控制系统；车辆数据推送；综合监管网络改造。</w:t>
      </w:r>
      <w:r>
        <w:rPr>
          <w:rFonts w:hint="eastAsia" w:asciiTheme="minorEastAsia" w:hAnsiTheme="minorEastAsia" w:eastAsiaTheme="minorEastAsia" w:cstheme="minorEastAsia"/>
          <w:b w:val="0"/>
          <w:bCs w:val="0"/>
          <w:color w:val="auto"/>
          <w:sz w:val="24"/>
          <w:lang w:eastAsia="zh-CN"/>
        </w:rPr>
        <w:t>具体建设内容如下：</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3.1.1</w:t>
      </w:r>
      <w:r>
        <w:rPr>
          <w:rFonts w:hint="eastAsia" w:asciiTheme="minorEastAsia" w:hAnsiTheme="minorEastAsia" w:eastAsiaTheme="minorEastAsia" w:cstheme="minorEastAsia"/>
          <w:b w:val="0"/>
          <w:bCs w:val="0"/>
          <w:color w:val="auto"/>
          <w:sz w:val="24"/>
          <w:lang w:eastAsia="zh-CN"/>
        </w:rPr>
        <w:t>监管指挥中心：</w:t>
      </w:r>
      <w:r>
        <w:rPr>
          <w:rFonts w:hint="eastAsia" w:asciiTheme="minorEastAsia" w:hAnsiTheme="minorEastAsia" w:eastAsiaTheme="minorEastAsia" w:cstheme="minorEastAsia"/>
          <w:b w:val="0"/>
          <w:bCs w:val="0"/>
          <w:color w:val="auto"/>
          <w:sz w:val="24"/>
          <w:lang w:val="en-US" w:eastAsia="zh-CN"/>
        </w:rPr>
        <w:t>LED大屏，音频系统，视频会议系统，监管办公电脑，会议桌椅，接地防雷系统等</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3.1.2</w:t>
      </w:r>
      <w:r>
        <w:rPr>
          <w:rFonts w:hint="eastAsia" w:asciiTheme="minorEastAsia" w:hAnsiTheme="minorEastAsia" w:eastAsiaTheme="minorEastAsia" w:cstheme="minorEastAsia"/>
          <w:b w:val="0"/>
          <w:bCs w:val="0"/>
          <w:color w:val="auto"/>
          <w:sz w:val="24"/>
          <w:lang w:eastAsia="zh-CN"/>
        </w:rPr>
        <w:t>监管指挥中心装修：</w:t>
      </w:r>
      <w:r>
        <w:rPr>
          <w:rFonts w:hint="eastAsia" w:asciiTheme="minorEastAsia" w:hAnsiTheme="minorEastAsia" w:eastAsiaTheme="minorEastAsia" w:cstheme="minorEastAsia"/>
          <w:b w:val="0"/>
          <w:bCs w:val="0"/>
          <w:color w:val="auto"/>
          <w:sz w:val="24"/>
          <w:lang w:val="en-US" w:eastAsia="zh-CN"/>
        </w:rPr>
        <w:t>以</w:t>
      </w:r>
      <w:r>
        <w:rPr>
          <w:rFonts w:hint="eastAsia" w:asciiTheme="minorEastAsia" w:hAnsiTheme="minorEastAsia" w:eastAsiaTheme="minorEastAsia" w:cstheme="minorEastAsia"/>
          <w:b w:val="0"/>
          <w:bCs w:val="0"/>
          <w:color w:val="auto"/>
          <w:sz w:val="24"/>
          <w:lang w:eastAsia="zh-CN"/>
        </w:rPr>
        <w:t>甲方最终确认的效果图为准。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3.1.3车辆大数据推送软件</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3.1.4综合监管网络升级改造。</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3.2</w:t>
      </w:r>
      <w:r>
        <w:rPr>
          <w:rFonts w:hint="eastAsia" w:ascii="宋体" w:hAnsi="宋体" w:eastAsia="宋体" w:cs="宋体"/>
          <w:b w:val="0"/>
          <w:bCs w:val="0"/>
          <w:color w:val="auto"/>
          <w:sz w:val="24"/>
          <w:lang w:eastAsia="zh-CN"/>
        </w:rPr>
        <w:t>质量标准</w:t>
      </w:r>
      <w:r>
        <w:rPr>
          <w:rFonts w:hint="eastAsia" w:ascii="宋体" w:hAnsi="宋体" w:eastAsia="宋体" w:cs="宋体"/>
          <w:b w:val="0"/>
          <w:bCs w:val="0"/>
          <w:color w:val="auto"/>
          <w:sz w:val="24"/>
        </w:rPr>
        <w:t>：</w:t>
      </w:r>
      <w:bookmarkStart w:id="16" w:name="_Toc243906314"/>
      <w:bookmarkStart w:id="17" w:name="_Toc233274814"/>
      <w:bookmarkStart w:id="18" w:name="_Toc243907574"/>
      <w:bookmarkStart w:id="19" w:name="_Toc246216183"/>
      <w:r>
        <w:rPr>
          <w:rFonts w:hint="eastAsia" w:ascii="宋体" w:hAnsi="宋体" w:eastAsia="宋体" w:cs="宋体"/>
          <w:b w:val="0"/>
          <w:bCs w:val="0"/>
          <w:color w:val="auto"/>
          <w:sz w:val="24"/>
          <w:lang w:eastAsia="zh-CN"/>
        </w:rPr>
        <w:t>合格（按照第三章项目采购需求的要</w:t>
      </w:r>
      <w:r>
        <w:rPr>
          <w:rFonts w:hint="eastAsia" w:ascii="宋体" w:hAnsi="宋体" w:cs="宋体"/>
          <w:b w:val="0"/>
          <w:bCs w:val="0"/>
          <w:color w:val="auto"/>
          <w:sz w:val="24"/>
          <w:lang w:eastAsia="zh-CN"/>
        </w:rPr>
        <w:t>求）。</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bookmarkEnd w:id="16"/>
      <w:bookmarkEnd w:id="17"/>
      <w:bookmarkEnd w:id="18"/>
      <w:bookmarkEnd w:id="19"/>
      <w:r>
        <w:rPr>
          <w:rFonts w:hint="eastAsia" w:ascii="宋体" w:hAnsi="宋体" w:eastAsia="宋体" w:cs="宋体"/>
          <w:b w:val="0"/>
          <w:bCs w:val="0"/>
          <w:color w:val="auto"/>
          <w:sz w:val="24"/>
        </w:rPr>
        <w:t>合格</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资格要求</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rPr>
        <w:t>详见第一章“</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公告”中的</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资格要求。</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5、实地考察和费用</w:t>
      </w:r>
    </w:p>
    <w:p>
      <w:pPr>
        <w:pStyle w:val="17"/>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5.1实地考察</w:t>
      </w:r>
    </w:p>
    <w:p>
      <w:pPr>
        <w:pStyle w:val="17"/>
        <w:spacing w:line="240" w:lineRule="auto"/>
        <w:ind w:firstLine="480" w:firstLineChars="200"/>
        <w:rPr>
          <w:rFonts w:hint="eastAsia" w:ascii="宋体" w:hAnsi="宋体" w:eastAsia="宋体" w:cs="宋体"/>
          <w:b w:val="0"/>
          <w:bCs w:val="0"/>
          <w:color w:val="auto"/>
          <w:sz w:val="24"/>
          <w:szCs w:val="24"/>
        </w:rPr>
      </w:pP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lang w:eastAsia="zh-CN"/>
        </w:rPr>
        <w:t>不</w:t>
      </w:r>
      <w:r>
        <w:rPr>
          <w:rFonts w:hint="eastAsia" w:ascii="宋体" w:hAnsi="宋体" w:eastAsia="宋体" w:cs="宋体"/>
          <w:b w:val="0"/>
          <w:bCs w:val="0"/>
          <w:color w:val="auto"/>
          <w:sz w:val="24"/>
          <w:szCs w:val="24"/>
        </w:rPr>
        <w:t>组织统一实地考察。</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须自行对采购项目的现场及采购项目所涉及的国家、自治区、塔城地区、相关部门等与此相关政策进行充分的调查、研究，参观并考察项目情况及其周围环境（包括当地气候条件及自然环境等）以取得所有与准备</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和实施</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有关的必要资料及信息。实地考察所发生任何费用均由</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自理。</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5.2参与</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费用</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5.2.1</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应承担所有与</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准备和</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有关的全部费用，不论</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结果如何，</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和采购代理机构无义务和责任承担</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所发生的一切费用。</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5.2.2</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在</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准备、实地考察和</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的全过程中，如果发生人身伤亡、财物或其它任何损失，不论何种原因所造成，均由</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自行承担全部责任和损失。</w:t>
      </w:r>
    </w:p>
    <w:p>
      <w:pPr>
        <w:pStyle w:val="17"/>
        <w:spacing w:line="240" w:lineRule="auto"/>
        <w:ind w:firstLine="480" w:firstLineChars="200"/>
        <w:outlineLvl w:val="1"/>
        <w:rPr>
          <w:rFonts w:hint="eastAsia" w:ascii="宋体" w:hAnsi="宋体" w:eastAsia="宋体" w:cs="宋体"/>
          <w:b w:val="0"/>
          <w:bCs w:val="0"/>
          <w:color w:val="auto"/>
          <w:sz w:val="24"/>
        </w:rPr>
      </w:pPr>
      <w:bookmarkStart w:id="20" w:name="_Toc233274816"/>
      <w:bookmarkStart w:id="21" w:name="_Toc243907576"/>
      <w:bookmarkStart w:id="22" w:name="_Toc245897276"/>
      <w:bookmarkStart w:id="23" w:name="_Toc243906316"/>
      <w:r>
        <w:rPr>
          <w:rFonts w:hint="eastAsia" w:ascii="宋体" w:hAnsi="宋体" w:eastAsia="宋体" w:cs="宋体"/>
          <w:b w:val="0"/>
          <w:bCs w:val="0"/>
          <w:color w:val="auto"/>
          <w:sz w:val="24"/>
        </w:rPr>
        <w:t>6、法律适用</w:t>
      </w:r>
      <w:bookmarkEnd w:id="20"/>
      <w:bookmarkEnd w:id="21"/>
      <w:bookmarkEnd w:id="22"/>
      <w:bookmarkEnd w:id="23"/>
      <w:r>
        <w:rPr>
          <w:rFonts w:hint="eastAsia" w:hAnsi="宋体" w:cs="宋体"/>
          <w:b w:val="0"/>
          <w:bCs w:val="0"/>
          <w:color w:val="auto"/>
          <w:sz w:val="24"/>
          <w:lang w:eastAsia="zh-CN"/>
        </w:rPr>
        <w:t>。</w:t>
      </w:r>
      <w:r>
        <w:rPr>
          <w:rFonts w:hint="eastAsia" w:ascii="宋体" w:hAnsi="宋体" w:eastAsia="宋体" w:cs="宋体"/>
          <w:b w:val="0"/>
          <w:bCs w:val="0"/>
          <w:color w:val="auto"/>
          <w:sz w:val="24"/>
        </w:rPr>
        <w:t>本次</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活动及由本次</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产生的合同受中国法律制约和保护。</w:t>
      </w:r>
    </w:p>
    <w:p>
      <w:pPr>
        <w:pStyle w:val="17"/>
        <w:spacing w:line="240" w:lineRule="auto"/>
        <w:ind w:firstLine="480" w:firstLineChars="200"/>
        <w:outlineLvl w:val="1"/>
        <w:rPr>
          <w:rFonts w:hint="eastAsia" w:ascii="宋体" w:hAnsi="宋体" w:eastAsia="宋体" w:cs="宋体"/>
          <w:b w:val="0"/>
          <w:bCs w:val="0"/>
          <w:color w:val="auto"/>
          <w:sz w:val="24"/>
        </w:rPr>
      </w:pPr>
      <w:bookmarkStart w:id="24" w:name="_Toc243907577"/>
      <w:bookmarkStart w:id="25" w:name="_Toc243906317"/>
      <w:bookmarkStart w:id="26" w:name="_Toc233274817"/>
      <w:bookmarkStart w:id="27" w:name="_Toc245897277"/>
      <w:r>
        <w:rPr>
          <w:rFonts w:hint="eastAsia" w:ascii="宋体" w:hAnsi="宋体" w:eastAsia="宋体" w:cs="宋体"/>
          <w:b w:val="0"/>
          <w:bCs w:val="0"/>
          <w:color w:val="auto"/>
          <w:sz w:val="24"/>
        </w:rPr>
        <w:t>7、</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文件的约束力</w:t>
      </w:r>
      <w:bookmarkEnd w:id="24"/>
      <w:bookmarkEnd w:id="25"/>
      <w:bookmarkEnd w:id="26"/>
      <w:bookmarkEnd w:id="27"/>
    </w:p>
    <w:p>
      <w:pPr>
        <w:pStyle w:val="17"/>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7.1</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若</w:t>
      </w:r>
      <w:r>
        <w:rPr>
          <w:rFonts w:hint="eastAsia" w:hAnsi="宋体" w:cs="宋体"/>
          <w:b w:val="0"/>
          <w:bCs w:val="0"/>
          <w:color w:val="auto"/>
          <w:sz w:val="24"/>
          <w:szCs w:val="24"/>
          <w:lang w:eastAsia="zh-CN"/>
        </w:rPr>
        <w:t>中标</w:t>
      </w:r>
      <w:r>
        <w:rPr>
          <w:rFonts w:hint="eastAsia" w:ascii="宋体" w:hAnsi="宋体" w:eastAsia="宋体" w:cs="宋体"/>
          <w:b w:val="0"/>
          <w:bCs w:val="0"/>
          <w:color w:val="auto"/>
          <w:sz w:val="24"/>
          <w:szCs w:val="24"/>
        </w:rPr>
        <w:t>，即被认为接受了本</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文件中的所有条件和规定。是</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与</w:t>
      </w:r>
      <w:r>
        <w:rPr>
          <w:rFonts w:hint="eastAsia" w:hAnsi="宋体" w:cs="宋体"/>
          <w:b w:val="0"/>
          <w:bCs w:val="0"/>
          <w:color w:val="auto"/>
          <w:sz w:val="24"/>
          <w:szCs w:val="24"/>
          <w:lang w:eastAsia="zh-CN"/>
        </w:rPr>
        <w:t>中标投标单位</w:t>
      </w:r>
      <w:r>
        <w:rPr>
          <w:rFonts w:hint="eastAsia" w:ascii="宋体" w:hAnsi="宋体" w:eastAsia="宋体" w:cs="宋体"/>
          <w:b w:val="0"/>
          <w:bCs w:val="0"/>
          <w:color w:val="auto"/>
          <w:sz w:val="24"/>
          <w:szCs w:val="24"/>
        </w:rPr>
        <w:t>签订合同的依据且是合同的组成部分。</w:t>
      </w:r>
    </w:p>
    <w:bookmarkEnd w:id="3"/>
    <w:p>
      <w:pPr>
        <w:pStyle w:val="17"/>
        <w:spacing w:line="240" w:lineRule="auto"/>
        <w:jc w:val="center"/>
        <w:outlineLvl w:val="1"/>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 xml:space="preserve">B   </w:t>
      </w:r>
      <w:r>
        <w:rPr>
          <w:rFonts w:hint="eastAsia" w:ascii="方正小标宋简体" w:hAnsi="方正小标宋简体" w:eastAsia="方正小标宋简体" w:cs="方正小标宋简体"/>
          <w:b w:val="0"/>
          <w:bCs w:val="0"/>
          <w:color w:val="auto"/>
          <w:sz w:val="28"/>
          <w:szCs w:val="28"/>
          <w:lang w:eastAsia="zh-CN"/>
        </w:rPr>
        <w:t>招标</w:t>
      </w:r>
      <w:r>
        <w:rPr>
          <w:rFonts w:hint="eastAsia" w:ascii="方正小标宋简体" w:hAnsi="方正小标宋简体" w:eastAsia="方正小标宋简体" w:cs="方正小标宋简体"/>
          <w:b w:val="0"/>
          <w:bCs w:val="0"/>
          <w:color w:val="auto"/>
          <w:sz w:val="28"/>
          <w:szCs w:val="28"/>
        </w:rPr>
        <w:t>文件</w:t>
      </w:r>
    </w:p>
    <w:p>
      <w:pPr>
        <w:pStyle w:val="17"/>
        <w:spacing w:line="240" w:lineRule="auto"/>
        <w:ind w:firstLine="480" w:firstLineChars="200"/>
        <w:outlineLvl w:val="1"/>
        <w:rPr>
          <w:rFonts w:hint="eastAsia" w:ascii="宋体" w:hAnsi="宋体" w:eastAsia="宋体" w:cs="宋体"/>
          <w:b w:val="0"/>
          <w:bCs w:val="0"/>
          <w:color w:val="auto"/>
          <w:sz w:val="24"/>
        </w:rPr>
      </w:pPr>
      <w:bookmarkStart w:id="28" w:name="_Toc233274819"/>
      <w:bookmarkStart w:id="29" w:name="_Toc246216188"/>
      <w:bookmarkStart w:id="30" w:name="_Toc243907579"/>
      <w:bookmarkStart w:id="31" w:name="_Toc243906319"/>
      <w:r>
        <w:rPr>
          <w:rFonts w:hint="eastAsia" w:ascii="宋体" w:hAnsi="宋体" w:eastAsia="宋体" w:cs="宋体"/>
          <w:b w:val="0"/>
          <w:bCs w:val="0"/>
          <w:color w:val="auto"/>
          <w:sz w:val="24"/>
        </w:rPr>
        <w:t>8、</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文件的组成</w:t>
      </w:r>
      <w:bookmarkEnd w:id="28"/>
      <w:bookmarkEnd w:id="29"/>
      <w:bookmarkEnd w:id="30"/>
      <w:bookmarkEnd w:id="31"/>
    </w:p>
    <w:p>
      <w:pPr>
        <w:spacing w:line="240" w:lineRule="auto"/>
        <w:ind w:firstLine="481"/>
        <w:rPr>
          <w:rFonts w:hint="eastAsia" w:ascii="宋体" w:hAnsi="宋体" w:eastAsia="宋体" w:cs="宋体"/>
          <w:b w:val="0"/>
          <w:bCs w:val="0"/>
          <w:color w:val="auto"/>
          <w:kern w:val="0"/>
          <w:sz w:val="24"/>
          <w:szCs w:val="20"/>
          <w:lang w:val="en-US" w:eastAsia="zh-CN" w:bidi="ar-SA"/>
        </w:rPr>
      </w:pPr>
      <w:r>
        <w:rPr>
          <w:rFonts w:hint="eastAsia" w:ascii="宋体" w:hAnsi="宋体" w:eastAsia="宋体" w:cs="宋体"/>
          <w:b w:val="0"/>
          <w:bCs w:val="0"/>
          <w:color w:val="auto"/>
          <w:sz w:val="24"/>
        </w:rPr>
        <w:t>8.1 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文件是对</w:t>
      </w:r>
      <w:r>
        <w:rPr>
          <w:rFonts w:hint="eastAsia" w:ascii="宋体" w:hAnsi="宋体" w:cs="宋体"/>
          <w:b w:val="0"/>
          <w:bCs w:val="0"/>
          <w:color w:val="auto"/>
          <w:sz w:val="24"/>
          <w:lang w:eastAsia="zh-CN"/>
        </w:rPr>
        <w:t>伊犁哈萨克自治州塔城地区公安局交警支队监管指挥中心改扩建项目（施工）（二次）</w:t>
      </w:r>
      <w:r>
        <w:rPr>
          <w:rFonts w:hint="eastAsia" w:ascii="宋体" w:hAnsi="宋体" w:eastAsia="宋体" w:cs="宋体"/>
          <w:b w:val="0"/>
          <w:bCs w:val="0"/>
          <w:color w:val="auto"/>
          <w:kern w:val="0"/>
          <w:sz w:val="24"/>
          <w:szCs w:val="20"/>
          <w:lang w:val="en-US" w:eastAsia="zh-CN" w:bidi="ar-SA"/>
        </w:rPr>
        <w:t>招标程序、合同条款进行说明。</w:t>
      </w:r>
    </w:p>
    <w:p>
      <w:pPr>
        <w:spacing w:line="240" w:lineRule="auto"/>
        <w:ind w:firstLine="481"/>
        <w:rPr>
          <w:rFonts w:hint="eastAsia" w:ascii="宋体" w:hAnsi="宋体" w:eastAsia="宋体" w:cs="宋体"/>
          <w:b w:val="0"/>
          <w:bCs w:val="0"/>
          <w:color w:val="auto"/>
        </w:rPr>
      </w:pP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文件包括下列内容：</w:t>
      </w:r>
    </w:p>
    <w:p>
      <w:pPr>
        <w:pStyle w:val="17"/>
        <w:spacing w:line="240" w:lineRule="auto"/>
        <w:ind w:firstLine="44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第一章  </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公告</w:t>
      </w:r>
    </w:p>
    <w:p>
      <w:pPr>
        <w:pStyle w:val="17"/>
        <w:spacing w:line="240" w:lineRule="auto"/>
        <w:ind w:firstLine="440"/>
        <w:rPr>
          <w:rFonts w:hint="eastAsia" w:hAnsi="宋体" w:cs="宋体"/>
          <w:b w:val="0"/>
          <w:bCs w:val="0"/>
          <w:color w:val="auto"/>
          <w:sz w:val="24"/>
          <w:lang w:eastAsia="zh-CN"/>
        </w:rPr>
      </w:pPr>
      <w:r>
        <w:rPr>
          <w:rFonts w:hint="eastAsia" w:ascii="宋体" w:hAnsi="宋体" w:eastAsia="宋体" w:cs="宋体"/>
          <w:b w:val="0"/>
          <w:bCs w:val="0"/>
          <w:color w:val="auto"/>
          <w:sz w:val="24"/>
        </w:rPr>
        <w:t xml:space="preserve">第二章  </w:t>
      </w:r>
      <w:r>
        <w:rPr>
          <w:rFonts w:hint="eastAsia" w:hAnsi="宋体" w:cs="宋体"/>
          <w:b w:val="0"/>
          <w:bCs w:val="0"/>
          <w:color w:val="auto"/>
          <w:sz w:val="24"/>
          <w:lang w:eastAsia="zh-CN"/>
        </w:rPr>
        <w:t>投标须知前附表</w:t>
      </w:r>
    </w:p>
    <w:p>
      <w:pPr>
        <w:pStyle w:val="17"/>
        <w:spacing w:line="240" w:lineRule="auto"/>
        <w:ind w:firstLine="440"/>
        <w:rPr>
          <w:rFonts w:hint="eastAsia" w:ascii="宋体" w:hAnsi="宋体" w:eastAsia="宋体" w:cs="宋体"/>
          <w:b w:val="0"/>
          <w:bCs w:val="0"/>
          <w:color w:val="auto"/>
          <w:sz w:val="24"/>
        </w:rPr>
      </w:pPr>
      <w:r>
        <w:rPr>
          <w:rFonts w:hint="eastAsia" w:ascii="宋体" w:hAnsi="宋体" w:eastAsia="宋体" w:cs="宋体"/>
          <w:b w:val="0"/>
          <w:bCs w:val="0"/>
          <w:color w:val="auto"/>
          <w:sz w:val="24"/>
        </w:rPr>
        <w:t>第三章  项目采购需求</w:t>
      </w:r>
    </w:p>
    <w:p>
      <w:pPr>
        <w:pStyle w:val="17"/>
        <w:spacing w:line="240" w:lineRule="auto"/>
        <w:ind w:firstLine="440"/>
        <w:rPr>
          <w:rFonts w:hint="eastAsia" w:ascii="宋体" w:hAnsi="宋体" w:eastAsia="宋体" w:cs="宋体"/>
          <w:b w:val="0"/>
          <w:bCs w:val="0"/>
          <w:color w:val="auto"/>
          <w:sz w:val="24"/>
        </w:rPr>
      </w:pPr>
      <w:r>
        <w:rPr>
          <w:rFonts w:hint="eastAsia" w:ascii="宋体" w:hAnsi="宋体" w:eastAsia="宋体" w:cs="宋体"/>
          <w:b w:val="0"/>
          <w:bCs w:val="0"/>
          <w:color w:val="auto"/>
          <w:sz w:val="24"/>
        </w:rPr>
        <w:t>第四章  合同条款</w:t>
      </w:r>
    </w:p>
    <w:p>
      <w:pPr>
        <w:pStyle w:val="17"/>
        <w:spacing w:line="240" w:lineRule="auto"/>
        <w:ind w:firstLine="44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第五章  </w:t>
      </w:r>
      <w:r>
        <w:rPr>
          <w:rFonts w:hint="eastAsia" w:hAnsi="宋体" w:cs="宋体"/>
          <w:b w:val="0"/>
          <w:bCs w:val="0"/>
          <w:color w:val="auto"/>
          <w:sz w:val="24"/>
          <w:lang w:eastAsia="zh-CN"/>
        </w:rPr>
        <w:t>投标文件</w:t>
      </w:r>
      <w:r>
        <w:rPr>
          <w:rFonts w:hint="eastAsia" w:ascii="宋体" w:hAnsi="宋体" w:eastAsia="宋体" w:cs="宋体"/>
          <w:b w:val="0"/>
          <w:bCs w:val="0"/>
          <w:color w:val="auto"/>
          <w:sz w:val="24"/>
        </w:rPr>
        <w:t>格式</w:t>
      </w:r>
    </w:p>
    <w:p>
      <w:pPr>
        <w:pStyle w:val="17"/>
        <w:spacing w:line="240" w:lineRule="auto"/>
        <w:ind w:firstLine="44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第六章  </w:t>
      </w:r>
      <w:r>
        <w:rPr>
          <w:rFonts w:hint="eastAsia" w:hAnsi="宋体" w:cs="宋体"/>
          <w:b w:val="0"/>
          <w:bCs w:val="0"/>
          <w:color w:val="auto"/>
          <w:sz w:val="24"/>
          <w:lang w:eastAsia="zh-CN"/>
        </w:rPr>
        <w:t>投标单位投标文件</w:t>
      </w:r>
      <w:r>
        <w:rPr>
          <w:rFonts w:hint="eastAsia" w:ascii="宋体" w:hAnsi="宋体" w:eastAsia="宋体" w:cs="宋体"/>
          <w:b w:val="0"/>
          <w:bCs w:val="0"/>
          <w:color w:val="auto"/>
          <w:sz w:val="24"/>
        </w:rPr>
        <w:t>评审内容</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8.2 </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文件以中文编印，以中文文本为准。</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8.3 除非有特殊要求，</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文件不单独提供采购项目使用地的自然环境、气候条件、劳动力及公用设施等情况，</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被视为熟悉上述条件或若</w:t>
      </w:r>
      <w:r>
        <w:rPr>
          <w:rFonts w:hint="eastAsia" w:hAnsi="宋体" w:cs="宋体"/>
          <w:b w:val="0"/>
          <w:bCs w:val="0"/>
          <w:color w:val="auto"/>
          <w:sz w:val="24"/>
          <w:lang w:eastAsia="zh-CN"/>
        </w:rPr>
        <w:t>中标</w:t>
      </w:r>
      <w:r>
        <w:rPr>
          <w:rFonts w:hint="eastAsia" w:ascii="宋体" w:hAnsi="宋体" w:eastAsia="宋体" w:cs="宋体"/>
          <w:b w:val="0"/>
          <w:bCs w:val="0"/>
          <w:color w:val="auto"/>
          <w:sz w:val="24"/>
        </w:rPr>
        <w:t>履行合同有关的一切情况。</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8.4</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向</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提供的有关数据和资料，是</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现有的能被</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利用的资料，</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对此做出的推论、理解和结论自行负责。</w:t>
      </w:r>
    </w:p>
    <w:p>
      <w:pPr>
        <w:pStyle w:val="17"/>
        <w:spacing w:line="240" w:lineRule="auto"/>
        <w:ind w:firstLine="480" w:firstLineChars="200"/>
        <w:outlineLvl w:val="1"/>
        <w:rPr>
          <w:rFonts w:hint="eastAsia" w:ascii="宋体" w:hAnsi="宋体" w:eastAsia="宋体" w:cs="宋体"/>
          <w:b w:val="0"/>
          <w:bCs w:val="0"/>
          <w:color w:val="auto"/>
          <w:sz w:val="24"/>
        </w:rPr>
      </w:pPr>
      <w:bookmarkStart w:id="32" w:name="_Toc243906320"/>
      <w:bookmarkStart w:id="33" w:name="_Toc233274820"/>
      <w:bookmarkStart w:id="34" w:name="_Toc245897280"/>
      <w:bookmarkStart w:id="35" w:name="_Toc243907580"/>
      <w:r>
        <w:rPr>
          <w:rFonts w:hint="eastAsia" w:ascii="宋体" w:hAnsi="宋体" w:eastAsia="宋体" w:cs="宋体"/>
          <w:b w:val="0"/>
          <w:bCs w:val="0"/>
          <w:color w:val="auto"/>
          <w:sz w:val="24"/>
        </w:rPr>
        <w:t>9、</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文件的澄清</w:t>
      </w:r>
      <w:bookmarkEnd w:id="32"/>
      <w:bookmarkEnd w:id="33"/>
      <w:bookmarkEnd w:id="34"/>
      <w:bookmarkEnd w:id="35"/>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9.1 </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对</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文件如有疑问，于开标截止日前15日内以书面形式（必须加盖</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公章）送达或传真至采购代理机构（同时将疑问的电子版发送至</w:t>
      </w:r>
      <w:r>
        <w:rPr>
          <w:rFonts w:hint="eastAsia" w:hAnsi="宋体" w:cs="宋体"/>
          <w:b w:val="0"/>
          <w:bCs w:val="0"/>
          <w:color w:val="auto"/>
          <w:sz w:val="24"/>
          <w:lang w:val="en-US" w:eastAsia="zh-CN"/>
        </w:rPr>
        <w:t>1974517763</w:t>
      </w:r>
      <w:r>
        <w:rPr>
          <w:rFonts w:hint="eastAsia" w:ascii="宋体" w:hAnsi="宋体" w:eastAsia="宋体" w:cs="宋体"/>
          <w:b w:val="0"/>
          <w:bCs w:val="0"/>
          <w:color w:val="auto"/>
          <w:sz w:val="24"/>
        </w:rPr>
        <w:t>@qq.com）。</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和采购代理机构将视情况以书面形式予以答复，并发至领取</w:t>
      </w:r>
      <w:r>
        <w:rPr>
          <w:rFonts w:hint="eastAsia" w:hAnsi="宋体" w:cs="宋体"/>
          <w:b w:val="0"/>
          <w:bCs w:val="0"/>
          <w:color w:val="auto"/>
          <w:sz w:val="24"/>
          <w:lang w:eastAsia="zh-CN"/>
        </w:rPr>
        <w:t>招标采购</w:t>
      </w:r>
      <w:r>
        <w:rPr>
          <w:rFonts w:hint="eastAsia" w:ascii="宋体" w:hAnsi="宋体" w:eastAsia="宋体" w:cs="宋体"/>
          <w:b w:val="0"/>
          <w:bCs w:val="0"/>
          <w:color w:val="auto"/>
          <w:sz w:val="24"/>
        </w:rPr>
        <w:t>文件的各位</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9.2 如果上述答复涉及对</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文件的修改或补充，则它将被视为</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文件的组成部分。凡原先所发</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文件中的内容与答复中的内容不一致之处，以最后书面答复为准。任何电话或口头咨询和答复的意思解释均不具有法律约束力。</w:t>
      </w:r>
    </w:p>
    <w:p>
      <w:pPr>
        <w:pStyle w:val="17"/>
        <w:spacing w:line="240" w:lineRule="auto"/>
        <w:ind w:firstLine="480" w:firstLineChars="200"/>
        <w:outlineLvl w:val="1"/>
        <w:rPr>
          <w:rFonts w:hint="eastAsia" w:ascii="宋体" w:hAnsi="宋体" w:eastAsia="宋体" w:cs="宋体"/>
          <w:b w:val="0"/>
          <w:bCs w:val="0"/>
          <w:color w:val="auto"/>
          <w:sz w:val="24"/>
        </w:rPr>
      </w:pPr>
      <w:bookmarkStart w:id="36" w:name="_Toc243906321"/>
      <w:bookmarkStart w:id="37" w:name="_Toc243907581"/>
      <w:bookmarkStart w:id="38" w:name="_Toc245897281"/>
      <w:bookmarkStart w:id="39" w:name="_Toc233274821"/>
      <w:r>
        <w:rPr>
          <w:rFonts w:hint="eastAsia" w:ascii="宋体" w:hAnsi="宋体" w:eastAsia="宋体" w:cs="宋体"/>
          <w:b w:val="0"/>
          <w:bCs w:val="0"/>
          <w:color w:val="auto"/>
          <w:sz w:val="24"/>
        </w:rPr>
        <w:t>10、</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文件的修改和补充</w:t>
      </w:r>
      <w:bookmarkEnd w:id="36"/>
      <w:bookmarkEnd w:id="37"/>
      <w:bookmarkEnd w:id="38"/>
      <w:bookmarkEnd w:id="39"/>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10.1在递交</w:t>
      </w:r>
      <w:r>
        <w:rPr>
          <w:rFonts w:hint="eastAsia" w:hAnsi="宋体" w:cs="宋体"/>
          <w:b w:val="0"/>
          <w:bCs w:val="0"/>
          <w:color w:val="auto"/>
          <w:sz w:val="24"/>
          <w:lang w:eastAsia="zh-CN"/>
        </w:rPr>
        <w:t>投标文件</w:t>
      </w:r>
      <w:r>
        <w:rPr>
          <w:rFonts w:hint="eastAsia" w:ascii="宋体" w:hAnsi="宋体" w:eastAsia="宋体" w:cs="宋体"/>
          <w:b w:val="0"/>
          <w:bCs w:val="0"/>
          <w:color w:val="auto"/>
          <w:sz w:val="24"/>
        </w:rPr>
        <w:t>截止日期</w:t>
      </w:r>
      <w:r>
        <w:rPr>
          <w:rFonts w:hint="eastAsia" w:hAnsi="宋体" w:cs="宋体"/>
          <w:b w:val="0"/>
          <w:bCs w:val="0"/>
          <w:color w:val="auto"/>
          <w:sz w:val="24"/>
          <w:lang w:val="en-US" w:eastAsia="zh-CN"/>
        </w:rPr>
        <w:t>10</w:t>
      </w:r>
      <w:r>
        <w:rPr>
          <w:rFonts w:hint="eastAsia" w:ascii="宋体" w:hAnsi="宋体" w:eastAsia="宋体" w:cs="宋体"/>
          <w:b w:val="0"/>
          <w:bCs w:val="0"/>
          <w:color w:val="auto"/>
          <w:sz w:val="24"/>
        </w:rPr>
        <w:t>个工作日</w:t>
      </w:r>
      <w:r>
        <w:rPr>
          <w:rFonts w:hint="eastAsia" w:hAnsi="宋体" w:cs="宋体"/>
          <w:b w:val="0"/>
          <w:bCs w:val="0"/>
          <w:color w:val="auto"/>
          <w:sz w:val="24"/>
          <w:lang w:eastAsia="zh-CN"/>
        </w:rPr>
        <w:t>内</w:t>
      </w:r>
      <w:r>
        <w:rPr>
          <w:rFonts w:hint="eastAsia" w:ascii="宋体" w:hAnsi="宋体" w:eastAsia="宋体" w:cs="宋体"/>
          <w:b w:val="0"/>
          <w:bCs w:val="0"/>
          <w:color w:val="auto"/>
          <w:sz w:val="24"/>
        </w:rPr>
        <w:t>的任何时候，</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可主动地或依据</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要求澄清的疑问而修改、补充</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文件，采购代理机构将对修改和补充的内容以书面形式发至所有获取</w:t>
      </w:r>
      <w:r>
        <w:rPr>
          <w:rFonts w:hint="eastAsia" w:hAnsi="宋体" w:cs="宋体"/>
          <w:b w:val="0"/>
          <w:bCs w:val="0"/>
          <w:color w:val="auto"/>
          <w:sz w:val="24"/>
          <w:lang w:eastAsia="zh-CN"/>
        </w:rPr>
        <w:t>招标</w:t>
      </w:r>
      <w:r>
        <w:rPr>
          <w:rFonts w:hint="eastAsia" w:ascii="宋体" w:hAnsi="宋体" w:eastAsia="宋体" w:cs="宋体"/>
          <w:b w:val="0"/>
          <w:bCs w:val="0"/>
          <w:color w:val="auto"/>
          <w:sz w:val="24"/>
        </w:rPr>
        <w:t>文件的每位</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在收到该通知后应立即以电报或传真的形式予以确认</w:t>
      </w:r>
      <w:r>
        <w:rPr>
          <w:rFonts w:hint="eastAsia" w:hAnsi="宋体" w:cs="宋体"/>
          <w:b w:val="0"/>
          <w:bCs w:val="0"/>
          <w:color w:val="auto"/>
          <w:sz w:val="24"/>
          <w:lang w:eastAsia="zh-CN"/>
        </w:rPr>
        <w:t>，</w:t>
      </w:r>
      <w:r>
        <w:rPr>
          <w:rFonts w:hint="eastAsia" w:ascii="宋体" w:hAnsi="宋体" w:eastAsia="宋体" w:cs="宋体"/>
          <w:b w:val="0"/>
          <w:bCs w:val="0"/>
          <w:color w:val="auto"/>
          <w:sz w:val="24"/>
        </w:rPr>
        <w:t>修改和补充文件将作为</w:t>
      </w:r>
      <w:r>
        <w:rPr>
          <w:rFonts w:hint="eastAsia" w:ascii="宋体" w:hAnsi="宋体" w:eastAsia="宋体" w:cs="宋体"/>
          <w:b w:val="0"/>
          <w:bCs w:val="0"/>
          <w:color w:val="auto"/>
          <w:sz w:val="24"/>
          <w:lang w:eastAsia="zh-CN"/>
        </w:rPr>
        <w:t>招标</w:t>
      </w:r>
      <w:r>
        <w:rPr>
          <w:rFonts w:hint="eastAsia" w:ascii="宋体" w:hAnsi="宋体" w:eastAsia="宋体" w:cs="宋体"/>
          <w:b w:val="0"/>
          <w:bCs w:val="0"/>
          <w:color w:val="auto"/>
          <w:sz w:val="24"/>
        </w:rPr>
        <w:t>文件的组成部分，对所有</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具有约束力。</w:t>
      </w:r>
    </w:p>
    <w:p>
      <w:pPr>
        <w:pStyle w:val="17"/>
        <w:spacing w:line="24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10.2</w:t>
      </w:r>
      <w:r>
        <w:rPr>
          <w:rFonts w:hint="eastAsia" w:ascii="宋体" w:hAnsi="宋体" w:eastAsia="宋体" w:cs="宋体"/>
          <w:b w:val="0"/>
          <w:bCs w:val="0"/>
          <w:color w:val="auto"/>
          <w:sz w:val="24"/>
          <w:lang w:val="en-US" w:eastAsia="zh-CN"/>
        </w:rPr>
        <w:t>为使投标单位在准备招标时有适当的时间考虑招标文件的修改，采购方有权决定推迟招标截止日期和开标日期，并将此变更通知所有投标单位。</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10.3</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在每次收到采购代理机构发至的书面文件后，应在收到后24小时内以书面形式并加盖</w:t>
      </w:r>
      <w:r>
        <w:rPr>
          <w:rFonts w:hint="eastAsia" w:hAnsi="宋体" w:cs="宋体"/>
          <w:b w:val="0"/>
          <w:bCs w:val="0"/>
          <w:color w:val="auto"/>
          <w:sz w:val="24"/>
          <w:lang w:eastAsia="zh-CN"/>
        </w:rPr>
        <w:t>投标单位</w:t>
      </w:r>
      <w:r>
        <w:rPr>
          <w:rFonts w:hint="eastAsia" w:ascii="宋体" w:hAnsi="宋体" w:eastAsia="宋体" w:cs="宋体"/>
          <w:b w:val="0"/>
          <w:bCs w:val="0"/>
          <w:color w:val="auto"/>
          <w:sz w:val="24"/>
        </w:rPr>
        <w:t>公章予以确认。</w:t>
      </w:r>
    </w:p>
    <w:p>
      <w:pPr>
        <w:pStyle w:val="17"/>
        <w:spacing w:line="240" w:lineRule="auto"/>
        <w:jc w:val="center"/>
        <w:outlineLvl w:val="1"/>
        <w:rPr>
          <w:rFonts w:hint="eastAsia" w:ascii="方正小标宋简体" w:hAnsi="方正小标宋简体" w:eastAsia="方正小标宋简体" w:cs="方正小标宋简体"/>
          <w:b w:val="0"/>
          <w:bCs w:val="0"/>
          <w:color w:val="auto"/>
          <w:sz w:val="28"/>
          <w:szCs w:val="28"/>
        </w:rPr>
      </w:pPr>
      <w:bookmarkStart w:id="40" w:name="_Toc233274822"/>
      <w:bookmarkStart w:id="41" w:name="_Toc246216191"/>
      <w:bookmarkStart w:id="42" w:name="_Toc243907582"/>
      <w:bookmarkStart w:id="43" w:name="_Toc243906322"/>
      <w:bookmarkStart w:id="44" w:name="_Toc154996580"/>
      <w:r>
        <w:rPr>
          <w:rFonts w:hint="eastAsia" w:ascii="方正小标宋简体" w:hAnsi="方正小标宋简体" w:eastAsia="方正小标宋简体" w:cs="方正小标宋简体"/>
          <w:b w:val="0"/>
          <w:bCs w:val="0"/>
          <w:color w:val="auto"/>
          <w:sz w:val="28"/>
          <w:szCs w:val="28"/>
        </w:rPr>
        <w:t xml:space="preserve">C   </w:t>
      </w:r>
      <w:r>
        <w:rPr>
          <w:rFonts w:hint="eastAsia" w:ascii="方正小标宋简体" w:hAnsi="方正小标宋简体" w:eastAsia="方正小标宋简体" w:cs="方正小标宋简体"/>
          <w:b w:val="0"/>
          <w:bCs w:val="0"/>
          <w:color w:val="auto"/>
          <w:sz w:val="28"/>
          <w:szCs w:val="28"/>
          <w:lang w:eastAsia="zh-CN"/>
        </w:rPr>
        <w:t>投标文件</w:t>
      </w:r>
      <w:r>
        <w:rPr>
          <w:rFonts w:hint="eastAsia" w:ascii="方正小标宋简体" w:hAnsi="方正小标宋简体" w:eastAsia="方正小标宋简体" w:cs="方正小标宋简体"/>
          <w:b w:val="0"/>
          <w:bCs w:val="0"/>
          <w:color w:val="auto"/>
          <w:sz w:val="28"/>
          <w:szCs w:val="28"/>
        </w:rPr>
        <w:t>的编写</w:t>
      </w:r>
      <w:bookmarkEnd w:id="40"/>
      <w:bookmarkEnd w:id="41"/>
      <w:bookmarkEnd w:id="42"/>
      <w:bookmarkEnd w:id="43"/>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45" w:name="_Toc233274823"/>
      <w:bookmarkStart w:id="46" w:name="_Toc243907583"/>
      <w:bookmarkStart w:id="47" w:name="_Toc243906323"/>
      <w:bookmarkStart w:id="48" w:name="_Toc245897283"/>
      <w:r>
        <w:rPr>
          <w:rFonts w:hint="eastAsia" w:ascii="宋体" w:hAnsi="宋体" w:eastAsia="宋体" w:cs="宋体"/>
          <w:b w:val="0"/>
          <w:bCs w:val="0"/>
          <w:color w:val="auto"/>
          <w:sz w:val="24"/>
          <w:szCs w:val="24"/>
        </w:rPr>
        <w:t>11</w:t>
      </w:r>
      <w:bookmarkEnd w:id="45"/>
      <w:r>
        <w:rPr>
          <w:rFonts w:hint="eastAsia" w:ascii="宋体" w:hAnsi="宋体" w:eastAsia="宋体" w:cs="宋体"/>
          <w:b w:val="0"/>
          <w:bCs w:val="0"/>
          <w:color w:val="auto"/>
          <w:sz w:val="24"/>
          <w:szCs w:val="24"/>
        </w:rPr>
        <w:t>、</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的编写</w:t>
      </w:r>
      <w:bookmarkEnd w:id="46"/>
      <w:bookmarkEnd w:id="47"/>
      <w:bookmarkEnd w:id="48"/>
    </w:p>
    <w:p>
      <w:pPr>
        <w:keepNext w:val="0"/>
        <w:keepLines w:val="0"/>
        <w:pageBreakBefore w:val="0"/>
        <w:widowControl w:val="0"/>
        <w:kinsoku/>
        <w:wordWrap/>
        <w:overflowPunct/>
        <w:topLinePunct w:val="0"/>
        <w:autoSpaceDE/>
        <w:autoSpaceDN/>
        <w:bidi w:val="0"/>
        <w:adjustRightInd w:val="0"/>
        <w:snapToGrid w:val="0"/>
        <w:spacing w:line="280" w:lineRule="exact"/>
        <w:ind w:firstLine="481"/>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11.1</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必须详细阅读</w:t>
      </w:r>
      <w:r>
        <w:rPr>
          <w:rFonts w:hint="eastAsia" w:ascii="宋体" w:hAnsi="宋体" w:cs="宋体"/>
          <w:b w:val="0"/>
          <w:bCs w:val="0"/>
          <w:color w:val="auto"/>
          <w:sz w:val="24"/>
          <w:szCs w:val="24"/>
          <w:lang w:eastAsia="zh-CN"/>
        </w:rPr>
        <w:t>招标</w:t>
      </w:r>
      <w:r>
        <w:rPr>
          <w:rFonts w:hint="eastAsia" w:ascii="宋体" w:hAnsi="宋体" w:eastAsia="宋体" w:cs="宋体"/>
          <w:b w:val="0"/>
          <w:bCs w:val="0"/>
          <w:color w:val="auto"/>
          <w:sz w:val="24"/>
          <w:szCs w:val="24"/>
        </w:rPr>
        <w:t>文件的章、节、条款、格式等所有内容，按</w:t>
      </w:r>
      <w:r>
        <w:rPr>
          <w:rFonts w:hint="eastAsia" w:ascii="宋体" w:hAnsi="宋体" w:cs="宋体"/>
          <w:b w:val="0"/>
          <w:bCs w:val="0"/>
          <w:color w:val="auto"/>
          <w:sz w:val="24"/>
          <w:szCs w:val="24"/>
          <w:lang w:eastAsia="zh-CN"/>
        </w:rPr>
        <w:t>招标</w:t>
      </w:r>
      <w:r>
        <w:rPr>
          <w:rFonts w:hint="eastAsia" w:ascii="宋体" w:hAnsi="宋体" w:eastAsia="宋体" w:cs="宋体"/>
          <w:b w:val="0"/>
          <w:bCs w:val="0"/>
          <w:color w:val="auto"/>
          <w:sz w:val="24"/>
          <w:szCs w:val="24"/>
        </w:rPr>
        <w:t>文件的要求提交</w:t>
      </w:r>
      <w:r>
        <w:rPr>
          <w:rFonts w:hint="eastAsia" w:ascii="宋体" w:hAnsi="宋体" w:cs="宋体"/>
          <w:b w:val="0"/>
          <w:bCs w:val="0"/>
          <w:color w:val="auto"/>
          <w:sz w:val="24"/>
          <w:szCs w:val="24"/>
          <w:lang w:eastAsia="zh-CN"/>
        </w:rPr>
        <w:t>投标文件</w:t>
      </w:r>
      <w:r>
        <w:rPr>
          <w:rFonts w:hint="eastAsia" w:ascii="宋体" w:hAnsi="宋体" w:eastAsia="宋体" w:cs="宋体"/>
          <w:b w:val="0"/>
          <w:bCs w:val="0"/>
          <w:color w:val="auto"/>
          <w:sz w:val="24"/>
          <w:szCs w:val="24"/>
        </w:rPr>
        <w:t>，并保证所提供的全部文件及相关资料的真实性，以使其对</w:t>
      </w:r>
      <w:r>
        <w:rPr>
          <w:rFonts w:hint="eastAsia" w:ascii="宋体" w:hAnsi="宋体" w:cs="宋体"/>
          <w:b w:val="0"/>
          <w:bCs w:val="0"/>
          <w:color w:val="auto"/>
          <w:sz w:val="24"/>
          <w:szCs w:val="24"/>
          <w:lang w:eastAsia="zh-CN"/>
        </w:rPr>
        <w:t>招标</w:t>
      </w:r>
      <w:r>
        <w:rPr>
          <w:rFonts w:hint="eastAsia" w:ascii="宋体" w:hAnsi="宋体" w:eastAsia="宋体" w:cs="宋体"/>
          <w:b w:val="0"/>
          <w:bCs w:val="0"/>
          <w:color w:val="auto"/>
          <w:sz w:val="24"/>
          <w:szCs w:val="24"/>
        </w:rPr>
        <w:t>文件做出实质性响应。</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应仔细阅读并充分理解</w:t>
      </w:r>
      <w:r>
        <w:rPr>
          <w:rFonts w:hint="eastAsia" w:ascii="宋体" w:hAnsi="宋体" w:cs="宋体"/>
          <w:b w:val="0"/>
          <w:bCs w:val="0"/>
          <w:color w:val="auto"/>
          <w:sz w:val="24"/>
          <w:szCs w:val="24"/>
          <w:lang w:eastAsia="zh-CN"/>
        </w:rPr>
        <w:t>招标</w:t>
      </w:r>
      <w:r>
        <w:rPr>
          <w:rFonts w:hint="eastAsia" w:ascii="宋体" w:hAnsi="宋体" w:eastAsia="宋体" w:cs="宋体"/>
          <w:b w:val="0"/>
          <w:bCs w:val="0"/>
          <w:color w:val="auto"/>
          <w:sz w:val="24"/>
          <w:szCs w:val="24"/>
        </w:rPr>
        <w:t>文件、技术规范及标准、项目采购需求、合同条款后编制</w:t>
      </w:r>
      <w:r>
        <w:rPr>
          <w:rFonts w:hint="eastAsia" w:ascii="宋体" w:hAnsi="宋体" w:cs="宋体"/>
          <w:b w:val="0"/>
          <w:bCs w:val="0"/>
          <w:color w:val="auto"/>
          <w:sz w:val="24"/>
          <w:szCs w:val="24"/>
          <w:lang w:eastAsia="zh-CN"/>
        </w:rPr>
        <w:t>投标文件</w:t>
      </w:r>
      <w:r>
        <w:rPr>
          <w:rFonts w:hint="eastAsia" w:ascii="宋体" w:hAnsi="宋体" w:eastAsia="宋体" w:cs="宋体"/>
          <w:b w:val="0"/>
          <w:bCs w:val="0"/>
          <w:color w:val="auto"/>
          <w:sz w:val="24"/>
          <w:szCs w:val="24"/>
        </w:rPr>
        <w:t>。</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49" w:name="_Toc243907584"/>
      <w:bookmarkStart w:id="50" w:name="_Toc243906324"/>
      <w:bookmarkStart w:id="51" w:name="_Toc233274824"/>
      <w:bookmarkStart w:id="52" w:name="_Toc245897284"/>
      <w:r>
        <w:rPr>
          <w:rFonts w:hint="eastAsia" w:ascii="宋体" w:hAnsi="宋体" w:eastAsia="宋体" w:cs="宋体"/>
          <w:b w:val="0"/>
          <w:bCs w:val="0"/>
          <w:color w:val="auto"/>
          <w:sz w:val="24"/>
          <w:szCs w:val="24"/>
        </w:rPr>
        <w:t>12、</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的语言及计量单位</w:t>
      </w:r>
      <w:bookmarkEnd w:id="49"/>
      <w:bookmarkEnd w:id="50"/>
      <w:bookmarkEnd w:id="51"/>
      <w:bookmarkEnd w:id="52"/>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12.1 </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及</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和</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及采购代理机构就有关</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的所有文件和来往函件，应以中文书写。</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可以提交用其他语言（原文）打印的资料，但必须翻译成中文，当原文和译文（中文）之间存有差异和/或矛盾时，以中文为准。</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12.2 除在</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文件的项目采购需求中另有规定外，计量单位应使用中华人民共和国法定计量单位（国际单位制和国家选定的其它计量单位）。如</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采用其它计量单位，需事先得到</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的同意。</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13、知识产权</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应保证在本项目使用的任何产品和服务时，不会产生因第三方提出侵犯其专利权、商标权或其它知识产权而引起的法律和经济纠纷，如因专利权、商标权或其它知识产权而引起法律和经济纠纷，由</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承担所有相关责任。</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13.2 </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13.3</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如欲在项目实施过程中采用自有知识成果，需在</w:t>
      </w:r>
      <w:r>
        <w:rPr>
          <w:rFonts w:hint="eastAsia" w:ascii="宋体" w:hAnsi="宋体" w:cs="宋体"/>
          <w:b w:val="0"/>
          <w:bCs w:val="0"/>
          <w:color w:val="auto"/>
          <w:sz w:val="24"/>
          <w:szCs w:val="24"/>
          <w:lang w:eastAsia="zh-CN"/>
        </w:rPr>
        <w:t>投标文件</w:t>
      </w:r>
      <w:r>
        <w:rPr>
          <w:rFonts w:hint="eastAsia" w:ascii="宋体" w:hAnsi="宋体" w:eastAsia="宋体" w:cs="宋体"/>
          <w:b w:val="0"/>
          <w:bCs w:val="0"/>
          <w:color w:val="auto"/>
          <w:sz w:val="24"/>
          <w:szCs w:val="24"/>
        </w:rPr>
        <w:t>中声明，并提供相关知识产权证明文件。使用该知识成果后，</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需提供开发接口和开发手册等技术文档，并承诺提供无限期技术支持，</w:t>
      </w:r>
      <w:r>
        <w:rPr>
          <w:rFonts w:hint="eastAsia" w:ascii="宋体" w:hAnsi="宋体" w:cs="宋体"/>
          <w:b w:val="0"/>
          <w:bCs w:val="0"/>
          <w:color w:val="auto"/>
          <w:sz w:val="24"/>
          <w:szCs w:val="24"/>
          <w:lang w:eastAsia="zh-CN"/>
        </w:rPr>
        <w:t>招标人</w:t>
      </w:r>
      <w:r>
        <w:rPr>
          <w:rFonts w:hint="eastAsia" w:ascii="宋体" w:hAnsi="宋体" w:eastAsia="宋体" w:cs="宋体"/>
          <w:b w:val="0"/>
          <w:bCs w:val="0"/>
          <w:color w:val="auto"/>
          <w:sz w:val="24"/>
          <w:szCs w:val="24"/>
        </w:rPr>
        <w:t>享有永久使用权。</w:t>
      </w:r>
    </w:p>
    <w:p>
      <w:pPr>
        <w:keepNext w:val="0"/>
        <w:keepLines w:val="0"/>
        <w:pageBreakBefore w:val="0"/>
        <w:widowControl w:val="0"/>
        <w:kinsoku/>
        <w:wordWrap/>
        <w:overflowPunct/>
        <w:topLinePunct w:val="0"/>
        <w:autoSpaceDE/>
        <w:autoSpaceDN/>
        <w:bidi w:val="0"/>
        <w:adjustRightInd w:val="0"/>
        <w:snapToGrid w:val="0"/>
        <w:spacing w:line="280" w:lineRule="exact"/>
        <w:ind w:firstLine="460" w:firstLineChars="192"/>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13.4 </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如采用其所不拥有的知识产权，则在其</w:t>
      </w:r>
      <w:r>
        <w:rPr>
          <w:rFonts w:hint="eastAsia" w:ascii="宋体" w:hAnsi="宋体" w:cs="宋体"/>
          <w:b w:val="0"/>
          <w:bCs w:val="0"/>
          <w:color w:val="auto"/>
          <w:sz w:val="24"/>
          <w:szCs w:val="24"/>
          <w:lang w:eastAsia="zh-CN"/>
        </w:rPr>
        <w:t>投标报价</w:t>
      </w:r>
      <w:r>
        <w:rPr>
          <w:rFonts w:hint="eastAsia" w:ascii="宋体" w:hAnsi="宋体" w:eastAsia="宋体" w:cs="宋体"/>
          <w:b w:val="0"/>
          <w:bCs w:val="0"/>
          <w:color w:val="auto"/>
          <w:sz w:val="24"/>
          <w:szCs w:val="24"/>
        </w:rPr>
        <w:t xml:space="preserve">中必须包括合法获取该知识产权的相关费用。 </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53" w:name="_Toc243907585"/>
      <w:bookmarkStart w:id="54" w:name="_Toc243906325"/>
      <w:bookmarkStart w:id="55" w:name="_Toc233274825"/>
      <w:bookmarkStart w:id="56" w:name="_Toc245897285"/>
      <w:r>
        <w:rPr>
          <w:rFonts w:hint="eastAsia" w:ascii="宋体" w:hAnsi="宋体" w:eastAsia="宋体" w:cs="宋体"/>
          <w:b w:val="0"/>
          <w:bCs w:val="0"/>
          <w:color w:val="auto"/>
          <w:sz w:val="24"/>
          <w:szCs w:val="24"/>
        </w:rPr>
        <w:t>14、</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的组成</w:t>
      </w:r>
      <w:bookmarkEnd w:id="53"/>
      <w:bookmarkEnd w:id="54"/>
      <w:bookmarkEnd w:id="55"/>
      <w:bookmarkEnd w:id="56"/>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包括但不限于以下内容，各</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应对照“第三章 项目采购需求”及“第六章</w:t>
      </w:r>
      <w:r>
        <w:rPr>
          <w:rFonts w:hint="eastAsia" w:hAnsi="宋体" w:cs="宋体"/>
          <w:b w:val="0"/>
          <w:bCs w:val="0"/>
          <w:color w:val="auto"/>
          <w:sz w:val="24"/>
          <w:szCs w:val="24"/>
          <w:lang w:eastAsia="zh-CN"/>
        </w:rPr>
        <w:t>投标单位投标文件</w:t>
      </w:r>
      <w:r>
        <w:rPr>
          <w:rFonts w:hint="eastAsia" w:ascii="宋体" w:hAnsi="宋体" w:eastAsia="宋体" w:cs="宋体"/>
          <w:b w:val="0"/>
          <w:bCs w:val="0"/>
          <w:color w:val="auto"/>
          <w:sz w:val="24"/>
          <w:szCs w:val="24"/>
        </w:rPr>
        <w:t>初步评审内容”提供相关的证明资料：</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1、商务经济文件（1）法定代表人授权书</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（2）投标函</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（3）投标报价一览表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（4）分项明细报价表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（5）备品、备件清单</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（6）商务条款偏离表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（7）售后服务方案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（8）项目负责人及项目班子成员</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（9）资格文件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2、技术文件（1）技术参数、功能偏离表</w:t>
      </w:r>
    </w:p>
    <w:p>
      <w:pPr>
        <w:pStyle w:val="1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（2）技术方案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（3）供货计划</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（4）施工方案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（5）投标人认为有必要的其他内容</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特别说明：</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1、上述各种证件、证书复印件须加盖</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公章。如未按要求加盖</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公章者，可能导致其</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无效。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应如实提供资料，并保证真实可靠，不得弄虚作假。如</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隐瞒事实真相、弄虚作假，一经查实，取消该</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的</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资格，若</w:t>
      </w:r>
      <w:r>
        <w:rPr>
          <w:rFonts w:hint="eastAsia" w:hAnsi="宋体" w:cs="宋体"/>
          <w:b w:val="0"/>
          <w:bCs w:val="0"/>
          <w:color w:val="auto"/>
          <w:sz w:val="24"/>
          <w:szCs w:val="24"/>
          <w:lang w:eastAsia="zh-CN"/>
        </w:rPr>
        <w:t>中标</w:t>
      </w:r>
      <w:r>
        <w:rPr>
          <w:rFonts w:hint="eastAsia" w:ascii="宋体" w:hAnsi="宋体" w:eastAsia="宋体" w:cs="宋体"/>
          <w:b w:val="0"/>
          <w:bCs w:val="0"/>
          <w:color w:val="auto"/>
          <w:sz w:val="24"/>
          <w:szCs w:val="24"/>
        </w:rPr>
        <w:t>的，取消其</w:t>
      </w:r>
      <w:r>
        <w:rPr>
          <w:rFonts w:hint="eastAsia" w:hAnsi="宋体" w:cs="宋体"/>
          <w:b w:val="0"/>
          <w:bCs w:val="0"/>
          <w:color w:val="auto"/>
          <w:sz w:val="24"/>
          <w:szCs w:val="24"/>
          <w:lang w:eastAsia="zh-CN"/>
        </w:rPr>
        <w:t>中标</w:t>
      </w:r>
      <w:r>
        <w:rPr>
          <w:rFonts w:hint="eastAsia" w:ascii="宋体" w:hAnsi="宋体" w:eastAsia="宋体" w:cs="宋体"/>
          <w:b w:val="0"/>
          <w:bCs w:val="0"/>
          <w:color w:val="auto"/>
          <w:sz w:val="24"/>
          <w:szCs w:val="24"/>
        </w:rPr>
        <w:t>资格。</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3、上述证明材料若未提供特定格式，</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可自行拟定</w:t>
      </w:r>
      <w:r>
        <w:rPr>
          <w:rFonts w:hint="eastAsia" w:ascii="宋体" w:hAnsi="宋体" w:eastAsia="宋体" w:cs="宋体"/>
          <w:b w:val="0"/>
          <w:bCs w:val="0"/>
          <w:color w:val="auto"/>
          <w:sz w:val="24"/>
          <w:szCs w:val="24"/>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ascii="宋体" w:hAnsi="宋体" w:eastAsia="宋体" w:cs="宋体"/>
          <w:b w:val="0"/>
          <w:bCs w:val="0"/>
          <w:color w:val="auto"/>
          <w:sz w:val="24"/>
          <w:szCs w:val="24"/>
        </w:rPr>
      </w:pPr>
      <w:bookmarkStart w:id="57" w:name="_Toc245897286"/>
      <w:bookmarkStart w:id="58" w:name="_Toc243906326"/>
      <w:bookmarkStart w:id="59" w:name="_Toc243907587"/>
      <w:bookmarkStart w:id="60" w:name="_Toc233274827"/>
      <w:bookmarkStart w:id="61" w:name="_Toc246216196"/>
      <w:r>
        <w:rPr>
          <w:rFonts w:hint="eastAsia" w:ascii="宋体" w:hAnsi="宋体" w:eastAsia="宋体" w:cs="宋体"/>
          <w:b w:val="0"/>
          <w:bCs w:val="0"/>
          <w:color w:val="auto"/>
          <w:sz w:val="24"/>
          <w:szCs w:val="24"/>
        </w:rPr>
        <w:t>15、</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格式</w:t>
      </w:r>
      <w:bookmarkEnd w:id="57"/>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15.1</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应按</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文件提供的格式及</w:t>
      </w:r>
      <w:r>
        <w:rPr>
          <w:rFonts w:hint="eastAsia" w:hAnsi="宋体" w:cs="宋体"/>
          <w:b w:val="0"/>
          <w:bCs w:val="0"/>
          <w:color w:val="auto"/>
          <w:sz w:val="24"/>
          <w:szCs w:val="24"/>
          <w:lang w:eastAsia="zh-CN"/>
        </w:rPr>
        <w:t>投标报价</w:t>
      </w:r>
      <w:r>
        <w:rPr>
          <w:rFonts w:hint="eastAsia" w:ascii="宋体" w:hAnsi="宋体" w:eastAsia="宋体" w:cs="宋体"/>
          <w:b w:val="0"/>
          <w:bCs w:val="0"/>
          <w:color w:val="auto"/>
          <w:sz w:val="24"/>
          <w:szCs w:val="24"/>
        </w:rPr>
        <w:t>说明完整地填写所提供的合同货物、服务以及数量、单价和</w:t>
      </w:r>
      <w:r>
        <w:rPr>
          <w:rFonts w:hint="eastAsia" w:hAnsi="宋体" w:cs="宋体"/>
          <w:b w:val="0"/>
          <w:bCs w:val="0"/>
          <w:color w:val="auto"/>
          <w:sz w:val="24"/>
          <w:szCs w:val="24"/>
          <w:lang w:eastAsia="zh-CN"/>
        </w:rPr>
        <w:t>总</w:t>
      </w:r>
      <w:r>
        <w:rPr>
          <w:rFonts w:hint="eastAsia" w:ascii="宋体" w:hAnsi="宋体" w:eastAsia="宋体" w:cs="宋体"/>
          <w:b w:val="0"/>
          <w:bCs w:val="0"/>
          <w:color w:val="auto"/>
          <w:sz w:val="24"/>
          <w:szCs w:val="24"/>
        </w:rPr>
        <w:t>价等内容。</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16、</w:t>
      </w:r>
      <w:bookmarkEnd w:id="58"/>
      <w:bookmarkEnd w:id="59"/>
      <w:bookmarkEnd w:id="60"/>
      <w:bookmarkEnd w:id="61"/>
      <w:r>
        <w:rPr>
          <w:rFonts w:hint="eastAsia" w:hAnsi="宋体" w:cs="宋体"/>
          <w:b w:val="0"/>
          <w:bCs w:val="0"/>
          <w:color w:val="auto"/>
          <w:sz w:val="24"/>
          <w:szCs w:val="24"/>
          <w:lang w:eastAsia="zh-CN"/>
        </w:rPr>
        <w:t>投标报价</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eastAsia="zh-CN"/>
        </w:rPr>
        <w:t>16.</w:t>
      </w:r>
      <w:bookmarkStart w:id="62" w:name="_Toc243906327"/>
      <w:bookmarkStart w:id="63" w:name="_Toc243907588"/>
      <w:bookmarkStart w:id="64" w:name="_Toc246216197"/>
      <w:bookmarkStart w:id="65" w:name="_Toc233274828"/>
      <w:r>
        <w:rPr>
          <w:rFonts w:hint="eastAsia" w:hAnsi="宋体" w:cs="宋体"/>
          <w:b w:val="0"/>
          <w:bCs w:val="0"/>
          <w:color w:val="auto"/>
          <w:sz w:val="24"/>
          <w:szCs w:val="24"/>
          <w:lang w:eastAsia="zh-CN"/>
        </w:rPr>
        <w:t>1投标单位应在分项明细报价表上标明本次采购拟提供货物的单价和总价。如单价和总价不符，以单价累计为准。小写和大写不符，以大写为准。投标单位如果不同意上述修改原则，其投标将被拒绝。投标单位应在投标文件响应性明细报价表标明所有报价均以到达现场（招标文件规定的地点）并安装合格的全部费用，必须包括招标文件中所需设备报价（含税金）、运输费、保险费用、安装调试费、备件、培训等费用。任何有选择的报价将不予接受。</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val="en-US" w:eastAsia="zh-CN"/>
        </w:rPr>
        <w:t>16</w:t>
      </w:r>
      <w:r>
        <w:rPr>
          <w:rFonts w:hint="eastAsia" w:hAnsi="宋体" w:cs="宋体"/>
          <w:b w:val="0"/>
          <w:bCs w:val="0"/>
          <w:color w:val="auto"/>
          <w:sz w:val="24"/>
          <w:szCs w:val="24"/>
          <w:lang w:eastAsia="zh-CN"/>
        </w:rPr>
        <w:t>.2投标单位如果免费提供某项产品、部件或服务，除在价格栏中填写“0”外，还必须在备注栏中声明免费或赠送</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val="en-US" w:eastAsia="zh-CN"/>
        </w:rPr>
        <w:t>16</w:t>
      </w:r>
      <w:r>
        <w:rPr>
          <w:rFonts w:hint="eastAsia" w:hAnsi="宋体" w:cs="宋体"/>
          <w:b w:val="0"/>
          <w:bCs w:val="0"/>
          <w:color w:val="auto"/>
          <w:sz w:val="24"/>
          <w:szCs w:val="24"/>
          <w:lang w:eastAsia="zh-CN"/>
        </w:rPr>
        <w:t>.3投标报价时应注意下列几点：</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eastAsia="zh-CN"/>
        </w:rPr>
        <w:t>（1）本项目如非因重大需求变化导致成本增加，不得追加费用，投标单位应该考虑但没有考虑到的任何费用将由投标单位自行承担。</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eastAsia="zh-CN"/>
        </w:rPr>
        <w:t>（2）招标文件中特别要求的备品备件、易损件和专用工具的费用；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eastAsia="zh-CN"/>
        </w:rPr>
        <w:t>（3）招标文件中特别要求的安装、调试、培训、运输、保险及其它附带服务的全部费用；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eastAsia="zh-CN"/>
        </w:rPr>
        <w:t>（4）投标单位提供的在中华人民共和国制造的货物，其货物的投标价即货到交货地点的交货价格，包括制造、组装该货物所使用的零部件及原材料已付的全部关税、销售税和其他税。</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val="en-US" w:eastAsia="zh-CN"/>
        </w:rPr>
        <w:t>16</w:t>
      </w:r>
      <w:r>
        <w:rPr>
          <w:rFonts w:hint="eastAsia" w:hAnsi="宋体" w:cs="宋体"/>
          <w:b w:val="0"/>
          <w:bCs w:val="0"/>
          <w:color w:val="auto"/>
          <w:sz w:val="24"/>
          <w:szCs w:val="24"/>
          <w:lang w:eastAsia="zh-CN"/>
        </w:rPr>
        <w:t>.4投标单位应对投标货物提供完整的详细的书面说明。报价货物所有商务指标必须完全符合招标文件要求（不能负偏离），否则将视为无效报价。</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val="en-US" w:eastAsia="zh-CN"/>
        </w:rPr>
        <w:t>16</w:t>
      </w:r>
      <w:r>
        <w:rPr>
          <w:rFonts w:hint="eastAsia" w:hAnsi="宋体" w:cs="宋体"/>
          <w:b w:val="0"/>
          <w:bCs w:val="0"/>
          <w:color w:val="auto"/>
          <w:sz w:val="24"/>
          <w:szCs w:val="24"/>
          <w:lang w:eastAsia="zh-CN"/>
        </w:rPr>
        <w:t>.5 报价超过最高限价的，该报价为无效报价，不进入商务评比。</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textAlignment w:val="auto"/>
        <w:outlineLvl w:val="1"/>
        <w:rPr>
          <w:rFonts w:hint="eastAsia" w:hAnsi="宋体" w:cs="宋体"/>
          <w:b w:val="0"/>
          <w:bCs w:val="0"/>
          <w:color w:val="auto"/>
          <w:sz w:val="24"/>
          <w:szCs w:val="24"/>
          <w:lang w:eastAsia="zh-CN"/>
        </w:rPr>
      </w:pPr>
      <w:r>
        <w:rPr>
          <w:rFonts w:hint="eastAsia" w:hAnsi="宋体" w:cs="宋体"/>
          <w:b w:val="0"/>
          <w:bCs w:val="0"/>
          <w:color w:val="auto"/>
          <w:sz w:val="24"/>
          <w:szCs w:val="24"/>
          <w:lang w:val="en-US" w:eastAsia="zh-CN"/>
        </w:rPr>
        <w:t>16</w:t>
      </w:r>
      <w:r>
        <w:rPr>
          <w:rFonts w:hint="eastAsia" w:hAnsi="宋体" w:cs="宋体"/>
          <w:b w:val="0"/>
          <w:bCs w:val="0"/>
          <w:color w:val="auto"/>
          <w:sz w:val="24"/>
          <w:szCs w:val="24"/>
          <w:lang w:eastAsia="zh-CN"/>
        </w:rPr>
        <w:t>.6评标委员会发现投标单位的报价明显低于其他投标报价，使得其投标报价可能低于其个别成本的，应当要求该投标单位作出书面说明并提供相应的证明材料。投标单位不能合理说明或者不能提供相应证明材料的，由评标委员会认定该投标单位以低于成本报价竞标，其投标视为无效标处理。</w:t>
      </w:r>
    </w:p>
    <w:bookmarkEnd w:id="62"/>
    <w:bookmarkEnd w:id="63"/>
    <w:bookmarkEnd w:id="64"/>
    <w:bookmarkEnd w:id="65"/>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66" w:name="_Toc245897288"/>
      <w:r>
        <w:rPr>
          <w:rFonts w:hint="eastAsia" w:ascii="宋体" w:hAnsi="宋体" w:eastAsia="宋体" w:cs="宋体"/>
          <w:b w:val="0"/>
          <w:bCs w:val="0"/>
          <w:color w:val="auto"/>
          <w:sz w:val="24"/>
          <w:szCs w:val="24"/>
        </w:rPr>
        <w:t>17、</w:t>
      </w:r>
      <w:r>
        <w:rPr>
          <w:rFonts w:hint="eastAsia" w:hAnsi="宋体" w:cs="宋体"/>
          <w:b w:val="0"/>
          <w:bCs w:val="0"/>
          <w:color w:val="auto"/>
          <w:sz w:val="24"/>
          <w:szCs w:val="24"/>
          <w:lang w:eastAsia="zh-CN"/>
        </w:rPr>
        <w:t>投标报价</w:t>
      </w:r>
      <w:r>
        <w:rPr>
          <w:rFonts w:hint="eastAsia" w:ascii="宋体" w:hAnsi="宋体" w:eastAsia="宋体" w:cs="宋体"/>
          <w:b w:val="0"/>
          <w:bCs w:val="0"/>
          <w:color w:val="auto"/>
          <w:sz w:val="24"/>
          <w:szCs w:val="24"/>
        </w:rPr>
        <w:t>货币</w:t>
      </w:r>
      <w:bookmarkEnd w:id="66"/>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eastAsia="zh-CN"/>
        </w:rPr>
        <w:t>投标报价</w:t>
      </w:r>
      <w:r>
        <w:rPr>
          <w:rFonts w:hint="eastAsia" w:ascii="宋体" w:hAnsi="宋体" w:eastAsia="宋体" w:cs="宋体"/>
          <w:b w:val="0"/>
          <w:bCs w:val="0"/>
          <w:color w:val="auto"/>
          <w:sz w:val="24"/>
          <w:szCs w:val="24"/>
        </w:rPr>
        <w:t>一览表和</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中的所有报价一律使用人民币（RMB）填报。</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67" w:name="_Toc245897289"/>
      <w:bookmarkStart w:id="68" w:name="_Toc233274829"/>
      <w:bookmarkStart w:id="69" w:name="_Toc243906328"/>
      <w:bookmarkStart w:id="70" w:name="_Toc243907589"/>
      <w:r>
        <w:rPr>
          <w:rFonts w:hint="eastAsia" w:ascii="宋体" w:hAnsi="宋体" w:eastAsia="宋体" w:cs="宋体"/>
          <w:b w:val="0"/>
          <w:bCs w:val="0"/>
          <w:color w:val="auto"/>
          <w:sz w:val="24"/>
          <w:szCs w:val="24"/>
        </w:rPr>
        <w:t>18、</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资格证明文件</w:t>
      </w:r>
      <w:bookmarkEnd w:id="67"/>
      <w:bookmarkEnd w:id="68"/>
      <w:bookmarkEnd w:id="69"/>
      <w:bookmarkEnd w:id="70"/>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必须提交证明其有资格参加</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和</w:t>
      </w:r>
      <w:r>
        <w:rPr>
          <w:rFonts w:hint="eastAsia" w:hAnsi="宋体" w:cs="宋体"/>
          <w:b w:val="0"/>
          <w:bCs w:val="0"/>
          <w:color w:val="auto"/>
          <w:sz w:val="24"/>
          <w:szCs w:val="24"/>
          <w:lang w:eastAsia="zh-CN"/>
        </w:rPr>
        <w:t>中标</w:t>
      </w:r>
      <w:r>
        <w:rPr>
          <w:rFonts w:hint="eastAsia" w:ascii="宋体" w:hAnsi="宋体" w:eastAsia="宋体" w:cs="宋体"/>
          <w:b w:val="0"/>
          <w:bCs w:val="0"/>
          <w:color w:val="auto"/>
          <w:sz w:val="24"/>
          <w:szCs w:val="24"/>
        </w:rPr>
        <w:t>后有能力履行合同的文件。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bookmarkStart w:id="71" w:name="_Toc245897290"/>
      <w:bookmarkStart w:id="72" w:name="_Toc243906329"/>
      <w:bookmarkStart w:id="73" w:name="_Toc233274830"/>
      <w:bookmarkStart w:id="74" w:name="_Toc243907590"/>
      <w:r>
        <w:rPr>
          <w:rFonts w:hint="eastAsia" w:ascii="宋体" w:hAnsi="宋体" w:eastAsia="宋体" w:cs="宋体"/>
          <w:b w:val="0"/>
          <w:bCs w:val="0"/>
          <w:color w:val="auto"/>
          <w:sz w:val="24"/>
          <w:szCs w:val="24"/>
        </w:rPr>
        <w:t>19、</w:t>
      </w:r>
      <w:bookmarkEnd w:id="71"/>
      <w:bookmarkEnd w:id="72"/>
      <w:bookmarkEnd w:id="73"/>
      <w:bookmarkEnd w:id="74"/>
      <w:r>
        <w:rPr>
          <w:rFonts w:hint="eastAsia" w:ascii="宋体" w:hAnsi="宋体" w:eastAsia="宋体" w:cs="宋体"/>
          <w:b w:val="0"/>
          <w:bCs w:val="0"/>
          <w:color w:val="auto"/>
          <w:sz w:val="24"/>
          <w:szCs w:val="24"/>
        </w:rPr>
        <w:t>货物主要技术指标和性能的详细说明</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19.1货物从</w:t>
      </w: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szCs w:val="24"/>
        </w:rPr>
        <w:t>开始使用至“</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须知前附表”中规定的周期内正常、连续地使用所必须的备品备件和专用工具清单，包括备品备件和专用工具供货来源及现行价格。</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2对照招标文件技术规格、参数与要求，逐条说明所提供货物和服务已对招标文件的技术规格、参数与要求做出了实质性的响应，或申明与技术规格、参数与要求条文的偏差和例外。特别对于有具体参数要求的指标，</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必须提供所投设备的具体参数值。</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19.3</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须提交证明拟供货物和服务符合招标文件规定的文件资料，作为投标文件的一部分。</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19.4</w:t>
      </w:r>
      <w:r>
        <w:rPr>
          <w:rFonts w:hint="eastAsia" w:ascii="宋体" w:hAnsi="宋体" w:eastAsia="宋体" w:cs="宋体"/>
          <w:b w:val="0"/>
          <w:bCs w:val="0"/>
          <w:color w:val="auto"/>
          <w:sz w:val="24"/>
          <w:szCs w:val="24"/>
        </w:rPr>
        <w:t>上述文件可以是文字资料、图纸和数据等，并提供规格、技术参数偏离表。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19.5</w:t>
      </w:r>
      <w:r>
        <w:rPr>
          <w:rFonts w:hint="eastAsia" w:ascii="宋体" w:hAnsi="宋体" w:eastAsia="宋体" w:cs="宋体"/>
          <w:b w:val="0"/>
          <w:bCs w:val="0"/>
          <w:color w:val="auto"/>
          <w:sz w:val="24"/>
          <w:szCs w:val="24"/>
        </w:rPr>
        <w:t>没有按要求提供资料或提供资料不完全的，将被视为对招标文件没有做出实质性响应，其风险由</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自行承担。</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19.6</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提供的产品必须是正规厂家生产的高质量产品，不能提供劣质三无产品（无厂址,无商标,无合格证）。</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75" w:name="_Toc233274831"/>
      <w:bookmarkStart w:id="76" w:name="_Toc245897291"/>
      <w:bookmarkStart w:id="77" w:name="_Toc243907591"/>
      <w:bookmarkStart w:id="78" w:name="_Toc243906330"/>
      <w:r>
        <w:rPr>
          <w:rFonts w:hint="eastAsia" w:ascii="宋体" w:hAnsi="宋体" w:eastAsia="宋体" w:cs="宋体"/>
          <w:b w:val="0"/>
          <w:bCs w:val="0"/>
          <w:color w:val="auto"/>
          <w:sz w:val="24"/>
          <w:szCs w:val="24"/>
        </w:rPr>
        <w:t>20、</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有效期</w:t>
      </w:r>
      <w:bookmarkEnd w:id="75"/>
      <w:bookmarkEnd w:id="76"/>
      <w:bookmarkEnd w:id="77"/>
      <w:bookmarkEnd w:id="78"/>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20.1</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有效期为递交</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截止之日起</w:t>
      </w:r>
      <w:r>
        <w:rPr>
          <w:rFonts w:hint="eastAsia" w:hAnsi="宋体" w:cs="宋体"/>
          <w:b w:val="0"/>
          <w:bCs w:val="0"/>
          <w:color w:val="auto"/>
          <w:sz w:val="24"/>
          <w:szCs w:val="24"/>
          <w:u w:val="single"/>
          <w:lang w:val="en-US" w:eastAsia="zh-CN"/>
        </w:rPr>
        <w:t>9</w:t>
      </w:r>
      <w:r>
        <w:rPr>
          <w:rFonts w:hint="eastAsia" w:ascii="宋体" w:hAnsi="宋体" w:eastAsia="宋体" w:cs="宋体"/>
          <w:b w:val="0"/>
          <w:bCs w:val="0"/>
          <w:color w:val="auto"/>
          <w:sz w:val="24"/>
          <w:szCs w:val="24"/>
          <w:u w:val="single"/>
        </w:rPr>
        <w:t>0</w:t>
      </w:r>
      <w:r>
        <w:rPr>
          <w:rFonts w:hint="eastAsia" w:ascii="宋体" w:hAnsi="宋体" w:eastAsia="宋体" w:cs="宋体"/>
          <w:b w:val="0"/>
          <w:bCs w:val="0"/>
          <w:color w:val="auto"/>
          <w:sz w:val="24"/>
          <w:szCs w:val="24"/>
        </w:rPr>
        <w:t>天（日历日）。</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的</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有效期比规定的有效期短的，将被视为非响应而予以拒绝。</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20.2 特殊情况下，在原有效期届满之前，</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可征得</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的同意延长其有效期，这种要求与答复均应以书面形式。</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拒绝延长的，其</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失效。同意延长有效期的</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，既不要求也不允许其修改</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outlineLvl w:val="1"/>
        <w:rPr>
          <w:rFonts w:hint="eastAsia" w:ascii="宋体" w:hAnsi="宋体" w:eastAsia="宋体" w:cs="宋体"/>
          <w:b w:val="0"/>
          <w:bCs w:val="0"/>
          <w:color w:val="auto"/>
          <w:sz w:val="24"/>
          <w:szCs w:val="24"/>
        </w:rPr>
      </w:pPr>
      <w:bookmarkStart w:id="79" w:name="_Toc243906331"/>
      <w:bookmarkStart w:id="80" w:name="_Toc245897292"/>
      <w:bookmarkStart w:id="81" w:name="_Toc243907592"/>
      <w:bookmarkStart w:id="82" w:name="_Toc233274832"/>
      <w:r>
        <w:rPr>
          <w:rFonts w:hint="eastAsia" w:ascii="宋体" w:hAnsi="宋体" w:eastAsia="宋体" w:cs="宋体"/>
          <w:b w:val="0"/>
          <w:bCs w:val="0"/>
          <w:color w:val="auto"/>
          <w:sz w:val="24"/>
          <w:szCs w:val="24"/>
        </w:rPr>
        <w:t>21、</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的签署及规定</w:t>
      </w:r>
      <w:bookmarkEnd w:id="79"/>
      <w:bookmarkEnd w:id="80"/>
      <w:bookmarkEnd w:id="81"/>
      <w:bookmarkEnd w:id="82"/>
    </w:p>
    <w:p>
      <w:pPr>
        <w:overflowPunct w:val="0"/>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21.1</w:t>
      </w:r>
      <w:r>
        <w:rPr>
          <w:rFonts w:hint="eastAsia" w:ascii="宋体" w:hAnsi="宋体" w:cs="宋体"/>
          <w:b w:val="0"/>
          <w:bCs w:val="0"/>
          <w:color w:val="auto"/>
          <w:sz w:val="24"/>
          <w:szCs w:val="24"/>
          <w:lang w:eastAsia="zh-CN"/>
        </w:rPr>
        <w:t>投标单位</w:t>
      </w:r>
      <w:r>
        <w:rPr>
          <w:rFonts w:hint="eastAsia" w:ascii="宋体" w:hAnsi="宋体" w:eastAsia="宋体" w:cs="宋体"/>
          <w:b w:val="0"/>
          <w:bCs w:val="0"/>
          <w:color w:val="auto"/>
          <w:sz w:val="24"/>
          <w:szCs w:val="24"/>
        </w:rPr>
        <w:t>应提交本须知第</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条规定的书面</w:t>
      </w:r>
      <w:r>
        <w:rPr>
          <w:rFonts w:hint="eastAsia" w:ascii="宋体" w:hAnsi="宋体" w:cs="宋体"/>
          <w:b w:val="0"/>
          <w:bCs w:val="0"/>
          <w:color w:val="auto"/>
          <w:sz w:val="24"/>
          <w:szCs w:val="24"/>
          <w:lang w:eastAsia="zh-CN"/>
        </w:rPr>
        <w:t>投标文件</w:t>
      </w:r>
      <w:r>
        <w:rPr>
          <w:rFonts w:hint="eastAsia" w:ascii="宋体" w:hAnsi="宋体" w:eastAsia="宋体" w:cs="宋体"/>
          <w:b w:val="0"/>
          <w:bCs w:val="0"/>
          <w:color w:val="auto"/>
          <w:sz w:val="24"/>
          <w:szCs w:val="24"/>
        </w:rPr>
        <w:t>一式</w:t>
      </w:r>
      <w:r>
        <w:rPr>
          <w:rFonts w:hint="eastAsia" w:ascii="宋体" w:hAnsi="宋体" w:cs="宋体"/>
          <w:b w:val="0"/>
          <w:bCs w:val="0"/>
          <w:color w:val="auto"/>
          <w:sz w:val="24"/>
          <w:szCs w:val="24"/>
          <w:lang w:eastAsia="zh-CN"/>
        </w:rPr>
        <w:t>伍</w:t>
      </w:r>
      <w:r>
        <w:rPr>
          <w:rFonts w:hint="eastAsia" w:ascii="宋体" w:hAnsi="宋体" w:eastAsia="宋体" w:cs="宋体"/>
          <w:b w:val="0"/>
          <w:bCs w:val="0"/>
          <w:color w:val="auto"/>
          <w:sz w:val="24"/>
          <w:szCs w:val="24"/>
        </w:rPr>
        <w:t>份，其中</w:t>
      </w:r>
      <w:r>
        <w:rPr>
          <w:rFonts w:hint="eastAsia" w:ascii="宋体" w:hAnsi="宋体" w:eastAsia="宋体" w:cs="宋体"/>
          <w:b w:val="0"/>
          <w:bCs w:val="0"/>
          <w:color w:val="auto"/>
          <w:sz w:val="24"/>
          <w:szCs w:val="24"/>
          <w:u w:val="none"/>
        </w:rPr>
        <w:t>一份正本</w:t>
      </w:r>
      <w:r>
        <w:rPr>
          <w:rFonts w:hint="eastAsia" w:ascii="宋体" w:hAnsi="宋体" w:eastAsia="宋体" w:cs="宋体"/>
          <w:b w:val="0"/>
          <w:bCs w:val="0"/>
          <w:color w:val="auto"/>
          <w:sz w:val="24"/>
          <w:szCs w:val="24"/>
        </w:rPr>
        <w:t>和</w:t>
      </w:r>
      <w:r>
        <w:rPr>
          <w:rFonts w:hint="eastAsia" w:ascii="宋体" w:hAnsi="宋体" w:cs="宋体"/>
          <w:b w:val="0"/>
          <w:bCs w:val="0"/>
          <w:color w:val="auto"/>
          <w:sz w:val="24"/>
          <w:szCs w:val="24"/>
          <w:lang w:eastAsia="zh-CN"/>
        </w:rPr>
        <w:t>肆</w:t>
      </w:r>
      <w:r>
        <w:rPr>
          <w:rFonts w:hint="eastAsia" w:ascii="宋体" w:hAnsi="宋体" w:eastAsia="宋体" w:cs="宋体"/>
          <w:b w:val="0"/>
          <w:bCs w:val="0"/>
          <w:color w:val="auto"/>
          <w:sz w:val="24"/>
          <w:szCs w:val="24"/>
          <w:u w:val="none"/>
        </w:rPr>
        <w:t>份副本</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以</w:t>
      </w:r>
      <w:r>
        <w:rPr>
          <w:rFonts w:hint="eastAsia" w:ascii="宋体" w:hAnsi="宋体" w:eastAsia="宋体" w:cs="宋体"/>
          <w:b w:val="0"/>
          <w:bCs w:val="0"/>
          <w:color w:val="auto"/>
          <w:sz w:val="24"/>
          <w:szCs w:val="24"/>
          <w:lang w:val="en-US" w:eastAsia="zh-CN"/>
        </w:rPr>
        <w:t>PDF格式的电子版1份</w:t>
      </w:r>
      <w:r>
        <w:rPr>
          <w:rFonts w:hint="eastAsia" w:ascii="宋体" w:hAnsi="宋体" w:eastAsia="宋体" w:cs="宋体"/>
          <w:color w:val="auto"/>
          <w:kern w:val="2"/>
          <w:sz w:val="24"/>
          <w:szCs w:val="24"/>
          <w:lang w:val="en-US" w:eastAsia="zh-CN" w:bidi="ar-SA"/>
        </w:rPr>
        <w:t>（须单独密封提交）</w:t>
      </w:r>
      <w:r>
        <w:rPr>
          <w:rFonts w:hint="eastAsia" w:ascii="宋体" w:hAnsi="宋体" w:cs="宋体"/>
          <w:color w:val="auto"/>
          <w:kern w:val="2"/>
          <w:sz w:val="24"/>
          <w:szCs w:val="24"/>
          <w:lang w:val="en-US" w:eastAsia="zh-CN" w:bidi="ar-SA"/>
        </w:rPr>
        <w:t>，</w:t>
      </w:r>
      <w:r>
        <w:rPr>
          <w:rFonts w:hint="eastAsia" w:ascii="宋体" w:hAnsi="宋体" w:eastAsia="宋体" w:cs="宋体"/>
          <w:b w:val="0"/>
          <w:bCs w:val="0"/>
          <w:color w:val="auto"/>
          <w:sz w:val="24"/>
          <w:szCs w:val="24"/>
        </w:rPr>
        <w:t>在每一份</w:t>
      </w:r>
      <w:r>
        <w:rPr>
          <w:rFonts w:hint="eastAsia" w:ascii="宋体" w:hAnsi="宋体" w:cs="宋体"/>
          <w:b w:val="0"/>
          <w:bCs w:val="0"/>
          <w:color w:val="auto"/>
          <w:sz w:val="24"/>
          <w:szCs w:val="24"/>
          <w:lang w:eastAsia="zh-CN"/>
        </w:rPr>
        <w:t>投标文件</w:t>
      </w:r>
      <w:r>
        <w:rPr>
          <w:rFonts w:hint="eastAsia" w:ascii="宋体" w:hAnsi="宋体" w:eastAsia="宋体" w:cs="宋体"/>
          <w:b w:val="0"/>
          <w:bCs w:val="0"/>
          <w:color w:val="auto"/>
          <w:sz w:val="24"/>
          <w:szCs w:val="24"/>
        </w:rPr>
        <w:t>上应明确注明“正本”或“副本”字样，如正、副本之间有差异，以正本为准。</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21.2</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正本和副本须打印并由法定代表人或委托代理人签字或盖章。</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应加盖</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的公章。</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21.3 除</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对错误做必要修改外，</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中不许有增删、涂改或改写。若确有修改必须由签署</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的委托代理人签字或盖章。</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21.4</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副本的上述签名及盖章之处既可由</w:t>
      </w:r>
      <w:r>
        <w:rPr>
          <w:rFonts w:hint="eastAsia" w:hAnsi="宋体" w:cs="宋体"/>
          <w:b w:val="0"/>
          <w:bCs w:val="0"/>
          <w:color w:val="auto"/>
          <w:sz w:val="24"/>
          <w:szCs w:val="24"/>
          <w:lang w:eastAsia="zh-CN"/>
        </w:rPr>
        <w:t>投标单位</w:t>
      </w:r>
      <w:r>
        <w:rPr>
          <w:rFonts w:hint="eastAsia" w:ascii="宋体" w:hAnsi="宋体" w:eastAsia="宋体" w:cs="宋体"/>
          <w:b w:val="0"/>
          <w:bCs w:val="0"/>
          <w:color w:val="auto"/>
          <w:sz w:val="24"/>
          <w:szCs w:val="24"/>
        </w:rPr>
        <w:t>的法定代表人或其委托代理人签字或盖章，也可通过复印正本将上述签名及盖章复制到副本上。</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21.5 </w:t>
      </w:r>
      <w:r>
        <w:rPr>
          <w:rFonts w:hint="eastAsia" w:hAnsi="宋体" w:cs="宋体"/>
          <w:b w:val="0"/>
          <w:bCs w:val="0"/>
          <w:color w:val="auto"/>
          <w:sz w:val="24"/>
          <w:szCs w:val="24"/>
          <w:lang w:eastAsia="zh-CN"/>
        </w:rPr>
        <w:t>招标人</w:t>
      </w:r>
      <w:r>
        <w:rPr>
          <w:rFonts w:hint="eastAsia" w:ascii="宋体" w:hAnsi="宋体" w:eastAsia="宋体" w:cs="宋体"/>
          <w:b w:val="0"/>
          <w:bCs w:val="0"/>
          <w:color w:val="auto"/>
          <w:sz w:val="24"/>
          <w:szCs w:val="24"/>
        </w:rPr>
        <w:t>概不接受电报、电传、电话、邮寄以及电子邮件等方式的</w:t>
      </w:r>
      <w:r>
        <w:rPr>
          <w:rFonts w:hint="eastAsia" w:hAnsi="宋体" w:cs="宋体"/>
          <w:b w:val="0"/>
          <w:bCs w:val="0"/>
          <w:color w:val="auto"/>
          <w:sz w:val="24"/>
          <w:szCs w:val="24"/>
          <w:lang w:eastAsia="zh-CN"/>
        </w:rPr>
        <w:t>招标</w:t>
      </w:r>
      <w:r>
        <w:rPr>
          <w:rFonts w:hint="eastAsia" w:ascii="宋体" w:hAnsi="宋体" w:eastAsia="宋体" w:cs="宋体"/>
          <w:b w:val="0"/>
          <w:bCs w:val="0"/>
          <w:color w:val="auto"/>
          <w:sz w:val="24"/>
          <w:szCs w:val="24"/>
        </w:rPr>
        <w:t>。</w:t>
      </w:r>
      <w:bookmarkEnd w:id="44"/>
      <w:bookmarkStart w:id="83" w:name="_Toc233274834"/>
      <w:bookmarkStart w:id="84" w:name="_Toc243907594"/>
      <w:bookmarkStart w:id="85" w:name="_Toc243906333"/>
      <w:bookmarkStart w:id="86" w:name="_Toc246216203"/>
    </w:p>
    <w:p>
      <w:pPr>
        <w:pStyle w:val="17"/>
        <w:spacing w:line="240" w:lineRule="auto"/>
        <w:jc w:val="center"/>
        <w:outlineLvl w:val="1"/>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 xml:space="preserve">D  </w:t>
      </w:r>
      <w:r>
        <w:rPr>
          <w:rFonts w:hint="eastAsia" w:ascii="方正小标宋简体" w:hAnsi="方正小标宋简体" w:eastAsia="方正小标宋简体" w:cs="方正小标宋简体"/>
          <w:b w:val="0"/>
          <w:bCs w:val="0"/>
          <w:color w:val="auto"/>
          <w:sz w:val="28"/>
          <w:szCs w:val="28"/>
          <w:lang w:eastAsia="zh-CN"/>
        </w:rPr>
        <w:t>投标文件</w:t>
      </w:r>
      <w:r>
        <w:rPr>
          <w:rFonts w:hint="eastAsia" w:ascii="方正小标宋简体" w:hAnsi="方正小标宋简体" w:eastAsia="方正小标宋简体" w:cs="方正小标宋简体"/>
          <w:b w:val="0"/>
          <w:bCs w:val="0"/>
          <w:color w:val="auto"/>
          <w:sz w:val="28"/>
          <w:szCs w:val="28"/>
        </w:rPr>
        <w:t>的递交、修改和撤回</w:t>
      </w:r>
      <w:bookmarkEnd w:id="83"/>
      <w:bookmarkEnd w:id="84"/>
      <w:bookmarkEnd w:id="85"/>
      <w:bookmarkEnd w:id="86"/>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bookmarkStart w:id="87" w:name="_Toc245897295"/>
      <w:bookmarkStart w:id="88" w:name="_Toc243907595"/>
      <w:bookmarkStart w:id="89" w:name="_Toc233274835"/>
      <w:bookmarkStart w:id="90" w:name="_Toc243906334"/>
      <w:r>
        <w:rPr>
          <w:rFonts w:hint="eastAsia" w:ascii="宋体" w:hAnsi="宋体" w:eastAsia="宋体" w:cs="宋体"/>
          <w:b w:val="0"/>
          <w:bCs w:val="0"/>
          <w:color w:val="auto"/>
          <w:sz w:val="24"/>
          <w:szCs w:val="24"/>
        </w:rPr>
        <w:t>22、</w:t>
      </w:r>
      <w:bookmarkEnd w:id="87"/>
      <w:bookmarkEnd w:id="88"/>
      <w:bookmarkEnd w:id="89"/>
      <w:bookmarkEnd w:id="90"/>
      <w:r>
        <w:rPr>
          <w:rFonts w:hint="eastAsia" w:ascii="宋体" w:hAnsi="宋体" w:eastAsia="宋体" w:cs="宋体"/>
          <w:b w:val="0"/>
          <w:bCs w:val="0"/>
          <w:color w:val="auto"/>
          <w:sz w:val="24"/>
          <w:szCs w:val="24"/>
        </w:rPr>
        <w:t>投标文件的密封和标记</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22</w:t>
      </w:r>
      <w:r>
        <w:rPr>
          <w:rFonts w:hint="eastAsia" w:ascii="宋体" w:hAnsi="宋体" w:eastAsia="宋体" w:cs="宋体"/>
          <w:b w:val="0"/>
          <w:bCs w:val="0"/>
          <w:color w:val="auto"/>
          <w:sz w:val="24"/>
          <w:szCs w:val="24"/>
        </w:rPr>
        <w:t>.1 为方便开标唱标，</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应将报价一览表单独密封一份，并在信封上标明“报价一览表”字样。</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22</w:t>
      </w:r>
      <w:r>
        <w:rPr>
          <w:rFonts w:hint="eastAsia" w:ascii="宋体" w:hAnsi="宋体" w:eastAsia="宋体" w:cs="宋体"/>
          <w:b w:val="0"/>
          <w:bCs w:val="0"/>
          <w:color w:val="auto"/>
          <w:sz w:val="24"/>
          <w:szCs w:val="24"/>
        </w:rPr>
        <w:t xml:space="preserve">.2 </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应将</w:t>
      </w:r>
      <w:r>
        <w:rPr>
          <w:rFonts w:hint="eastAsia" w:ascii="宋体" w:hAnsi="宋体" w:eastAsia="宋体" w:cs="宋体"/>
          <w:b w:val="0"/>
          <w:bCs w:val="0"/>
          <w:color w:val="auto"/>
          <w:sz w:val="24"/>
          <w:szCs w:val="24"/>
          <w:lang w:eastAsia="zh-CN"/>
        </w:rPr>
        <w:t>电子文档</w:t>
      </w:r>
      <w:r>
        <w:rPr>
          <w:rFonts w:hint="eastAsia" w:ascii="宋体" w:hAnsi="宋体" w:eastAsia="宋体" w:cs="宋体"/>
          <w:b w:val="0"/>
          <w:bCs w:val="0"/>
          <w:color w:val="auto"/>
          <w:sz w:val="24"/>
          <w:szCs w:val="24"/>
        </w:rPr>
        <w:t>单独密封。</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22</w:t>
      </w:r>
      <w:r>
        <w:rPr>
          <w:rFonts w:hint="eastAsia" w:ascii="宋体" w:hAnsi="宋体" w:eastAsia="宋体" w:cs="宋体"/>
          <w:b w:val="0"/>
          <w:bCs w:val="0"/>
          <w:color w:val="auto"/>
          <w:sz w:val="24"/>
          <w:szCs w:val="24"/>
        </w:rPr>
        <w:t>.3所有密封文件均应：清楚注明“</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须知前附表”中指明的项目名称、项目编号（包号）和“在**年**月**日**时之前不得启封”的字样。</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名称和地址。加盖</w:t>
      </w:r>
      <w:r>
        <w:rPr>
          <w:rFonts w:hint="eastAsia" w:ascii="宋体" w:hAnsi="宋体" w:eastAsia="宋体" w:cs="宋体"/>
          <w:b w:val="0"/>
          <w:bCs w:val="0"/>
          <w:color w:val="auto"/>
          <w:sz w:val="24"/>
          <w:szCs w:val="24"/>
          <w:lang w:eastAsia="zh-CN"/>
        </w:rPr>
        <w:t>投标单位</w:t>
      </w:r>
      <w:r>
        <w:rPr>
          <w:rFonts w:hint="eastAsia" w:ascii="宋体" w:hAnsi="宋体" w:eastAsia="宋体" w:cs="宋体"/>
          <w:b w:val="0"/>
          <w:bCs w:val="0"/>
          <w:color w:val="auto"/>
          <w:sz w:val="24"/>
          <w:szCs w:val="24"/>
        </w:rPr>
        <w:t>公章。</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.4 如果未按本须知要求加写标记和密封，其投标将会被拒绝。</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.5　发生下列情况之一的投标文件被视为无效：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（1）投标截止时间以后送达的投标文件；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（2）由于包装不妥，在送交途中严重破损或失散的投标文件；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（3）与招标文件有重大偏离的投标文件；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（4）投标文件应盖而未盖公章或非本公司公章的、不按正确位置盖章的；未装订、</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（5）未密封、法定代表人授权书、资格声明函等填写不完整或有涂改未加盖公章的；</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（6）无“报价一览表”的投标文件；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（7）“报价一览表”没有加盖公章和授权委托人签字的；</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（8）未按规定交纳投标保证金的投标文件；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hAnsi="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）出现影响采购公正的违法违规行为的投标文件；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（10）投标文件未按照招标文件的要求予以密封、装订的</w:t>
      </w:r>
      <w:r>
        <w:rPr>
          <w:rFonts w:hint="eastAsia" w:hAnsi="宋体" w:cs="宋体"/>
          <w:b w:val="0"/>
          <w:bCs w:val="0"/>
          <w:color w:val="auto"/>
          <w:sz w:val="24"/>
          <w:szCs w:val="24"/>
          <w:lang w:eastAsia="zh-CN"/>
        </w:rPr>
        <w:t>。</w:t>
      </w:r>
    </w:p>
    <w:p>
      <w:pPr>
        <w:pStyle w:val="17"/>
        <w:spacing w:line="240" w:lineRule="auto"/>
        <w:ind w:firstLine="480" w:firstLineChars="200"/>
        <w:outlineLvl w:val="1"/>
        <w:rPr>
          <w:rFonts w:hint="eastAsia" w:ascii="宋体" w:hAnsi="宋体" w:eastAsia="宋体" w:cs="宋体"/>
          <w:b w:val="0"/>
          <w:bCs w:val="0"/>
          <w:color w:val="auto"/>
          <w:sz w:val="24"/>
          <w:szCs w:val="24"/>
        </w:rPr>
      </w:pPr>
      <w:bookmarkStart w:id="91" w:name="_Toc243906335"/>
      <w:bookmarkStart w:id="92" w:name="_Toc243907596"/>
      <w:bookmarkStart w:id="93" w:name="_Toc245897296"/>
      <w:bookmarkStart w:id="94" w:name="_Toc233274836"/>
      <w:r>
        <w:rPr>
          <w:rFonts w:hint="eastAsia" w:ascii="宋体" w:hAnsi="宋体" w:eastAsia="宋体" w:cs="宋体"/>
          <w:b w:val="0"/>
          <w:bCs w:val="0"/>
          <w:color w:val="auto"/>
          <w:sz w:val="24"/>
          <w:szCs w:val="24"/>
        </w:rPr>
        <w:t>23、递交</w:t>
      </w:r>
      <w:r>
        <w:rPr>
          <w:rFonts w:hint="eastAsia" w:hAnsi="宋体" w:cs="宋体"/>
          <w:b w:val="0"/>
          <w:bCs w:val="0"/>
          <w:color w:val="auto"/>
          <w:sz w:val="24"/>
          <w:szCs w:val="24"/>
          <w:lang w:eastAsia="zh-CN"/>
        </w:rPr>
        <w:t>投标文件</w:t>
      </w:r>
      <w:r>
        <w:rPr>
          <w:rFonts w:hint="eastAsia" w:ascii="宋体" w:hAnsi="宋体" w:eastAsia="宋体" w:cs="宋体"/>
          <w:b w:val="0"/>
          <w:bCs w:val="0"/>
          <w:color w:val="auto"/>
          <w:sz w:val="24"/>
          <w:szCs w:val="24"/>
        </w:rPr>
        <w:t>截止时间</w:t>
      </w:r>
      <w:bookmarkEnd w:id="91"/>
      <w:bookmarkEnd w:id="92"/>
      <w:bookmarkEnd w:id="93"/>
      <w:bookmarkEnd w:id="94"/>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23.1 所有</w:t>
      </w:r>
      <w:r>
        <w:rPr>
          <w:rFonts w:hint="eastAsia" w:ascii="宋体" w:hAnsi="宋体" w:eastAsia="宋体" w:cs="宋体"/>
          <w:b w:val="0"/>
          <w:bCs w:val="0"/>
          <w:color w:val="auto"/>
          <w:sz w:val="24"/>
          <w:lang w:eastAsia="zh-CN"/>
        </w:rPr>
        <w:t>投标文件</w:t>
      </w:r>
      <w:r>
        <w:rPr>
          <w:rFonts w:hint="eastAsia" w:ascii="宋体" w:hAnsi="宋体" w:eastAsia="宋体" w:cs="宋体"/>
          <w:b w:val="0"/>
          <w:bCs w:val="0"/>
          <w:color w:val="auto"/>
          <w:sz w:val="24"/>
        </w:rPr>
        <w:t>都必须按</w:t>
      </w: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在</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须知前附表中规定的截止时间之前送达。</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23</w:t>
      </w:r>
      <w:r>
        <w:rPr>
          <w:rFonts w:hint="eastAsia" w:ascii="宋体" w:hAnsi="宋体" w:eastAsia="宋体" w:cs="宋体"/>
          <w:b w:val="0"/>
          <w:bCs w:val="0"/>
          <w:color w:val="auto"/>
          <w:sz w:val="24"/>
        </w:rPr>
        <w:t>.</w:t>
      </w:r>
      <w:r>
        <w:rPr>
          <w:rFonts w:hint="eastAsia" w:hAnsi="宋体" w:cs="宋体"/>
          <w:b w:val="0"/>
          <w:bCs w:val="0"/>
          <w:color w:val="auto"/>
          <w:sz w:val="24"/>
          <w:lang w:val="en-US" w:eastAsia="zh-CN"/>
        </w:rPr>
        <w:t>2</w:t>
      </w:r>
      <w:r>
        <w:rPr>
          <w:rFonts w:hint="eastAsia" w:ascii="宋体" w:hAnsi="宋体" w:eastAsia="宋体" w:cs="宋体"/>
          <w:b w:val="0"/>
          <w:bCs w:val="0"/>
          <w:color w:val="auto"/>
          <w:sz w:val="24"/>
        </w:rPr>
        <w:t>出现因招标文件的修改而推迟</w:t>
      </w:r>
      <w:r>
        <w:rPr>
          <w:rFonts w:hint="eastAsia" w:ascii="宋体" w:hAnsi="宋体" w:eastAsia="宋体" w:cs="宋体"/>
          <w:b w:val="0"/>
          <w:bCs w:val="0"/>
          <w:color w:val="auto"/>
          <w:sz w:val="24"/>
          <w:lang w:eastAsia="zh-CN"/>
        </w:rPr>
        <w:t>投标</w:t>
      </w:r>
      <w:r>
        <w:rPr>
          <w:rFonts w:hint="eastAsia" w:ascii="宋体" w:hAnsi="宋体" w:eastAsia="宋体" w:cs="宋体"/>
          <w:b w:val="0"/>
          <w:bCs w:val="0"/>
          <w:color w:val="auto"/>
          <w:sz w:val="24"/>
        </w:rPr>
        <w:t>截止时间的情况时，</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则须按采购方的书面修改通知重新规定的招标时间递交。</w:t>
      </w:r>
      <w:bookmarkStart w:id="95" w:name="_Toc245897297"/>
      <w:bookmarkStart w:id="96" w:name="_Toc243906336"/>
      <w:bookmarkStart w:id="97" w:name="_Toc243907597"/>
      <w:bookmarkStart w:id="98" w:name="_Toc233274837"/>
    </w:p>
    <w:p>
      <w:pPr>
        <w:pStyle w:val="17"/>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24、迟交的</w:t>
      </w:r>
      <w:bookmarkEnd w:id="95"/>
      <w:bookmarkEnd w:id="96"/>
      <w:bookmarkEnd w:id="97"/>
      <w:bookmarkEnd w:id="98"/>
      <w:r>
        <w:rPr>
          <w:rFonts w:hint="eastAsia" w:ascii="宋体" w:hAnsi="宋体" w:eastAsia="宋体" w:cs="宋体"/>
          <w:b w:val="0"/>
          <w:bCs w:val="0"/>
          <w:color w:val="auto"/>
          <w:sz w:val="24"/>
          <w:lang w:eastAsia="zh-CN"/>
        </w:rPr>
        <w:t>投标文件</w:t>
      </w:r>
    </w:p>
    <w:p>
      <w:pPr>
        <w:pStyle w:val="17"/>
        <w:spacing w:line="240" w:lineRule="auto"/>
        <w:ind w:firstLine="480" w:firstLineChars="200"/>
        <w:rPr>
          <w:rFonts w:hint="eastAsia" w:ascii="宋体" w:hAnsi="宋体" w:eastAsia="宋体" w:cs="宋体"/>
          <w:b w:val="0"/>
          <w:bCs w:val="0"/>
          <w:color w:val="auto"/>
          <w:sz w:val="24"/>
        </w:rPr>
      </w:pPr>
      <w:r>
        <w:rPr>
          <w:rFonts w:hint="eastAsia" w:hAnsi="宋体" w:cs="宋体"/>
          <w:b w:val="0"/>
          <w:bCs w:val="0"/>
          <w:color w:val="auto"/>
          <w:sz w:val="24"/>
          <w:lang w:eastAsia="zh-CN"/>
        </w:rPr>
        <w:t>招标人</w:t>
      </w:r>
      <w:r>
        <w:rPr>
          <w:rFonts w:hint="eastAsia" w:ascii="宋体" w:hAnsi="宋体" w:eastAsia="宋体" w:cs="宋体"/>
          <w:b w:val="0"/>
          <w:bCs w:val="0"/>
          <w:color w:val="auto"/>
          <w:sz w:val="24"/>
        </w:rPr>
        <w:t>将拒绝并原封退回在其规定的截止时间后送达的</w:t>
      </w:r>
      <w:r>
        <w:rPr>
          <w:rFonts w:hint="eastAsia" w:hAnsi="宋体" w:cs="宋体"/>
          <w:b w:val="0"/>
          <w:bCs w:val="0"/>
          <w:color w:val="auto"/>
          <w:sz w:val="24"/>
          <w:lang w:eastAsia="zh-CN"/>
        </w:rPr>
        <w:t>投标文件</w:t>
      </w:r>
      <w:r>
        <w:rPr>
          <w:rFonts w:hint="eastAsia" w:ascii="宋体" w:hAnsi="宋体" w:eastAsia="宋体" w:cs="宋体"/>
          <w:b w:val="0"/>
          <w:bCs w:val="0"/>
          <w:color w:val="auto"/>
          <w:sz w:val="24"/>
        </w:rPr>
        <w:t>。</w:t>
      </w:r>
    </w:p>
    <w:p>
      <w:pPr>
        <w:pStyle w:val="17"/>
        <w:spacing w:line="240" w:lineRule="auto"/>
        <w:ind w:firstLine="480" w:firstLineChars="200"/>
        <w:outlineLvl w:val="1"/>
        <w:rPr>
          <w:rFonts w:hint="eastAsia" w:ascii="宋体" w:hAnsi="宋体" w:eastAsia="宋体" w:cs="宋体"/>
          <w:b w:val="0"/>
          <w:bCs w:val="0"/>
          <w:color w:val="auto"/>
          <w:sz w:val="24"/>
        </w:rPr>
      </w:pPr>
      <w:bookmarkStart w:id="99" w:name="_Toc245897298"/>
      <w:bookmarkStart w:id="100" w:name="_Toc243907598"/>
      <w:bookmarkStart w:id="101" w:name="_Toc233274838"/>
      <w:bookmarkStart w:id="102" w:name="_Toc243906337"/>
      <w:r>
        <w:rPr>
          <w:rFonts w:hint="eastAsia" w:ascii="宋体" w:hAnsi="宋体" w:eastAsia="宋体" w:cs="宋体"/>
          <w:b w:val="0"/>
          <w:bCs w:val="0"/>
          <w:color w:val="auto"/>
          <w:sz w:val="24"/>
        </w:rPr>
        <w:t>25、</w:t>
      </w:r>
      <w:r>
        <w:rPr>
          <w:rFonts w:hint="eastAsia" w:hAnsi="宋体" w:cs="宋体"/>
          <w:b w:val="0"/>
          <w:bCs w:val="0"/>
          <w:color w:val="auto"/>
          <w:sz w:val="24"/>
          <w:lang w:eastAsia="zh-CN"/>
        </w:rPr>
        <w:t>投标文件</w:t>
      </w:r>
      <w:r>
        <w:rPr>
          <w:rFonts w:hint="eastAsia" w:ascii="宋体" w:hAnsi="宋体" w:eastAsia="宋体" w:cs="宋体"/>
          <w:b w:val="0"/>
          <w:bCs w:val="0"/>
          <w:color w:val="auto"/>
          <w:sz w:val="24"/>
        </w:rPr>
        <w:t>的修改和撤回</w:t>
      </w:r>
      <w:bookmarkEnd w:id="99"/>
      <w:bookmarkEnd w:id="100"/>
      <w:bookmarkEnd w:id="101"/>
      <w:bookmarkEnd w:id="102"/>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25.1</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在递交投标文件后，可在规定的招标截止时间之前，对其投标文件以书面通知的形式进行修改或撤销。该通知须有投标代理人的签字，并得到采购方的确认。</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25</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对投标文件修改的书面材料或撤消通知应按招标文件要求进行密封、标注和递交，并注明“修改投标文件”或“撤消投标”字样，修改或撤消的内容须按招标文件的要求签署、盖章，并作为投标文件和组成部分。</w:t>
      </w:r>
    </w:p>
    <w:p>
      <w:pPr>
        <w:pStyle w:val="17"/>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25</w:t>
      </w:r>
      <w:r>
        <w:rPr>
          <w:rFonts w:hint="eastAsia" w:ascii="宋体" w:hAnsi="宋体" w:eastAsia="宋体" w:cs="宋体"/>
          <w:b w:val="0"/>
          <w:bCs w:val="0"/>
          <w:color w:val="auto"/>
          <w:sz w:val="24"/>
        </w:rPr>
        <w:t>.3对投标文件修改的书面材料应于</w:t>
      </w:r>
      <w:r>
        <w:rPr>
          <w:rFonts w:hint="eastAsia" w:ascii="宋体" w:hAnsi="宋体" w:eastAsia="宋体" w:cs="宋体"/>
          <w:b w:val="0"/>
          <w:bCs w:val="0"/>
          <w:color w:val="auto"/>
          <w:sz w:val="24"/>
          <w:lang w:eastAsia="zh-CN"/>
        </w:rPr>
        <w:t>投标</w:t>
      </w:r>
      <w:r>
        <w:rPr>
          <w:rFonts w:hint="eastAsia" w:ascii="宋体" w:hAnsi="宋体" w:eastAsia="宋体" w:cs="宋体"/>
          <w:b w:val="0"/>
          <w:bCs w:val="0"/>
          <w:color w:val="auto"/>
          <w:sz w:val="24"/>
        </w:rPr>
        <w:t>截止日前送达采购方，</w:t>
      </w:r>
      <w:r>
        <w:rPr>
          <w:rFonts w:hint="eastAsia" w:ascii="宋体" w:hAnsi="宋体" w:eastAsia="宋体" w:cs="宋体"/>
          <w:b w:val="0"/>
          <w:bCs w:val="0"/>
          <w:color w:val="auto"/>
          <w:sz w:val="24"/>
          <w:lang w:eastAsia="zh-CN"/>
        </w:rPr>
        <w:t>投标</w:t>
      </w:r>
      <w:r>
        <w:rPr>
          <w:rFonts w:hint="eastAsia" w:ascii="宋体" w:hAnsi="宋体" w:eastAsia="宋体" w:cs="宋体"/>
          <w:b w:val="0"/>
          <w:bCs w:val="0"/>
          <w:color w:val="auto"/>
          <w:sz w:val="24"/>
        </w:rPr>
        <w:t>截止时间以后不得修改投标文件。</w:t>
      </w:r>
    </w:p>
    <w:p>
      <w:pPr>
        <w:pStyle w:val="17"/>
        <w:spacing w:line="240" w:lineRule="auto"/>
        <w:ind w:firstLine="480" w:firstLineChars="200"/>
        <w:rPr>
          <w:rFonts w:hint="eastAsia" w:ascii="方正小标宋简体" w:hAnsi="方正小标宋简体" w:eastAsia="方正小标宋简体" w:cs="方正小标宋简体"/>
          <w:b w:val="0"/>
          <w:bCs w:val="0"/>
          <w:color w:val="auto"/>
          <w:sz w:val="28"/>
          <w:szCs w:val="28"/>
        </w:rPr>
      </w:pPr>
      <w:r>
        <w:rPr>
          <w:rFonts w:hint="eastAsia" w:ascii="宋体" w:hAnsi="宋体" w:eastAsia="宋体" w:cs="宋体"/>
          <w:b w:val="0"/>
          <w:bCs w:val="0"/>
          <w:color w:val="auto"/>
          <w:sz w:val="24"/>
          <w:lang w:val="en-US" w:eastAsia="zh-CN"/>
        </w:rPr>
        <w:t>25</w:t>
      </w:r>
      <w:r>
        <w:rPr>
          <w:rFonts w:hint="eastAsia" w:ascii="宋体" w:hAnsi="宋体" w:eastAsia="宋体" w:cs="宋体"/>
          <w:b w:val="0"/>
          <w:bCs w:val="0"/>
          <w:color w:val="auto"/>
          <w:sz w:val="24"/>
        </w:rPr>
        <w:t>.4</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不得在开标后至投标有期满前撤销投标文件，否则采购方将没收其投标保证金。</w:t>
      </w:r>
      <w:bookmarkStart w:id="103" w:name="_Toc246216209"/>
      <w:bookmarkStart w:id="104" w:name="_Toc243906339"/>
      <w:bookmarkStart w:id="105" w:name="_Toc243907600"/>
      <w:bookmarkStart w:id="106" w:name="_Toc233274840"/>
    </w:p>
    <w:p>
      <w:pPr>
        <w:spacing w:line="240" w:lineRule="auto"/>
        <w:jc w:val="center"/>
        <w:outlineLvl w:val="1"/>
        <w:rPr>
          <w:rFonts w:hint="eastAsia" w:ascii="宋体" w:hAnsi="宋体" w:eastAsia="宋体" w:cs="宋体"/>
          <w:b w:val="0"/>
          <w:bCs w:val="0"/>
          <w:color w:val="auto"/>
          <w:sz w:val="24"/>
          <w:szCs w:val="20"/>
        </w:rPr>
      </w:pPr>
      <w:r>
        <w:rPr>
          <w:rFonts w:hint="eastAsia" w:ascii="方正小标宋简体" w:hAnsi="方正小标宋简体" w:eastAsia="方正小标宋简体" w:cs="方正小标宋简体"/>
          <w:b w:val="0"/>
          <w:bCs w:val="0"/>
          <w:color w:val="auto"/>
          <w:sz w:val="28"/>
          <w:szCs w:val="28"/>
        </w:rPr>
        <w:t xml:space="preserve">E  </w:t>
      </w:r>
      <w:r>
        <w:rPr>
          <w:rFonts w:hint="eastAsia" w:ascii="方正小标宋简体" w:hAnsi="方正小标宋简体" w:eastAsia="方正小标宋简体" w:cs="方正小标宋简体"/>
          <w:b w:val="0"/>
          <w:bCs w:val="0"/>
          <w:color w:val="auto"/>
          <w:sz w:val="28"/>
          <w:szCs w:val="28"/>
          <w:lang w:eastAsia="zh-CN"/>
        </w:rPr>
        <w:t>招标</w:t>
      </w:r>
      <w:r>
        <w:rPr>
          <w:rFonts w:hint="eastAsia" w:ascii="方正小标宋简体" w:hAnsi="方正小标宋简体" w:eastAsia="方正小标宋简体" w:cs="方正小标宋简体"/>
          <w:b w:val="0"/>
          <w:bCs w:val="0"/>
          <w:color w:val="auto"/>
          <w:sz w:val="28"/>
          <w:szCs w:val="28"/>
        </w:rPr>
        <w:t>、评审、</w:t>
      </w:r>
      <w:bookmarkEnd w:id="103"/>
      <w:bookmarkEnd w:id="104"/>
      <w:bookmarkEnd w:id="105"/>
      <w:bookmarkEnd w:id="106"/>
      <w:r>
        <w:rPr>
          <w:rFonts w:hint="eastAsia" w:ascii="方正小标宋简体" w:hAnsi="方正小标宋简体" w:eastAsia="方正小标宋简体" w:cs="方正小标宋简体"/>
          <w:b w:val="0"/>
          <w:bCs w:val="0"/>
          <w:color w:val="auto"/>
          <w:sz w:val="28"/>
          <w:szCs w:val="28"/>
        </w:rPr>
        <w:t>确定</w:t>
      </w:r>
      <w:r>
        <w:rPr>
          <w:rFonts w:hint="eastAsia" w:ascii="方正小标宋简体" w:hAnsi="方正小标宋简体" w:eastAsia="方正小标宋简体" w:cs="方正小标宋简体"/>
          <w:b w:val="0"/>
          <w:bCs w:val="0"/>
          <w:color w:val="auto"/>
          <w:sz w:val="28"/>
          <w:szCs w:val="28"/>
          <w:lang w:eastAsia="zh-CN"/>
        </w:rPr>
        <w:t>中标投标单位</w:t>
      </w:r>
      <w:bookmarkStart w:id="107" w:name="_Toc243906340"/>
      <w:bookmarkStart w:id="108" w:name="_Toc243907601"/>
      <w:bookmarkStart w:id="109" w:name="_Toc245897301"/>
      <w:bookmarkStart w:id="110" w:name="_Toc233274841"/>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26</w:t>
      </w:r>
      <w:r>
        <w:rPr>
          <w:rFonts w:hint="eastAsia" w:ascii="宋体" w:hAnsi="宋体" w:eastAsia="宋体" w:cs="宋体"/>
          <w:b w:val="0"/>
          <w:bCs w:val="0"/>
          <w:color w:val="auto"/>
          <w:sz w:val="24"/>
          <w:szCs w:val="20"/>
        </w:rPr>
        <w:t>、</w:t>
      </w:r>
      <w:bookmarkEnd w:id="107"/>
      <w:bookmarkEnd w:id="108"/>
      <w:bookmarkEnd w:id="109"/>
      <w:bookmarkEnd w:id="110"/>
      <w:r>
        <w:rPr>
          <w:rFonts w:hint="eastAsia" w:ascii="宋体" w:hAnsi="宋体" w:eastAsia="宋体" w:cs="宋体"/>
          <w:b w:val="0"/>
          <w:bCs w:val="0"/>
          <w:color w:val="auto"/>
          <w:sz w:val="24"/>
          <w:szCs w:val="20"/>
          <w:lang w:eastAsia="zh-CN"/>
        </w:rPr>
        <w:t>招标</w:t>
      </w:r>
      <w:r>
        <w:rPr>
          <w:rFonts w:hint="eastAsia" w:ascii="宋体" w:hAnsi="宋体" w:eastAsia="宋体" w:cs="宋体"/>
          <w:b w:val="0"/>
          <w:bCs w:val="0"/>
          <w:color w:val="auto"/>
          <w:sz w:val="24"/>
          <w:szCs w:val="20"/>
        </w:rPr>
        <w:t>会议</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rPr>
        <w:t>2</w:t>
      </w:r>
      <w:r>
        <w:rPr>
          <w:rFonts w:hint="eastAsia" w:ascii="宋体" w:hAnsi="宋体" w:eastAsia="宋体" w:cs="宋体"/>
          <w:b w:val="0"/>
          <w:bCs w:val="0"/>
          <w:color w:val="auto"/>
          <w:sz w:val="24"/>
          <w:szCs w:val="20"/>
          <w:lang w:val="en-US" w:eastAsia="zh-CN"/>
        </w:rPr>
        <w:t>6</w:t>
      </w:r>
      <w:r>
        <w:rPr>
          <w:rFonts w:hint="eastAsia" w:ascii="宋体" w:hAnsi="宋体" w:eastAsia="宋体" w:cs="宋体"/>
          <w:b w:val="0"/>
          <w:bCs w:val="0"/>
          <w:color w:val="auto"/>
          <w:sz w:val="24"/>
          <w:szCs w:val="20"/>
        </w:rPr>
        <w:t>.1本次招标按招标文件中规定的时间和地点进行开标，邀请</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的法定代表人或其授权人参加开标会。</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rPr>
        <w:t>2</w:t>
      </w:r>
      <w:r>
        <w:rPr>
          <w:rFonts w:hint="eastAsia" w:ascii="宋体" w:hAnsi="宋体" w:eastAsia="宋体" w:cs="宋体"/>
          <w:b w:val="0"/>
          <w:bCs w:val="0"/>
          <w:color w:val="auto"/>
          <w:sz w:val="24"/>
          <w:szCs w:val="20"/>
          <w:lang w:val="en-US" w:eastAsia="zh-CN"/>
        </w:rPr>
        <w:t>6</w:t>
      </w:r>
      <w:r>
        <w:rPr>
          <w:rFonts w:hint="eastAsia" w:ascii="宋体" w:hAnsi="宋体" w:eastAsia="宋体" w:cs="宋体"/>
          <w:b w:val="0"/>
          <w:bCs w:val="0"/>
          <w:color w:val="auto"/>
          <w:sz w:val="24"/>
          <w:szCs w:val="20"/>
        </w:rPr>
        <w:t>.</w:t>
      </w:r>
      <w:r>
        <w:rPr>
          <w:rFonts w:hint="eastAsia" w:ascii="宋体" w:hAnsi="宋体" w:eastAsia="宋体" w:cs="宋体"/>
          <w:b w:val="0"/>
          <w:bCs w:val="0"/>
          <w:color w:val="auto"/>
          <w:sz w:val="24"/>
          <w:szCs w:val="20"/>
          <w:lang w:val="en-US" w:eastAsia="zh-CN"/>
        </w:rPr>
        <w:t>2</w:t>
      </w:r>
      <w:r>
        <w:rPr>
          <w:rFonts w:hint="eastAsia" w:ascii="宋体" w:hAnsi="宋体" w:eastAsia="宋体" w:cs="宋体"/>
          <w:b w:val="0"/>
          <w:bCs w:val="0"/>
          <w:color w:val="auto"/>
          <w:sz w:val="24"/>
          <w:szCs w:val="20"/>
        </w:rPr>
        <w:t>开标时将检查所有投标文件的密封情况，并在确认无误后拆封投标文件进行唱标。如投标文件中投标响应报价表内容与投标文件中明细表内容不一致的，以单独提交的投标响应报价表为准，并对唱标内容作以记录。</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26</w:t>
      </w:r>
      <w:r>
        <w:rPr>
          <w:rFonts w:hint="eastAsia" w:ascii="宋体" w:hAnsi="宋体" w:eastAsia="宋体" w:cs="宋体"/>
          <w:b w:val="0"/>
          <w:bCs w:val="0"/>
          <w:color w:val="auto"/>
          <w:sz w:val="24"/>
          <w:szCs w:val="20"/>
        </w:rPr>
        <w:t>.3开标和唱标的顺序，按照递交投标文件的逆顺序依次进行。</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26</w:t>
      </w:r>
      <w:r>
        <w:rPr>
          <w:rFonts w:hint="eastAsia" w:ascii="宋体" w:hAnsi="宋体" w:eastAsia="宋体" w:cs="宋体"/>
          <w:b w:val="0"/>
          <w:bCs w:val="0"/>
          <w:color w:val="auto"/>
          <w:sz w:val="24"/>
          <w:szCs w:val="20"/>
        </w:rPr>
        <w:t>.4投标时间截止后，提交投标文件的</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不足三家时，按照招标相关法规处理。</w:t>
      </w:r>
      <w:bookmarkStart w:id="111" w:name="_Toc245897302"/>
      <w:bookmarkStart w:id="112" w:name="_Toc243907602"/>
      <w:bookmarkStart w:id="113" w:name="_Toc243906341"/>
      <w:bookmarkStart w:id="114" w:name="_Toc233274842"/>
    </w:p>
    <w:p>
      <w:pPr>
        <w:widowControl/>
        <w:spacing w:line="240" w:lineRule="auto"/>
        <w:ind w:firstLine="480" w:firstLineChars="200"/>
        <w:rPr>
          <w:rFonts w:hint="eastAsia" w:ascii="宋体" w:hAnsi="宋体" w:eastAsia="宋体" w:cs="宋体"/>
          <w:b w:val="0"/>
          <w:bCs w:val="0"/>
          <w:color w:val="auto"/>
          <w:sz w:val="24"/>
          <w:szCs w:val="20"/>
          <w:lang w:eastAsia="zh-CN"/>
        </w:rPr>
      </w:pPr>
      <w:r>
        <w:rPr>
          <w:rFonts w:hint="eastAsia" w:ascii="宋体" w:hAnsi="宋体" w:eastAsia="宋体" w:cs="宋体"/>
          <w:b w:val="0"/>
          <w:bCs w:val="0"/>
          <w:color w:val="auto"/>
          <w:sz w:val="24"/>
          <w:szCs w:val="20"/>
        </w:rPr>
        <w:t>2</w:t>
      </w:r>
      <w:r>
        <w:rPr>
          <w:rFonts w:hint="eastAsia" w:ascii="宋体" w:hAnsi="宋体" w:cs="宋体"/>
          <w:b w:val="0"/>
          <w:bCs w:val="0"/>
          <w:color w:val="auto"/>
          <w:sz w:val="24"/>
          <w:szCs w:val="20"/>
          <w:lang w:val="en-US" w:eastAsia="zh-CN"/>
        </w:rPr>
        <w:t>7</w:t>
      </w:r>
      <w:r>
        <w:rPr>
          <w:rFonts w:hint="eastAsia" w:ascii="宋体" w:hAnsi="宋体" w:eastAsia="宋体" w:cs="宋体"/>
          <w:b w:val="0"/>
          <w:bCs w:val="0"/>
          <w:color w:val="auto"/>
          <w:sz w:val="24"/>
          <w:szCs w:val="20"/>
        </w:rPr>
        <w:t>、</w:t>
      </w:r>
      <w:r>
        <w:rPr>
          <w:rFonts w:hint="eastAsia" w:ascii="宋体" w:hAnsi="宋体" w:cs="宋体"/>
          <w:b w:val="0"/>
          <w:bCs w:val="0"/>
          <w:color w:val="auto"/>
          <w:sz w:val="24"/>
          <w:szCs w:val="20"/>
          <w:lang w:eastAsia="zh-CN"/>
        </w:rPr>
        <w:t>招标</w:t>
      </w:r>
      <w:bookmarkEnd w:id="111"/>
      <w:bookmarkEnd w:id="112"/>
      <w:bookmarkEnd w:id="113"/>
      <w:bookmarkEnd w:id="114"/>
      <w:r>
        <w:rPr>
          <w:rFonts w:hint="eastAsia" w:ascii="宋体" w:hAnsi="宋体" w:cs="宋体"/>
          <w:b w:val="0"/>
          <w:bCs w:val="0"/>
          <w:color w:val="auto"/>
          <w:sz w:val="24"/>
          <w:szCs w:val="20"/>
          <w:lang w:eastAsia="zh-CN"/>
        </w:rPr>
        <w:t>依据</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27.1招标的依据为招标文件（包括采购方的招标文件和投标单位的投标文件）。</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招标文件的因素主要包括下列内容</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（1）对投标单位的投标文件的审查和响应性的确定；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（2）对投标单位的投标文件中财务、技术和生产能力的确定；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（3）对产品质量的评估确定；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（4）对投标单位投标报价的确定；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（5）对投标单位售后服务机构设置和能力的确定；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（6）对投标单位投标文件技术规格偏差的确定；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（7）对投标单位递交文件商务偏差的调整确定；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（8）对投标单位的技术、商务澄清内容答复的确定；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（9）对投标单位近三年销售业绩评估确定。</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28评标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.1评标小组</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.1.1招标会议将根据《中华人民共和国招投标法》和《中华人民共和国政府采购法》及相关法律的规定，依法组建本次采购的评标小组，负责本次招标的评标活动。</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.1.2评标委员会成员在开标前确定。评标小组成员名单在中标结果确定前保密。评标小组由有关技术、经济等方面的专家和</w:t>
      </w:r>
      <w:r>
        <w:rPr>
          <w:rFonts w:hint="eastAsia" w:ascii="宋体" w:hAnsi="宋体" w:eastAsia="宋体" w:cs="宋体"/>
          <w:b w:val="0"/>
          <w:bCs w:val="0"/>
          <w:color w:val="auto"/>
          <w:sz w:val="24"/>
          <w:szCs w:val="20"/>
          <w:lang w:eastAsia="zh-CN"/>
        </w:rPr>
        <w:t>招标人</w:t>
      </w:r>
      <w:r>
        <w:rPr>
          <w:rFonts w:hint="eastAsia" w:ascii="宋体" w:hAnsi="宋体" w:eastAsia="宋体" w:cs="宋体"/>
          <w:b w:val="0"/>
          <w:bCs w:val="0"/>
          <w:color w:val="auto"/>
          <w:sz w:val="24"/>
          <w:szCs w:val="20"/>
        </w:rPr>
        <w:t>熟悉相关业务的代表人员组成，成员为五人以上的单数，其中技术、经济等方面的成员人数不少于成员总数的三分之二。</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.1.3评标小组由有关经济、技术等方面的专家5名组成，其中：4名经济、技术专家在评标专家库中随机抽取，招标人委派代表1人参加，评标采用回避制度。评委会设主任委员1名</w:t>
      </w:r>
      <w:r>
        <w:rPr>
          <w:rFonts w:hint="eastAsia" w:ascii="宋体" w:hAnsi="宋体" w:eastAsia="宋体" w:cs="宋体"/>
          <w:b w:val="0"/>
          <w:bCs w:val="0"/>
          <w:color w:val="auto"/>
          <w:sz w:val="24"/>
          <w:szCs w:val="20"/>
          <w:lang w:eastAsia="zh-CN"/>
        </w:rPr>
        <w:t>，从</w:t>
      </w:r>
      <w:r>
        <w:rPr>
          <w:rFonts w:hint="eastAsia" w:ascii="宋体" w:hAnsi="宋体" w:eastAsia="宋体" w:cs="宋体"/>
          <w:b w:val="0"/>
          <w:bCs w:val="0"/>
          <w:color w:val="auto"/>
          <w:sz w:val="24"/>
          <w:szCs w:val="20"/>
          <w:lang w:val="en-US" w:eastAsia="zh-CN"/>
        </w:rPr>
        <w:t>5名专家中以各专家匿名推荐的方式产生</w:t>
      </w:r>
      <w:r>
        <w:rPr>
          <w:rFonts w:hint="eastAsia" w:ascii="宋体" w:hAnsi="宋体" w:eastAsia="宋体" w:cs="宋体"/>
          <w:b w:val="0"/>
          <w:bCs w:val="0"/>
          <w:color w:val="auto"/>
          <w:sz w:val="24"/>
          <w:szCs w:val="20"/>
        </w:rPr>
        <w:t>。</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.1.4按前款规定，评标小组的成员，由</w:t>
      </w:r>
      <w:r>
        <w:rPr>
          <w:rFonts w:hint="eastAsia" w:ascii="宋体" w:hAnsi="宋体" w:cs="宋体"/>
          <w:b w:val="0"/>
          <w:bCs w:val="0"/>
          <w:color w:val="auto"/>
          <w:sz w:val="24"/>
          <w:szCs w:val="20"/>
          <w:lang w:eastAsia="zh-CN"/>
        </w:rPr>
        <w:t>国金</w:t>
      </w:r>
      <w:r>
        <w:rPr>
          <w:rFonts w:hint="eastAsia" w:ascii="宋体" w:hAnsi="宋体" w:eastAsia="宋体" w:cs="宋体"/>
          <w:b w:val="0"/>
          <w:bCs w:val="0"/>
          <w:color w:val="auto"/>
          <w:sz w:val="24"/>
          <w:szCs w:val="20"/>
          <w:lang w:eastAsia="zh-CN"/>
        </w:rPr>
        <w:t>工程</w:t>
      </w:r>
      <w:r>
        <w:rPr>
          <w:rFonts w:hint="eastAsia" w:ascii="宋体" w:hAnsi="宋体" w:cs="宋体"/>
          <w:b w:val="0"/>
          <w:bCs w:val="0"/>
          <w:color w:val="auto"/>
          <w:sz w:val="24"/>
          <w:szCs w:val="20"/>
          <w:lang w:eastAsia="zh-CN"/>
        </w:rPr>
        <w:t>项目</w:t>
      </w:r>
      <w:r>
        <w:rPr>
          <w:rFonts w:hint="eastAsia" w:ascii="宋体" w:hAnsi="宋体" w:eastAsia="宋体" w:cs="宋体"/>
          <w:b w:val="0"/>
          <w:bCs w:val="0"/>
          <w:color w:val="auto"/>
          <w:sz w:val="24"/>
          <w:szCs w:val="20"/>
          <w:lang w:eastAsia="zh-CN"/>
        </w:rPr>
        <w:t>管理有限公司</w:t>
      </w:r>
      <w:r>
        <w:rPr>
          <w:rFonts w:hint="eastAsia" w:ascii="宋体" w:hAnsi="宋体" w:eastAsia="宋体" w:cs="宋体"/>
          <w:b w:val="0"/>
          <w:bCs w:val="0"/>
          <w:color w:val="auto"/>
          <w:sz w:val="24"/>
          <w:szCs w:val="20"/>
        </w:rPr>
        <w:t>在相关部门的监督下从专家库中采取随机抽取的方式确定。</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28.</w:t>
      </w:r>
      <w:r>
        <w:rPr>
          <w:rFonts w:hint="eastAsia" w:ascii="宋体" w:hAnsi="宋体" w:eastAsia="宋体" w:cs="宋体"/>
          <w:b w:val="0"/>
          <w:bCs w:val="0"/>
          <w:color w:val="auto"/>
          <w:sz w:val="24"/>
          <w:szCs w:val="20"/>
        </w:rPr>
        <w:t>1.5评标小组成员遵循法定的回避规定。</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、评标标准</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.1.评标的准备与初步评标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.1.1评委成员认真研究招标文件，至少应了解和熟悉以下内容：</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.1.2采购的目标；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.1.3项目的范围和性质；</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.1.3.1招标文件中规定的主要技术要求、标准和商务条款；</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.1.3.2招标文件规定的评标标准、评标方法和在评标过程中考虑的相关因素。</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.1.3.3</w:t>
      </w:r>
      <w:r>
        <w:rPr>
          <w:rFonts w:hint="eastAsia" w:ascii="宋体" w:hAnsi="宋体" w:eastAsia="宋体" w:cs="宋体"/>
          <w:b w:val="0"/>
          <w:bCs w:val="0"/>
          <w:color w:val="auto"/>
          <w:sz w:val="24"/>
          <w:szCs w:val="20"/>
          <w:lang w:eastAsia="zh-CN"/>
        </w:rPr>
        <w:t>招标人</w:t>
      </w:r>
      <w:r>
        <w:rPr>
          <w:rFonts w:hint="eastAsia" w:ascii="宋体" w:hAnsi="宋体" w:eastAsia="宋体" w:cs="宋体"/>
          <w:b w:val="0"/>
          <w:bCs w:val="0"/>
          <w:color w:val="auto"/>
          <w:sz w:val="24"/>
          <w:szCs w:val="20"/>
        </w:rPr>
        <w:t>或者其委托的代理机构应当向评委提供评标所需的重要信息和数据。</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.1.3.4评委应当根据招标文件规定的评标标准和方法，对招标文件进行系统地评标和比较。</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.1.3.5招标文件中没有规定的标准和方法不得作为评标的依据。</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.1.3.6评委可以书面方式要求</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 xml:space="preserve">对招标文件中含义不明确、对同类问题表述不一致或者有明显文字和计算错误的内容作必要的澄清、说明或者补正。澄清、说明或者补正应以书面方式进行并不得超出招标文件的范围或者改变招标文件的实质性内容。 </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.1.3.7在评标过程中，评标小组发现</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以他人的的名义投标、串通投标、以行贿手段谋取中标或者以其他弄虚作假方式投标的，该</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的投标应作废标处理。</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.1.3.8在评标过程中，评委发现</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的报价明显低于其他投标报价，使得其投标报价可能低于其个别成本，由评标小组认定该</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以低于成本报价竞标的，其投标应作废标处理。</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.1.3.9</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资格条件不符合国家有关规定和招标文件要求的，或者拒不按照要求对投标文件进行澄清、说明或者补正的，评标小组可以否决其投标。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.1.3.10评委应当审查每一投标文件是否对招标文件提出的所有实质性要求和条件作出响应。未能在实质上响应的投标，应作废标处理。</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.1.3.11</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不得误导、干扰采购方的评标活动，否则将废除其投标。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.2提交投标文件的</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不足三家时，按照相关法规重新招标。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3 对投标文件的审查和响应性的确定</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.3.1开标后，采购方将组织对投标文件进行审查，检查投标文件是否完整，是否出现任何计算性错误，是否满足招标文件的格式要求。</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.3.2采购方将确定每一</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是否对投标文件的要求作出了实质性的响应，而没有重大偏离。实质性响应的投标是指符合招标文件的所有条款、条件和规定且没有重大偏离和保留。重大偏离或保留系指影响到招标文件规定的服务范围、供货范围、质量和性能，或限制了买方的权力和</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的义务的规定，而纠正这些偏离将影响到其他提交实质性响应投标的</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的公平竞争地位。</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.3.3采购方判断投标文件的响应性仅基于投标文件本身而不靠外部证据。</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.3.4采购方将拒绝被确定为非实质性响应的投标，</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不能通过修正或撤消不符合之处而使其投标成为实质性响应的投标。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.4  投标文件的澄清</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.4.1 为了有助于对投标文件进行审查、评议和比较，采购方有权向</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质疑，要求</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澄清其投标内容。</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有责任按照采购方的时间、地点指派专人进行答疑和澄清。</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.4.2 所有澄清的答复必须是书面形式。</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29</w:t>
      </w:r>
      <w:r>
        <w:rPr>
          <w:rFonts w:hint="eastAsia" w:ascii="宋体" w:hAnsi="宋体" w:eastAsia="宋体" w:cs="宋体"/>
          <w:b w:val="0"/>
          <w:bCs w:val="0"/>
          <w:color w:val="auto"/>
          <w:sz w:val="24"/>
          <w:szCs w:val="20"/>
        </w:rPr>
        <w:t xml:space="preserve">.4.3 </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的澄清不得对投标内容进行实质性修改。</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30</w:t>
      </w:r>
      <w:r>
        <w:rPr>
          <w:rFonts w:hint="eastAsia" w:ascii="宋体" w:hAnsi="宋体" w:eastAsia="宋体" w:cs="宋体"/>
          <w:b w:val="0"/>
          <w:bCs w:val="0"/>
          <w:color w:val="auto"/>
          <w:sz w:val="24"/>
          <w:szCs w:val="20"/>
        </w:rPr>
        <w:t>、初步评审</w:t>
      </w:r>
      <w:r>
        <w:rPr>
          <w:rFonts w:hint="eastAsia" w:ascii="宋体" w:hAnsi="宋体" w:cs="宋体"/>
          <w:b w:val="0"/>
          <w:bCs w:val="0"/>
          <w:color w:val="auto"/>
          <w:sz w:val="24"/>
          <w:szCs w:val="20"/>
          <w:lang w:val="en-US" w:eastAsia="zh-CN"/>
        </w:rPr>
        <w:t xml:space="preserve">  </w:t>
      </w:r>
      <w:r>
        <w:rPr>
          <w:rFonts w:hint="eastAsia" w:ascii="宋体" w:hAnsi="宋体" w:eastAsia="宋体" w:cs="宋体"/>
          <w:b w:val="0"/>
          <w:bCs w:val="0"/>
          <w:color w:val="auto"/>
          <w:sz w:val="24"/>
          <w:szCs w:val="20"/>
        </w:rPr>
        <w:t>由评标小组成员对参加招投标企业的投标文件进行初步审查</w:t>
      </w:r>
      <w:r>
        <w:rPr>
          <w:rFonts w:hint="eastAsia" w:ascii="宋体" w:hAnsi="宋体" w:eastAsia="宋体" w:cs="宋体"/>
          <w:b w:val="0"/>
          <w:bCs w:val="0"/>
          <w:color w:val="auto"/>
          <w:sz w:val="24"/>
          <w:szCs w:val="20"/>
          <w:lang w:eastAsia="zh-CN"/>
        </w:rPr>
        <w:t>。</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31</w:t>
      </w:r>
      <w:r>
        <w:rPr>
          <w:rFonts w:hint="eastAsia" w:ascii="宋体" w:hAnsi="宋体" w:cs="宋体"/>
          <w:b w:val="0"/>
          <w:bCs w:val="0"/>
          <w:color w:val="auto"/>
          <w:sz w:val="24"/>
          <w:szCs w:val="20"/>
          <w:lang w:val="en-US" w:eastAsia="zh-CN"/>
        </w:rPr>
        <w:t>、</w:t>
      </w:r>
      <w:r>
        <w:rPr>
          <w:rFonts w:hint="eastAsia" w:ascii="宋体" w:hAnsi="宋体" w:eastAsia="宋体" w:cs="宋体"/>
          <w:b w:val="0"/>
          <w:bCs w:val="0"/>
          <w:color w:val="auto"/>
          <w:sz w:val="24"/>
          <w:szCs w:val="20"/>
        </w:rPr>
        <w:t>澄清</w:t>
      </w:r>
      <w:r>
        <w:rPr>
          <w:rFonts w:hint="eastAsia" w:ascii="宋体" w:hAnsi="宋体" w:cs="宋体"/>
          <w:b w:val="0"/>
          <w:bCs w:val="0"/>
          <w:color w:val="auto"/>
          <w:sz w:val="24"/>
          <w:szCs w:val="20"/>
          <w:lang w:val="en-US" w:eastAsia="zh-CN"/>
        </w:rPr>
        <w:t xml:space="preserve">  </w:t>
      </w:r>
      <w:r>
        <w:rPr>
          <w:rFonts w:hint="eastAsia" w:ascii="宋体" w:hAnsi="宋体" w:eastAsia="宋体" w:cs="宋体"/>
          <w:b w:val="0"/>
          <w:bCs w:val="0"/>
          <w:color w:val="auto"/>
          <w:sz w:val="24"/>
          <w:szCs w:val="20"/>
        </w:rPr>
        <w:t>为有助于投标文件的审查、评价和比较，可要求</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对招标文件的商务、报价和技术等方面的任何不明确的内容做进一步澄清或对存在的细微偏差予以补正。但不得寻求、提出、允许或接受对投标价格及实质性内容进行更改。在澄清过程中不得向</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提出不符合招标文件的要求。</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rPr>
        <w:t>评标委员会对所有需要澄清或补正的问题，应以书面形式向</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进行澄清或补正。澄清或补正结果汇总纳入评标报告。</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32、评审结果的汇总</w:t>
      </w:r>
      <w:r>
        <w:rPr>
          <w:rFonts w:hint="eastAsia" w:ascii="宋体" w:hAnsi="宋体" w:cs="宋体"/>
          <w:b w:val="0"/>
          <w:bCs w:val="0"/>
          <w:color w:val="auto"/>
          <w:sz w:val="24"/>
          <w:szCs w:val="20"/>
          <w:lang w:val="en-US" w:eastAsia="zh-CN"/>
        </w:rPr>
        <w:t xml:space="preserve">  </w:t>
      </w:r>
      <w:r>
        <w:rPr>
          <w:rFonts w:hint="eastAsia" w:ascii="宋体" w:hAnsi="宋体" w:eastAsia="宋体" w:cs="宋体"/>
          <w:b w:val="0"/>
          <w:bCs w:val="0"/>
          <w:color w:val="auto"/>
          <w:sz w:val="24"/>
          <w:szCs w:val="20"/>
          <w:lang w:val="en-US" w:eastAsia="zh-CN"/>
        </w:rPr>
        <w:t>将每位评委的评分进行统计汇总，计分保留小数点后两位，第三位四舍五入。评委的汇总评分后的算术平均值，确定为该投标单位的最终得分。在确定中标候选人顺序时，若有相同的最终评分，则依次按投标报价进行比较，低者顺序居前。</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通过全体评委汇签的方式确定评审结果。根据评标委员会的推荐，投标单位得分排列前三名为中标候选人。</w:t>
      </w:r>
    </w:p>
    <w:p>
      <w:pPr>
        <w:widowControl/>
        <w:spacing w:line="240" w:lineRule="auto"/>
        <w:ind w:firstLine="482" w:firstLineChars="200"/>
        <w:rPr>
          <w:rFonts w:hint="eastAsia" w:ascii="宋体" w:hAnsi="宋体" w:eastAsia="宋体" w:cs="宋体"/>
          <w:b w:val="0"/>
          <w:bCs w:val="0"/>
          <w:color w:val="auto"/>
          <w:sz w:val="24"/>
          <w:szCs w:val="20"/>
        </w:rPr>
      </w:pPr>
      <w:bookmarkStart w:id="115" w:name="_Toc233274848"/>
      <w:bookmarkStart w:id="116" w:name="_Toc243907610"/>
      <w:bookmarkStart w:id="117" w:name="_Toc243906349"/>
      <w:bookmarkStart w:id="118" w:name="_Toc245897309"/>
      <w:r>
        <w:rPr>
          <w:rFonts w:hint="eastAsia" w:ascii="仿宋" w:hAnsi="仿宋" w:eastAsia="仿宋"/>
          <w:b/>
          <w:color w:val="auto"/>
          <w:sz w:val="24"/>
        </w:rPr>
        <w:t xml:space="preserve"> </w:t>
      </w:r>
      <w:r>
        <w:rPr>
          <w:rFonts w:hint="eastAsia" w:ascii="宋体" w:hAnsi="宋体" w:eastAsia="宋体" w:cs="宋体"/>
          <w:b w:val="0"/>
          <w:bCs w:val="0"/>
          <w:color w:val="auto"/>
          <w:sz w:val="24"/>
          <w:szCs w:val="20"/>
          <w:lang w:val="en-US" w:eastAsia="zh-CN"/>
        </w:rPr>
        <w:t>33、</w:t>
      </w:r>
      <w:r>
        <w:rPr>
          <w:rFonts w:hint="eastAsia" w:ascii="宋体" w:hAnsi="宋体" w:eastAsia="宋体" w:cs="宋体"/>
          <w:b w:val="0"/>
          <w:bCs w:val="0"/>
          <w:color w:val="auto"/>
          <w:sz w:val="24"/>
          <w:szCs w:val="20"/>
        </w:rPr>
        <w:t>确定中标</w:t>
      </w:r>
      <w:r>
        <w:rPr>
          <w:rFonts w:hint="eastAsia" w:ascii="宋体" w:hAnsi="宋体" w:eastAsia="宋体" w:cs="宋体"/>
          <w:b w:val="0"/>
          <w:bCs w:val="0"/>
          <w:color w:val="auto"/>
          <w:sz w:val="24"/>
          <w:szCs w:val="20"/>
          <w:lang w:eastAsia="zh-CN"/>
        </w:rPr>
        <w:t>投标单位</w:t>
      </w:r>
      <w:r>
        <w:rPr>
          <w:rFonts w:hint="eastAsia" w:ascii="宋体" w:hAnsi="宋体" w:eastAsia="宋体" w:cs="宋体"/>
          <w:b w:val="0"/>
          <w:bCs w:val="0"/>
          <w:color w:val="auto"/>
          <w:sz w:val="24"/>
          <w:szCs w:val="20"/>
        </w:rPr>
        <w:t>的方式</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33</w:t>
      </w:r>
      <w:r>
        <w:rPr>
          <w:rFonts w:hint="eastAsia" w:ascii="宋体" w:hAnsi="宋体" w:eastAsia="宋体" w:cs="宋体"/>
          <w:b w:val="0"/>
          <w:bCs w:val="0"/>
          <w:color w:val="auto"/>
          <w:sz w:val="24"/>
          <w:szCs w:val="20"/>
        </w:rPr>
        <w:t>.1投标文件能够最大限度地满足招标文件中规定的各项综合评价标准。符合采购需求、质量和服务均能满足招标文件实质性响应要求的且综合评分最高的确定为中标</w:t>
      </w:r>
      <w:r>
        <w:rPr>
          <w:rFonts w:hint="eastAsia" w:ascii="宋体" w:hAnsi="宋体" w:eastAsia="宋体" w:cs="宋体"/>
          <w:b w:val="0"/>
          <w:bCs w:val="0"/>
          <w:color w:val="auto"/>
          <w:sz w:val="24"/>
          <w:szCs w:val="20"/>
          <w:lang w:eastAsia="zh-CN"/>
        </w:rPr>
        <w:t>单位</w:t>
      </w:r>
      <w:r>
        <w:rPr>
          <w:rFonts w:hint="eastAsia" w:ascii="宋体" w:hAnsi="宋体" w:eastAsia="宋体" w:cs="宋体"/>
          <w:b w:val="0"/>
          <w:bCs w:val="0"/>
          <w:color w:val="auto"/>
          <w:sz w:val="24"/>
          <w:szCs w:val="20"/>
        </w:rPr>
        <w:t>。招标人不一定接受最低报价的投标文件或收到的所有投标文件。</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33</w:t>
      </w:r>
      <w:r>
        <w:rPr>
          <w:rFonts w:hint="eastAsia" w:ascii="宋体" w:hAnsi="宋体" w:eastAsia="宋体" w:cs="宋体"/>
          <w:b w:val="0"/>
          <w:bCs w:val="0"/>
          <w:color w:val="auto"/>
          <w:sz w:val="24"/>
          <w:szCs w:val="20"/>
        </w:rPr>
        <w:t>.2招标人根据评标结果选定中标人：招标人确定排名第一的中标候选人为中标人，但排名第一的中标候选人自动放弃中标或因不可抗力提出不能履行合同时，招标人可以确定排名第二的中标候选人为中标人，排名第二的中标候选人因上述同样原因不能签订的，招标人可以确定排名第三的中标候选人为中标人。如果前三名均放弃中标资格，招标人则重新组织招标。</w:t>
      </w:r>
    </w:p>
    <w:p>
      <w:pPr>
        <w:widowControl/>
        <w:spacing w:line="240" w:lineRule="auto"/>
        <w:ind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val="en-US" w:eastAsia="zh-CN"/>
        </w:rPr>
        <w:t>33</w:t>
      </w:r>
      <w:r>
        <w:rPr>
          <w:rFonts w:hint="eastAsia" w:ascii="宋体" w:hAnsi="宋体" w:eastAsia="宋体" w:cs="宋体"/>
          <w:b w:val="0"/>
          <w:bCs w:val="0"/>
          <w:color w:val="auto"/>
          <w:sz w:val="24"/>
          <w:szCs w:val="20"/>
        </w:rPr>
        <w:t>.3中标公示期内，使用方</w:t>
      </w:r>
      <w:r>
        <w:rPr>
          <w:rFonts w:hint="eastAsia" w:ascii="宋体" w:hAnsi="宋体" w:eastAsia="宋体" w:cs="宋体"/>
          <w:b w:val="0"/>
          <w:bCs w:val="0"/>
          <w:color w:val="auto"/>
          <w:sz w:val="24"/>
          <w:szCs w:val="20"/>
          <w:lang w:eastAsia="zh-CN"/>
        </w:rPr>
        <w:t>可</w:t>
      </w:r>
      <w:r>
        <w:rPr>
          <w:rFonts w:hint="eastAsia" w:ascii="宋体" w:hAnsi="宋体" w:eastAsia="宋体" w:cs="宋体"/>
          <w:b w:val="0"/>
          <w:bCs w:val="0"/>
          <w:color w:val="auto"/>
          <w:sz w:val="24"/>
          <w:szCs w:val="20"/>
        </w:rPr>
        <w:t>派人员到预中标厂家对所预中标产品的生产、供货能力和预中标人的资信情况进行考察。如有充分证据判定不具备生产供货能力，则做废标处理；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通知</w:t>
      </w:r>
      <w:bookmarkEnd w:id="115"/>
      <w:bookmarkEnd w:id="116"/>
      <w:bookmarkEnd w:id="117"/>
      <w:bookmarkEnd w:id="118"/>
      <w:r>
        <w:rPr>
          <w:rFonts w:hint="eastAsia" w:ascii="宋体" w:hAnsi="宋体" w:eastAsia="宋体" w:cs="宋体"/>
          <w:b w:val="0"/>
          <w:bCs w:val="0"/>
          <w:color w:val="auto"/>
          <w:sz w:val="24"/>
        </w:rPr>
        <w:t>书</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34.1评标委员会按《政府采购货物和服务招标投标管理办法》的规定编制评标报告，对于需要向中标候选人进一步澄清、说明、补正的事宜应纳入评标报告，并由评标委员会主任签字确认。</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34.2 评标结束招标代理机构在中国政府采购网、中国招标投标公共服务平台上发布中标公示。公示期3天，公示期届满无异议之后，以书面形式向排名第一的中标候选人发出中标通知书。《中标通知书》将作为签订合同的依据。</w:t>
      </w:r>
    </w:p>
    <w:p>
      <w:pPr>
        <w:widowControl/>
        <w:spacing w:line="240" w:lineRule="auto"/>
        <w:ind w:firstLine="480" w:firstLineChars="200"/>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34.3 在中标通知书发出的同时，向未中标单位退回投标保证金。对于落标单位不解释落标原因，不退还投标文件。</w:t>
      </w:r>
    </w:p>
    <w:p>
      <w:pPr>
        <w:spacing w:line="240" w:lineRule="auto"/>
        <w:ind w:firstLine="480" w:firstLineChars="200"/>
        <w:rPr>
          <w:rFonts w:hint="eastAsia" w:ascii="宋体" w:hAnsi="宋体" w:eastAsia="宋体" w:cs="宋体"/>
          <w:b w:val="0"/>
          <w:bCs w:val="0"/>
          <w:color w:val="auto"/>
          <w:sz w:val="24"/>
        </w:rPr>
      </w:pPr>
      <w:bookmarkStart w:id="119" w:name="_Toc243906350"/>
      <w:bookmarkStart w:id="120" w:name="_Toc233274849"/>
      <w:bookmarkStart w:id="121" w:name="_Toc243907611"/>
      <w:bookmarkStart w:id="122" w:name="_Toc245897310"/>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、纪律与保密事项</w:t>
      </w:r>
      <w:bookmarkEnd w:id="119"/>
      <w:bookmarkEnd w:id="120"/>
      <w:bookmarkEnd w:id="121"/>
      <w:bookmarkEnd w:id="122"/>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.1凡参与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工作的有关人员均应自觉接受有关主管部门的监督，不得向他人透露可能影响公平竞争的有关</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的其他情况。</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2领取本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文件及其它相关资料者，应对文件进行保密，不得用作本次</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以外的任何用途。由</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向</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提供的技术资料和所有其它资料，均视为保密资料，除非得到</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的同意，不得向第三方透露。</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.3</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不得与</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串通</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，不得向</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或者</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小组成员行贿谋取</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，不得以他人名义参与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或者以其它任何方式弄虚作假骗取参与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。经查实</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有此行为的，政府采购管理部门将</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列入不良行为记录名单，按照《政府采购法》及有关规定处理。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.4</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不得在</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过程中互相串通、结盟、损害</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的公正性和竞争性，或以任何方式影响其他</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参与正当</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。扰乱</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市场，破坏公平竞争原则。如</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在</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过程中互相串通，一经查实，将取消</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资格。</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 xml:space="preserve">.5 </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之日起直至授予</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合同为止，凡属于对</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的审查、澄清、评价、比较有关的资料和</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候选人的推荐情况及与评审有关其他任何情况均严格保密。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.6从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之日起至授予合同期间，</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试图向</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小组、采购代理机构施加任何影响或对</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的比较及授予合同的决定进行影响，都可能导致其</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被拒绝。</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.7除</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被要求对</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进行澄清外，从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之时起至授予合同期间，</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不得就与其</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有关的事项主动与</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小组、采购代理机构以及</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联系。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.8</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确定后，</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不对未</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就评审过程以及未能</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原因作出任何解释，未</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不得向</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小组或其他有关人员询问评审过程的情况和索取评审过程的资料。</w:t>
      </w:r>
    </w:p>
    <w:p>
      <w:pPr>
        <w:pStyle w:val="17"/>
        <w:spacing w:line="360" w:lineRule="auto"/>
        <w:jc w:val="center"/>
        <w:outlineLvl w:val="1"/>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F   授予合同</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7</w:t>
      </w:r>
      <w:r>
        <w:rPr>
          <w:rFonts w:hint="eastAsia" w:ascii="宋体" w:hAnsi="宋体" w:eastAsia="宋体" w:cs="宋体"/>
          <w:b w:val="0"/>
          <w:bCs w:val="0"/>
          <w:color w:val="auto"/>
          <w:sz w:val="24"/>
        </w:rPr>
        <w:t>、授予合同标准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7</w:t>
      </w:r>
      <w:r>
        <w:rPr>
          <w:rFonts w:hint="eastAsia" w:ascii="宋体" w:hAnsi="宋体" w:eastAsia="宋体" w:cs="宋体"/>
          <w:b w:val="0"/>
          <w:bCs w:val="0"/>
          <w:color w:val="auto"/>
          <w:sz w:val="24"/>
        </w:rPr>
        <w:t>.1本采购项目的货物采购合同将授予按本须知第</w:t>
      </w:r>
      <w:r>
        <w:rPr>
          <w:rFonts w:hint="eastAsia" w:ascii="宋体" w:hAnsi="宋体" w:cs="宋体"/>
          <w:b w:val="0"/>
          <w:bCs w:val="0"/>
          <w:color w:val="auto"/>
          <w:sz w:val="24"/>
          <w:lang w:val="en-US" w:eastAsia="zh-CN"/>
        </w:rPr>
        <w:t>33.2</w:t>
      </w:r>
      <w:r>
        <w:rPr>
          <w:rFonts w:hint="eastAsia" w:ascii="宋体" w:hAnsi="宋体" w:eastAsia="宋体" w:cs="宋体"/>
          <w:b w:val="0"/>
          <w:bCs w:val="0"/>
          <w:color w:val="auto"/>
          <w:sz w:val="24"/>
        </w:rPr>
        <w:t>条所确定</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rPr>
      </w:pPr>
      <w:bookmarkStart w:id="123" w:name="_Toc233274855"/>
      <w:bookmarkStart w:id="124" w:name="_Toc243906357"/>
      <w:bookmarkStart w:id="125" w:name="_Toc245897317"/>
      <w:bookmarkStart w:id="126" w:name="_Toc243907620"/>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、签订合同</w:t>
      </w:r>
      <w:bookmarkEnd w:id="123"/>
      <w:bookmarkEnd w:id="124"/>
      <w:bookmarkEnd w:id="125"/>
      <w:bookmarkEnd w:id="126"/>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.1</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应当自</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通知书发出之日起三十日内，按照</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文件和</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的</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订立书面合同。</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不得要求订立背离本</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合同条款等</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实质性内容的其他协议。</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 xml:space="preserve">.2 </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通知书、</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的</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及其澄清文件、技术规范及标准、项目采购需求、本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文件（含修改文件或补充文件）及答疑纪要等，均为签订合同的依据。</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.3</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如不按本须知</w:t>
      </w:r>
      <w:r>
        <w:rPr>
          <w:rFonts w:hint="eastAsia" w:ascii="宋体" w:hAnsi="宋体" w:cs="宋体"/>
          <w:b w:val="0"/>
          <w:bCs w:val="0"/>
          <w:color w:val="auto"/>
          <w:sz w:val="24"/>
          <w:lang w:val="en-US" w:eastAsia="zh-CN"/>
        </w:rPr>
        <w:t>38.1</w:t>
      </w:r>
      <w:r>
        <w:rPr>
          <w:rFonts w:hint="eastAsia" w:ascii="宋体" w:hAnsi="宋体" w:eastAsia="宋体" w:cs="宋体"/>
          <w:b w:val="0"/>
          <w:bCs w:val="0"/>
          <w:color w:val="auto"/>
          <w:sz w:val="24"/>
        </w:rPr>
        <w:t>条规定与</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签订合同，或者</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签订背离合同实质性内容的协议，由监督管理部门责令其改正。</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.4</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如不按本须知3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.1条规定与</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签订合同，则按违约处理，</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将有权取消</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资格，给</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造成损失，还应当予以赔偿，同时依法承担相应的法律责任。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.5</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如遇</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违约，</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可从</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候选</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中重新选定</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，并组织重新选定的</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和</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签订合同或重新开展采购活动。</w:t>
      </w:r>
    </w:p>
    <w:p>
      <w:pPr>
        <w:spacing w:line="240" w:lineRule="auto"/>
        <w:ind w:firstLine="480" w:firstLineChars="200"/>
        <w:rPr>
          <w:rFonts w:hint="eastAsia" w:ascii="宋体" w:hAnsi="宋体" w:eastAsia="宋体" w:cs="宋体"/>
          <w:b w:val="0"/>
          <w:bCs w:val="0"/>
          <w:color w:val="auto"/>
          <w:sz w:val="24"/>
        </w:rPr>
      </w:pPr>
      <w:bookmarkStart w:id="127" w:name="_Toc243907621"/>
      <w:bookmarkStart w:id="128" w:name="_Toc245897318"/>
      <w:r>
        <w:rPr>
          <w:rFonts w:hint="eastAsia" w:ascii="宋体" w:hAnsi="宋体" w:cs="宋体"/>
          <w:b w:val="0"/>
          <w:bCs w:val="0"/>
          <w:color w:val="auto"/>
          <w:sz w:val="24"/>
          <w:lang w:val="en-US" w:eastAsia="zh-CN"/>
        </w:rPr>
        <w:t>39</w:t>
      </w:r>
      <w:r>
        <w:rPr>
          <w:rFonts w:hint="eastAsia" w:ascii="宋体" w:hAnsi="宋体" w:eastAsia="宋体" w:cs="宋体"/>
          <w:b w:val="0"/>
          <w:bCs w:val="0"/>
          <w:color w:val="auto"/>
          <w:sz w:val="24"/>
        </w:rPr>
        <w:t>、合同的签订准则</w:t>
      </w:r>
      <w:bookmarkEnd w:id="127"/>
      <w:bookmarkEnd w:id="128"/>
    </w:p>
    <w:p>
      <w:pPr>
        <w:spacing w:line="24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39</w:t>
      </w:r>
      <w:r>
        <w:rPr>
          <w:rFonts w:hint="eastAsia" w:ascii="宋体" w:hAnsi="宋体" w:eastAsia="宋体" w:cs="宋体"/>
          <w:b w:val="0"/>
          <w:bCs w:val="0"/>
          <w:color w:val="auto"/>
          <w:sz w:val="24"/>
        </w:rPr>
        <w:t>.1合同签订必须由</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双方法定代表人或其委托代理人签署并加盖法人公章后方能生效。</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0</w:t>
      </w:r>
      <w:r>
        <w:rPr>
          <w:rFonts w:hint="eastAsia" w:ascii="宋体" w:hAnsi="宋体" w:eastAsia="宋体" w:cs="宋体"/>
          <w:b w:val="0"/>
          <w:bCs w:val="0"/>
          <w:color w:val="auto"/>
          <w:sz w:val="24"/>
        </w:rPr>
        <w:t>、采购代理服务费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40.1</w:t>
      </w:r>
      <w:r>
        <w:rPr>
          <w:rFonts w:hint="eastAsia" w:ascii="宋体" w:hAnsi="宋体" w:eastAsia="宋体" w:cs="宋体"/>
          <w:b w:val="0"/>
          <w:bCs w:val="0"/>
          <w:color w:val="auto"/>
          <w:sz w:val="24"/>
        </w:rPr>
        <w:t>根据国家现行收费政策，按国家计委计价格[2002]1980号《招标代理服务收费管理暂行办法》规定的服务招标收费标准收取。</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40.2</w:t>
      </w:r>
      <w:r>
        <w:rPr>
          <w:rFonts w:hint="eastAsia" w:ascii="宋体" w:hAnsi="宋体" w:eastAsia="宋体" w:cs="宋体"/>
          <w:b w:val="0"/>
          <w:bCs w:val="0"/>
          <w:color w:val="auto"/>
          <w:sz w:val="24"/>
        </w:rPr>
        <w:t>招标代理服务费支付方式为：中标（</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支付，按照每项目一结的方式，每项目代理服务截止后（即采购进入结算环节后），</w:t>
      </w:r>
      <w:r>
        <w:rPr>
          <w:rFonts w:hint="eastAsia" w:ascii="宋体" w:hAnsi="宋体" w:cs="宋体"/>
          <w:b w:val="0"/>
          <w:bCs w:val="0"/>
          <w:color w:val="auto"/>
          <w:sz w:val="24"/>
          <w:lang w:eastAsia="zh-CN"/>
        </w:rPr>
        <w:t>塔城地区公安局</w:t>
      </w:r>
      <w:r>
        <w:rPr>
          <w:rFonts w:hint="eastAsia" w:ascii="宋体" w:hAnsi="宋体" w:eastAsia="宋体" w:cs="宋体"/>
          <w:b w:val="0"/>
          <w:bCs w:val="0"/>
          <w:color w:val="auto"/>
          <w:sz w:val="24"/>
        </w:rPr>
        <w:t>根据项目执行情况，向中标（</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出具代理服务费支付通知单，明确是否需要扣除有关费用。中标（</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收到通知单3日内完成支付，严禁招标代理机构以扣除投标保证金等方式变相提前收取代理服务费。凡</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自行提前支付代理服务费的，若该项目因代理服务质量较差出现扣费的，由</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承担相应责任，并扣除</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相关款项。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1</w:t>
      </w:r>
      <w:r>
        <w:rPr>
          <w:rFonts w:hint="eastAsia" w:ascii="宋体" w:hAnsi="宋体" w:eastAsia="宋体" w:cs="宋体"/>
          <w:b w:val="0"/>
          <w:bCs w:val="0"/>
          <w:color w:val="auto"/>
          <w:sz w:val="24"/>
        </w:rPr>
        <w:t>、询问</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41.1</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对采购活动事项有疑问的，可以向</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或采购代理机构提出询问，</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或采购代理机构应当在三个工作日内对</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依法提出的询问作出答复，但答复的内容不得涉及商业秘密。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、质疑</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 xml:space="preserve">.1 </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认为采购文件、采购过程和中标、</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结果使自己的合法权益受到损害的，可以在知道或者应知其权益受到损害之日起七个工作日内，将质疑文件原件和必要的证明材料送达采购代理机构。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 xml:space="preserve">.2上述应知其权益受到损害之日是指：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（1）对采购文件提出质疑的，为采购文件公告期限届满之日起计算；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（2）对采购过程提出质疑的，自采购程序环节结束之日起计算；</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（3）对中标或者</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结果提出质疑，自中标或者</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结果公告期限届满之日起计算。</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.3质疑</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在法定质疑期内应当一次性提出针对同一采购环节提出质疑。</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.4质疑文件应包括以下主要内容，并按照“谁主张、谁举证”的原则，附上相关证明材料。否则，采购代理机构不予受理：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 xml:space="preserve">的姓名或者名称、地址、邮编、联系人及联系电话（包括座机、手机、传真号码等）；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（2）质疑项目的名称、项目编号、包号、采购公告发布时间、递交投标文件或</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 xml:space="preserve">截止时间；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（3）具体、明确的质疑事项和与质疑事项相关的请求；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（4）事实依据（具体条款，认为自己合法权益受到损害或可能受到损害的相关证据材料。如涉及到产品功能或技术指标的，应出具相关制造商的证明文件）；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（5）必要的法律依据；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（6）提起质疑的日期；</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（7）质疑文件应当署名，质疑人为自然人的，应当由本人签字并附有效身份证明；质疑人为法人或其他组织的，应当由法定代表人签字并加盖单位公章；</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委托代理质疑的，应当提交授权委托书，并载明代理人的姓名或者名称、代理事项、 具体权限、期限和相关事项。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.5质疑</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是指直接参加本项目采购活动且在塔城市信用办备案认可（信合联服网站）的信用服务机构注册的的</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，未参加政府采购活动的</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或在采购活动中自身权益未受到损害的</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所提出的质疑不予受理。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.6</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、采购代理机构在收到</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的书面质疑后将及时组织调查核实，在七个工作日内作出答复，并以书面形式通知质疑</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和其他有关</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，答复的内容不涉及商业秘密。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、投诉</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.1质疑</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对</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、采购代理机构的答复不满意，或</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、采购代理机构未在规定的时间内作出答复的，可以在答复期满后十五个工作日内向采购项目同级财政部门提起投诉。</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.2</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投诉的事项不得超出已质疑事项的范围，但基于质疑答复内容提出的投诉事项除外。</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、诚实信用</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.1</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不得虚假质疑和恶意质疑，并对质疑内容的真实性承担责任。如果</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或者其他利害关系人通过捏造事实、伪造证明材料等方式提出质疑，干扰政府采购活动正常进行的，属于严重不良行为，</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、采购代理机构将提请财政部门将其列入不良行为记录名单，并依法予以处罚。</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w:t>
      </w: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 xml:space="preserve">.2 </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不得虚假承诺，否则，按照提供虚假材料谋取中标或</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处理。</w:t>
      </w:r>
    </w:p>
    <w:p>
      <w:pPr>
        <w:pStyle w:val="2"/>
        <w:ind w:left="0" w:leftChars="0" w:firstLine="0" w:firstLineChars="0"/>
        <w:rPr>
          <w:rFonts w:hint="eastAsia"/>
          <w:color w:val="auto"/>
        </w:rPr>
      </w:pPr>
    </w:p>
    <w:p>
      <w:pPr>
        <w:pStyle w:val="2"/>
        <w:rPr>
          <w:rFonts w:hint="eastAsia"/>
          <w:color w:val="auto"/>
        </w:rPr>
      </w:pPr>
    </w:p>
    <w:p>
      <w:pPr>
        <w:pStyle w:val="17"/>
        <w:numPr>
          <w:ilvl w:val="0"/>
          <w:numId w:val="2"/>
        </w:num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28"/>
          <w:szCs w:val="28"/>
        </w:rPr>
      </w:pPr>
      <w:bookmarkStart w:id="129" w:name="_Toc7668"/>
      <w:r>
        <w:rPr>
          <w:rFonts w:hint="eastAsia" w:ascii="方正小标宋简体" w:hAnsi="方正小标宋简体" w:eastAsia="方正小标宋简体" w:cs="方正小标宋简体"/>
          <w:b w:val="0"/>
          <w:bCs w:val="0"/>
          <w:color w:val="auto"/>
          <w:sz w:val="28"/>
          <w:szCs w:val="28"/>
        </w:rPr>
        <w:t>项目采购需求</w:t>
      </w:r>
      <w:bookmarkEnd w:id="129"/>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1、总则</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1.1本章条款仅限于</w:t>
      </w:r>
      <w:r>
        <w:rPr>
          <w:rFonts w:hint="eastAsia" w:ascii="宋体" w:hAnsi="宋体" w:eastAsia="宋体" w:cs="宋体"/>
          <w:b w:val="0"/>
          <w:bCs w:val="0"/>
          <w:color w:val="auto"/>
          <w:sz w:val="24"/>
          <w:lang w:eastAsia="zh-CN"/>
        </w:rPr>
        <w:t>伊犁哈萨克自治州</w:t>
      </w:r>
      <w:r>
        <w:rPr>
          <w:rFonts w:hint="eastAsia" w:ascii="宋体" w:hAnsi="宋体" w:cs="宋体"/>
          <w:b w:val="0"/>
          <w:bCs w:val="0"/>
          <w:color w:val="auto"/>
          <w:sz w:val="24"/>
          <w:lang w:eastAsia="zh-CN"/>
        </w:rPr>
        <w:t>塔城地区公安局交警支队监管指挥中心改扩建项目（施工）（二次）</w:t>
      </w:r>
      <w:r>
        <w:rPr>
          <w:rFonts w:hint="eastAsia" w:ascii="宋体" w:hAnsi="宋体" w:eastAsia="宋体" w:cs="宋体"/>
          <w:b w:val="0"/>
          <w:bCs w:val="0"/>
          <w:color w:val="auto"/>
          <w:sz w:val="24"/>
        </w:rPr>
        <w:t>。</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1.2本章条款提出的是最低限度的技术要求，并未对一切技术细节做出规定，也未引述有关规范条文，</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不得以本文件未提出要求为理由而规避国家和行业强制规范、标准的规定，</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应保证提供符合本章条款和相关标准的合同货物。</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1.3如果</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没有以书面形式对本章条款提出异议，</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就可以认为</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提供的货物符合本章条款的要求。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1.4</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在</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中，应对</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文件中的货物品种、技术参数和制造厂商进行详细的说明。</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1.5在签订合同之后，</w:t>
      </w:r>
      <w:r>
        <w:rPr>
          <w:rFonts w:hint="eastAsia" w:ascii="宋体" w:hAnsi="宋体" w:cs="宋体"/>
          <w:b w:val="0"/>
          <w:bCs w:val="0"/>
          <w:color w:val="auto"/>
          <w:sz w:val="24"/>
          <w:lang w:eastAsia="zh-CN"/>
        </w:rPr>
        <w:t>招标人</w:t>
      </w:r>
      <w:r>
        <w:rPr>
          <w:rFonts w:hint="eastAsia" w:ascii="宋体" w:hAnsi="宋体" w:eastAsia="宋体" w:cs="宋体"/>
          <w:b w:val="0"/>
          <w:bCs w:val="0"/>
          <w:color w:val="auto"/>
          <w:sz w:val="24"/>
        </w:rPr>
        <w:t>有权提出因规范标准有变化而产生的一些补充要求。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1.6本章条款使用标准如与</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所执行标准发生矛盾时，按较高标准执行。</w:t>
      </w:r>
    </w:p>
    <w:p>
      <w:pPr>
        <w:pStyle w:val="27"/>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2、执行的技术标准</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所提供的设备、材料必须为全新产品，应符合中华人民共和国国家标准、行业标准、制造商的产品验收标准及货物出厂标准以及</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文件规定的技术要求。</w:t>
      </w:r>
    </w:p>
    <w:p>
      <w:pPr>
        <w:pStyle w:val="27"/>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bCs/>
          <w:color w:val="auto"/>
          <w:sz w:val="24"/>
        </w:rPr>
      </w:pPr>
      <w:r>
        <w:rPr>
          <w:rFonts w:hint="eastAsia" w:ascii="宋体" w:hAnsi="宋体" w:cs="宋体"/>
          <w:b w:val="0"/>
          <w:bCs w:val="0"/>
          <w:color w:val="auto"/>
          <w:sz w:val="24"/>
          <w:lang w:val="en-US" w:eastAsia="zh-CN"/>
        </w:rPr>
        <w:t>3、</w:t>
      </w:r>
      <w:r>
        <w:rPr>
          <w:rFonts w:hint="eastAsia" w:ascii="宋体" w:hAnsi="宋体" w:eastAsia="宋体" w:cs="宋体"/>
          <w:b/>
          <w:bCs/>
          <w:color w:val="auto"/>
          <w:sz w:val="24"/>
        </w:rPr>
        <w:t>技术要求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3.1需满足的质量、安全、技术规格、物理特性要求</w:t>
      </w:r>
    </w:p>
    <w:p>
      <w:pPr>
        <w:pStyle w:val="2"/>
        <w:snapToGrid w:val="0"/>
        <w:spacing w:before="0" w:beforeAutospacing="0" w:after="0" w:afterAutospacing="0" w:line="240" w:lineRule="auto"/>
        <w:ind w:firstLine="480" w:firstLineChars="200"/>
        <w:jc w:val="left"/>
        <w:textAlignment w:val="baseline"/>
        <w:rPr>
          <w:rFonts w:hint="eastAsia" w:asciiTheme="minorEastAsia" w:hAnsiTheme="minorEastAsia" w:eastAsiaTheme="minorEastAsia" w:cstheme="minorEastAsia"/>
          <w:b w:val="0"/>
          <w:bCs w:val="0"/>
          <w:color w:val="auto"/>
          <w:sz w:val="24"/>
          <w:lang w:val="en-US" w:eastAsia="zh-CN"/>
        </w:rPr>
      </w:pPr>
      <w:bookmarkStart w:id="130" w:name="D1招标范围"/>
      <w:r>
        <w:rPr>
          <w:rFonts w:hint="eastAsia" w:asciiTheme="minorEastAsia" w:hAnsiTheme="minorEastAsia" w:eastAsiaTheme="minorEastAsia" w:cstheme="minorEastAsia"/>
          <w:b w:val="0"/>
          <w:bCs w:val="0"/>
          <w:color w:val="auto"/>
          <w:sz w:val="24"/>
          <w:lang w:val="en-US" w:eastAsia="zh-CN"/>
        </w:rPr>
        <w:t>3.1.1施工图纸及采购清单范围内的全部工作内容;（包括招标文件、答疑及招标文件补充等内容</w:t>
      </w:r>
      <w:bookmarkEnd w:id="130"/>
      <w:r>
        <w:rPr>
          <w:rFonts w:hint="eastAsia" w:asciiTheme="minorEastAsia" w:hAnsiTheme="minorEastAsia" w:eastAsiaTheme="minorEastAsia" w:cstheme="minorEastAsia"/>
          <w:b w:val="0"/>
          <w:bCs w:val="0"/>
          <w:color w:val="auto"/>
          <w:sz w:val="24"/>
          <w:lang w:val="en-US" w:eastAsia="zh-CN"/>
        </w:rPr>
        <w:t>）具体参数见详细需求参数。投标单位应主动查勘现场，按招标人要求安装设备，充分考虑网线，信号线，电源线等的使用数量，不限于清单数量，以满足要求、完成项目为主。</w:t>
      </w:r>
    </w:p>
    <w:p>
      <w:pPr>
        <w:pStyle w:val="2"/>
        <w:snapToGrid w:val="0"/>
        <w:spacing w:before="0" w:beforeAutospacing="0" w:after="0" w:afterAutospacing="0" w:line="240" w:lineRule="auto"/>
        <w:ind w:firstLine="480" w:firstLineChars="200"/>
        <w:jc w:val="left"/>
        <w:textAlignment w:val="baseline"/>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3.1.2视频会议系统及设备与现有系统无缝对接。</w:t>
      </w:r>
    </w:p>
    <w:p>
      <w:pPr>
        <w:pStyle w:val="2"/>
        <w:snapToGrid w:val="0"/>
        <w:spacing w:before="0" w:beforeAutospacing="0" w:after="0" w:afterAutospacing="0" w:line="240" w:lineRule="auto"/>
        <w:ind w:firstLine="480" w:firstLineChars="200"/>
        <w:jc w:val="left"/>
        <w:textAlignment w:val="baseline"/>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3.1.3投标人中标后，如果所有设备无法对接相关数据，导致甲方工作延误，将由中标方按照相关要求予以赔偿。</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3.2</w:t>
      </w:r>
      <w:r>
        <w:rPr>
          <w:rFonts w:hint="eastAsia" w:ascii="宋体" w:hAnsi="宋体" w:eastAsia="宋体" w:cs="宋体"/>
          <w:b w:val="0"/>
          <w:bCs w:val="0"/>
          <w:color w:val="auto"/>
          <w:sz w:val="24"/>
        </w:rPr>
        <w:t>采购项目交付</w:t>
      </w:r>
      <w:r>
        <w:rPr>
          <w:rFonts w:hint="eastAsia" w:ascii="宋体" w:hAnsi="宋体" w:cs="宋体"/>
          <w:b w:val="0"/>
          <w:bCs w:val="0"/>
          <w:color w:val="auto"/>
          <w:sz w:val="24"/>
          <w:lang w:eastAsia="zh-CN"/>
        </w:rPr>
        <w:t>或者</w:t>
      </w:r>
      <w:r>
        <w:rPr>
          <w:rFonts w:hint="eastAsia" w:ascii="宋体" w:hAnsi="宋体" w:eastAsia="宋体" w:cs="宋体"/>
          <w:b w:val="0"/>
          <w:bCs w:val="0"/>
          <w:color w:val="auto"/>
          <w:sz w:val="24"/>
        </w:rPr>
        <w:t>实施的时间和地点</w:t>
      </w:r>
    </w:p>
    <w:p>
      <w:pPr>
        <w:pStyle w:val="2"/>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3.2.1交货完工期：自合同签订之日起三个月（具体按甲方约定要求）。</w:t>
      </w:r>
    </w:p>
    <w:p>
      <w:pPr>
        <w:pStyle w:val="2"/>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3.2.2服务地点：</w:t>
      </w:r>
      <w:r>
        <w:rPr>
          <w:rFonts w:hint="eastAsia" w:ascii="宋体" w:hAnsi="宋体" w:eastAsia="宋体" w:cs="宋体"/>
          <w:b w:val="0"/>
          <w:bCs w:val="0"/>
          <w:color w:val="auto"/>
          <w:sz w:val="24"/>
          <w:lang w:eastAsia="zh-CN"/>
        </w:rPr>
        <w:t>塔城地区公安局</w:t>
      </w:r>
      <w:r>
        <w:rPr>
          <w:rFonts w:hint="eastAsia" w:ascii="宋体" w:hAnsi="宋体" w:eastAsia="宋体" w:cs="宋体"/>
          <w:b w:val="0"/>
          <w:bCs w:val="0"/>
          <w:color w:val="auto"/>
          <w:sz w:val="24"/>
          <w:lang w:val="en-US" w:eastAsia="zh-CN"/>
        </w:rPr>
        <w:t>交警支队</w:t>
      </w:r>
    </w:p>
    <w:p>
      <w:pPr>
        <w:pStyle w:val="2"/>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3.3施工需执行的国家相关标准、行业标准的技术要求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3.3.1</w:t>
      </w:r>
      <w:bookmarkStart w:id="131" w:name="_Toc26720"/>
      <w:r>
        <w:rPr>
          <w:rFonts w:hint="eastAsia" w:ascii="宋体" w:hAnsi="宋体" w:eastAsia="宋体" w:cs="宋体"/>
          <w:b w:val="0"/>
          <w:bCs w:val="0"/>
          <w:color w:val="auto"/>
          <w:sz w:val="24"/>
          <w:lang w:val="en-US" w:eastAsia="zh-CN"/>
        </w:rPr>
        <w:t>防雷与接地要求</w:t>
      </w:r>
      <w:bookmarkEnd w:id="131"/>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根据《安全防范工程技术规范》GB50348-2004中3.9节规定：</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建于山区、旷野的安全防范系统，或前端设备装于塔顶，或电缆端高于附近建筑物的安全防范系统，应按现行国家标准《建筑物防雷设计规范》GB50057的要求设置避雷保护装置。</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2</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建于建筑物内的安全防范系统，其防雷设计应采用等电位连接与共用接地系统的设计原则，并满足现行国家标准《建筑物电子信息系统防雷技术规范》GB50343的要求。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3</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安全防范系统的接地母线应采用铜质线，接地端子应有地线符号标记。接地电阻不得大于4Ω；建造在野外的安全防范系统,其接地电阻不得大于10Ω；在高山岩石的土壤电阻率大于2000Ω·m时，其接地电阻不得大于20Ω。当接地电阻达不到要求时，应在接地极回填土中加入无腐蚀性长效降阻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4</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高风险防护对象的安全防范系统的电源系统、信号传输线路、天线馈线以及进入监控室的架空电缆入室端均应采取防雷电感应过电压、过电流的保护措施。</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5</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安全防范系统的电源线、信号线经过不同防雷区的界面处，宜安装电涌保护器；系统的重要设备应安装电涌保护器。电涌保护器接地端和防雷接地装置应做等电位连接。等电位连接带应采用铜质线，其截面积不应小于16mm2。</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6</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不得在建筑物屋顶上敷设电缆，必须敷设时，应穿金属管进行屏蔽并接地。</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7</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架空电缆吊线的两端和架空电缆线路中的金属管道应接地。</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8</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光缆传输系统中，各光端机外壳应接地。光端加强芯、架空光缆接续护套应接地。</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lang w:val="en-US" w:eastAsia="zh-CN"/>
        </w:rPr>
      </w:pPr>
      <w:bookmarkStart w:id="132" w:name="_Toc404783401"/>
      <w:bookmarkStart w:id="133" w:name="_Toc4600"/>
      <w:r>
        <w:rPr>
          <w:rFonts w:hint="eastAsia" w:ascii="宋体" w:hAnsi="宋体" w:eastAsia="宋体" w:cs="宋体"/>
          <w:b w:val="0"/>
          <w:bCs w:val="0"/>
          <w:color w:val="auto"/>
          <w:sz w:val="24"/>
          <w:lang w:val="en-US" w:eastAsia="zh-CN"/>
        </w:rPr>
        <w:t>3.3.2系统布线要求</w:t>
      </w:r>
      <w:bookmarkEnd w:id="132"/>
      <w:bookmarkEnd w:id="133"/>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根据《安全防范工程技术规范》GB50348-2004条文3.11.4，布线设计应符合下列规定：</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综合布线系统的设计应符合现行国家标准《建筑与建筑群综合布线系统工程设计规范》GB/T50311-2007的规定。</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非综合布线系统的路由设计，应符合下列要求：</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同轴电缆宜采用穿管暗敷或线槽的敷设方式。当线路附近有强电磁场干扰时，电缆应在金属管内穿过，并埋入地下。当必须架空敷设时，应采取防干扰措施。</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2</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路由应短捷、安全可靠，施工维护方便。</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3</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应避开恶劣环境条件或易使管道损伤的地段。</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4</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与其他管道等障碍物不宜交叉跨越。</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lang w:val="en-US" w:eastAsia="zh-CN"/>
        </w:rPr>
      </w:pPr>
      <w:bookmarkStart w:id="134" w:name="_Toc19798"/>
      <w:r>
        <w:rPr>
          <w:rFonts w:hint="eastAsia" w:ascii="宋体" w:hAnsi="宋体" w:eastAsia="宋体" w:cs="宋体"/>
          <w:b w:val="0"/>
          <w:bCs w:val="0"/>
          <w:color w:val="auto"/>
          <w:sz w:val="24"/>
          <w:lang w:val="en-US" w:eastAsia="zh-CN"/>
        </w:rPr>
        <w:t>3.3.3UPS接入要求</w:t>
      </w:r>
      <w:bookmarkEnd w:id="134"/>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Theme="minorEastAsia" w:hAnsiTheme="minorEastAsia" w:eastAsiaTheme="minorEastAsia" w:cstheme="minorEastAsia"/>
          <w:b w:val="0"/>
          <w:bCs w:val="0"/>
          <w:color w:val="auto"/>
          <w:sz w:val="24"/>
          <w:lang w:val="en-US" w:eastAsia="zh-CN"/>
        </w:rPr>
      </w:pPr>
      <w:r>
        <w:rPr>
          <w:rFonts w:hint="eastAsia" w:ascii="宋体" w:hAnsi="宋体" w:eastAsia="宋体" w:cs="宋体"/>
          <w:b w:val="0"/>
          <w:bCs w:val="0"/>
          <w:color w:val="auto"/>
          <w:sz w:val="24"/>
          <w:lang w:val="en-US" w:eastAsia="zh-CN"/>
        </w:rPr>
        <w:t>为了保证现有会议正常召开，如出现断电，现规划将会议保障席电脑，会议屏及音视频系统接入现地下室UPS系统。</w:t>
      </w:r>
    </w:p>
    <w:p>
      <w:pPr>
        <w:pStyle w:val="2"/>
        <w:ind w:left="0" w:leftChars="0"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3.4</w:t>
      </w:r>
      <w:r>
        <w:rPr>
          <w:rFonts w:hint="eastAsia" w:ascii="宋体" w:hAnsi="宋体" w:eastAsia="宋体" w:cs="宋体"/>
          <w:b w:val="0"/>
          <w:bCs w:val="0"/>
          <w:color w:val="auto"/>
          <w:sz w:val="24"/>
        </w:rPr>
        <w:t>需满足的服务标准、期限</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售后维护服务：投标人承担塔城地区公安局交警支队监管指挥中心改扩建项目的运维，采用科学的方法提高整个系统的运维水平，实现塔城地区公安局交警支队监管指挥中心改扩建项目的统一维护、分时响应、快速恢复。按照项目的服务要求提供不少于三年的系统售后服务</w:t>
      </w:r>
      <w:r>
        <w:rPr>
          <w:rFonts w:hint="eastAsia" w:ascii="宋体" w:hAnsi="宋体" w:cs="宋体"/>
          <w:b/>
          <w:bCs/>
          <w:color w:val="auto"/>
          <w:sz w:val="24"/>
          <w:lang w:val="en-US" w:eastAsia="zh-CN"/>
        </w:rPr>
        <w:t>,</w:t>
      </w:r>
      <w:r>
        <w:rPr>
          <w:rFonts w:hint="eastAsia" w:ascii="宋体" w:hAnsi="宋体" w:cs="宋体"/>
          <w:b w:val="0"/>
          <w:bCs w:val="0"/>
          <w:color w:val="auto"/>
          <w:sz w:val="24"/>
          <w:lang w:val="en-US" w:eastAsia="zh-CN"/>
        </w:rPr>
        <w:t>并派驻2名驻场运维人员，期限三年</w:t>
      </w:r>
      <w:r>
        <w:rPr>
          <w:rFonts w:hint="eastAsia" w:ascii="宋体" w:hAnsi="宋体" w:eastAsia="宋体" w:cs="宋体"/>
          <w:b w:val="0"/>
          <w:bCs w:val="0"/>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3.5</w:t>
      </w:r>
      <w:r>
        <w:rPr>
          <w:rFonts w:hint="eastAsia" w:ascii="宋体" w:hAnsi="宋体" w:eastAsia="宋体" w:cs="宋体"/>
          <w:b w:val="0"/>
          <w:bCs w:val="0"/>
          <w:color w:val="auto"/>
          <w:sz w:val="24"/>
        </w:rPr>
        <w:t>验收标准</w:t>
      </w:r>
    </w:p>
    <w:p>
      <w:pPr>
        <w:keepNext w:val="0"/>
        <w:keepLines w:val="0"/>
        <w:pageBreakBefore w:val="0"/>
        <w:widowControl w:val="0"/>
        <w:numPr>
          <w:ilvl w:val="0"/>
          <w:numId w:val="3"/>
        </w:numPr>
        <w:kinsoku/>
        <w:wordWrap/>
        <w:overflowPunct/>
        <w:topLinePunct w:val="0"/>
        <w:autoSpaceDE/>
        <w:autoSpaceDN/>
        <w:bidi w:val="0"/>
        <w:adjustRightInd/>
        <w:snapToGrid w:val="0"/>
        <w:spacing w:line="280" w:lineRule="exact"/>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招标人</w:t>
      </w:r>
      <w:r>
        <w:rPr>
          <w:rFonts w:hint="eastAsia" w:ascii="宋体" w:hAnsi="宋体" w:eastAsia="宋体" w:cs="宋体"/>
          <w:b w:val="0"/>
          <w:bCs w:val="0"/>
          <w:color w:val="auto"/>
          <w:sz w:val="24"/>
          <w:lang w:val="en-US" w:eastAsia="zh-CN"/>
        </w:rPr>
        <w:t>需按照招标文件对</w:t>
      </w:r>
      <w:r>
        <w:rPr>
          <w:rFonts w:hint="eastAsia" w:ascii="宋体" w:hAnsi="宋体" w:cs="宋体"/>
          <w:b w:val="0"/>
          <w:bCs w:val="0"/>
          <w:color w:val="auto"/>
          <w:sz w:val="24"/>
          <w:lang w:val="en-US" w:eastAsia="zh-CN"/>
        </w:rPr>
        <w:t>设备及平台软件、平台硬件</w:t>
      </w:r>
      <w:r>
        <w:rPr>
          <w:rFonts w:hint="eastAsia" w:ascii="宋体" w:hAnsi="宋体" w:eastAsia="宋体" w:cs="宋体"/>
          <w:b w:val="0"/>
          <w:bCs w:val="0"/>
          <w:color w:val="auto"/>
          <w:sz w:val="24"/>
          <w:lang w:val="en-US" w:eastAsia="zh-CN"/>
        </w:rPr>
        <w:t>进行抽检，如有一项参数不符合招标文件要求，相应的所有设备必须全部更换，直至符合，期间所产生的费用一律由承建方承担。</w:t>
      </w:r>
    </w:p>
    <w:p>
      <w:pPr>
        <w:pStyle w:val="13"/>
        <w:numPr>
          <w:ilvl w:val="0"/>
          <w:numId w:val="0"/>
        </w:numPr>
        <w:rPr>
          <w:rFonts w:hint="default"/>
          <w:color w:val="auto"/>
          <w:lang w:val="en-US" w:eastAsia="zh-CN"/>
        </w:rPr>
      </w:pPr>
      <w:r>
        <w:rPr>
          <w:rFonts w:hint="eastAsia"/>
          <w:color w:val="auto"/>
          <w:lang w:val="en-US" w:eastAsia="zh-CN"/>
        </w:rPr>
        <w:t xml:space="preserve">    2、视情邀请第三方检测公司参与验收，检测费用由中标方支付。</w:t>
      </w:r>
    </w:p>
    <w:p>
      <w:pPr>
        <w:pStyle w:val="2"/>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3.6其他要求</w:t>
      </w:r>
    </w:p>
    <w:p>
      <w:pPr>
        <w:pStyle w:val="2"/>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项目合同签订后，承建方需向甲方交纳合同款的10%作为履约保证金，项目验收合格后，履约保证金转为项目质保金，项目质保期满后，质保金返回承建方。项目质保期内，如因产品质量问题造成甲方损失的，承建方需按照损失价值的双倍赔偿。</w:t>
      </w:r>
    </w:p>
    <w:p>
      <w:pPr>
        <w:pStyle w:val="2"/>
        <w:rPr>
          <w:rFonts w:hint="eastAsia" w:ascii="宋体" w:hAnsi="宋体" w:cs="宋体"/>
          <w:b w:val="0"/>
          <w:bCs w:val="0"/>
          <w:color w:val="auto"/>
          <w:sz w:val="24"/>
          <w:lang w:val="en-US" w:eastAsia="zh-CN"/>
        </w:rPr>
      </w:pPr>
    </w:p>
    <w:p>
      <w:pPr>
        <w:pStyle w:val="2"/>
        <w:rPr>
          <w:rFonts w:hint="eastAsia" w:ascii="宋体" w:hAnsi="宋体" w:cs="宋体"/>
          <w:b w:val="0"/>
          <w:bCs w:val="0"/>
          <w:color w:val="auto"/>
          <w:sz w:val="24"/>
          <w:lang w:val="en-US" w:eastAsia="zh-CN"/>
        </w:rPr>
      </w:pPr>
    </w:p>
    <w:p>
      <w:pPr>
        <w:pStyle w:val="2"/>
        <w:jc w:val="center"/>
        <w:rPr>
          <w:rFonts w:hint="eastAsia" w:ascii="宋体" w:hAnsi="宋体" w:eastAsia="宋体" w:cs="宋体"/>
          <w:b/>
          <w:bCs/>
          <w:color w:val="auto"/>
          <w:sz w:val="32"/>
          <w:szCs w:val="32"/>
          <w:lang w:val="en-US" w:eastAsia="zh-CN"/>
        </w:rPr>
      </w:pPr>
      <w:bookmarkStart w:id="135" w:name="_Toc13422"/>
      <w:r>
        <w:rPr>
          <w:rFonts w:hint="eastAsia" w:ascii="宋体" w:hAnsi="宋体" w:cs="宋体"/>
          <w:b/>
          <w:bCs/>
          <w:color w:val="auto"/>
          <w:sz w:val="32"/>
          <w:szCs w:val="32"/>
          <w:lang w:val="en-US" w:eastAsia="zh-CN"/>
        </w:rPr>
        <w:t>一、</w:t>
      </w:r>
      <w:r>
        <w:rPr>
          <w:rFonts w:hint="eastAsia" w:ascii="宋体" w:hAnsi="宋体" w:eastAsia="宋体" w:cs="宋体"/>
          <w:b/>
          <w:bCs/>
          <w:color w:val="auto"/>
          <w:sz w:val="32"/>
          <w:szCs w:val="32"/>
          <w:lang w:val="en-US" w:eastAsia="zh-CN"/>
        </w:rPr>
        <w:t>项目建设规模及内容</w:t>
      </w:r>
      <w:bookmarkEnd w:id="135"/>
    </w:p>
    <w:p>
      <w:pPr>
        <w:pStyle w:val="2"/>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hint="eastAsia" w:ascii="宋体" w:hAnsi="宋体" w:eastAsia="宋体" w:cs="宋体"/>
          <w:b w:val="0"/>
          <w:bCs w:val="0"/>
          <w:color w:val="auto"/>
          <w:kern w:val="2"/>
          <w:sz w:val="24"/>
          <w:szCs w:val="22"/>
          <w:lang w:val="en-US" w:eastAsia="zh-CN" w:bidi="ar-SA"/>
        </w:rPr>
      </w:pPr>
      <w:r>
        <w:rPr>
          <w:rFonts w:hint="eastAsia" w:ascii="宋体" w:hAnsi="宋体" w:eastAsia="宋体" w:cs="宋体"/>
          <w:b w:val="0"/>
          <w:bCs w:val="0"/>
          <w:color w:val="auto"/>
          <w:kern w:val="2"/>
          <w:sz w:val="24"/>
          <w:szCs w:val="22"/>
          <w:lang w:val="en-US" w:eastAsia="zh-CN" w:bidi="ar-SA"/>
        </w:rPr>
        <w:t>按照监管指挥中心的基础建设要求，对塔城地区公安局交警支队五楼会议室大屏等设备进行升级改造；更换后台硬件应用服务器等设备；车辆大数据推送服务，综合监管网络升级改造等</w:t>
      </w:r>
      <w:r>
        <w:rPr>
          <w:rFonts w:hint="eastAsia" w:ascii="宋体" w:hAnsi="宋体" w:cs="宋体"/>
          <w:b w:val="0"/>
          <w:bCs w:val="0"/>
          <w:color w:val="auto"/>
          <w:kern w:val="2"/>
          <w:sz w:val="24"/>
          <w:szCs w:val="22"/>
          <w:lang w:val="en-US" w:eastAsia="zh-CN" w:bidi="ar-SA"/>
        </w:rPr>
        <w:t>。</w:t>
      </w:r>
      <w:r>
        <w:rPr>
          <w:rFonts w:hint="eastAsia" w:ascii="宋体" w:hAnsi="宋体" w:eastAsia="宋体" w:cs="宋体"/>
          <w:b w:val="0"/>
          <w:bCs w:val="0"/>
          <w:color w:val="auto"/>
          <w:kern w:val="2"/>
          <w:sz w:val="24"/>
          <w:szCs w:val="22"/>
          <w:lang w:val="en-US" w:eastAsia="zh-CN" w:bidi="ar-SA"/>
        </w:rPr>
        <w:t>具体建设</w:t>
      </w:r>
      <w:r>
        <w:rPr>
          <w:rFonts w:hint="eastAsia" w:ascii="宋体" w:hAnsi="宋体" w:cs="宋体"/>
          <w:b w:val="0"/>
          <w:bCs w:val="0"/>
          <w:color w:val="auto"/>
          <w:kern w:val="2"/>
          <w:sz w:val="24"/>
          <w:szCs w:val="22"/>
          <w:lang w:val="en-US" w:eastAsia="zh-CN" w:bidi="ar-SA"/>
        </w:rPr>
        <w:t>清单</w:t>
      </w:r>
      <w:r>
        <w:rPr>
          <w:rFonts w:hint="eastAsia" w:ascii="宋体" w:hAnsi="宋体" w:eastAsia="宋体" w:cs="宋体"/>
          <w:b w:val="0"/>
          <w:bCs w:val="0"/>
          <w:color w:val="auto"/>
          <w:kern w:val="2"/>
          <w:sz w:val="24"/>
          <w:szCs w:val="22"/>
          <w:lang w:val="en-US" w:eastAsia="zh-CN" w:bidi="ar-SA"/>
        </w:rPr>
        <w:t>如下：</w:t>
      </w:r>
    </w:p>
    <w:p>
      <w:pPr>
        <w:pStyle w:val="4"/>
        <w:spacing w:line="360" w:lineRule="auto"/>
        <w:jc w:val="center"/>
        <w:rPr>
          <w:rFonts w:hint="eastAsia" w:ascii="宋体" w:hAnsi="宋体" w:eastAsia="宋体" w:cs="宋体"/>
          <w:color w:val="auto"/>
          <w:lang w:val="en-US" w:eastAsia="zh-CN"/>
        </w:rPr>
      </w:pPr>
      <w:bookmarkStart w:id="136" w:name="_Toc12406"/>
      <w:r>
        <w:rPr>
          <w:rFonts w:hint="eastAsia" w:ascii="宋体" w:hAnsi="宋体" w:eastAsia="宋体" w:cs="宋体"/>
          <w:color w:val="auto"/>
          <w:lang w:val="en-US" w:eastAsia="zh-CN"/>
        </w:rPr>
        <w:t>二、建设清单</w:t>
      </w:r>
      <w:bookmarkEnd w:id="136"/>
    </w:p>
    <w:tbl>
      <w:tblPr>
        <w:tblStyle w:val="29"/>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257"/>
        <w:gridCol w:w="4819"/>
        <w:gridCol w:w="769"/>
        <w:gridCol w:w="50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8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监管指挥中心建设清单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5250"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招标参数</w:t>
            </w:r>
          </w:p>
        </w:tc>
        <w:tc>
          <w:tcPr>
            <w:tcW w:w="780"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室内全彩LED显示屏</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1、像素点间距≤1.54mm，LED灯管的每个像素点由1纯红1纯绿1纯蓝三像素构成；▲管芯采用SMD铜线封装。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2、显示屏有效显示面积：≥31.33㎡，要求不得负偏离，误差不得超过±1%。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3、亮度0-4500cd/m2 可调， 256级无灰度损失调节，可通过定时器或传感器调节；色温2000K-10000K连续可调；亮度、灰度、色温可有手动、自动、软件三种调节方式。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5、每个灯芯的波长误差值在±1.5nm以内；每个灯芯的亮度误差在10％以内。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6、▲显示屏整屏平整度≤0.2mm，模组间拼缝≤0.2mm。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7、▲100%亮度,灰度等级为≥16bit；70%亮度,灰度等级为≥14bit；50%亮度,灰度等级为≥13bit；20%亮度,灰度等级为≥12bit。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8、▲显示屏发光点中心距偏差＜1%。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9、▲显示屏垂直视角上下≥170°；水平左右≥170°， 亮度均匀性≥99%，色度均匀性±0.001Cx,Cy 之内；刷新率≥3840Hz。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10、LED显示屏工作状态下最大噪音值，产品前、后、左、右噪声与 环境背景噪声相差均不超过2.0dB(A)。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11、具有电源过流、短路、过压、欠压、断电保护功能，分布上电措施；阻燃系统具有烟雾报警和温升报警功能；具有动态扫描方式LED显示屏驱动电路保护功能。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12、显示单元采用压铸铝箱设计，表面航天级防辐散热涂料，一次性整体压铸， 无风扇，防尘、静音设计、前维护更换配件,箱体支持环路备份功能,箱体自带连接片安装孔，适合固定安装。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13、模组自带墨色面罩，屏体正面为哑黑处理,对比度高，不反射环境光，有效提高一致性，保护灯珠，抑制摩尔纹。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14、具备防蓝光护眼功能，对皮肤 /眼睛（视网膜）危害值为无害类。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15、产品符合IP65防护等级；防潮、防尘、防高温、防腐蚀、防燃烧、防静电、防电磁干扰、抗震动等功能。</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31.33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全彩LED发送卡</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1、▲发送卡支持640*480至3840*2160之间的多种分辨率视频信号自适应接入和视频信号输出，支持条屏模式，最大支持10000*100点。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2、发送卡支持缩放功能，可将输入信号进行缩放，以匹配LED的分辨率输出。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3、▲发送卡支持亮度调节，可以通过客户端、遥控器、PAD及物理按键进行调节，并支持多台设备同时调节。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4、发送卡支持倍帧功能，可以将输入为30Hz的信号转成60Hz信号输出。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5、发送卡可开启LED显示屏智能除湿模式，让显示屏亮度逐渐提升。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6、发送卡支持图片上传作为底图显示，且图片可轮巡。</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室内LED显示屏支架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LED拼接系统工程安装，含底座散力架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31.33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LED配电箱</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不少于20千瓦，远程开关机功能，过载保护功能。</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高清解码器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1.高清视音频解码器，采用Linux操作系统，运行稳定可靠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2.输入接口：支持一路VGA和一路DVI接入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3.▲输出接口：支持12路HDMI和6路BNC输出，HDMI（可以转DVI-D）（奇数口）输出分辨率最高支持4K（3840*2160@30HZ）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4.编码格式：支持H.265、H.264、MPEG4、MJPEG等主流的编码格式；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5.封装格式：支持PS、RTP、TS、ES等主流的封装格式；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6.音频解码：支持G.722、G.711A、G.726、G.711U、MPEG2-L2、AAC音频格式的解码；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7.▲解码能力：支持12路1200W，或24路800W，或36路500W，或60路300W，或96路1080P及以下分辨率同时实时解码；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8.▲画面分割：支持1、2、4、6、8、9、10、12、16、25、36画面分割显示。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9.网络接口：2光口，2电口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10.音频接口：支持12路音频输出，1路对讲输入，1路对讲输出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11.串行接口：一个标准232接口（RJ45）、一个标准485接口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报警接口：8路报警输入，8路报警输出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拼接控制器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1.▲不少于10个子板槽位。4路HDMI输入卡模块不少于4张，4路HDMI输出卡模块不少于3张。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2.▲采用主控板加输入和输出板的结构，支持输入输出板卡混插，能够在多个显示终端上同时显示多个动态画面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3.单个信号可以在任意M×N个显示单元上拼接显示，M、N均为大于等于1的正整数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4.支持VGA、DVI、HDMI、DP及IP源多种信号源采集，支持4K60信号采集、传输及输出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5.支持解码国标码流， 解码板支持h.264/h.265编码格式，支持16路1080P@30网络信号解码上墙，且支持本地录像文件回放上墙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6.▲支持单个输出口1/4/9/16画面分割，子窗口全屏切换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7.▲支持图层叠加，最大支持8+2个图层，其中包括一个字幕图层和一个底图图层，字幕字体大小、背景颜色可调，可选择滚动模式，底图分辨率可高达16384ⅹ8192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8.支持信号源与电视墙的用户权限管理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9.内置矩阵功能，可支持单个信号源开多个窗口同时显示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10.支持信号开窗、漫游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11.支持SADP自动搜索IP，重置管理员密码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12.支持显示墙连接调整，可以实现客户端虚拟显示墙窗口和控制器输出口任意对应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13.客户端提供上墙信号的预览功能，方便用户调用信号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14.单台设备支持8个电视墙管理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15.机箱前后通风，根据温度变化自适应散热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16.支持电视墙回显，信号源列表预览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17.支持无抽帧输出，保证60帧无损输出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大屏安装配套</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屏体真空吸盘，20米高清线缆等</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网络交换机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端口 24个10/100/1000Base-T以太网端口，4个千兆SFP，交流供电</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音频扩声系统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1.输出功率（20Hz-20KHz/THD≤1％）：立体声/并联8Ω×2：500W×2、立体声/并联4Ω×2：750W×2 、立体声/并联2Ω×2：1125W×2、桥接8Ω：1500W、桥接4Ω：2200W2.开机软启动，防止开机时向电网吸收大电流，干扰其它用电设备。▲3.内置智能压限系统，控制功率模块及扬声器系统在安全范围内工作。 (出具满足该参数的第三方权威机构检测报告，提供相关证明材料)4.内置30Hz/50Hz高通滤波器。5.多种模式：立体声、桥接、并行。6.支持带2R低阻输出。7.变压器和低阻大容量电解滤波，保证大动态工作正常运行。 ▲8.H类高效的功率放大电路，完善可靠的安全保护措施和工作状态指示（短路、过载、直流和过热保护、变压器过热保护）。(出具满足该参数的第三方权威机构检测报告，提供相关证明材料)9.连接座：XLR 、TRS接口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专业音柱</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1.采用8只3寸全频喇叭单元。2.箱体采用12mm优质高密度板，精密CNC加工，耐磨喷漆处理。3.拼接排列扬声器设计。4.额定功率:300W,灵敏度:95dB(1M/1W)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1.工业造型钢面板，，面板防尘网可折洗结构设计，可拆卸清洗的散热通风口。2.开机软启动，防止开机时向电网吸收大电流，干扰其它用电设备。3.智能控制强制散热设计。 4.两声道功放有三档输入灵敏度选择，轻松接纳宽幅度范围信号源输入；输入灵敏度：0.775V/1V/1.44V▲5.安全保护措施和工作状态指示（短路、过载、直流和过热保护、变压器过热保护）。(出具满足该参数的第三方权威机构检测报告，提供相关证明材料)。6.智能削峰限幅器，控制功率模块及扬声器系统在安全范围内工作。 7.标准XLR+TRS1/4" 复合输入接口。8.变压器和低阻大容量电解滤波，保证大动态工作应付自如。 9.支持立体声或桥接工作模式。10.输入座接地脚接地和悬浮控制。11.输出功率（20Hz-20KHz/THD≤1％）：立体声/并联8Ω×2：200W×2；立体声/并联4Ω×2：300W×2；桥接8Ω：600W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会议天花喇叭</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1只6.5寸中低音喇叭单元和1只1.5"球顶高音单元的同轴设计方案；2.采用吸顶安装方式，采用铁质网罩内贴防尘网棉。3.分频器优化功率响应及人声部分的中频表现力。4.额定功率≥100W5.阻抗：8Ω6.灵敏度(1W/1M)≥92dB7.频率响应(-10dB)：60Hz-20K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音箱支架</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音箱支架固定面板孔位尺寸（长*宽）： 140mm*65mm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箱体固定面板孔位尺寸（长*宽）： 128mm*70mm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设备面板尺寸：160mm*90mm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数字调音台</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1.支持≥24路Mic输入接口兼容24路线路输入接口，话筒输入接口带48V幻象电源。2.支持≥2组立体主输出、≥8路编组+辅助输出、≥1组立体监听输出、≥1路耳机监听输出。3.采用32-bit浮点 DSP处理器，24bit/48Khz数模/模数转换。4.支持1个7英寸IPS触屏，支持1024×600分辨率；具备13个100mm行程的高精密电动推子。5.输入通道支持4段参数均衡，输出通道支持31段图示均衡。▲6.支持2个USB接口，支持立体声录音/播放/系统更新。（提供接口截图佐证）▲7.支持1路网络接口，支持固件更新或可用于连接ipad进行远程管控。（提供接口截图佐证）8.支持场景记忆功能，可保存、调用24个场景。9.支持自动混音功能、RTA功能、Talkback功能；具有12种效果处理器。10.支持DCA分组功能，可以把几个输入信号编成1组来控制音量大小，支持12组DCA。11.支持复制功能；支持锁定、解锁、密码修改功能。12.支持Talkback功能，通过Talkback键可进行插播讲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音频处理器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数字音频处理器支持≥12路平衡式话筒/线路输入通道，采用裸线接口端子，平衡接法；支持≥12路平衡式线路输出，采用裸线接口端子，平衡接法。▲2、输入通道支持前级放大、信号发生器、扩展器、压缩器、5段参量均衡、AM自动混音功能、AFC自适应反馈消除、AEC回声消除、ANC噪声消除。（提供功能界面截图，并盖生产厂商公章）3.输出通道支持31段图示均衡器、延时器、分频器、高低通滤波器、限幅器。4.支持24bit/48KHz的声音，支持输入通道48V幻象供电。▲5.支持通过ipad或iPhone或安卓手机APP软件进行操作控制、切换8个不同场景。（提供功能演示视频供评标查证，未提供本项演示的视为非实质性响应）▲6.配置2路Dante协议接口，支持低延时的DANTE网络音频传输，16路发送，16路接收通道，可实现网络音频扩展。面板具备USB接口。（提供设备接口图佐证，并盖生产厂商公章）7.配置双向RS-232接口，可用于控制外部设备；配置RS-485接口，可实现自动摄像跟踪功能。配置8通道可编程GPIO控制接口（可自定义输入输出）。8.支持断电自动保护记忆功能。支持通道拷贝、粘贴、联控功能。支持通过浏览器访问设备，下载自带管理控制软件；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电源管理器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12路电源插座，支持≥6路10A的、≥6路16A的插座规格，总输出可达40A。（提供设备接口图佐证，并盖生产厂商公章）（需提供满足此功能第三方检测机构出具的报告证明，并盖设备生产厂商公章）2.每路有单独的滤波器。▲3.前面板具有≥2路常开状态电源插座。（提供设备接口图佐证，并盖生产厂商公章）4.采用3芯单相的电源接线接口。5.具备有数字电压指示功能，可实时的指示电网电压。6.支持密码锁定功能。▲7.具有通道延时编辑功能，可以自定义修改通道间的延时时间。集成RS485远程控制功能，支持通过USB、RS485、RS232、WIFI（可选）、远程互联网控制（可选）等多样控制方式。（提供设备接口图与功能截图佐证，并盖生产厂商公章）（需提供满足此功能第三方检测机构出具的报告证明，并盖设备生产厂商公章）8.支持定时开关机任务的功能，定时时长最长可设置达12个月的定时开关机功能。9.支持通过LINK口实现多台（同款）电源时序器级联；支持通过前面板按键设置设备地址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抑制器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1.48kHz采样频率，32-bit DPS处理器（300兆主频），24-bitA/D及D/A转换。▲2.5档全自动移频模式选择，适用于各种场景及麦克风类型。(出具满足该参数的第三方权威机构检测报告，提供相关证明材料)3.采用2英寸显示屏，分辨率320*240。支持中/英文菜单显示。4.48个陷波器状态LED指示灯实时显示，每通道12个静态+12个动态陷波器。5.采用单键飞梭快捷操作，快速实现模式、直通、锁定及中英文选择功能。6.移频器±10Hz可调（1Hz步进），陷波器增益、Q值、数量可调。7.独立每通道增益、噪声门、压限器、移频、陷波、高低通、7段PEQ功能设置。8.提供USB和RS-485通讯接口，连接PC上位机及中控设备。▲9.通过PC上位机可任意编辑5档预设模式，支持模式存档及EQ存档导入导出。(出具满足该参数的第三方权威机构检测报告，提供相关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会议系统主机</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设备具有时钟同步和传输技术，音频延时小于5ms。2.内置高性能DSP处理器，具有音频矩阵、啸叫抑制、EQ、音量、延时器等调节功能。▲3.音频输入接口包括有1路RCA、1路卡侬头、2路凤凰端子。音频输出接口包括有1路RCA、1路卡侬头、16路凤凰端子。（提供设备接口图佐证）▲4.支持16通道输出功能，可灵活配置为角色分离输出模式、同传输出模式、相控输出模式。每个输出通道都可以调节EQ、音量、延时器等参数。（提供功能界面接截图佐证）5.支持16通道角色分离输出模式，可使有线或无线单元根据ID号独立输出，可供录音或语音转写设备使用。且输出通道数量，可通过外部设备扩展。6.支持16通道同传输出模式，可使同传音频根据通道号独立输出，可供录音或监听设备使用。且输出通道数量，可通过外部设备扩展。7.支持16通道相控输出模式，基于独创的会议矩阵技术，内置nx16音频矩阵处理器，实现16通道分组输出功能。可使任意输入源（包括所有输入源和在线话筒），按任意音量比例，输出到任意通道。8.会议主机采用TCP/IP网络协议，且同时支持C/S、B/S架构，可供PC软件或浏览器控制。▲9.通过WEB控制音频矩阵参数（包括EQ、音量、延时器、话筒灵敏度等）、16通道输出模式切换、开关话筒同步、中英俄法四种语言切换、控制角色分离主机。（提供功能界面接截图佐证）10.超大系统容量，系统最大支持4096台有线会议单元和300台无线会议单元。系统最大发言数量为8个有线话筒和6个无线话筒。▲11.支持环形手拉手功能，确保在其中的一条网线断开或者单元出问题时，会议能继续正常进行。（需提供满足此功能的第三方的检测机构出具的证明，并盖设备生产公章）12.XL系列具有支持中、英、俄、法文多种语言任意切换显示。厂商具有CAQI全国质量诚信示范企业证书，提供含（数字会议、中控矩阵、LED大屏及控制、专业音响）等字样的证书复印件并盖生产厂商公章13.PC软件可查看在线无线单元的电池电量、WiFi信号等信息状态；支持一键关闭所有无线单元、单独关闭某个无线单元。14.支持同声传译功能，系统最大可同时传输63+1的有线同声传译。※为了保证整体系统产品的稳定性，整体系统的产品必须达到音视频智能系统集成工程资质壹级的标准，满足ISO20000信息技术服务管理体系认证等级。（复印件加盖公章）15.具有消防报警连动触发接口，提供火灾报警信息，第一时间提醒会场人员紧急撤离，确保与会人员安全。16.支持PELCO-D、VISCA摄像机控制协议，可配合高清摄像跟踪主机，实现自动摄像跟踪。17.四种话筒管理模式:FIFO（先进先出）、NORMAL（普通模式）、VOICE（声控模式）、APPLY（申请模式）。18.系统具有发起会议签到、表决、选举、评级、满意度、自定义等功能。19.具有4.3英寸全彩触摸屏，可实现对参数设置或查看，进行任意触摸操作。20.强大的编ID功能，可对有线单元、无线单元、译员机、角色分离主机进行编ID。21.具备USB录音功能，可录制和播放会议记录。22.支持10段 EQ调节功能，16路多功能输出通道与2路LINEOUT输出通道都具有10段 EQ调节功能。▲23.支持AP信道扫描，了解现场的无线信道使用情况，支持信道自动或手动配置最佳信道，支持AP名称在线显示列表。（提供功能界面接截图佐证）24.支持触摸屏幕输入注册码进行主机注册。25.支持对接语音转写服务器，实现语音转写功能▲26.会议主机具备设置主机或从机功能，当主机出现故障时，可自动切换至从机运行，实现双备份功能（提供功能界面接截图佐证）27.▲系统主机含环境监测模块：实时监测温度，湿度，PM2.5，一氧化碳，氨硫化合物和甲烷可燃物等，并根据检测结果计算出空气清洁等级，手机APP可显示最近时间段的空气清洁度曲线，提供功能截图佐证。需提供中国国家强制性产品认证3C证书复印件（并附官网查询截图佐证），并盖生产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会议主席话筒</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4.3英寸IPS全彩触屏屏幕。咪杆长度≤240mm2.话筒采用短咪杆，高灵敏度咪芯设计，支持远距离拾音。3.通信采用标准TCP/IP协议，且每个单元可支持ping包功能。▲4.同声传译支持63+1通道，具备两个3.5mm耳机接口，单元具有双通道收听功能，可收听63+1个通道任意一通道的声音。5.主席单元具备关闭代表单元发言的优先权限。▲6.单元内置独立的web服务器，支持四种语言切换、调节话筒ID号、话筒灵敏度、话筒EQ等参数。（提供功能界面截图佐证）7.具有发言计时和定时发言功能，代表机具有申请发言功能。8.内部具有反馈抑制功能，具有声控功能，声控灵敏度可调9.具有 5 段 EQ 调节功能，可针对发言者的声音特点调节不同的音效。▲10.支持（圆盘）时钟显示功能，可显示时间，支持同步管理电脑时间。（提供功能界面截图佐证）11.支持会议后勤服务功能，话筒单元可向会议主机发送茶水、纸笔、人工服务等需求。12.支持签到功能，也可以通过PC软件禁止单元签到、控制单元签到等功能。13.支持表决功能，有多种表决模式选择，且选项内容可自定义下发到单元显示。14.支持web页面固件升级功能。15.支持IP地址嗅探功能，通过PC工具可以查找到未知单元的ID号、IP地址、MAC地址等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会议代表话筒</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4.3英寸IPS全彩触屏屏幕。咪杆长度≤240mm2.话筒采用短咪杆，高灵敏度咪芯设计，支持远距离拾音。3.通信采用标准TCP/IP协议，且每个单元可支持ping包功能。▲4.同声传译支持63+1通道，具备两个3.5mm耳机接口，单元具有双通道收听功能，可收听63+1个通道任意一通道的声音。▲5.单元内置独立的web服务器，支持四种语言切换、调节话筒ID号、话筒灵敏度、话筒EQ等参数。（提供功能界面截图佐证）6.具有发言计时和定时发言功能，代表机具有申请发言功能。7.内部具有反馈抑制功能，具有声控功能，声控灵敏度可调8.具有 5 段 EQ 调节功能，可针对发言者的声音特点调节不同的音效。▲9.支持（圆盘）时钟显示功能，可显示时间，支持同步管理电脑时间。（提供功能界面截图佐证）10.支持会议后勤服务功能，话筒单元可向会议主机发送茶水、纸笔、人工服务等需求。11.支持签到功能，也可以通过PC软件禁止单元签到、控制单元签到等功能。12.支持表决功能，有多种表决模式选择，且选项内容可自定义下发到单元显示。13.支持web页面固件升级功能。14.支持IP地址嗅探功能，通过PC工具可以查找到未知单元的ID号、IP地址、MAC地址等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含2台备用</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会议话筒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连接线</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20米延长线（一公一母）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插座</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1.采用铝合金材料，防锈处理。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2.一进三出，采用100M 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音频交换机</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端口 24个10/100/1000Base-T以太网端口，4个千兆SFP，交流供电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高清会议摄像机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支持壁装、三脚架安装或吊顶安装等多种安装方式，可按用户需求进行安装。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镜头图像传感器采用不小于1/2.8" 传感器，支持1080p、720p等高清信号输出。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支持不小于12倍光学变焦。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支持广角镜头，水平视角不小于72°。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▲视频输出接口具备SDI、DVI、HDBaseT接口。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▲支持供电、显示、控制多线合一，只连接一根超五类网线实现供电、图像显示、摄像机控制，支持信号传输100米。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支持RS422控制接口，支持标准VISCA协议，支持摄像机通过控制口RS422实现菊花链控制，菊花链控制摄像机不小于7个。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支持中文OSD菜单，可在OSD中对摄像机进行设置。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水平转动范围：≥ ±160°，垂直转动范围：≥ -90°～50°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支持自带显示屏，可方便显示视频输出分辨率。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支持根据安装方向自动翻转图像。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支持保存不少于255个预置位。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支持ZigBee控制，支持360°控制、有遮挡物时也能正常控制。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支持终端遥控器通过摄像机反向控制会议终端。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新增1套，利旧现有一套会议摄像机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高清视频会议终端1</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2"/>
                <w:color w:val="auto"/>
                <w:lang w:val="en-US" w:eastAsia="zh-CN" w:bidi="ar"/>
              </w:rPr>
              <w:t>1.</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采用硬件分体式结构,嵌入式操作系统，非PC架构、非工控机架构。</w:t>
            </w:r>
            <w:r>
              <w:rPr>
                <w:rStyle w:val="112"/>
                <w:color w:val="auto"/>
                <w:lang w:val="en-US" w:eastAsia="zh-CN" w:bidi="ar"/>
              </w:rPr>
              <w:br w:type="textWrapping"/>
            </w:r>
            <w:r>
              <w:rPr>
                <w:rStyle w:val="112"/>
                <w:color w:val="auto"/>
                <w:lang w:val="en-US" w:eastAsia="zh-CN" w:bidi="ar"/>
              </w:rPr>
              <w:t>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会议速率支持128Kbps—8Mbps。</w:t>
            </w:r>
            <w:r>
              <w:rPr>
                <w:rStyle w:val="112"/>
                <w:color w:val="auto"/>
                <w:lang w:val="en-US" w:eastAsia="zh-CN" w:bidi="ar"/>
              </w:rPr>
              <w:br w:type="textWrapping"/>
            </w:r>
            <w:r>
              <w:rPr>
                <w:rStyle w:val="112"/>
                <w:color w:val="auto"/>
                <w:lang w:val="en-US" w:eastAsia="zh-CN" w:bidi="ar"/>
              </w:rPr>
              <w:t>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▲支持ITU-T H.320、H.323和IETF SIP通信标准。支持H.263、H.264、H.264 High Profile、MPEG4等视频编解码协议。支持G.711、G.722、G.728、G.722.1AnnexC、G.719、MPEG4-AAC LC/LD等音频协议，可达到20KHz以上的宽频效果。</w:t>
            </w:r>
            <w:r>
              <w:rPr>
                <w:rStyle w:val="112"/>
                <w:color w:val="auto"/>
                <w:lang w:val="en-US" w:eastAsia="zh-CN" w:bidi="ar"/>
              </w:rPr>
              <w:br w:type="textWrapping"/>
            </w:r>
            <w:r>
              <w:rPr>
                <w:rStyle w:val="112"/>
                <w:color w:val="auto"/>
                <w:lang w:val="en-US" w:eastAsia="zh-CN" w:bidi="ar"/>
              </w:rPr>
              <w:t>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支持1080p、720p高清视频编解码，并向下兼容4CIF、CIF标清图像格式。</w:t>
            </w:r>
            <w:r>
              <w:rPr>
                <w:rStyle w:val="112"/>
                <w:color w:val="auto"/>
                <w:lang w:val="en-US" w:eastAsia="zh-CN" w:bidi="ar"/>
              </w:rPr>
              <w:br w:type="textWrapping"/>
            </w:r>
            <w:r>
              <w:rPr>
                <w:rStyle w:val="112"/>
                <w:color w:val="auto"/>
                <w:lang w:val="en-US" w:eastAsia="zh-CN" w:bidi="ar"/>
              </w:rPr>
              <w:t>5.</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支持H.239标准双流协议。支持动态图像双流和PC图像双流两种功能，在保证主流视频1080p前提下，第二路视频流不低于1080p。</w:t>
            </w:r>
            <w:r>
              <w:rPr>
                <w:rStyle w:val="112"/>
                <w:color w:val="auto"/>
                <w:lang w:val="en-US" w:eastAsia="zh-CN" w:bidi="ar"/>
              </w:rPr>
              <w:br w:type="textWrapping"/>
            </w:r>
            <w:r>
              <w:rPr>
                <w:rStyle w:val="112"/>
                <w:color w:val="auto"/>
                <w:lang w:val="en-US" w:eastAsia="zh-CN" w:bidi="ar"/>
              </w:rPr>
              <w:t>6.</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▲提供不少于5路独立的高清视频输入接口、5路高清输出接口和1路独立的标清视频输入、1路标清输出接口，不得采用私有非标接口或转接线缆实现。(需提供产品背板清晰照片证明）</w:t>
            </w:r>
            <w:r>
              <w:rPr>
                <w:rStyle w:val="112"/>
                <w:color w:val="auto"/>
                <w:lang w:val="en-US" w:eastAsia="zh-CN" w:bidi="ar"/>
              </w:rPr>
              <w:br w:type="textWrapping"/>
            </w:r>
            <w:r>
              <w:rPr>
                <w:rStyle w:val="112"/>
                <w:color w:val="auto"/>
                <w:lang w:val="en-US" w:eastAsia="zh-CN" w:bidi="ar"/>
              </w:rPr>
              <w:t>7.</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提供不少于4路音频输入接口，4路音频输出接口，支持模拟卡侬麦克风、数字麦克风音频输入接口。支持1个RJ11电话接口，支持空闲或会议中电话接入。</w:t>
            </w:r>
            <w:r>
              <w:rPr>
                <w:rStyle w:val="112"/>
                <w:color w:val="auto"/>
                <w:lang w:val="en-US" w:eastAsia="zh-CN" w:bidi="ar"/>
              </w:rPr>
              <w:br w:type="textWrapping"/>
            </w:r>
            <w:r>
              <w:rPr>
                <w:rStyle w:val="112"/>
                <w:color w:val="auto"/>
                <w:lang w:val="en-US" w:eastAsia="zh-CN" w:bidi="ar"/>
              </w:rPr>
              <w:t>8.</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终端具有字幕叠加功能，可通过终端控制系统在本地图像上不同位置同时设置叠加中文会场名、横幅、滚动字幕。</w:t>
            </w:r>
            <w:r>
              <w:rPr>
                <w:rStyle w:val="112"/>
                <w:color w:val="auto"/>
                <w:lang w:val="en-US" w:eastAsia="zh-CN" w:bidi="ar"/>
              </w:rPr>
              <w:br w:type="textWrapping"/>
            </w:r>
            <w:r>
              <w:rPr>
                <w:rStyle w:val="112"/>
                <w:color w:val="auto"/>
                <w:lang w:val="en-US" w:eastAsia="zh-CN" w:bidi="ar"/>
              </w:rPr>
              <w:t>9.</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支持内置视频矩阵功能，可在终端控制系统上以图形化界面灵活配置任意高清视频输入和输出接口之间的对应关系，并可以作为视频矩阵方案进行保存。</w:t>
            </w:r>
            <w:r>
              <w:rPr>
                <w:rStyle w:val="112"/>
                <w:color w:val="auto"/>
                <w:lang w:val="en-US" w:eastAsia="zh-CN" w:bidi="ar"/>
              </w:rPr>
              <w:br w:type="textWrapping"/>
            </w:r>
            <w:r>
              <w:rPr>
                <w:rStyle w:val="112"/>
                <w:color w:val="auto"/>
                <w:lang w:val="en-US" w:eastAsia="zh-CN" w:bidi="ar"/>
              </w:rPr>
              <w:t>10.</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支持在终端控制软件对本地和远端会场图像进行实时监控及预览。</w:t>
            </w:r>
            <w:r>
              <w:rPr>
                <w:rStyle w:val="112"/>
                <w:color w:val="auto"/>
                <w:lang w:val="en-US" w:eastAsia="zh-CN" w:bidi="ar"/>
              </w:rPr>
              <w:br w:type="textWrapping"/>
            </w:r>
            <w:r>
              <w:rPr>
                <w:rStyle w:val="112"/>
                <w:color w:val="auto"/>
                <w:lang w:val="en-US" w:eastAsia="zh-CN" w:bidi="ar"/>
              </w:rPr>
              <w:t>11.</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PC安装双流软件后，可以通过无线网络将PC桌面图像发送至终端作为辅流图像源传至远端，图像清晰流畅。</w:t>
            </w:r>
            <w:r>
              <w:rPr>
                <w:rStyle w:val="112"/>
                <w:color w:val="auto"/>
                <w:lang w:val="en-US" w:eastAsia="zh-CN" w:bidi="ar"/>
              </w:rPr>
              <w:br w:type="textWrapping"/>
            </w:r>
            <w:r>
              <w:rPr>
                <w:rStyle w:val="112"/>
                <w:color w:val="auto"/>
                <w:lang w:val="en-US" w:eastAsia="zh-CN" w:bidi="ar"/>
              </w:rPr>
              <w:t>12.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具有基本的系统检测诊断功能，包括呼叫状态显示、网络信息统计、本端音视频自环测试、日志、远程升级维护等功能。</w:t>
            </w:r>
            <w:r>
              <w:rPr>
                <w:rStyle w:val="112"/>
                <w:color w:val="auto"/>
                <w:lang w:val="en-US" w:eastAsia="zh-CN" w:bidi="ar"/>
              </w:rPr>
              <w:br w:type="textWrapping"/>
            </w:r>
            <w:r>
              <w:rPr>
                <w:rStyle w:val="112"/>
                <w:color w:val="auto"/>
                <w:lang w:val="en-US" w:eastAsia="zh-CN" w:bidi="ar"/>
              </w:rPr>
              <w:t>13.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支持E1线路和IP线路接入，并具备E1/IP线路备份功能，当E1线路发生故障时，可切换至IP线路，会议继续进行。</w:t>
            </w:r>
            <w:r>
              <w:rPr>
                <w:rStyle w:val="112"/>
                <w:color w:val="auto"/>
                <w:lang w:val="en-US" w:eastAsia="zh-CN" w:bidi="ar"/>
              </w:rPr>
              <w:br w:type="textWrapping"/>
            </w:r>
            <w:r>
              <w:rPr>
                <w:rStyle w:val="112"/>
                <w:color w:val="auto"/>
                <w:lang w:val="en-US" w:eastAsia="zh-CN" w:bidi="ar"/>
              </w:rPr>
              <w:t>14.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具备较强的网络抗丢包能力，在IP网络达到12%丢包时声音清晰、图像流畅、无马赛克，25%的丢包率情况下会议仍可进行。</w:t>
            </w:r>
            <w:r>
              <w:rPr>
                <w:rStyle w:val="112"/>
                <w:color w:val="auto"/>
                <w:lang w:val="en-US" w:eastAsia="zh-CN" w:bidi="ar"/>
              </w:rPr>
              <w:br w:type="textWrapping"/>
            </w:r>
            <w:r>
              <w:rPr>
                <w:rStyle w:val="112"/>
                <w:color w:val="auto"/>
                <w:lang w:val="en-US" w:eastAsia="zh-CN" w:bidi="ar"/>
              </w:rPr>
              <w:t>15.▲支持无缝接入新疆维吾尔自治区交警总队视频会议系统，可接受总队MCU统一管理和调度。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对接新疆交警总队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高清视频会议终端2</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2"/>
                <w:color w:val="auto"/>
                <w:lang w:val="en-US" w:eastAsia="zh-CN" w:bidi="ar"/>
              </w:rPr>
              <w:t>1.</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采用硬件分体式结构,嵌入式操作系统，非PC架构、非工控机架构。</w:t>
            </w:r>
            <w:r>
              <w:rPr>
                <w:rStyle w:val="112"/>
                <w:color w:val="auto"/>
                <w:lang w:val="en-US" w:eastAsia="zh-CN" w:bidi="ar"/>
              </w:rPr>
              <w:br w:type="textWrapping"/>
            </w:r>
            <w:r>
              <w:rPr>
                <w:rStyle w:val="112"/>
                <w:color w:val="auto"/>
                <w:lang w:val="en-US" w:eastAsia="zh-CN" w:bidi="ar"/>
              </w:rPr>
              <w:t>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会议速率支持128Kbps—8Mbps。</w:t>
            </w:r>
            <w:r>
              <w:rPr>
                <w:rStyle w:val="112"/>
                <w:color w:val="auto"/>
                <w:lang w:val="en-US" w:eastAsia="zh-CN" w:bidi="ar"/>
              </w:rPr>
              <w:br w:type="textWrapping"/>
            </w:r>
            <w:r>
              <w:rPr>
                <w:rStyle w:val="112"/>
                <w:color w:val="auto"/>
                <w:lang w:val="en-US" w:eastAsia="zh-CN" w:bidi="ar"/>
              </w:rPr>
              <w:t>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支持ITU-T H.323和IETF SIP通信标准。支持H.263、H.264、H.264 High Profile、MPEG4等视频编解码协议。支持G.711、G.722、G.728、G.722.1AnnexC、G.719、MPEG4-AAC LC/LD等音频协议，可达到20KHz以上的宽频效果。</w:t>
            </w:r>
            <w:r>
              <w:rPr>
                <w:rStyle w:val="112"/>
                <w:color w:val="auto"/>
                <w:lang w:val="en-US" w:eastAsia="zh-CN" w:bidi="ar"/>
              </w:rPr>
              <w:br w:type="textWrapping"/>
            </w:r>
            <w:r>
              <w:rPr>
                <w:rStyle w:val="112"/>
                <w:color w:val="auto"/>
                <w:lang w:val="en-US" w:eastAsia="zh-CN" w:bidi="ar"/>
              </w:rPr>
              <w:t>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支持H.239标准双流协议。</w:t>
            </w:r>
            <w:r>
              <w:rPr>
                <w:rStyle w:val="112"/>
                <w:color w:val="auto"/>
                <w:lang w:val="en-US" w:eastAsia="zh-CN" w:bidi="ar"/>
              </w:rPr>
              <w:br w:type="textWrapping"/>
            </w:r>
            <w:r>
              <w:rPr>
                <w:rStyle w:val="112"/>
                <w:color w:val="auto"/>
                <w:lang w:val="en-US" w:eastAsia="zh-CN" w:bidi="ar"/>
              </w:rPr>
              <w:t>5.支持1080p、720p高清视频编解码，并向下兼容4CIF、CIF标清图像格式。</w:t>
            </w:r>
            <w:r>
              <w:rPr>
                <w:rStyle w:val="112"/>
                <w:color w:val="auto"/>
                <w:lang w:val="en-US" w:eastAsia="zh-CN" w:bidi="ar"/>
              </w:rPr>
              <w:br w:type="textWrapping"/>
            </w:r>
            <w:r>
              <w:rPr>
                <w:rStyle w:val="112"/>
                <w:color w:val="auto"/>
                <w:lang w:val="en-US" w:eastAsia="zh-CN" w:bidi="ar"/>
              </w:rPr>
              <w:t>6.▲提供不少于4路独立的高清视频输入接口、4路高清输出接口，其中需包含1路3G-SDI高清输入和输出接口；提供1路独立的标清视频输入/输出接口；所有接口不得采用私有非标接口或转接线缆实现。(需提供产品背板清晰照片证明）</w:t>
            </w:r>
            <w:r>
              <w:rPr>
                <w:rStyle w:val="112"/>
                <w:color w:val="auto"/>
                <w:lang w:val="en-US" w:eastAsia="zh-CN" w:bidi="ar"/>
              </w:rPr>
              <w:br w:type="textWrapping"/>
            </w:r>
            <w:r>
              <w:rPr>
                <w:rStyle w:val="112"/>
                <w:color w:val="auto"/>
                <w:lang w:val="en-US" w:eastAsia="zh-CN" w:bidi="ar"/>
              </w:rPr>
              <w:t>7.</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提供不少于4路音频输入接口，4路音频输出接口，支持模拟卡侬麦克风、数字麦克风音频输入接口。支持1个RJ11电话接口，支持空闲或会议中电话接入。</w:t>
            </w:r>
            <w:r>
              <w:rPr>
                <w:rStyle w:val="112"/>
                <w:color w:val="auto"/>
                <w:lang w:val="en-US" w:eastAsia="zh-CN" w:bidi="ar"/>
              </w:rPr>
              <w:br w:type="textWrapping"/>
            </w:r>
            <w:r>
              <w:rPr>
                <w:rStyle w:val="112"/>
                <w:color w:val="auto"/>
                <w:lang w:val="en-US" w:eastAsia="zh-CN" w:bidi="ar"/>
              </w:rPr>
              <w:t>8.</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系统具有字幕叠加功能，可通过终端控制系统在本地图像上不同位置设置叠加中文会场名、横幅、滚动字幕。</w:t>
            </w:r>
            <w:r>
              <w:rPr>
                <w:rStyle w:val="112"/>
                <w:color w:val="auto"/>
                <w:lang w:val="en-US" w:eastAsia="zh-CN" w:bidi="ar"/>
              </w:rPr>
              <w:br w:type="textWrapping"/>
            </w:r>
            <w:r>
              <w:rPr>
                <w:rStyle w:val="112"/>
                <w:color w:val="auto"/>
                <w:lang w:val="en-US" w:eastAsia="zh-CN" w:bidi="ar"/>
              </w:rPr>
              <w:t>9.</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主席终端支持广播发言会场、主席选看、主席轮询、邀请终端入会、强制终端退会、结束会议等功能。</w:t>
            </w:r>
            <w:r>
              <w:rPr>
                <w:rStyle w:val="112"/>
                <w:color w:val="auto"/>
                <w:lang w:val="en-US" w:eastAsia="zh-CN" w:bidi="ar"/>
              </w:rPr>
              <w:br w:type="textWrapping"/>
            </w:r>
            <w:r>
              <w:rPr>
                <w:rStyle w:val="112"/>
                <w:color w:val="auto"/>
                <w:lang w:val="en-US" w:eastAsia="zh-CN" w:bidi="ar"/>
              </w:rPr>
              <w:t>10.</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支持在终端控制软件对本地和远端会场图像进行实时监控及预览。</w:t>
            </w:r>
            <w:r>
              <w:rPr>
                <w:rStyle w:val="112"/>
                <w:color w:val="auto"/>
                <w:lang w:val="en-US" w:eastAsia="zh-CN" w:bidi="ar"/>
              </w:rPr>
              <w:br w:type="textWrapping"/>
            </w:r>
            <w:r>
              <w:rPr>
                <w:rStyle w:val="112"/>
                <w:color w:val="auto"/>
                <w:lang w:val="en-US" w:eastAsia="zh-CN" w:bidi="ar"/>
              </w:rPr>
              <w:t>11.</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PC安装双流软件后，可以通过无线网络将PC桌面图像发送至终端作为辅流图像源传至远端，图像清晰流畅。</w:t>
            </w:r>
            <w:r>
              <w:rPr>
                <w:rStyle w:val="112"/>
                <w:color w:val="auto"/>
                <w:lang w:val="en-US" w:eastAsia="zh-CN" w:bidi="ar"/>
              </w:rPr>
              <w:br w:type="textWrapping"/>
            </w:r>
            <w:r>
              <w:rPr>
                <w:rStyle w:val="112"/>
                <w:color w:val="auto"/>
                <w:lang w:val="en-US" w:eastAsia="zh-CN" w:bidi="ar"/>
              </w:rPr>
              <w:t>12.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终端在空闲状态下，与外置的数字录像点播服务器配合，支持终端点播功能</w:t>
            </w:r>
            <w:r>
              <w:rPr>
                <w:rStyle w:val="112"/>
                <w:color w:val="auto"/>
                <w:lang w:val="en-US" w:eastAsia="zh-CN" w:bidi="ar"/>
              </w:rPr>
              <w:br w:type="textWrapping"/>
            </w:r>
            <w:r>
              <w:rPr>
                <w:rStyle w:val="112"/>
                <w:color w:val="auto"/>
                <w:lang w:val="en-US" w:eastAsia="zh-CN" w:bidi="ar"/>
              </w:rPr>
              <w:t>13.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具有基本的系统检测诊断功能，包括呼叫状态显示、网络信息统计、本端音视频自环测试、日志、远程升级维护等功能。</w:t>
            </w:r>
            <w:r>
              <w:rPr>
                <w:rStyle w:val="112"/>
                <w:color w:val="auto"/>
                <w:lang w:val="en-US" w:eastAsia="zh-CN" w:bidi="ar"/>
              </w:rPr>
              <w:br w:type="textWrapping"/>
            </w:r>
            <w:r>
              <w:rPr>
                <w:rStyle w:val="112"/>
                <w:color w:val="auto"/>
                <w:lang w:val="en-US" w:eastAsia="zh-CN" w:bidi="ar"/>
              </w:rPr>
              <w:t>14.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提供不少于2个10/100/1000M以太网接口，支持IP线路备份。</w:t>
            </w:r>
            <w:r>
              <w:rPr>
                <w:rStyle w:val="112"/>
                <w:color w:val="auto"/>
                <w:lang w:val="en-US" w:eastAsia="zh-CN" w:bidi="ar"/>
              </w:rPr>
              <w:br w:type="textWrapping"/>
            </w:r>
            <w:r>
              <w:rPr>
                <w:rStyle w:val="112"/>
                <w:color w:val="auto"/>
                <w:lang w:val="en-US" w:eastAsia="zh-CN" w:bidi="ar"/>
              </w:rPr>
              <w:t>15.</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 xml:space="preserve">具备较强的网络抗丢包能力，在IP网络达到12%丢包时声音清晰、图像流畅、无马赛克，25%的丢包率情况下视频会议仍可进行。 </w:t>
            </w:r>
            <w:r>
              <w:rPr>
                <w:rStyle w:val="112"/>
                <w:color w:val="auto"/>
                <w:lang w:val="en-US" w:eastAsia="zh-CN" w:bidi="ar"/>
              </w:rPr>
              <w:br w:type="textWrapping"/>
            </w:r>
            <w:r>
              <w:rPr>
                <w:rStyle w:val="112"/>
                <w:color w:val="auto"/>
                <w:lang w:val="en-US" w:eastAsia="zh-CN" w:bidi="ar"/>
              </w:rPr>
              <w:t>16.▲支持无缝接入塔城地区交警支队视频会议系统，可接入支队现有MCU并进行统一管理和调度。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对接本级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电视墙服务器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2"/>
                <w:color w:val="auto"/>
                <w:lang w:val="en-US" w:eastAsia="zh-CN" w:bidi="ar"/>
              </w:rPr>
              <w:t>1.▲采用19英寸标准机架式结构，嵌入式、模块化设计，可根据业务所需配置相应的解码模块，实现高密度视频解码输出。为保证视频会议系统稳定性，需要保证在MCU上无缝控制电视墙服务器进行相关操作和设置。</w:t>
            </w:r>
            <w:r>
              <w:rPr>
                <w:rStyle w:val="112"/>
                <w:color w:val="auto"/>
                <w:lang w:val="en-US" w:eastAsia="zh-CN" w:bidi="ar"/>
              </w:rPr>
              <w:br w:type="textWrapping"/>
            </w:r>
            <w:r>
              <w:rPr>
                <w:rStyle w:val="112"/>
                <w:color w:val="auto"/>
                <w:lang w:val="en-US" w:eastAsia="zh-CN" w:bidi="ar"/>
              </w:rPr>
              <w:t>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支持双电源、双网口冗余备份，支持设备长时间稳定运行。</w:t>
            </w:r>
            <w:r>
              <w:rPr>
                <w:rStyle w:val="112"/>
                <w:color w:val="auto"/>
                <w:lang w:val="en-US" w:eastAsia="zh-CN" w:bidi="ar"/>
              </w:rPr>
              <w:br w:type="textWrapping"/>
            </w:r>
            <w:r>
              <w:rPr>
                <w:rStyle w:val="112"/>
                <w:color w:val="auto"/>
                <w:lang w:val="en-US" w:eastAsia="zh-CN" w:bidi="ar"/>
              </w:rPr>
              <w:t>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支持远程网络连接MCU方式实现电视墙解码输出，即MCU和电视墙服务器之间距离不受限制。</w:t>
            </w:r>
            <w:r>
              <w:rPr>
                <w:rStyle w:val="112"/>
                <w:color w:val="auto"/>
                <w:lang w:val="en-US" w:eastAsia="zh-CN" w:bidi="ar"/>
              </w:rPr>
              <w:br w:type="textWrapping"/>
            </w:r>
            <w:r>
              <w:rPr>
                <w:rStyle w:val="112"/>
                <w:color w:val="auto"/>
                <w:lang w:val="en-US" w:eastAsia="zh-CN" w:bidi="ar"/>
              </w:rPr>
              <w:t>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支持ITU-T H.263、H.264、H.264 High Profile、MPEG4等视频编解码协议。</w:t>
            </w:r>
            <w:r>
              <w:rPr>
                <w:rStyle w:val="112"/>
                <w:color w:val="auto"/>
                <w:lang w:val="en-US" w:eastAsia="zh-CN" w:bidi="ar"/>
              </w:rPr>
              <w:br w:type="textWrapping"/>
            </w:r>
            <w:r>
              <w:rPr>
                <w:rStyle w:val="112"/>
                <w:color w:val="auto"/>
                <w:lang w:val="en-US" w:eastAsia="zh-CN" w:bidi="ar"/>
              </w:rPr>
              <w:t>5.</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支持G.711、G.722、G.728、G.722.1AnnexC、G.719、MPEG4-AAC LC/LD等音频协议。</w:t>
            </w:r>
            <w:r>
              <w:rPr>
                <w:rStyle w:val="112"/>
                <w:color w:val="auto"/>
                <w:lang w:val="en-US" w:eastAsia="zh-CN" w:bidi="ar"/>
              </w:rPr>
              <w:br w:type="textWrapping"/>
            </w:r>
            <w:r>
              <w:rPr>
                <w:rStyle w:val="112"/>
                <w:color w:val="auto"/>
                <w:lang w:val="en-US" w:eastAsia="zh-CN" w:bidi="ar"/>
              </w:rPr>
              <w:t>6.</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支持H.239标准双流协议。</w:t>
            </w:r>
            <w:r>
              <w:rPr>
                <w:rStyle w:val="112"/>
                <w:color w:val="auto"/>
                <w:lang w:val="en-US" w:eastAsia="zh-CN" w:bidi="ar"/>
              </w:rPr>
              <w:br w:type="textWrapping"/>
            </w:r>
            <w:r>
              <w:rPr>
                <w:rStyle w:val="112"/>
                <w:color w:val="auto"/>
                <w:lang w:val="en-US" w:eastAsia="zh-CN" w:bidi="ar"/>
              </w:rPr>
              <w:t>7.</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支持1080p、720p高清图像格式，并向下兼容4CIF、CIF标清图像格式。</w:t>
            </w:r>
            <w:r>
              <w:rPr>
                <w:rStyle w:val="112"/>
                <w:color w:val="auto"/>
                <w:lang w:val="en-US" w:eastAsia="zh-CN" w:bidi="ar"/>
              </w:rPr>
              <w:br w:type="textWrapping"/>
            </w:r>
            <w:r>
              <w:rPr>
                <w:rStyle w:val="112"/>
                <w:color w:val="auto"/>
                <w:lang w:val="en-US" w:eastAsia="zh-CN" w:bidi="ar"/>
              </w:rPr>
              <w:t>8.</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单台电视墙服务器支持8个解码卡插槽，16路1080P高清图像输出。</w:t>
            </w:r>
            <w:r>
              <w:rPr>
                <w:rStyle w:val="112"/>
                <w:color w:val="auto"/>
                <w:lang w:val="en-US" w:eastAsia="zh-CN" w:bidi="ar"/>
              </w:rPr>
              <w:br w:type="textWrapping"/>
            </w:r>
            <w:r>
              <w:rPr>
                <w:rStyle w:val="112"/>
                <w:color w:val="auto"/>
                <w:lang w:val="en-US" w:eastAsia="zh-CN" w:bidi="ar"/>
              </w:rPr>
              <w:t>9.</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▲电视墙解码卡支持DVI-I(兼容HDMI/YPbPr）等多种视频接口可选。本次要求配置8路1080p高清输出，视频输出接口为DVI-I。</w:t>
            </w:r>
            <w:r>
              <w:rPr>
                <w:rStyle w:val="112"/>
                <w:color w:val="auto"/>
                <w:lang w:val="en-US" w:eastAsia="zh-CN" w:bidi="ar"/>
              </w:rPr>
              <w:br w:type="textWrapping"/>
            </w:r>
            <w:r>
              <w:rPr>
                <w:rStyle w:val="112"/>
                <w:color w:val="auto"/>
                <w:lang w:val="en-US" w:eastAsia="zh-CN" w:bidi="ar"/>
              </w:rPr>
              <w:t>10.</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支持在MCU中进行电视墙集群化管理、支持解一码板卡向资源池进行注册并统一管理。</w:t>
            </w:r>
            <w:r>
              <w:rPr>
                <w:rStyle w:val="112"/>
                <w:color w:val="auto"/>
                <w:lang w:val="en-US" w:eastAsia="zh-CN" w:bidi="ar"/>
              </w:rPr>
              <w:br w:type="textWrapping"/>
            </w:r>
            <w:r>
              <w:rPr>
                <w:rStyle w:val="112"/>
                <w:color w:val="auto"/>
                <w:lang w:val="en-US" w:eastAsia="zh-CN" w:bidi="ar"/>
              </w:rPr>
              <w:t>11.</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▲支持通过会议管理平台对电视墙输出进行控制，包括设置单通道的输出，发言人跟随、双流跟随、会议轮询跟随、单通道的轮询、多通道的批量轮询、电视墙预案保存。</w:t>
            </w:r>
            <w:r>
              <w:rPr>
                <w:rStyle w:val="112"/>
                <w:color w:val="auto"/>
                <w:lang w:val="en-US" w:eastAsia="zh-CN" w:bidi="ar"/>
              </w:rPr>
              <w:br w:type="textWrapping"/>
            </w:r>
            <w:r>
              <w:rPr>
                <w:rStyle w:val="112"/>
                <w:color w:val="auto"/>
                <w:lang w:val="en-US" w:eastAsia="zh-CN" w:bidi="ar"/>
              </w:rPr>
              <w:t>12.</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支持电视墙通道画面合成，可以在无需占用MCU画面合成资源情况下支待4路高清图像合成输出。</w:t>
            </w:r>
            <w:r>
              <w:rPr>
                <w:rStyle w:val="112"/>
                <w:color w:val="auto"/>
                <w:lang w:val="en-US" w:eastAsia="zh-CN" w:bidi="ar"/>
              </w:rPr>
              <w:br w:type="textWrapping"/>
            </w:r>
            <w:r>
              <w:rPr>
                <w:rStyle w:val="112"/>
                <w:color w:val="auto"/>
                <w:lang w:val="en-US" w:eastAsia="zh-CN" w:bidi="ar"/>
              </w:rPr>
              <w:t>13.</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支持虚拟电视墙，按照用户拼接大屏实际拼接模式进行设置，保存多个电视墙预案，同时可以针对电视墙通道设置自主多画面，可设置不少于25种多画面风格，扩展电视墙画面显示的路数。</w:t>
            </w:r>
            <w:r>
              <w:rPr>
                <w:rStyle w:val="112"/>
                <w:color w:val="auto"/>
                <w:lang w:val="en-US" w:eastAsia="zh-CN" w:bidi="ar"/>
              </w:rPr>
              <w:br w:type="textWrapping"/>
            </w:r>
            <w:r>
              <w:rPr>
                <w:rStyle w:val="112"/>
                <w:color w:val="auto"/>
                <w:lang w:val="en-US" w:eastAsia="zh-CN" w:bidi="ar"/>
              </w:rPr>
              <w:t>14.</w:t>
            </w:r>
            <w:r>
              <w:rPr>
                <w:rFonts w:ascii="宋体" w:hAnsi="宋体" w:eastAsia="宋体" w:cs="宋体"/>
                <w:i w:val="0"/>
                <w:iCs w:val="0"/>
                <w:color w:val="auto"/>
                <w:kern w:val="0"/>
                <w:sz w:val="24"/>
                <w:szCs w:val="24"/>
                <w:u w:val="none"/>
                <w:lang w:val="en-US" w:eastAsia="zh-CN" w:bidi="ar"/>
              </w:rPr>
              <w:t xml:space="preserve"> </w:t>
            </w:r>
            <w:r>
              <w:rPr>
                <w:rStyle w:val="112"/>
                <w:color w:val="auto"/>
                <w:lang w:val="en-US" w:eastAsia="zh-CN" w:bidi="ar"/>
              </w:rPr>
              <w:t>支持电视墙通道叠加台标，输出图像的同时，在图像上叠加台标，用于标识输出图像的内容。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录播服务器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1.采用19英寸标准机架式结构，嵌入式一体化设计，支持设备长时间稳定运行。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2.支持ITU-T H.323和IETF SIP通信标准。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3.支持H.264、H.264 High Profile、H.265视频编解码协议，具备较强的兼容性。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4.支持G.711、G.722、G.728、G.722.1AnnexC、G.719、MPEG4-AAC LC/LD、Opus等音频协议，可达到20KHz以上的宽频效果。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5.支持1080p60、1080p30、720p60、720p30高清图像格式录制，并向下兼容4CIF、CIF标清图像格式。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6.支持多种录像方式，包括终端的单点录像、多点会议的广播录像和多点会议中的某个终端录像。（投标人需提供权威机构检测报告证明）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7.▲支持不少于18组会议录像，会议分辨率支持1080p60fps。（投标人需提供权威机构检测报告证明）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8.录播服务器内置的硬盘不小于4TB,可满足4000小时1M会议录像存储。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9.支持对当前会议进行直播，直播数并发不少于7组会议，会议分辨率支持1080p60fps。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无缝融合管理，设备可无缝接入支队现有MCU统一管理系统，支持单点登录，统一账号，支持门户、短信以及邮件等多种直播通知方式，支持会议录播联动，支持会议开启自动录像、直播，会议结束录像自动发布。（投标人需提供权威机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11.▲支持直播会议融合，支持在现有支队MCU会管系统中查看所有观看直播人员列表，并且可以邀请观看直播的人员参与到视频会议中双向互动 。（投标人需提供权威机构检测报告证明）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12.支持内置硬盘或者外置磁阵的方式存储录像文件，外置存储支持IPSAN磁阵网络存储。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13.具备不少于2个10/100/1000M以太网口，支持多网段接入。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14.提供产品3C认证、电信设备入网证复印件。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用户接入授权</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MCU用户接入授权，为支队已建MCU进行点位授权扩容。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新疆交警总队增加1路授权，会议屏1路授权，录播服务器1路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摄像机三脚架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三脚架180cm。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会议专用云台控制键盘摇杆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1.支持VISCA、PELCO-P、PELCO-D协议；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2.实现对会议摄像机的软件功能控制，具有中控功能；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3.采用进口变速四维摇杆进行控制，可直接控制会议摄像机全方位转动，镜头变焦放大缩小；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4.采用船型开关的方式进行对会议摄像机的变焦调节，操作方便；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5.多达7个摄像机快捷控制按键，方便快速操作会议摄像机，提高控制速度；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6.显示方式：TFT LCD 320*240；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7.输出接口：RS422、RS232；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8.功耗≤5W；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9.电源：DC12V-2A；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8"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86寸会议屏</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3"/>
                <w:color w:val="auto"/>
                <w:lang w:val="en-US" w:eastAsia="zh-CN" w:bidi="ar"/>
              </w:rPr>
              <w:t>1.</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▲本次采购部署的86寸智慧屏设备需要与单位已部署的视频会议系统做无缝对接，能够通过MCU设备或会议控制设备对智慧屏设备进行视频选看、会议控制、轮询的操作。</w:t>
            </w:r>
            <w:r>
              <w:rPr>
                <w:rStyle w:val="113"/>
                <w:color w:val="auto"/>
                <w:lang w:val="en-US" w:eastAsia="zh-CN" w:bidi="ar"/>
              </w:rPr>
              <w:br w:type="textWrapping"/>
            </w:r>
            <w:r>
              <w:rPr>
                <w:rStyle w:val="113"/>
                <w:color w:val="auto"/>
                <w:lang w:val="en-US" w:eastAsia="zh-CN" w:bidi="ar"/>
              </w:rPr>
              <w:t>2.</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▲可通过支队现有MCU的内置WEB会议控制系统对系统进行配置，并进行会议控制，智慧屏可接收MCU发送的短消息。</w:t>
            </w:r>
            <w:r>
              <w:rPr>
                <w:rStyle w:val="113"/>
                <w:color w:val="auto"/>
                <w:lang w:val="en-US" w:eastAsia="zh-CN" w:bidi="ar"/>
              </w:rPr>
              <w:br w:type="textWrapping"/>
            </w:r>
            <w:r>
              <w:rPr>
                <w:rStyle w:val="113"/>
                <w:color w:val="auto"/>
                <w:lang w:val="en-US" w:eastAsia="zh-CN" w:bidi="ar"/>
              </w:rPr>
              <w:t>3.</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智慧屏设备可拓展支持接入数据会议服务器设备，可支持数据协作、电子白板、多方标注等功能协作互动。功能如：白板无边界，白板支持插入图片、图形。</w:t>
            </w:r>
            <w:r>
              <w:rPr>
                <w:rStyle w:val="113"/>
                <w:color w:val="auto"/>
                <w:lang w:val="en-US" w:eastAsia="zh-CN" w:bidi="ar"/>
              </w:rPr>
              <w:br w:type="textWrapping"/>
            </w:r>
            <w:r>
              <w:rPr>
                <w:rStyle w:val="113"/>
                <w:color w:val="auto"/>
                <w:lang w:val="en-US" w:eastAsia="zh-CN" w:bidi="ar"/>
              </w:rPr>
              <w:t>4.</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所投设备采用一体化集成设计，内置摄像头、麦克风、扬声器、编解码器、触控屏。所投产品尺寸不小于86英寸。所投产品采用嵌入式操作系统，支持7×24小时长时间开机运行。</w:t>
            </w:r>
            <w:r>
              <w:rPr>
                <w:rStyle w:val="113"/>
                <w:color w:val="auto"/>
                <w:lang w:val="en-US" w:eastAsia="zh-CN" w:bidi="ar"/>
              </w:rPr>
              <w:br w:type="textWrapping"/>
            </w:r>
            <w:r>
              <w:rPr>
                <w:rStyle w:val="113"/>
                <w:color w:val="auto"/>
                <w:lang w:val="en-US" w:eastAsia="zh-CN" w:bidi="ar"/>
              </w:rPr>
              <w:t>5.</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所投产品支持统一操控，一套菜单界面触控实现会议控制、电子白板、数据会议、内置电脑、文件管理操作。所投产品主要元器件采用国产化器件，包括屏幕显示模组、内置摄像机镜头、视音频编解码单元、CPU处理单元、可编程逻辑芯片、视频输入输出芯片。</w:t>
            </w:r>
            <w:r>
              <w:rPr>
                <w:rStyle w:val="113"/>
                <w:color w:val="auto"/>
                <w:lang w:val="en-US" w:eastAsia="zh-CN" w:bidi="ar"/>
              </w:rPr>
              <w:br w:type="textWrapping"/>
            </w:r>
            <w:r>
              <w:rPr>
                <w:rStyle w:val="113"/>
                <w:color w:val="auto"/>
                <w:lang w:val="en-US" w:eastAsia="zh-CN" w:bidi="ar"/>
              </w:rPr>
              <w:t>6.</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所投产品核心编解码器内置主芯片（视频、音频）采用国产芯片，采用硬件编解码方式，产品稳定。</w:t>
            </w:r>
            <w:r>
              <w:rPr>
                <w:rStyle w:val="113"/>
                <w:color w:val="auto"/>
                <w:lang w:val="en-US" w:eastAsia="zh-CN" w:bidi="ar"/>
              </w:rPr>
              <w:br w:type="textWrapping"/>
            </w:r>
            <w:r>
              <w:rPr>
                <w:rStyle w:val="113"/>
                <w:color w:val="auto"/>
                <w:lang w:val="en-US" w:eastAsia="zh-CN" w:bidi="ar"/>
              </w:rPr>
              <w:t>7.</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支持ITU-TH.323和IETF SIP通信标准，会议速率支持64Kbps~8Mbps。支持H.264 Baseline Profile、H.264 High Profile、H.265。G.711A、G.711u、G.722、G.722.1C、G.729、MPEG-4 AAC-LD、Opus音频协议，支持双声道立体声功能。所投产品触控屏分辨率不低于4K 60fps</w:t>
            </w:r>
            <w:r>
              <w:rPr>
                <w:rStyle w:val="113"/>
                <w:color w:val="auto"/>
                <w:lang w:val="en-US" w:eastAsia="zh-CN" w:bidi="ar"/>
              </w:rPr>
              <w:br w:type="textWrapping"/>
            </w:r>
            <w:r>
              <w:rPr>
                <w:rStyle w:val="113"/>
                <w:color w:val="auto"/>
                <w:lang w:val="en-US" w:eastAsia="zh-CN" w:bidi="ar"/>
              </w:rPr>
              <w:t>8.</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触控屏屏体采用零贴合工艺</w:t>
            </w:r>
            <w:r>
              <w:rPr>
                <w:rStyle w:val="113"/>
                <w:color w:val="auto"/>
                <w:lang w:val="en-US" w:eastAsia="zh-CN" w:bidi="ar"/>
              </w:rPr>
              <w:br w:type="textWrapping"/>
            </w:r>
            <w:r>
              <w:rPr>
                <w:rStyle w:val="113"/>
                <w:color w:val="auto"/>
                <w:lang w:val="en-US" w:eastAsia="zh-CN" w:bidi="ar"/>
              </w:rPr>
              <w:t>9.▲</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所投产品集成产品内置超清智能摄像机，最大采集分辨率为4K30，内置摄像机最大水平视角≥86° ，最大垂直视角≥55°，支持4倍数字变焦</w:t>
            </w:r>
            <w:r>
              <w:rPr>
                <w:rStyle w:val="113"/>
                <w:color w:val="auto"/>
                <w:lang w:val="en-US" w:eastAsia="zh-CN" w:bidi="ar"/>
              </w:rPr>
              <w:br w:type="textWrapping"/>
            </w:r>
            <w:r>
              <w:rPr>
                <w:rStyle w:val="113"/>
                <w:color w:val="auto"/>
                <w:lang w:val="en-US" w:eastAsia="zh-CN" w:bidi="ar"/>
              </w:rPr>
              <w:t>10.所投产品内置多阵列麦克风，支持声源定位、发言人跟踪，支持前向180°，8米拾音，所投产品内置扬声器，支持双声道立体声</w:t>
            </w:r>
            <w:r>
              <w:rPr>
                <w:rStyle w:val="113"/>
                <w:color w:val="auto"/>
                <w:lang w:val="en-US" w:eastAsia="zh-CN" w:bidi="ar"/>
              </w:rPr>
              <w:br w:type="textWrapping"/>
            </w:r>
            <w:r>
              <w:rPr>
                <w:rStyle w:val="113"/>
                <w:color w:val="auto"/>
                <w:lang w:val="en-US" w:eastAsia="zh-CN" w:bidi="ar"/>
              </w:rPr>
              <w:t>11.</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支持扩展内置OPS电脑。OPS支持嵌入式插拔安装，无线缆外露，支持Windows操作系统，支持1路音频输入输出，1路HDMI音视频输出，6个USB接口，OPS电脑支持有线或无线连接网络。</w:t>
            </w:r>
            <w:r>
              <w:rPr>
                <w:rStyle w:val="113"/>
                <w:color w:val="auto"/>
                <w:lang w:val="en-US" w:eastAsia="zh-CN" w:bidi="ar"/>
              </w:rPr>
              <w:br w:type="textWrapping"/>
            </w:r>
            <w:r>
              <w:rPr>
                <w:rStyle w:val="113"/>
                <w:color w:val="auto"/>
                <w:lang w:val="en-US" w:eastAsia="zh-CN" w:bidi="ar"/>
              </w:rPr>
              <w:t>12.</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支持H.239、BFCP标准双流协议，会议视频分辨率、帧率支持1080p、720p，并向下兼容4CIF、CIF标清图像格式</w:t>
            </w:r>
            <w:r>
              <w:rPr>
                <w:rStyle w:val="113"/>
                <w:color w:val="auto"/>
                <w:lang w:val="en-US" w:eastAsia="zh-CN" w:bidi="ar"/>
              </w:rPr>
              <w:br w:type="textWrapping"/>
            </w:r>
            <w:r>
              <w:rPr>
                <w:rStyle w:val="113"/>
                <w:color w:val="auto"/>
                <w:lang w:val="en-US" w:eastAsia="zh-CN" w:bidi="ar"/>
              </w:rPr>
              <w:t>13.</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支持不少于2路 HDMI 2.0视频输入接口；支持不少于1路 HDMI 2.0视频输出接口；支持不少于2路音频输出接口，接口类型包括3.5mm、SPDIF数字音频等音频接口；支持不少于3路USB接口，支持通过USB接口进行文件管理；支持不少于1路RS232串口、1路TYPE C接口、1路TOUCH UBS接口。</w:t>
            </w:r>
            <w:r>
              <w:rPr>
                <w:rStyle w:val="113"/>
                <w:color w:val="auto"/>
                <w:lang w:val="en-US" w:eastAsia="zh-CN" w:bidi="ar"/>
              </w:rPr>
              <w:br w:type="textWrapping"/>
            </w:r>
            <w:r>
              <w:rPr>
                <w:rStyle w:val="113"/>
                <w:color w:val="auto"/>
                <w:lang w:val="en-US" w:eastAsia="zh-CN" w:bidi="ar"/>
              </w:rPr>
              <w:t>14.</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电脑通过无线投屏发射器，将桌面内容或者指定应用作为双流发送给远端会场，电脑无需安装驱动及连接Wi-Fi网络，支持连接状态提示灯提示，一键按压方式启动/停止内容共享；支持通过触控屏反向控制电脑的内容。</w:t>
            </w:r>
            <w:r>
              <w:rPr>
                <w:rStyle w:val="113"/>
                <w:color w:val="auto"/>
                <w:lang w:val="en-US" w:eastAsia="zh-CN" w:bidi="ar"/>
              </w:rPr>
              <w:br w:type="textWrapping"/>
            </w:r>
            <w:r>
              <w:rPr>
                <w:rStyle w:val="113"/>
                <w:color w:val="auto"/>
                <w:lang w:val="en-US" w:eastAsia="zh-CN" w:bidi="ar"/>
              </w:rPr>
              <w:t>15.</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具备较强的网络抗丢包能力，25%的网络丢包时声音清晰，图像流畅、清晰、无卡顿、无马赛克；70%的网络丢包时声音清晰流畅，无卡顿，可准确理解。</w:t>
            </w:r>
            <w:r>
              <w:rPr>
                <w:rStyle w:val="113"/>
                <w:color w:val="auto"/>
                <w:lang w:val="en-US" w:eastAsia="zh-CN" w:bidi="ar"/>
              </w:rPr>
              <w:br w:type="textWrapping"/>
            </w:r>
            <w:r>
              <w:rPr>
                <w:rStyle w:val="113"/>
                <w:color w:val="auto"/>
                <w:lang w:val="en-US" w:eastAsia="zh-CN" w:bidi="ar"/>
              </w:rPr>
              <w:t>16.</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支持智能语音控制，支持通过语音助手召集会议（点对点、多点），支持通过语音助手进行会议控制（调节音量、邀请终端、打开/关闭内容共享、延长会议、加入/结束会议）。</w:t>
            </w:r>
            <w:r>
              <w:rPr>
                <w:rStyle w:val="113"/>
                <w:color w:val="auto"/>
                <w:lang w:val="en-US" w:eastAsia="zh-CN" w:bidi="ar"/>
              </w:rPr>
              <w:br w:type="textWrapping"/>
            </w:r>
            <w:r>
              <w:rPr>
                <w:rStyle w:val="113"/>
                <w:color w:val="auto"/>
                <w:lang w:val="en-US" w:eastAsia="zh-CN" w:bidi="ar"/>
              </w:rPr>
              <w:t>17.</w:t>
            </w:r>
            <w:r>
              <w:rPr>
                <w:rFonts w:hint="default" w:ascii="Arial" w:hAnsi="Arial" w:eastAsia="宋体" w:cs="Arial"/>
                <w:i w:val="0"/>
                <w:iCs w:val="0"/>
                <w:color w:val="auto"/>
                <w:kern w:val="0"/>
                <w:sz w:val="20"/>
                <w:szCs w:val="20"/>
                <w:u w:val="none"/>
                <w:lang w:val="en-US" w:eastAsia="zh-CN" w:bidi="ar"/>
              </w:rPr>
              <w:t xml:space="preserve"> </w:t>
            </w:r>
            <w:r>
              <w:rPr>
                <w:rStyle w:val="113"/>
                <w:color w:val="auto"/>
                <w:lang w:val="en-US" w:eastAsia="zh-CN" w:bidi="ar"/>
              </w:rPr>
              <w:t>支持同声字幕功能，通过声音转文字技术，把发言人的语音实时转写为字幕。支持语音智能转文字，支持会议纪要，通过声音转文字技术，把发言人的语音实时转写为会议纪要。支持发言人跟踪功能，采用声源定位和图像定位技术，自动切换发言人特写画面，无需人工干预。支持智能取景功能，系统可根据与会人数及位置自动调整，全景画面应能涵盖所有与会人员，并保证人物居中显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会议屏落地支架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86寸适用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结构参数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承重：≥85 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通用参数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材质：SPCC优质钢板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升降高度：1185 mm -1449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安装孔距：400×400、500×400、600×400、800×400、800×600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监管办公电脑及办公会议桌椅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不少于I5-10400/16G/256G+1T/RW/2G独显（GT730）；27寸显示器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其中2套操控电脑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打印复印多功能一体机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A4黑白激光复印扫描多功能一体机：双面打印+无线+输稿器（批量复印扫描）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连接方式:USB+网线+无线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系统：wim7以上（32位/64位）/MAC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黑白激光打印机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类型：激光打印机-黑白；自动双面打印：支持自动双面打印；最大支持幅面：A4；无线打印：支持无线打印；输稿器：支持输稿器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碎纸机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噪音：50-60dB；类型：高保密碎纸机；碎纸效果：粉末状；保密等级：不少于7级；最大碎纸幅面：A4；移动轮：有移动轮；功能：自动休眠，自动反向退纸；可碎介质：纸，光盘，卡，回形针等；单次碎纸张数：6-10张；安全触停：有安全触停；碎纸速度：1-2米/分钟；连续碎纸机时间：41-60分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数码录音笔</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扬声器：内置扬声器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录音模式：Linear PCM/MP3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录音格式：WAV；MP3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麦克风：内置麦克风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电池类型：锂电池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网络交换机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端口 24个10/100/1000Base-T以太网端口，4个千兆SFP，交流供电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其中4台机房用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网络交换机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48*10/100/1000TX +4*SFP+2GE Combo，交换容量336Gbps/3.36Tbps，包转发率&gt;=132Mpps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汇聚交换机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交换容量：≥688Gbps， 包转发率：≥174Mpps。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L3以太网交换机主机,支持48个10/100/1000BASE-T电口,支持6个1G/10G BASE-X SFP Plus端口,无电源;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 可插拔AC(70W)电源模块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长条会议桌</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定制；16席位会议桌；整体结构风格同装修风格一致；≥4.8m*1.6m，含椅子16把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会议桌椅</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定制；2人席；整体结构风格同装修风格一致；≥1.2m*0.4m,含椅子2把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监管操作席</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定制；3人席；整体结构风格同装修风格一致；≥3.6m*0.8m,含椅子3把，含3个小文档柜（40*40*57）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监管操作席</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定制；2人席；整体结构风格同装修风格一致；≥2.4m*0.8m,含椅子2把，含2个小文档柜（40*40*57）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五、</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监管指挥中心改造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指挥中心背景墙</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7.2m*4m，E1级中纤板基层 拉丝不锈钢饰面做边框 石膏板墙面找平墙面做基层,奥松板做底板面饰PUP辊涂环保喷胶.上粘贴40mmPVC字。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石膏板造型吊顶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12.2,m*17.85m,轻钢龙骨骨架（木龙骨刷防火涂料。2.0.95纸面石膏板封板,上防锈自攻螺丝.乳胶漆另计。3.纸面石膏板的拼缝进行贴绷带板缝处理及白乳胶。4.按展开面积计算。5.含人工、辅料及损耗。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全钢陶瓷防静电地板</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含会议区，监管区，备勤室：600mm*600mm*15mm；大屏后，设备间，600mm*600mm*30mm，含静电地板支架（600X600加厚支架），接地铜皮（40X0.2静电地板专用）。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地板不锈钢包边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5cm不锈钢贴脚线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墙面防静电乳胶漆（两遍）</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墙面吸音板装饰</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2*3木龙骨滚涂防火涂料 30*40间距原墙面找水平处理做底层。20*300cm大长城环保E1级阻燃木塑吸音板装饰。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检修通道墙面处理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刮环保腻子粉两道、砂纸磨平,辊涂净味乳胶漆刷两遍。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柱子包饰</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根据现场定制，含人工材料及安装。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暖气片包饰</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选择吸音板同颜色的板材对暖气片进行包饰，做散热木格栅。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大屏两边新建墙体背景墙</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E1级中纤板基层 拉丝不锈钢饰面做边框 石膏板墙面找平墙面做基层,奥松板做底板面饰PUP辊涂环保喷胶。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检修通检修门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600mm*2000mm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窗户封堵</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石膏板封堵2060mm*2340mm*100mm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照明改造</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含灯具，照明线改造安装，射灯，软膜灯带，照明开关及辅材等。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窗帘</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7套，成品定制（窗帘 窗纱）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利旧原有罗马杆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备勤室新建墙体</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75轻钢龙骨，天地骨600*600间距，奥松板基层面饰石膏板，内填岩棉。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备勤室门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备勤室门 900mm*2000mm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办公矮柜落地资料柜</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成品定制，6000mm*1000mm*400mm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沙发</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茶歇区 沙发3+1+1，含茶几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暖气片拆除</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拆除大屏两侧暖气片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拆除大屏两侧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垃圾清运费</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主席台拆除，现有吊顶拆除，现有背景墙拆除等清运工作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六、</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42U网络机柜，600*8000*2000，含PDU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机房2台，设备间2台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总开100A，25A空开8套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配电电缆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配电电缆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24芯光缆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单模12芯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光模块</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光模块-SFP-GE-单模模块-(1310nm,10km,LC)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ODF子框</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48芯、满配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金属桥架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200*100，监管区使用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空调1</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5匹冷暖变频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空调2</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5匹制冷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空调3</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1.5P制冷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大屏后设备间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灭火器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5kg，手提式二氧化碳灭火器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大屏后设备间1台，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2台放置于指挥中心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一体化门禁主机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指纹、密码、人脸等多种识别方式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门禁专用电锁</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门禁锁专用电源</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会议摄像机线，摄像机控制线，音频线，电源线，话筒线，五金配件，线槽、线管、水晶头、标签纸、扎带，超五类网线、屏体内电源线、钉子卡子、螺丝、标签纸等。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0"/>
                <w:szCs w:val="20"/>
                <w:u w:val="none"/>
              </w:rPr>
            </w:pPr>
          </w:p>
        </w:tc>
      </w:tr>
    </w:tbl>
    <w:p>
      <w:pPr>
        <w:pStyle w:val="2"/>
        <w:ind w:left="0" w:leftChars="0" w:firstLine="0" w:firstLineChars="0"/>
        <w:rPr>
          <w:rFonts w:hint="eastAsia" w:ascii="宋体" w:hAnsi="宋体" w:cs="宋体"/>
          <w:b w:val="0"/>
          <w:bCs w:val="0"/>
          <w:color w:val="auto"/>
          <w:sz w:val="24"/>
          <w:lang w:val="en-US" w:eastAsia="zh-CN"/>
        </w:rPr>
      </w:pPr>
    </w:p>
    <w:tbl>
      <w:tblPr>
        <w:tblStyle w:val="29"/>
        <w:tblW w:w="9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281"/>
        <w:gridCol w:w="4800"/>
        <w:gridCol w:w="737"/>
        <w:gridCol w:w="538"/>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1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监管平台硬件服务器更换建设清单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281" w:type="dxa"/>
            <w:tcBorders>
              <w:top w:val="single" w:color="000000" w:sz="4" w:space="0"/>
              <w:left w:val="single" w:color="000000" w:sz="4"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4800" w:type="dxa"/>
            <w:tcBorders>
              <w:top w:val="single" w:color="000000" w:sz="4" w:space="0"/>
              <w:left w:val="single" w:color="000000" w:sz="4"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招标参数</w:t>
            </w:r>
          </w:p>
        </w:tc>
        <w:tc>
          <w:tcPr>
            <w:tcW w:w="737" w:type="dxa"/>
            <w:tcBorders>
              <w:top w:val="single" w:color="000000" w:sz="4" w:space="0"/>
              <w:left w:val="single" w:color="000000" w:sz="4"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38" w:type="dxa"/>
            <w:tcBorders>
              <w:top w:val="single" w:color="000000" w:sz="4" w:space="0"/>
              <w:left w:val="single" w:color="000000" w:sz="4"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637" w:type="dxa"/>
            <w:tcBorders>
              <w:top w:val="single" w:color="000000" w:sz="4" w:space="0"/>
              <w:left w:val="single" w:color="000000" w:sz="4"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w:t>
            </w:r>
          </w:p>
        </w:tc>
        <w:tc>
          <w:tcPr>
            <w:tcW w:w="899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硬件服务器更换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8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构架服务器</w:t>
            </w:r>
          </w:p>
        </w:tc>
        <w:tc>
          <w:tcPr>
            <w:tcW w:w="4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CPU：不少于2颗intel至强系列处理器，核数≥10核，主频≥2.2GHz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内存：不少于128G DDR4，16根内存插槽，最大支持扩展至2TB内存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硬盘：不少于4块480G SSD 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阵列卡：SAS_HBA卡, 支持RAID 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PCIE扩展：最大可支持6个PCIE扩展插槽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网口：不少于2个千兆电口，2个万兆光口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其他接口：不少于1个RJ45管理接口，2个USB 3.0接口，2个USB2.0接口，1个VGA接口</w:t>
            </w:r>
          </w:p>
        </w:tc>
        <w:tc>
          <w:tcPr>
            <w:tcW w:w="73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3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6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科一考试和考试业务监管各一台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组件服务器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CPU：不少于2颗intel至强系列处理器，核数≥8核，主频≥2.1GHz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内存：不少于64G DDR4，16根内存插槽，最大支持扩展至2TB内存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硬盘：不少于4块600G 10K 2.5寸 SAS硬盘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阵列卡：SAS_HBA卡, 支持RAID 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PCIE扩展：最大可支持6个PCIE扩展插槽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网口：不少于2个千兆电口，2个万兆光口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其他接口：不少于1个RJ45管理接口，2个USB 3.0接口，2个USB2.0接口，1个VGA接口</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科一考试2台；部局考试大监管3台；检验监管2台；考试业务监管2台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数据库服务器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CPU：不少于2颗CPU，核数≥10核，主频≥2.4GHz；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内存：不少于256GB；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硬盘：不少于240G SSD×2+ 480G SSD×6+4T 7.2K SATA×4；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数据接口：不少于2个万兆光口+ 2个千兆电口，4个 USB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PCIE扩展：最大可支持6个PCIE扩展插槽。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WEB服务器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CPU：不少于2颗intel至强系列处理器，核数≥8核，主频≥2.1GHz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内存：不少于64G DDR4，16根内存插槽，最大支持扩展至2TB内存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硬盘：不少于4块600G 10K 2.5寸 SAS硬盘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阵列卡：SAS_HBA卡, 支持RAID 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PCIE扩展：最大可支持6个PCIE扩展插槽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网口：不少于2个千兆电口，2个万兆光口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其他接口：不少于1个RJ45管理接口，2个USB 3.0接口，2个USB2.0接口，1个VGA接口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档案影像化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应用服务器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CPU：不少于2颗intel至强系列处理器，核数≥8核，主频≥2.1GHz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内存：不少于64G DDR4，16根内存插槽，最大支持扩展至2TB内存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硬盘：不少于4块600G 10K 2.5寸 SAS硬盘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阵列卡：SAS_HBA卡, 支持RAID 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PCIE扩展：最大可支持6个PCIE扩展插槽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网口：不少于2个千兆电口，2个万兆光口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其他接口：不少于1个RJ45管理接口，2个USB 3.0接口，2个USB2.0接口，1个VGA接口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考试业务监管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2.5寸服务器硬盘</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2.5寸，2TB，SAS</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899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接地防雷部分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接地模块</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800*150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降阻剂</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40kg/袋</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扁钢</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40*4  6米/根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角钢</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50*50*5  6米/根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防腐漆</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20kg/桶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检测盒</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接地电缆</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多股铜线35平方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地面开挖及恢复</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长*宽*深1000*1000*2500mm</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899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绿波带应用接入部分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绿波带应用接入</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各县市绿波带应用接入</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bl>
    <w:p>
      <w:pPr>
        <w:pStyle w:val="2"/>
        <w:rPr>
          <w:rFonts w:hint="eastAsia" w:asciiTheme="minorEastAsia" w:hAnsiTheme="minorEastAsia" w:eastAsiaTheme="minorEastAsia" w:cstheme="minorEastAsia"/>
          <w:b w:val="0"/>
          <w:bCs w:val="0"/>
          <w:color w:val="auto"/>
          <w:sz w:val="24"/>
          <w:lang w:val="en-US" w:eastAsia="zh-CN"/>
        </w:rPr>
      </w:pPr>
    </w:p>
    <w:p>
      <w:pPr>
        <w:pStyle w:val="2"/>
        <w:rPr>
          <w:rFonts w:hint="eastAsia" w:asciiTheme="minorEastAsia" w:hAnsiTheme="minorEastAsia" w:eastAsiaTheme="minorEastAsia" w:cstheme="minorEastAsia"/>
          <w:b w:val="0"/>
          <w:bCs w:val="0"/>
          <w:color w:val="auto"/>
          <w:sz w:val="24"/>
          <w:lang w:val="en-US" w:eastAsia="zh-CN"/>
        </w:rPr>
      </w:pPr>
    </w:p>
    <w:tbl>
      <w:tblPr>
        <w:tblStyle w:val="29"/>
        <w:tblW w:w="9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254"/>
        <w:gridCol w:w="4800"/>
        <w:gridCol w:w="712"/>
        <w:gridCol w:w="575"/>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车辆大数据推送服务建设清单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4800"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招标参数</w:t>
            </w:r>
          </w:p>
        </w:tc>
        <w:tc>
          <w:tcPr>
            <w:tcW w:w="712"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57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61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车辆大数据推送服务</w:t>
            </w:r>
          </w:p>
        </w:tc>
        <w:tc>
          <w:tcPr>
            <w:tcW w:w="4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已建的塔城地区交警支队车辆大数据平台基础上，同时交警支队车辆大数据平台已经汇聚经接入了全塔城地区各县市车辆卡口，电警设备1000套，每日最大数据量可达200万张，将交警支队车辆大数据平台已汇聚的数据，通过GAT1400协议标准对接塔城地区公安局格林深瞳结构化大数据数据汇聚视图库，最终由塔城地区视图库上传至公安厅大数据平台，为视频图像综合应用平台、公安业务提供数据支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本次塔城地区交警支队车辆大数据平台主要涉及开发内容，车辆大数据平台基础配置，配置车辆大数据平台和塔城地区视图库的关联，使用相关数据字典；车辆大数据平台功能增加与塔城地区视图库对接的注册，注销，保活，校时，订阅，取消订阅，通知等按照此设定进行双方平台数据对接的基本功能。同时对交警支队车辆大数据平台增加GAT1400协议规范的设备编码，使车辆大数据已接入设备可共享至塔城地区视图库。塔城地区交警支队车辆大数据平台通过对数据库进行开发，对数据库内数据格式进行二次处理，使数据符合GAT1400协议标准要求，然后上传所有过车记录，上传所有违法违章记录至塔城地区视图库。最后通过现场平台联调，达到良好对接，设备共享，数据上传的目的。</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0"/>
                <w:szCs w:val="20"/>
                <w:u w:val="none"/>
              </w:rPr>
            </w:pPr>
          </w:p>
        </w:tc>
      </w:tr>
    </w:tbl>
    <w:p>
      <w:pPr>
        <w:pStyle w:val="2"/>
        <w:rPr>
          <w:rFonts w:hint="eastAsia" w:asciiTheme="minorEastAsia" w:hAnsiTheme="minorEastAsia" w:eastAsiaTheme="minorEastAsia" w:cstheme="minorEastAsia"/>
          <w:b w:val="0"/>
          <w:bCs w:val="0"/>
          <w:color w:val="auto"/>
          <w:sz w:val="24"/>
          <w:lang w:val="en-US" w:eastAsia="zh-CN"/>
        </w:rPr>
      </w:pPr>
    </w:p>
    <w:tbl>
      <w:tblPr>
        <w:tblStyle w:val="29"/>
        <w:tblW w:w="9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1393"/>
        <w:gridCol w:w="4783"/>
        <w:gridCol w:w="712"/>
        <w:gridCol w:w="575"/>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99" w:type="dxa"/>
            <w:gridSpan w:val="6"/>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综合监管网络升级改造建设清单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478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招标参数</w:t>
            </w:r>
          </w:p>
        </w:tc>
        <w:tc>
          <w:tcPr>
            <w:tcW w:w="712"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57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588"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视频接入认证服务器</w:t>
            </w:r>
          </w:p>
        </w:tc>
        <w:tc>
          <w:tcPr>
            <w:tcW w:w="4783"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（1）安全通道最大带宽：7Gbps；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（2）高清最大并发数（4Mbps）：1750路；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（3）标清最大并发数（2Mbps）：3500路；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（4）视频数据误码率&lt;0.5%；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（5）视频流传输时延&lt;50ms。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1、支持信令双向传输，视频数据单向传输，对内外网数据均有安全检查机制；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2、基于零反馈单向传输硬件实现视频数据单向传输；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3、支持基于公安数字证书、用户名/密码方式的身份认证机制；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4、支持多种数据检查，包括数据源、病毒木马(数据小于1.4KB)及关键字扫描（C/S客户端模式）等；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5、支持多种协议格式检查，包括视频信令协议格式（SIP）、视频传输协议格式及主流视频监控公司的私有协议视频信令协议格式等；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6、支持对视频资源的访问控制，能够对用户、设备的细粒度授权访问管理；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7、支持流量审计、设备访问审计、告警审计等多种日志审计与告警功能，支持与集中监管与审计系统联动；支持与公安厅现有边界接入平台集中监控与审计系统无缝对接。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8、支持国标模式多个下级域平台对应一个上级域平台的汇聚业务；支持国标模式一个下级域平台对应多个上级平台的共享业务；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9、同时支持C/S客户端模式和平台级联模式；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10、支持GB/T 28181-2011标准的平台对接；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11、支持GB/T 28181-2016标准的平台对接。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12、根据数据上报要求，需支持与塔城地区公安局边界接入平台集中监控与审计系统对接，实现部省市级联上报。兼容协议SNMP、sYSLOG协议；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13、根据统─管理要求，需支持与塔城地区公安局边界接入平台监管中心对接。兼容协议包括但不限于SNMP、sYSLOG协议；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14、生产厂商具有面向重要专网的边界安全防御关键技术及应用。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▲15、集中监控与审计系统-探针需求：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支持多种设备状态信息的采集（设备需支持SNMP协议）；支持应用流量信息的探测；支持基于SysLog、SNMP2.0/3.0协议的事件收集和处理；每秒可接收日志条数不小于50条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支持与公安厅现有边界接入平台集中监控与审计系统无缝对接。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▲16、生产厂商新疆本地服务机构新疆籍服务人员不低于6名（提供社保证明）。生产厂商具有面向重要专网的边界安全防御关键技术及应用。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▲17、投标人需提供加盖制造厂商印章（公章或办事处印章）的针对本项目的授权函和3年售后服务承诺书原件；</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视频用户认证服务器</w:t>
            </w:r>
          </w:p>
        </w:tc>
        <w:tc>
          <w:tcPr>
            <w:tcW w:w="4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宋体" w:hAnsi="宋体" w:eastAsia="宋体" w:cs="宋体"/>
                <w:i w:val="0"/>
                <w:iCs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视频安全隔离设备</w:t>
            </w:r>
          </w:p>
        </w:tc>
        <w:tc>
          <w:tcPr>
            <w:tcW w:w="4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宋体" w:hAnsi="宋体" w:eastAsia="宋体" w:cs="宋体"/>
                <w:i w:val="0"/>
                <w:iCs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集中监控与审计系统探针子系统</w:t>
            </w:r>
          </w:p>
        </w:tc>
        <w:tc>
          <w:tcPr>
            <w:tcW w:w="4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宋体" w:hAnsi="宋体" w:eastAsia="宋体" w:cs="宋体"/>
                <w:i w:val="0"/>
                <w:iCs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边界防火墙</w:t>
            </w:r>
          </w:p>
        </w:tc>
        <w:tc>
          <w:tcPr>
            <w:tcW w:w="4783" w:type="dxa"/>
            <w:tcBorders>
              <w:top w:val="nil"/>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1、标准机架式设备,冗余电源；万兆光口≥2，千兆WAN口≥2 ；最大整机吞吐量≥5G，并发连接数≥200万；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▲2、本产品要求提供原厂售后服务承诺，加盖原厂鲜；</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1" w:hRule="atLeast"/>
        </w:trPr>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汇聚交换机</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1、交换容量≥700Gbps，包转发率≥250Mpps；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2、支持10/100/1000Base-T以太网接口≥48个，万兆SFP+接口≥4个，配置4个万兆光模块；业务扩展插槽数≥1；为了提高设备可靠性，支持并配置可插拔的双电源；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▲3、支持MAC地址≥256K，ARP表项≥128K，IPv4 路由表≥512K，IPv6 路由表≥64K，提供权威第三方测试报告复印件；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4、支持静态路由、RIP v1/v2、OSPF、BGP、ISIS、RIPng、OSPFv3、ISISv6、BGP4+；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5、支持融合AC管理功能，整机可管理1K AP；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▲6、支持VxLAN功能，支持BGP EVPN，支持分布式 Anycast 网关，支持VxLAN的自动化部署，提供权威第三方测试报告复印件；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▲7、交换机支持报告攻击事件给网络安全智能系统，与网络安全智能系统和SDN控制器联动，以实现全网安全协防，提供权威第三方测试报告复印件；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8、交换机支持将IP和端口扫描流量重定向给网络安全智能系统进行诱捕，与网络安全智能系统和SDN控制器联动实施反制措施，以实现网络安全协防；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9、支持G.8032（ERPS）标准以太环网协议，故障倒换收敛时间小于50ms；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10、支持交换机通过netstream流量采集网络数据并上送给大数据安全平台进行分析检测，并配合SDN控制器对整网进行安全策略管控；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11、支持堆叠，主机堆叠数不小于9台；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12、支持纵向虚拟化功能，作为父节点将下联的交换机和无线AP虚拟为一台设备管理；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▲13、提供针对本项目的3年原厂售后服务承诺书原件（加盖制造厂商印章）；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塔城1台，乌苏1台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防火墙</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1、标准2U硬件平台，双交流电源，硬盘≥1T；千兆电口≥12个，千兆光口≥12个，SFP+光口≥2个（万兆插槽，含接口模块）；网络吞吐量≥10Gbps，最大并发连接数≥400万，每秒新建HTTP连接数≥20万，SSL VPN并发用户数≥1500，含三年服务；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2、具有透明、路由、混合、旁路、虚拟线工作模式；支持端口镜像功能，支持入流量、出流量和双向流量等维度镜像。以上参数提供web配置界面截图；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基于多元组的访问控制；并提供智能策略分析功能，支持策略命中分析、隐藏策略分析、冗余策略分析、冲突策略分析、可合并策略分析、过期策略发现、空策略发现、策略宽松度分析，并在web页面显示分析结果。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4、▲支持Web认证、Portal认证、短信认证、免认证、微信认证、混合认证、AD域单点登录、访客二维码认证、APP认证和钉钉认证等。以上参数提供web配置界面截图；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5、▲支持防网络共享行为，针对私接路由器和非法无线热点行为进行识别和阻断；并针对私接网络行为，惩罚方式包括但不限于无操作、阻断和限速。以上参数提供web配置界面截图；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文件缓存，缓存文件形式不限于视频、APP等；设备智能解析用户流量，针对域名或者文件请求，设备推送文件至终端，帮助用户缓解互联网出口压力，实现文件下载加速的效果。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7、▲具备推送广告页面，支持针对用户、接口、安全域、源地址、目的地址、时间等维度推送本地自定义广告或引用第三方广告，支持自定义推送间隔。以上参数提供web配置界面截图；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8、支持4G接入，并可实现4G连接与有线链路之间的互为备份。以上参数提供web配置界面截图；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9、支持用户全天行为分析，一个界面同时展示用户名、用户组、在线时长、虚拟身份、日志关联情况、全天流量使用分布、网站访问类别分布、全天关键网络行为轴等信息。以上参数提供web配置界面截图；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10、内网资产监控，自动发现内网资产，并以资产视角看安全状态，以攻击链的形式展示相应资产的风险和所处的阶段。以上参数提供web配置界面截图；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11、支持标准IPsec VPN和快速IPsecVPN，标准IPsecVPN认证方式包括但不限于国密认证、数字证书和预共享密钥；同品牌设备快速IPsecVPN对接时加密算法等参数无需配置，自动生成，仅需配置保护子网、共享密钥、IP地址；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拥有自有威胁情报数据来源，每日可获得不低于6亿次的互联网访问样本。并提供在设备端上的全网威胁情报的搜索查询；提供最新的热点威胁事件并提供配置向导协助管理员生成防护规则；支持对内网进行威胁情报安全分析，并支持跳转到威胁情报云平台查看详细的威胁情报内容。支持配置2个威胁情报云平台。以上参数提供web配置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13、▲提供针对本项目的3年原厂售后服务承诺书原件（加盖制造厂商印章）；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塔城支队接入1台，乌苏车管所接入1台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准入控制设备</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1、硬件参数：千兆电口≥6，最大用户数≥3000，最大并发数≥1000，最大吞吐量≥1G；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硬件规格：准入控制产品为软硬件一体机，软硬件均为同一厂商，实配1个console接口，实配独立双机热备心跳接口，实配液晶屏，支持显示的信息包括但不限于设备IP地址、系统时间、CPU使用率、内存使用率（需提供设备面板照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3、支持通过多元素绑定的方式认证终端身份，包括终端IP、终端MAC、交换机、交换机端口、终端类型，支持任意元素组合绑定的方式认证入网；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PC终端的入网安全检查功能，包含杀毒软件安装情况检查、补丁漏洞检查、系统共享资源检查、IE主页修改项检查、安装软件检查、guest来宾帐户启用情况检查、远程桌面启用情况检查、系统启动项检查、密码强度检查、服务检查、进程检查、违规外联检查、浏览器代理检查、操作系统检查、登陆AD域检查、屏保检查、IE插件检查、注册表检查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▲5、支持哑终端的无客户端安全体检功能，能够检查哑终端弱口令、漏洞情况、端口开放情况等（需提供产品功能截图）；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6、支持自动发现网络中IP/MAC等伪装仿冒行为，如：PC仿冒哑终端IP/MAC入网、非法PC仿冒合法PC的IP/MAC入网；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7、支持自动识别并提取、手动添加、修改、管理终端指纹，并支持不少于MAC厂商、操作系统、开放端口等指纹特征，添加后可全网自动匹配实现同类型设备识别并丰富指纹库；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8、支持准入策略制定功能,可根据访问IP源、目的域以及准入流程进行策略制定，目的域需是IP、端口以及目录的组合；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▲9、支持对路由、无线、AP、HUB等环境下的终端实施准入控制，支持对Windows操作系统和非Windows系统设备的识别并实施准入控制；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外来终端或者访客初次入网阻断，并给提示，支持访客自助查询上网码功能，管理员审批后，可以查询，支持访客上网码自动分配和手动分配模式，支持访客上网码短信审核功能，支持设置访客入网的截止时间，逾期自动阻断，支持访客超时帐户处理，对于超时访客帐户，可设定自动清除机制，到期自动删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11、要求支持对在线终端状态提供图形化实时分析报表，分析内容至少包含待审核设备、注册设备、访客设备、入网设备、白名单设备、隔离设备、离线设备等不少于7种状态；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▲12、支持OEM自定义功能，提供OEM设置接口，管理员可随意更换页面LOGO以满足自身要求。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▲13、提供针对本项目的3年原厂售后服务承诺书原件（加盖制造厂商印章）；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专网中所有设备安全接入控制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终端准入探针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支持添加、修改、删除VLAN等相关配置；支持配置网络管理地址；支持违规终端阻断；支持接收一级网关指令对终端进行放行；支持与一级网关联动VLAN配置信息；支持自动连接一级网关并上报自身状态；</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乌苏用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3"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排队叫号</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一套满足《排队叫号及服务评价系统对接技术规范》排队叫号评价系统，支持与综合应用平台对接，通过该系统的建设，优化窗口业务单位秩序，减少排错队、插队等现象，规范代理人代办的行为，提供群众对民警工作质量的评价功能及各级部门根据群众评价情况进行民警执法工作质量监督、考核、评价功能，督促民警优化执法形象，提高工作质量。系统应具备叫号评价、统计分析、基础设置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叫号评价应能支持取号、叫号、再次呼叫、过号、暂停/恢复叫号、业务评价等功能。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1）取号：支持通过扫描身份证进行取号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2）叫号：支持窗口叫号，提示申请人到窗口办理业务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3）再次呼叫：支持通过“再次呼叫”，再次提示申请人到窗口办理业务。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4）过号：支持跳过原号码，提示下一申请人到窗口办理业务。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5）暂停/恢复叫号：支持窗口经办人“暂停/恢复”业务办理。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6）业务评价：支持对业务进行评价，并将评价结果上传。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基础设置支持业务处理点、业务窗口、排队队列、取号机、黑名单、平台接口等的设置。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3、统计分析应支持不同维度的统计分析，至少应包含实时排队信息、业务类型排队、窗口排队、评价统计等功能。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4、系统支持多个车管所按部门登记划分应用后台服务（地区所、市所、县级所、社会化服务机构等通用）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排队叫号评价系统应能满足接入综合应用平台要求，满足综合应用平台接口申请要求（含综合监管），投标人提供送检公安部安全产品质量监督检测中心出具的接入安全要求检测报告或承诺在发布中标公告5日内提供该项报告（并配合车管所完成接口申请）否则视为虚假响应。</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排队叫号接入服务</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1、为各大队业务大厅排队叫号设备，提供接入服务；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2、排队叫号系统用线材、耗材、运输等；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3、排队叫号系统硬件设备安装、施工等；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4、排队叫号系统软件及硬件运维服务；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5、硬件1年质保服务；技术服务质保3年</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排队叫号主机</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冷扎钢机柜；配置≥19寸开放式触摸显示器；集成身份证阅读器、摄像头、人脸识别模块、内置功放、内置两个5W防磁音响，有效范围300平方米。</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评价器</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4核,Cortex A7,1.2G；RAM 1GB；内存8GB；Android 5.1；10.1"高清IPS屏（10点电容式触摸屏），16：9；分辨率1280*800；对比度800；亮度250cdm2(最低亮度)；</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塔城10台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窗口显示屏</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ascii="Calibri" w:hAnsi="Calibri" w:eastAsia="宋体" w:cs="Calibri"/>
                <w:i w:val="0"/>
                <w:iCs w:val="0"/>
                <w:color w:val="auto"/>
                <w:kern w:val="0"/>
                <w:sz w:val="20"/>
                <w:szCs w:val="20"/>
                <w:u w:val="none"/>
                <w:lang w:val="en-US" w:eastAsia="zh-CN" w:bidi="ar"/>
              </w:rPr>
              <w:t>φ</w:t>
            </w:r>
            <w:r>
              <w:rPr>
                <w:rFonts w:hint="eastAsia" w:ascii="宋体" w:hAnsi="宋体" w:eastAsia="宋体" w:cs="宋体"/>
                <w:i w:val="0"/>
                <w:iCs w:val="0"/>
                <w:color w:val="auto"/>
                <w:kern w:val="0"/>
                <w:sz w:val="20"/>
                <w:szCs w:val="20"/>
                <w:u w:val="none"/>
                <w:lang w:val="en-US" w:eastAsia="zh-CN" w:bidi="ar"/>
              </w:rPr>
              <w:t>5.0mmLED点阵模块、单红色、16点阵、解像度64点×16点、八位汉字显示，显示内容：请A008号到</w:t>
            </w:r>
            <w:r>
              <w:rPr>
                <w:rFonts w:ascii="Segoe UI Symbol" w:hAnsi="Segoe UI Symbol" w:eastAsia="Segoe UI Symbol" w:cs="Segoe UI Symbol"/>
                <w:i w:val="0"/>
                <w:iCs w:val="0"/>
                <w:color w:val="auto"/>
                <w:kern w:val="0"/>
                <w:sz w:val="20"/>
                <w:szCs w:val="20"/>
                <w:u w:val="none"/>
                <w:lang w:val="en-US" w:eastAsia="zh-CN" w:bidi="ar"/>
              </w:rPr>
              <w:t>①</w:t>
            </w:r>
            <w:r>
              <w:rPr>
                <w:rFonts w:hint="eastAsia" w:ascii="宋体" w:hAnsi="宋体" w:eastAsia="宋体" w:cs="宋体"/>
                <w:i w:val="0"/>
                <w:iCs w:val="0"/>
                <w:color w:val="auto"/>
                <w:kern w:val="0"/>
                <w:sz w:val="20"/>
                <w:szCs w:val="20"/>
                <w:u w:val="none"/>
                <w:lang w:val="en-US" w:eastAsia="zh-CN" w:bidi="ar"/>
              </w:rPr>
              <w:t>窗口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塔城10台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网络整合及视频汇聚</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1、全地区专网、检验网、考试网络资源整合，实现多局域网合一，全疆统一规划、协助检测站、考场、社会化机构、车管所等各单位修改网络属性；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2、汇聚检测站、查验业务通道、考场场所、驾校、4S店、二手车市场、保险公司、邮局、报废公司等企业业务场所音视频资源，并实现将必要工位的音视频流推送至公安网，符合公安部综合业务监管需要；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提供合理的网络整合方案及网络拓扑图，方案中需明确体现网络整合过程中不影响各项业务的正常开展；投标人须承诺在发布中标公告后5日内完成社会化服务机构（检测站、4S店、考场、二手市场等）和公安场所类的业务视频推送至综合应用平台综合监管的测试工作，并提交测试方案（含拓扑图）、测试结果文字报告和视频资料、测试过程记录表等;否则视为虚假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4、含塔城支队、乌苏车管所机房网络整合。</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47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电源线：国标，铜芯，RVV；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网线：国标，非屏蔽双绞线（六类、超五类）；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管材：国标，PVC-B；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其它耗材：水晶头、接头、胶布、轧带、标签等</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系统调试培训及放管服升级服务</w:t>
            </w:r>
          </w:p>
        </w:tc>
        <w:tc>
          <w:tcPr>
            <w:tcW w:w="47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含服务器、交换机、防火墙等硬件设备安装部署，软件安装调试、集成联合调试、各软件系统操作使用培训、并配合共享资源单位的联调协助工作等。支持与专网服务系统、原查验监管系统和检验监管的数据接口对接联调等技术集成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落实放管服措施，升级配套插件，实现办理国产小型汽车注册登记业务可通过查验智能终端完成预录入（机动车合格证信息预录入、身份证信息预录入），完成与统一版查验系统的对接。并承诺发布中标公告5个工作日内在现有查验场地实现功能演示，并应用于专网服务系统查验业务中，否则视为虚假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提供塔城地区检验、查验、考试各业务及网络现状并做详细阐述，投标人需具有丰富的公安交通管理综合应用平台和专网服务系统部署维护经验并做详细阐述，能完成综合监管系统、专网服务系统、原查验监管系统、检验监管的等相关数据接口对接联调等技术集成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置1台专用控制外廓测量的查验终端，实现公安交通管理综合应用平台专网服务系统查验业务对接，支持数据上传自动评判比对。（▲须提供成功案例截图证明加盖客户单位公章，或承诺发布中标公告5个日内在现有查验场地实现功能演示，并应用于专网服务系统查验业务中，否则视为虚假响）。所配PDA需满足一下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1）▲符合GAT 1434—2017《机动车查验检验智能终端通用技术要求》的要求，（提供具有公安部安全产品质量监督检测中心出具的接入安全要求检测报告报告复印件并加盖厂商公章）；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2）▲终端设备需具备以下功能：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须支持查验员签字图片采集功能；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须支持VIN码图像采集仪数据接入、比对功能；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须支持机动车标准照片和VIN拓印膜电子影像档案查询、比对功能；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须支持联网查询车辆事故/违法信息；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须支持查验历史数据和图片的调取；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须支持外廓尺寸、整备质量自动测量装置数据接入功能；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须支持行驶记录仪数据接入和分析功能；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须支持逆反系数数据接入功能；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（以上功能需提供公安部安全产品质量监督检测中心出具的接入安全要求检测报告功能证明材料复印件，加盖厂商公章）。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r>
    </w:tbl>
    <w:p>
      <w:pPr>
        <w:pStyle w:val="2"/>
        <w:rPr>
          <w:rFonts w:hint="eastAsia" w:asciiTheme="minorEastAsia" w:hAnsiTheme="minorEastAsia" w:eastAsiaTheme="minorEastAsia" w:cstheme="minorEastAsia"/>
          <w:b w:val="0"/>
          <w:bCs w:val="0"/>
          <w:color w:val="auto"/>
          <w:sz w:val="24"/>
          <w:lang w:val="en-US" w:eastAsia="zh-CN"/>
        </w:rPr>
      </w:pPr>
    </w:p>
    <w:p>
      <w:pPr>
        <w:pStyle w:val="2"/>
        <w:rPr>
          <w:rFonts w:hint="eastAsia" w:asciiTheme="minorEastAsia" w:hAnsiTheme="minorEastAsia" w:eastAsiaTheme="minorEastAsia" w:cstheme="minorEastAsia"/>
          <w:b w:val="0"/>
          <w:bCs w:val="0"/>
          <w:color w:val="auto"/>
          <w:sz w:val="24"/>
          <w:lang w:val="en-US" w:eastAsia="zh-CN"/>
        </w:rPr>
      </w:pPr>
    </w:p>
    <w:p>
      <w:pPr>
        <w:pStyle w:val="2"/>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注：需求中凡涉及品牌型号、图片的均为参考值，用于对所需产品的外观及结构进行描述，仅提供给供应商进行参考，供应商可以提供相同功能或者优于功能的产品。</w:t>
      </w:r>
    </w:p>
    <w:p>
      <w:pPr>
        <w:pStyle w:val="2"/>
        <w:rPr>
          <w:rFonts w:hint="eastAsia" w:asciiTheme="minorEastAsia" w:hAnsiTheme="minorEastAsia" w:eastAsiaTheme="minorEastAsia" w:cstheme="minorEastAsia"/>
          <w:b w:val="0"/>
          <w:bCs w:val="0"/>
          <w:color w:val="auto"/>
          <w:sz w:val="24"/>
          <w:lang w:val="en-US" w:eastAsia="zh-CN"/>
        </w:rPr>
      </w:pPr>
    </w:p>
    <w:p>
      <w:pPr>
        <w:spacing w:line="360" w:lineRule="auto"/>
        <w:jc w:val="both"/>
        <w:outlineLvl w:val="0"/>
        <w:rPr>
          <w:rFonts w:hint="eastAsia" w:ascii="方正小标宋简体" w:hAnsi="方正小标宋简体" w:eastAsia="方正小标宋简体" w:cs="方正小标宋简体"/>
          <w:b w:val="0"/>
          <w:bCs w:val="0"/>
          <w:color w:val="auto"/>
          <w:sz w:val="28"/>
          <w:szCs w:val="28"/>
          <w:lang w:eastAsia="zh-CN"/>
        </w:rPr>
      </w:pPr>
      <w:bookmarkStart w:id="137" w:name="_Toc4850"/>
    </w:p>
    <w:p>
      <w:pPr>
        <w:spacing w:line="360" w:lineRule="auto"/>
        <w:ind w:firstLine="482"/>
        <w:jc w:val="center"/>
        <w:outlineLvl w:val="0"/>
        <w:rPr>
          <w:rFonts w:hint="eastAsia" w:eastAsia="方正小标宋简体"/>
          <w:color w:val="auto"/>
          <w:lang w:eastAsia="zh-CN"/>
        </w:rPr>
      </w:pPr>
      <w:r>
        <w:rPr>
          <w:rFonts w:hint="eastAsia" w:ascii="方正小标宋简体" w:hAnsi="方正小标宋简体" w:eastAsia="方正小标宋简体" w:cs="方正小标宋简体"/>
          <w:b w:val="0"/>
          <w:bCs w:val="0"/>
          <w:color w:val="auto"/>
          <w:sz w:val="28"/>
          <w:szCs w:val="28"/>
        </w:rPr>
        <w:t>第四章  合同主要条款</w:t>
      </w:r>
      <w:bookmarkEnd w:id="137"/>
      <w:bookmarkStart w:id="138" w:name="_Toc246216290"/>
      <w:bookmarkStart w:id="139" w:name="_Toc243907627"/>
      <w:bookmarkStart w:id="140" w:name="_Toc233275179"/>
      <w:bookmarkStart w:id="141" w:name="_Toc245369990"/>
      <w:bookmarkStart w:id="142" w:name="_Toc233274440"/>
      <w:bookmarkStart w:id="143" w:name="_Toc246216425"/>
      <w:bookmarkStart w:id="144" w:name="_Toc233274892"/>
      <w:bookmarkStart w:id="145" w:name="_Toc245370108"/>
      <w:bookmarkStart w:id="146" w:name="_Toc246216267"/>
      <w:bookmarkStart w:id="147" w:name="_Toc243906397"/>
      <w:bookmarkStart w:id="148" w:name="_Toc243904849"/>
      <w:r>
        <w:rPr>
          <w:rFonts w:hint="eastAsia" w:ascii="方正小标宋简体" w:hAnsi="方正小标宋简体" w:eastAsia="方正小标宋简体" w:cs="方正小标宋简体"/>
          <w:b w:val="0"/>
          <w:bCs w:val="0"/>
          <w:color w:val="auto"/>
          <w:sz w:val="28"/>
          <w:szCs w:val="28"/>
          <w:lang w:eastAsia="zh-CN"/>
        </w:rPr>
        <w:t>（参考）</w:t>
      </w:r>
    </w:p>
    <w:p>
      <w:pPr>
        <w:spacing w:line="240" w:lineRule="auto"/>
        <w:ind w:firstLine="480" w:firstLineChars="200"/>
        <w:rPr>
          <w:rFonts w:hint="eastAsia" w:ascii="宋体" w:hAnsi="宋体" w:eastAsia="宋体" w:cs="宋体"/>
          <w:b w:val="0"/>
          <w:bCs w:val="0"/>
          <w:color w:val="auto"/>
          <w:sz w:val="24"/>
        </w:rPr>
      </w:pP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1、定义</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1.1“合同”系指买卖双方共同签署的、合同中载明的买卖双方所达成的协议，包括：</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通知书；合同条款；</w:t>
      </w: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及承诺；项目采购需求；</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文件（含补充文件、修改文件）及答疑纪要；双方约定的其他所有文件等构成合同的所有文件的总称。</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1.2“买方”系指</w:t>
      </w:r>
      <w:r>
        <w:rPr>
          <w:rFonts w:hint="eastAsia" w:ascii="宋体" w:hAnsi="宋体" w:cs="宋体"/>
          <w:b w:val="0"/>
          <w:bCs w:val="0"/>
          <w:color w:val="auto"/>
          <w:sz w:val="24"/>
          <w:lang w:eastAsia="zh-CN"/>
        </w:rPr>
        <w:t>伊犁哈萨克自治州塔城地区公安局</w:t>
      </w:r>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1.3“卖方”系指取得</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资格，提供服务的</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1.4“合同价款”系指根据合同条款、技术规范及标准、项目采购需求、本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文件的规定，卖方在正确、完整地履行合同义务后，买方应支付给卖方实际所供合同货物及服务的金额。</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1.5“合同货物”系指按合同条款、技术规范及标准、项目采购需求、本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文件规定，卖方须向买方提供提供</w:t>
      </w:r>
      <w:r>
        <w:rPr>
          <w:rFonts w:hint="eastAsia" w:ascii="宋体" w:hAnsi="宋体" w:cs="宋体"/>
          <w:b w:val="0"/>
          <w:bCs w:val="0"/>
          <w:color w:val="auto"/>
          <w:sz w:val="24"/>
          <w:lang w:eastAsia="zh-CN"/>
        </w:rPr>
        <w:t>伊犁哈萨克自治州塔城地区公安局基层单位人脸识别门禁系统采购项目</w:t>
      </w:r>
      <w:r>
        <w:rPr>
          <w:rFonts w:hint="eastAsia" w:ascii="宋体" w:hAnsi="宋体" w:eastAsia="宋体" w:cs="宋体"/>
          <w:b w:val="0"/>
          <w:bCs w:val="0"/>
          <w:color w:val="auto"/>
          <w:sz w:val="24"/>
        </w:rPr>
        <w:t>所包括的全部内容。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1.6“服务”系指合同条款、技术规范及标准、项目采购需求、本</w:t>
      </w:r>
      <w:r>
        <w:rPr>
          <w:rFonts w:hint="eastAsia" w:ascii="宋体" w:hAnsi="宋体" w:cs="宋体"/>
          <w:b w:val="0"/>
          <w:bCs w:val="0"/>
          <w:color w:val="auto"/>
          <w:sz w:val="24"/>
          <w:lang w:eastAsia="zh-CN"/>
        </w:rPr>
        <w:t>招标</w:t>
      </w:r>
      <w:r>
        <w:rPr>
          <w:rFonts w:hint="eastAsia" w:ascii="宋体" w:hAnsi="宋体" w:eastAsia="宋体" w:cs="宋体"/>
          <w:b w:val="0"/>
          <w:bCs w:val="0"/>
          <w:color w:val="auto"/>
          <w:sz w:val="24"/>
        </w:rPr>
        <w:t>文件规定，</w:t>
      </w:r>
      <w:r>
        <w:rPr>
          <w:rFonts w:hint="eastAsia" w:ascii="宋体" w:hAnsi="宋体" w:cs="宋体"/>
          <w:b w:val="0"/>
          <w:bCs w:val="0"/>
          <w:color w:val="auto"/>
          <w:sz w:val="24"/>
          <w:lang w:eastAsia="zh-CN"/>
        </w:rPr>
        <w:t>中标投标单位</w:t>
      </w:r>
      <w:r>
        <w:rPr>
          <w:rFonts w:hint="eastAsia" w:ascii="宋体" w:hAnsi="宋体" w:eastAsia="宋体" w:cs="宋体"/>
          <w:b w:val="0"/>
          <w:bCs w:val="0"/>
          <w:color w:val="auto"/>
          <w:sz w:val="24"/>
        </w:rPr>
        <w:t>为</w:t>
      </w:r>
      <w:r>
        <w:rPr>
          <w:rFonts w:hint="eastAsia" w:ascii="宋体" w:hAnsi="宋体" w:cs="宋体"/>
          <w:b w:val="0"/>
          <w:bCs w:val="0"/>
          <w:color w:val="auto"/>
          <w:sz w:val="24"/>
          <w:lang w:eastAsia="zh-CN"/>
        </w:rPr>
        <w:t>伊犁哈萨克自治州塔城地区公安局基层单位人脸识别门禁系统采购项目</w:t>
      </w:r>
      <w:r>
        <w:rPr>
          <w:rFonts w:hint="eastAsia" w:ascii="宋体" w:hAnsi="宋体" w:eastAsia="宋体" w:cs="宋体"/>
          <w:b w:val="0"/>
          <w:bCs w:val="0"/>
          <w:color w:val="auto"/>
          <w:sz w:val="24"/>
        </w:rPr>
        <w:t>提供的所有服务及相应责任和义务。</w:t>
      </w:r>
    </w:p>
    <w:p>
      <w:pPr>
        <w:spacing w:line="240" w:lineRule="auto"/>
        <w:ind w:firstLine="480" w:firstLineChars="200"/>
        <w:rPr>
          <w:rFonts w:hint="eastAsia" w:ascii="宋体" w:hAnsi="宋体" w:eastAsia="宋体" w:cs="宋体"/>
          <w:b w:val="0"/>
          <w:bCs w:val="0"/>
          <w:color w:val="auto"/>
          <w:sz w:val="24"/>
        </w:rPr>
      </w:pPr>
      <w:bookmarkStart w:id="149" w:name="_Toc246216233"/>
      <w:r>
        <w:rPr>
          <w:rFonts w:hint="eastAsia" w:ascii="宋体" w:hAnsi="宋体" w:eastAsia="宋体" w:cs="宋体"/>
          <w:b w:val="0"/>
          <w:bCs w:val="0"/>
          <w:color w:val="auto"/>
          <w:sz w:val="24"/>
        </w:rPr>
        <w:t>1.7凡提及的“天、日期、星期、月份和年份”系指公历日历的日历天、日期、星期、月份和年份。</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2、适用范围</w:t>
      </w:r>
      <w:bookmarkEnd w:id="149"/>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 本合同条款适用于本次</w:t>
      </w:r>
      <w:r>
        <w:rPr>
          <w:rFonts w:hint="eastAsia" w:ascii="宋体" w:hAnsi="宋体" w:cs="宋体"/>
          <w:b w:val="0"/>
          <w:bCs w:val="0"/>
          <w:color w:val="auto"/>
          <w:sz w:val="24"/>
          <w:lang w:eastAsia="zh-CN"/>
        </w:rPr>
        <w:t>伊犁哈萨克自治州塔城地区公安局交警支队监管指挥中心改扩建项目（施工）（二次）采购。</w:t>
      </w:r>
    </w:p>
    <w:p>
      <w:pPr>
        <w:spacing w:line="240" w:lineRule="auto"/>
        <w:ind w:firstLine="480" w:firstLineChars="200"/>
        <w:rPr>
          <w:rFonts w:hint="eastAsia" w:ascii="宋体" w:hAnsi="宋体" w:eastAsia="宋体" w:cs="宋体"/>
          <w:b w:val="0"/>
          <w:bCs w:val="0"/>
          <w:color w:val="auto"/>
          <w:sz w:val="24"/>
        </w:rPr>
      </w:pPr>
      <w:bookmarkStart w:id="150" w:name="_Toc246216234"/>
      <w:r>
        <w:rPr>
          <w:rFonts w:hint="eastAsia" w:ascii="宋体" w:hAnsi="宋体" w:eastAsia="宋体" w:cs="宋体"/>
          <w:b w:val="0"/>
          <w:bCs w:val="0"/>
          <w:color w:val="auto"/>
          <w:sz w:val="24"/>
        </w:rPr>
        <w:t>3、合同价格</w:t>
      </w:r>
      <w:bookmarkEnd w:id="150"/>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3.1合同价款为：人民币元(大写：人民币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3.2合同价款：</w:t>
      </w:r>
      <w:r>
        <w:rPr>
          <w:rFonts w:hint="eastAsia" w:ascii="宋体" w:hAnsi="宋体" w:cs="宋体"/>
          <w:b w:val="0"/>
          <w:bCs w:val="0"/>
          <w:color w:val="auto"/>
          <w:sz w:val="24"/>
          <w:lang w:eastAsia="zh-CN"/>
        </w:rPr>
        <w:t>伊犁哈萨克自治州塔城地区公安局交警支队监管指挥中心改扩建项目（施工）（二次）</w:t>
      </w:r>
      <w:r>
        <w:rPr>
          <w:rFonts w:hint="eastAsia" w:ascii="宋体" w:hAnsi="宋体" w:eastAsia="宋体" w:cs="宋体"/>
          <w:b w:val="0"/>
          <w:bCs w:val="0"/>
          <w:color w:val="auto"/>
          <w:sz w:val="24"/>
        </w:rPr>
        <w:t>的现场运维、配件耗材购置及更换、设备故障排查维修、设备零部件购置及更换等所有责任和义务。。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3.3合同价款调整</w:t>
      </w:r>
    </w:p>
    <w:p>
      <w:pPr>
        <w:spacing w:line="240" w:lineRule="auto"/>
        <w:ind w:firstLine="480" w:firstLineChars="200"/>
        <w:rPr>
          <w:rFonts w:hint="eastAsia" w:ascii="宋体" w:hAnsi="宋体" w:eastAsia="宋体" w:cs="宋体"/>
          <w:b w:val="0"/>
          <w:bCs w:val="0"/>
          <w:color w:val="auto"/>
          <w:sz w:val="24"/>
        </w:rPr>
      </w:pPr>
      <w:bookmarkStart w:id="151" w:name="_Toc246216235"/>
      <w:r>
        <w:rPr>
          <w:rFonts w:hint="eastAsia" w:ascii="宋体" w:hAnsi="宋体" w:eastAsia="宋体" w:cs="宋体"/>
          <w:b w:val="0"/>
          <w:bCs w:val="0"/>
          <w:color w:val="auto"/>
          <w:sz w:val="24"/>
        </w:rPr>
        <w:t>3.3.1本项目不因任何原因调整</w:t>
      </w:r>
      <w:r>
        <w:rPr>
          <w:rFonts w:hint="eastAsia" w:ascii="宋体" w:hAnsi="宋体" w:cs="宋体"/>
          <w:b w:val="0"/>
          <w:bCs w:val="0"/>
          <w:color w:val="auto"/>
          <w:sz w:val="24"/>
          <w:lang w:eastAsia="zh-CN"/>
        </w:rPr>
        <w:t>中标</w:t>
      </w:r>
      <w:r>
        <w:rPr>
          <w:rFonts w:hint="eastAsia" w:ascii="宋体" w:hAnsi="宋体" w:eastAsia="宋体" w:cs="宋体"/>
          <w:b w:val="0"/>
          <w:bCs w:val="0"/>
          <w:color w:val="auto"/>
          <w:sz w:val="24"/>
        </w:rPr>
        <w:t>价。</w:t>
      </w:r>
    </w:p>
    <w:bookmarkEnd w:id="151"/>
    <w:p>
      <w:pPr>
        <w:spacing w:line="240" w:lineRule="auto"/>
        <w:ind w:firstLine="480" w:firstLineChars="200"/>
        <w:rPr>
          <w:rFonts w:hint="eastAsia" w:ascii="宋体" w:hAnsi="宋体" w:eastAsia="宋体" w:cs="宋体"/>
          <w:b w:val="0"/>
          <w:bCs w:val="0"/>
          <w:color w:val="auto"/>
          <w:sz w:val="24"/>
        </w:rPr>
      </w:pPr>
      <w:bookmarkStart w:id="152" w:name="_Toc260246971"/>
      <w:bookmarkStart w:id="153" w:name="_Toc260247209"/>
      <w:bookmarkStart w:id="154" w:name="_Toc260247210"/>
      <w:bookmarkStart w:id="155" w:name="_Toc260246972"/>
      <w:bookmarkStart w:id="156" w:name="_Toc231451677"/>
      <w:bookmarkStart w:id="157" w:name="_Toc246216237"/>
      <w:r>
        <w:rPr>
          <w:rFonts w:hint="eastAsia" w:ascii="宋体" w:hAnsi="宋体" w:eastAsia="宋体" w:cs="宋体"/>
          <w:b w:val="0"/>
          <w:bCs w:val="0"/>
          <w:color w:val="auto"/>
          <w:sz w:val="24"/>
        </w:rPr>
        <w:t>4、支付条款</w:t>
      </w:r>
      <w:bookmarkEnd w:id="152"/>
      <w:bookmarkEnd w:id="153"/>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4.1 本合同的支付币种为人民币。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4.2</w:t>
      </w:r>
      <w:r>
        <w:rPr>
          <w:rFonts w:hint="eastAsia" w:ascii="宋体" w:hAnsi="宋体" w:cs="宋体"/>
          <w:b w:val="0"/>
          <w:bCs w:val="0"/>
          <w:color w:val="auto"/>
          <w:sz w:val="24"/>
          <w:lang w:eastAsia="zh-CN"/>
        </w:rPr>
        <w:t>履约保证金：</w:t>
      </w:r>
      <w:r>
        <w:rPr>
          <w:rFonts w:hint="eastAsia" w:ascii="宋体" w:hAnsi="宋体" w:eastAsia="宋体" w:cs="宋体"/>
          <w:b w:val="0"/>
          <w:bCs w:val="0"/>
          <w:color w:val="auto"/>
          <w:sz w:val="24"/>
        </w:rPr>
        <w:t>合同签订后5日内，乙方向甲方账户汇入合同款的</w:t>
      </w:r>
      <w:r>
        <w:rPr>
          <w:rFonts w:hint="eastAsia" w:ascii="宋体" w:hAnsi="宋体" w:cs="宋体"/>
          <w:b w:val="0"/>
          <w:bCs w:val="0"/>
          <w:color w:val="auto"/>
          <w:sz w:val="24"/>
          <w:lang w:val="en-US" w:eastAsia="zh-CN"/>
        </w:rPr>
        <w:t>10</w:t>
      </w:r>
      <w:r>
        <w:rPr>
          <w:rFonts w:hint="eastAsia" w:ascii="宋体" w:hAnsi="宋体" w:eastAsia="宋体" w:cs="宋体"/>
          <w:b w:val="0"/>
          <w:bCs w:val="0"/>
          <w:color w:val="auto"/>
          <w:sz w:val="24"/>
        </w:rPr>
        <w:t>%为履约保证金，乙方将标的货物送至甲方指定的地点进行安装调试，经过甲方验收后，履约保证金自动转为质保金，质保金按照中标供应商承诺的质保年限使用正常后退还。</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eastAsia="宋体" w:cs="宋体"/>
          <w:b/>
          <w:bCs/>
          <w:color w:val="auto"/>
          <w:sz w:val="24"/>
        </w:rPr>
      </w:pPr>
      <w:r>
        <w:rPr>
          <w:rFonts w:hint="eastAsia" w:ascii="宋体" w:hAnsi="宋体" w:cs="宋体"/>
          <w:b w:val="0"/>
          <w:bCs w:val="0"/>
          <w:color w:val="auto"/>
          <w:sz w:val="24"/>
          <w:lang w:val="en-US" w:eastAsia="zh-CN"/>
        </w:rPr>
        <w:t>4.3</w:t>
      </w:r>
      <w:r>
        <w:rPr>
          <w:rFonts w:hint="eastAsia" w:ascii="宋体" w:hAnsi="宋体" w:eastAsia="宋体" w:cs="宋体"/>
          <w:b/>
          <w:bCs/>
          <w:color w:val="auto"/>
          <w:sz w:val="24"/>
        </w:rPr>
        <w:t>合同价款支付方式：</w:t>
      </w:r>
      <w:r>
        <w:rPr>
          <w:rFonts w:hint="eastAsia" w:ascii="宋体" w:hAnsi="宋体" w:eastAsia="宋体" w:cs="宋体"/>
          <w:b/>
          <w:bCs/>
          <w:color w:val="auto"/>
          <w:sz w:val="24"/>
          <w:lang w:val="en-US" w:eastAsia="zh-CN"/>
        </w:rPr>
        <w:t>合同签订后以甲方约定为准</w:t>
      </w:r>
      <w:r>
        <w:rPr>
          <w:rFonts w:hint="eastAsia" w:ascii="宋体" w:hAnsi="宋体" w:cs="宋体"/>
          <w:b/>
          <w:bCs/>
          <w:color w:val="auto"/>
          <w:sz w:val="24"/>
          <w:lang w:val="en-US" w:eastAsia="zh-CN"/>
        </w:rPr>
        <w:t>。</w:t>
      </w:r>
    </w:p>
    <w:bookmarkEnd w:id="154"/>
    <w:bookmarkEnd w:id="155"/>
    <w:bookmarkEnd w:id="156"/>
    <w:bookmarkEnd w:id="157"/>
    <w:p>
      <w:pPr>
        <w:spacing w:line="240" w:lineRule="auto"/>
        <w:ind w:firstLine="480" w:firstLineChars="200"/>
        <w:rPr>
          <w:rFonts w:hint="eastAsia" w:ascii="宋体" w:hAnsi="宋体" w:eastAsia="宋体" w:cs="宋体"/>
          <w:b w:val="0"/>
          <w:bCs w:val="0"/>
          <w:color w:val="auto"/>
          <w:sz w:val="24"/>
        </w:rPr>
      </w:pPr>
      <w:bookmarkStart w:id="158" w:name="_Toc258681748"/>
      <w:r>
        <w:rPr>
          <w:rFonts w:hint="eastAsia" w:ascii="宋体" w:hAnsi="宋体" w:eastAsia="宋体" w:cs="宋体"/>
          <w:b w:val="0"/>
          <w:bCs w:val="0"/>
          <w:color w:val="auto"/>
          <w:sz w:val="24"/>
        </w:rPr>
        <w:t>5、供货期及供货期延误</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5.1签订合同生效后，按照合同约定的内容完成相应的工作。</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5.2因以下原因造成供货期延误，经买方审批，成果提交期相应顺延：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5.2.1不可抗力；</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5.2.2合同条款中约定或买方同意供货期顺延的其他情况。</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卖方在延误情况发生之日起2天内，就延误的供货期以书面形式向买方提出报告。买方在收到报告之日起2天内予以确认，逾期不予确认也不提出修改意见，视为同意顺延当次服务及成果时限。</w:t>
      </w:r>
    </w:p>
    <w:bookmarkEnd w:id="138"/>
    <w:bookmarkEnd w:id="139"/>
    <w:bookmarkEnd w:id="140"/>
    <w:bookmarkEnd w:id="141"/>
    <w:bookmarkEnd w:id="142"/>
    <w:bookmarkEnd w:id="143"/>
    <w:bookmarkEnd w:id="144"/>
    <w:bookmarkEnd w:id="145"/>
    <w:bookmarkEnd w:id="146"/>
    <w:bookmarkEnd w:id="147"/>
    <w:bookmarkEnd w:id="148"/>
    <w:bookmarkEnd w:id="158"/>
    <w:p>
      <w:pPr>
        <w:spacing w:line="240" w:lineRule="auto"/>
        <w:ind w:firstLine="480" w:firstLineChars="200"/>
        <w:rPr>
          <w:rFonts w:hint="eastAsia" w:ascii="宋体" w:hAnsi="宋体" w:eastAsia="宋体" w:cs="宋体"/>
          <w:b w:val="0"/>
          <w:bCs w:val="0"/>
          <w:color w:val="auto"/>
          <w:sz w:val="24"/>
        </w:rPr>
      </w:pPr>
      <w:bookmarkStart w:id="159" w:name="_Toc258681731"/>
      <w:r>
        <w:rPr>
          <w:rFonts w:hint="eastAsia" w:ascii="宋体" w:hAnsi="宋体" w:eastAsia="宋体" w:cs="宋体"/>
          <w:b w:val="0"/>
          <w:bCs w:val="0"/>
          <w:color w:val="auto"/>
          <w:sz w:val="24"/>
        </w:rPr>
        <w:t>6、</w:t>
      </w:r>
      <w:bookmarkEnd w:id="159"/>
      <w:r>
        <w:rPr>
          <w:rFonts w:hint="eastAsia" w:ascii="宋体" w:hAnsi="宋体" w:eastAsia="宋体" w:cs="宋体"/>
          <w:b w:val="0"/>
          <w:bCs w:val="0"/>
          <w:color w:val="auto"/>
          <w:sz w:val="24"/>
        </w:rPr>
        <w:t>技术资料</w:t>
      </w:r>
    </w:p>
    <w:p>
      <w:pPr>
        <w:spacing w:line="240" w:lineRule="auto"/>
        <w:ind w:firstLine="480" w:firstLineChars="200"/>
        <w:rPr>
          <w:rFonts w:hint="eastAsia" w:ascii="宋体" w:hAnsi="宋体" w:eastAsia="宋体" w:cs="宋体"/>
          <w:b w:val="0"/>
          <w:bCs w:val="0"/>
          <w:color w:val="auto"/>
          <w:sz w:val="24"/>
        </w:rPr>
      </w:pPr>
      <w:bookmarkStart w:id="160" w:name="_Toc258681733"/>
      <w:r>
        <w:rPr>
          <w:rFonts w:hint="eastAsia" w:ascii="宋体" w:hAnsi="宋体" w:eastAsia="宋体" w:cs="宋体"/>
          <w:b w:val="0"/>
          <w:bCs w:val="0"/>
          <w:color w:val="auto"/>
          <w:sz w:val="24"/>
        </w:rPr>
        <w:t>6.1卖方应准备与运维服务要求相符的相关纸质材料，并于合同约定的时限内送（或寄）至买方。正式运维材料应不少于一式二份。</w:t>
      </w:r>
      <w:bookmarkEnd w:id="160"/>
      <w:bookmarkStart w:id="161" w:name="_Toc258681734"/>
    </w:p>
    <w:bookmarkEnd w:id="161"/>
    <w:p>
      <w:pPr>
        <w:spacing w:line="240" w:lineRule="auto"/>
        <w:ind w:firstLine="480" w:firstLineChars="200"/>
        <w:rPr>
          <w:rFonts w:hint="eastAsia" w:ascii="宋体" w:hAnsi="宋体" w:eastAsia="宋体" w:cs="宋体"/>
          <w:b w:val="0"/>
          <w:bCs w:val="0"/>
          <w:color w:val="auto"/>
          <w:sz w:val="24"/>
        </w:rPr>
      </w:pPr>
      <w:bookmarkStart w:id="162" w:name="_Toc260246981"/>
      <w:bookmarkStart w:id="163" w:name="_Toc260247219"/>
      <w:r>
        <w:rPr>
          <w:rFonts w:hint="eastAsia" w:ascii="宋体" w:hAnsi="宋体" w:eastAsia="宋体" w:cs="宋体"/>
          <w:b w:val="0"/>
          <w:bCs w:val="0"/>
          <w:color w:val="auto"/>
          <w:sz w:val="24"/>
        </w:rPr>
        <w:t>7、卖方人员</w:t>
      </w:r>
      <w:bookmarkEnd w:id="162"/>
      <w:bookmarkEnd w:id="163"/>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7.1卖方应委派有资质和经验的技术人员进行本项目的运维工作。相关指控措施须符合技术规范和有关标准的要求。</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7.2如果买方认为卖方派遣的执行本项目的有关人员不称职，将有权要求卖方更换，卖方对于买方的此类要求应予以满足。</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7.3运维期间更换的配件、耗材、零部件必须是主机设备同品牌原装产品。</w:t>
      </w:r>
    </w:p>
    <w:p>
      <w:pPr>
        <w:spacing w:line="240" w:lineRule="auto"/>
        <w:ind w:firstLine="480" w:firstLineChars="200"/>
        <w:rPr>
          <w:rFonts w:hint="eastAsia" w:ascii="宋体" w:hAnsi="宋体" w:eastAsia="宋体" w:cs="宋体"/>
          <w:b w:val="0"/>
          <w:bCs w:val="0"/>
          <w:color w:val="auto"/>
          <w:sz w:val="24"/>
        </w:rPr>
      </w:pPr>
      <w:bookmarkStart w:id="164" w:name="_Toc258681750"/>
      <w:r>
        <w:rPr>
          <w:rFonts w:hint="eastAsia" w:ascii="宋体" w:hAnsi="宋体" w:eastAsia="宋体" w:cs="宋体"/>
          <w:b w:val="0"/>
          <w:bCs w:val="0"/>
          <w:color w:val="auto"/>
          <w:sz w:val="24"/>
        </w:rPr>
        <w:t>8、侵权和保密</w:t>
      </w:r>
      <w:bookmarkEnd w:id="164"/>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8.1卖方应保证买方在使用其提供的货物或货物的任何一部分以及在接受其提供的任何一项或部分服务时，免受第三方提出的专利权、商标权或其它有关知识产权的侵权指控及停止使用合同货物或接受服务的损害。如因专利权、商标权或其它知识产权而引起法律和经济纠纷，由</w:t>
      </w:r>
      <w:r>
        <w:rPr>
          <w:rFonts w:hint="eastAsia" w:ascii="宋体" w:hAnsi="宋体" w:cs="宋体"/>
          <w:b w:val="0"/>
          <w:bCs w:val="0"/>
          <w:color w:val="auto"/>
          <w:sz w:val="24"/>
          <w:lang w:eastAsia="zh-CN"/>
        </w:rPr>
        <w:t>投标单位</w:t>
      </w:r>
      <w:r>
        <w:rPr>
          <w:rFonts w:hint="eastAsia" w:ascii="宋体" w:hAnsi="宋体" w:eastAsia="宋体" w:cs="宋体"/>
          <w:b w:val="0"/>
          <w:bCs w:val="0"/>
          <w:color w:val="auto"/>
          <w:sz w:val="24"/>
        </w:rPr>
        <w:t>承担所有相关责任。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8.2买卖双方均有义务对对方提供的非公开发表的有关技术资料和文件加以保密，必须提供给第三方时，应事先征得对方的同意，且在与第三方的合同中也应规定相应的保密条款。</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8.3没有买方事先书面同意，卖方不得将由买方或其代表提供的有关合同或任何合同条文、规格、计划、图纸、样品或资料提供给卖方履行本合同的雇员以外的任何其他人。即使向履行本合同的雇员提供，也应注意保密并仅限于履行合同必须的范围。</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8.4除了合同本身以外，与履行本合同有关的所有资料为买方的财产。如果买方有要求，卖方应在完成合同后应将这些文件（包括全部复印件）交还给买方。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8.5买方享有本项目实施过程中产生的知识成果及知识产权。</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8.6在项目实施过程中卖方采用自有知识成果，买方使用该知识成果后，卖方需提供开发接口和开发手册等技术文档，并承诺提供无限期技术支持，买方享有永久使用权。</w:t>
      </w:r>
    </w:p>
    <w:p>
      <w:pPr>
        <w:spacing w:line="240" w:lineRule="auto"/>
        <w:ind w:firstLine="480" w:firstLineChars="200"/>
        <w:rPr>
          <w:rFonts w:hint="eastAsia" w:ascii="宋体" w:hAnsi="宋体" w:eastAsia="宋体" w:cs="宋体"/>
          <w:b w:val="0"/>
          <w:bCs w:val="0"/>
          <w:color w:val="auto"/>
          <w:sz w:val="24"/>
        </w:rPr>
      </w:pPr>
      <w:bookmarkStart w:id="165" w:name="_Toc258681751"/>
      <w:r>
        <w:rPr>
          <w:rFonts w:hint="eastAsia" w:ascii="宋体" w:hAnsi="宋体" w:eastAsia="宋体" w:cs="宋体"/>
          <w:b w:val="0"/>
          <w:bCs w:val="0"/>
          <w:color w:val="auto"/>
          <w:sz w:val="24"/>
        </w:rPr>
        <w:t>9、违约责任</w:t>
      </w:r>
      <w:bookmarkEnd w:id="165"/>
      <w:bookmarkStart w:id="166" w:name="_Toc258681752"/>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9.1卖方逾期交付合同货物的，卖方应按逾期交货总额每天千分之六向买方支付违约金，由买方从待付货款中扣除。逾期超过约定日期10个工作日不能交货的，买方可单方解除本合同。卖方因逾期交货或因其他违约行为导致买方单方解除合同的，卖方应向买方支付合同价款5%的违约金，如造成买方损失超过违约金的，超出部分由卖方继续承担赔偿责任。 </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9.2由于卖方原因造成所交合同货物、品牌、型号、规格、质量等不符合同规定的，由卖方负责包换，承担调换而支付的实际费用并按本合同约定承担逾期违约金。卖方不能调换的或调换后仍不符合本合同规定而无法达到本合同约定的质量标准的，买方有权退货，卖方承担退货所支付的实际费用并将买方支付的全部货款返还买方，此外，卖方还应承担不能交货及影响供货期的违约责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9.3如果卖方未按合同约定提供验收资料，视为卖方违约并承担违约责任，向买方支付合同价款百分之十（10%）的违约金。</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10、不可抗力</w:t>
      </w:r>
      <w:bookmarkEnd w:id="166"/>
    </w:p>
    <w:p>
      <w:pPr>
        <w:spacing w:line="240" w:lineRule="auto"/>
        <w:ind w:firstLine="480" w:firstLineChars="200"/>
        <w:rPr>
          <w:rFonts w:hint="eastAsia" w:ascii="宋体" w:hAnsi="宋体" w:eastAsia="宋体" w:cs="宋体"/>
          <w:b w:val="0"/>
          <w:bCs w:val="0"/>
          <w:color w:val="auto"/>
          <w:sz w:val="24"/>
        </w:rPr>
      </w:pPr>
      <w:bookmarkStart w:id="167" w:name="_Toc258681753"/>
      <w:r>
        <w:rPr>
          <w:rFonts w:hint="eastAsia" w:ascii="宋体" w:hAnsi="宋体" w:eastAsia="宋体" w:cs="宋体"/>
          <w:b w:val="0"/>
          <w:bCs w:val="0"/>
          <w:color w:val="auto"/>
          <w:sz w:val="24"/>
        </w:rPr>
        <w:t>10.1买卖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以及其他双方商定的事件。但不包括违约或疏忽。</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11.3如果不可抗力事件的影响持续45天以上，双方应通过友好协商在合理的时间内达成进一步履行合同的协议。</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11.4如果因不可抗力而导致合同实施延误或不能履行合同义务的，受不可抗力影响的一方不应承担违约责任。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12、税费</w:t>
      </w:r>
      <w:bookmarkEnd w:id="167"/>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12.1根据国家现行税法规定对与本合同有关的一切税费，包括按税法规定应由买方承担的税费，均已包括在合同总价款之中，买方不再与卖方另行结算税费。</w:t>
      </w:r>
    </w:p>
    <w:p>
      <w:pPr>
        <w:spacing w:line="240" w:lineRule="auto"/>
        <w:ind w:firstLine="480" w:firstLineChars="200"/>
        <w:rPr>
          <w:rFonts w:hint="eastAsia" w:ascii="宋体" w:hAnsi="宋体" w:eastAsia="宋体" w:cs="宋体"/>
          <w:b w:val="0"/>
          <w:bCs w:val="0"/>
          <w:color w:val="auto"/>
          <w:sz w:val="24"/>
        </w:rPr>
      </w:pPr>
      <w:bookmarkStart w:id="168" w:name="_Toc258681754"/>
      <w:bookmarkStart w:id="169" w:name="_Toc243905150"/>
      <w:bookmarkStart w:id="170" w:name="_Toc243904847"/>
      <w:r>
        <w:rPr>
          <w:rFonts w:hint="eastAsia" w:ascii="宋体" w:hAnsi="宋体" w:eastAsia="宋体" w:cs="宋体"/>
          <w:b w:val="0"/>
          <w:bCs w:val="0"/>
          <w:color w:val="auto"/>
          <w:sz w:val="24"/>
        </w:rPr>
        <w:t>13、争端的解决</w:t>
      </w:r>
      <w:bookmarkEnd w:id="168"/>
      <w:bookmarkEnd w:id="169"/>
      <w:bookmarkEnd w:id="170"/>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13.1买卖双方应通过友好协商，解决在执行本合同过程中所发生的或与本合同有关的一切争端。当事人不愿和解、调解或者和解、调解不成，向</w:t>
      </w:r>
      <w:r>
        <w:rPr>
          <w:rFonts w:hint="eastAsia" w:ascii="宋体" w:hAnsi="宋体" w:cs="宋体"/>
          <w:b w:val="0"/>
          <w:bCs w:val="0"/>
          <w:color w:val="auto"/>
          <w:sz w:val="24"/>
          <w:lang w:eastAsia="zh-CN"/>
        </w:rPr>
        <w:t>塔城市</w:t>
      </w:r>
      <w:r>
        <w:rPr>
          <w:rFonts w:hint="eastAsia" w:ascii="宋体" w:hAnsi="宋体" w:eastAsia="宋体" w:cs="宋体"/>
          <w:b w:val="0"/>
          <w:bCs w:val="0"/>
          <w:color w:val="auto"/>
          <w:sz w:val="24"/>
        </w:rPr>
        <w:t>人民法院提出诉讼。</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13.2相关责任：</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(1)除双方另行协商并达成一致外，因诉讼导致合同履约延误应按下列原则处理：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1)如最终判定结果为买方过错，则交货期或完供货期限相应延长；</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2)如最终判定结果为卖方过错，则交货期或完供货期限不予延长；</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3)如最终判定结果为双方均有过错，则应根据双方过错的大小，适当延长交货期（最长不超过实际延误的时间）。</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13.3在双方之间的争议尚未解决之前，如买方以书面形式坚持要求卖方按其意见行事，则卖方应按买方的意见执行，但由此产生的一切不良后果和责任均应有卖方承担。但卖方不能因此而故意采取可能导致不良后果的行为。</w:t>
      </w:r>
    </w:p>
    <w:p>
      <w:pPr>
        <w:spacing w:line="240" w:lineRule="auto"/>
        <w:ind w:firstLine="480" w:firstLineChars="200"/>
        <w:rPr>
          <w:rFonts w:hint="eastAsia" w:ascii="宋体" w:hAnsi="宋体" w:eastAsia="宋体" w:cs="宋体"/>
          <w:b w:val="0"/>
          <w:bCs w:val="0"/>
          <w:color w:val="auto"/>
          <w:sz w:val="24"/>
        </w:rPr>
      </w:pPr>
      <w:bookmarkStart w:id="171" w:name="_Toc258681755"/>
      <w:r>
        <w:rPr>
          <w:rFonts w:hint="eastAsia" w:ascii="宋体" w:hAnsi="宋体" w:eastAsia="宋体" w:cs="宋体"/>
          <w:b w:val="0"/>
          <w:bCs w:val="0"/>
          <w:color w:val="auto"/>
          <w:sz w:val="24"/>
        </w:rPr>
        <w:t>14、违约终止合同</w:t>
      </w:r>
      <w:bookmarkEnd w:id="171"/>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14.1在买方对卖方违约而采取的任何补救措施不受影响的情况下，买方可在下列情况下向卖方发出书面通知书，提出终止部分或全部合同：</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(1)卖方未能在合同规定的限期或买方同意延长的限期内提供部分或全部合同货物。</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(2)卖方未能履行合同规定的其他任何义务。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14.2如果买方根据上述第19.1条的规定，终止了部分或全部合同，卖方除应退还终止的部分或全部货款外，还应按本合同第15.1条的规定承担不能交货的违约责任。同时，卖方仍应继续执行合同中未终止的部分。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14.3在终止合同后，买方有权按下面方式对卖方进行处置；</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(1)赔偿设备、材料损失和因卖方违约而造成的供货期延期的损失；</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(2)卖方退场，并向买方赔偿因卖方违约而造成的供货期延期的损失，以及买方更换新单位所发生的一切费用。</w:t>
      </w:r>
    </w:p>
    <w:p>
      <w:pPr>
        <w:pStyle w:val="2"/>
        <w:rPr>
          <w:rFonts w:hint="eastAsia" w:eastAsia="宋体"/>
          <w:color w:val="auto"/>
          <w:lang w:eastAsia="zh-CN"/>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3</w:t>
      </w:r>
      <w:r>
        <w:rPr>
          <w:rFonts w:hint="eastAsia" w:ascii="宋体" w:hAnsi="宋体" w:cs="宋体"/>
          <w:b w:val="0"/>
          <w:bCs w:val="0"/>
          <w:color w:val="auto"/>
          <w:sz w:val="24"/>
          <w:lang w:eastAsia="zh-CN"/>
        </w:rPr>
        <w:t>）因本协议纠纷之诉讼，由违约方承担守约方因此而支付包括但不限于诉讼费、律师费、保全费、担保费、咨询费、取证费、公证费、执行费等相关费用。</w:t>
      </w:r>
    </w:p>
    <w:p>
      <w:pPr>
        <w:spacing w:line="240" w:lineRule="auto"/>
        <w:ind w:firstLine="480" w:firstLineChars="200"/>
        <w:rPr>
          <w:rFonts w:hint="eastAsia" w:ascii="宋体" w:hAnsi="宋体" w:eastAsia="宋体" w:cs="宋体"/>
          <w:b w:val="0"/>
          <w:bCs w:val="0"/>
          <w:color w:val="auto"/>
          <w:sz w:val="24"/>
        </w:rPr>
      </w:pPr>
      <w:bookmarkStart w:id="172" w:name="_Toc258681756"/>
      <w:r>
        <w:rPr>
          <w:rFonts w:hint="eastAsia" w:ascii="宋体" w:hAnsi="宋体" w:eastAsia="宋体" w:cs="宋体"/>
          <w:b w:val="0"/>
          <w:bCs w:val="0"/>
          <w:color w:val="auto"/>
          <w:sz w:val="24"/>
        </w:rPr>
        <w:t>15、</w:t>
      </w:r>
      <w:bookmarkEnd w:id="172"/>
      <w:r>
        <w:rPr>
          <w:rFonts w:hint="eastAsia" w:ascii="宋体" w:hAnsi="宋体" w:eastAsia="宋体" w:cs="宋体"/>
          <w:b w:val="0"/>
          <w:bCs w:val="0"/>
          <w:color w:val="auto"/>
          <w:sz w:val="24"/>
        </w:rPr>
        <w:t>当卖方破产或丧失清偿能力，买方可在任何时候以书面形式通知卖方终止合同而不给卖方补偿。该终止合同的行为将不损害或影响买方在本合同项下已经或将要采取的任何其他行动或补救措施的权力。</w:t>
      </w:r>
    </w:p>
    <w:p>
      <w:pPr>
        <w:spacing w:line="240" w:lineRule="auto"/>
        <w:ind w:firstLine="480" w:firstLineChars="200"/>
        <w:rPr>
          <w:rFonts w:hint="eastAsia" w:ascii="宋体" w:hAnsi="宋体" w:eastAsia="宋体" w:cs="宋体"/>
          <w:b w:val="0"/>
          <w:bCs w:val="0"/>
          <w:color w:val="auto"/>
          <w:sz w:val="24"/>
        </w:rPr>
      </w:pPr>
      <w:bookmarkStart w:id="173" w:name="_Toc258681758"/>
      <w:r>
        <w:rPr>
          <w:rFonts w:hint="eastAsia" w:ascii="宋体" w:hAnsi="宋体" w:eastAsia="宋体" w:cs="宋体"/>
          <w:b w:val="0"/>
          <w:bCs w:val="0"/>
          <w:color w:val="auto"/>
          <w:sz w:val="24"/>
        </w:rPr>
        <w:t>16、合同修改</w:t>
      </w:r>
      <w:bookmarkEnd w:id="173"/>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16.1欲对合同条款作出任何改动，均须由买卖双方签署书面的合同修改书。</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16.2 卖方的书面承诺被买方接受后视作合同附件，与合同具有同等法律效力</w:t>
      </w:r>
      <w:bookmarkStart w:id="174" w:name="_Toc258681759"/>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17、转让和分包</w:t>
      </w:r>
      <w:bookmarkEnd w:id="174"/>
    </w:p>
    <w:p>
      <w:pPr>
        <w:spacing w:line="240" w:lineRule="auto"/>
        <w:ind w:firstLine="480" w:firstLineChars="200"/>
        <w:rPr>
          <w:rFonts w:hint="eastAsia" w:ascii="宋体" w:hAnsi="宋体" w:eastAsia="宋体" w:cs="宋体"/>
          <w:b w:val="0"/>
          <w:bCs w:val="0"/>
          <w:color w:val="auto"/>
          <w:sz w:val="24"/>
        </w:rPr>
      </w:pPr>
      <w:bookmarkStart w:id="175" w:name="_Toc258681760"/>
      <w:r>
        <w:rPr>
          <w:rFonts w:hint="eastAsia" w:ascii="宋体" w:hAnsi="宋体" w:eastAsia="宋体" w:cs="宋体"/>
          <w:b w:val="0"/>
          <w:bCs w:val="0"/>
          <w:color w:val="auto"/>
          <w:sz w:val="24"/>
        </w:rPr>
        <w:t>17.1本项目不允许以任何形式的转让和分包。</w:t>
      </w:r>
    </w:p>
    <w:bookmarkEnd w:id="175"/>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18、适用法律</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18.1本合同的适用法律为中华人民共和国的现行法律和地方法规。</w:t>
      </w:r>
    </w:p>
    <w:p>
      <w:pPr>
        <w:spacing w:line="240" w:lineRule="auto"/>
        <w:ind w:firstLine="480" w:firstLineChars="200"/>
        <w:rPr>
          <w:rFonts w:hint="eastAsia" w:ascii="宋体" w:hAnsi="宋体" w:eastAsia="宋体" w:cs="宋体"/>
          <w:b w:val="0"/>
          <w:bCs w:val="0"/>
          <w:color w:val="auto"/>
          <w:sz w:val="24"/>
        </w:rPr>
      </w:pPr>
      <w:bookmarkStart w:id="176" w:name="_Toc243904848"/>
      <w:bookmarkStart w:id="177" w:name="_Toc243905151"/>
      <w:bookmarkStart w:id="178" w:name="_Toc258681761"/>
      <w:r>
        <w:rPr>
          <w:rFonts w:hint="eastAsia" w:ascii="宋体" w:hAnsi="宋体" w:eastAsia="宋体" w:cs="宋体"/>
          <w:b w:val="0"/>
          <w:bCs w:val="0"/>
          <w:color w:val="auto"/>
          <w:sz w:val="24"/>
        </w:rPr>
        <w:t>19、适用语言和计量单位</w:t>
      </w:r>
      <w:bookmarkEnd w:id="176"/>
      <w:bookmarkEnd w:id="177"/>
      <w:bookmarkEnd w:id="178"/>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19.1本合同的适用语言为中文，所有与本合同有关的来往函件、通知及其他文件均应使用中文。</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19.2卖方可以提交用其他语言(原文)打印的资料，但必须翻译成中文，当原文和译文(中文)之间存有差异和/或矛盾时，以中文为准。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19.3除“项目采购需求”另有规定外，计量单位应使用国家标准规定法定计量单位。</w:t>
      </w:r>
    </w:p>
    <w:p>
      <w:pPr>
        <w:spacing w:line="240" w:lineRule="auto"/>
        <w:ind w:firstLine="480" w:firstLineChars="200"/>
        <w:rPr>
          <w:rFonts w:hint="eastAsia" w:ascii="宋体" w:hAnsi="宋体" w:eastAsia="宋体" w:cs="宋体"/>
          <w:b w:val="0"/>
          <w:bCs w:val="0"/>
          <w:color w:val="auto"/>
          <w:sz w:val="24"/>
        </w:rPr>
      </w:pPr>
      <w:bookmarkStart w:id="179" w:name="_Toc258681763"/>
      <w:r>
        <w:rPr>
          <w:rFonts w:hint="eastAsia" w:ascii="宋体" w:hAnsi="宋体" w:eastAsia="宋体" w:cs="宋体"/>
          <w:b w:val="0"/>
          <w:bCs w:val="0"/>
          <w:color w:val="auto"/>
          <w:sz w:val="24"/>
        </w:rPr>
        <w:t>20、通知</w:t>
      </w:r>
      <w:bookmarkEnd w:id="179"/>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20.1本合同一方给另一方的通知均应以书面或电报、电传或传真的形式发送，而另一方应以书面形式确认并送到对方明确的地址。</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20.2通知以送到日期或通知书的生效日期为生效日期，两者中以晚的一个日期为准。</w:t>
      </w:r>
    </w:p>
    <w:p>
      <w:pPr>
        <w:spacing w:line="240" w:lineRule="auto"/>
        <w:ind w:firstLine="480" w:firstLineChars="200"/>
        <w:rPr>
          <w:rFonts w:hint="eastAsia" w:ascii="宋体" w:hAnsi="宋体" w:eastAsia="宋体" w:cs="宋体"/>
          <w:b w:val="0"/>
          <w:bCs w:val="0"/>
          <w:color w:val="auto"/>
          <w:sz w:val="24"/>
        </w:rPr>
      </w:pPr>
      <w:bookmarkStart w:id="180" w:name="_Toc258681764"/>
      <w:r>
        <w:rPr>
          <w:rFonts w:hint="eastAsia" w:ascii="宋体" w:hAnsi="宋体" w:eastAsia="宋体" w:cs="宋体"/>
          <w:b w:val="0"/>
          <w:bCs w:val="0"/>
          <w:color w:val="auto"/>
          <w:sz w:val="24"/>
        </w:rPr>
        <w:t>21、合同文件及资料的使用</w:t>
      </w:r>
      <w:bookmarkEnd w:id="180"/>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21.1除了卖方执行合同人员外，在未经买方同意的情况下，卖方不得将合同、合同中规定、规格、计划、或卖方为上述内容向买方提供的资料透露给任何人。卖方须在对外保密的前提下，对其工作人员提供有关情况，所提供情况仅限于执行合同必不可少的范围内。</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21.2除非执行合同需要，在事先未得到买方书面同意的情况下，卖方不得使用第22.1款所列的任何文件和资料。</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21.3除合同本身以外列明的所有资料始终为买方财产，若买方要求，卖方应于其合同义务履行完毕后将这些资料（包括所有副本）退还买方。</w:t>
      </w:r>
    </w:p>
    <w:p>
      <w:pPr>
        <w:spacing w:line="240" w:lineRule="auto"/>
        <w:ind w:firstLine="480" w:firstLineChars="200"/>
        <w:rPr>
          <w:rFonts w:hint="eastAsia" w:ascii="宋体" w:hAnsi="宋体" w:eastAsia="宋体" w:cs="宋体"/>
          <w:b w:val="0"/>
          <w:bCs w:val="0"/>
          <w:color w:val="auto"/>
          <w:sz w:val="24"/>
        </w:rPr>
      </w:pPr>
      <w:bookmarkStart w:id="181" w:name="_Toc258681765"/>
      <w:r>
        <w:rPr>
          <w:rFonts w:hint="eastAsia" w:ascii="宋体" w:hAnsi="宋体" w:eastAsia="宋体" w:cs="宋体"/>
          <w:b w:val="0"/>
          <w:bCs w:val="0"/>
          <w:color w:val="auto"/>
          <w:sz w:val="24"/>
        </w:rPr>
        <w:t>22、合同生效及其它</w:t>
      </w:r>
      <w:bookmarkEnd w:id="181"/>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22.1合同一式</w:t>
      </w:r>
      <w:r>
        <w:rPr>
          <w:rFonts w:hint="eastAsia" w:ascii="宋体" w:hAnsi="宋体" w:cs="宋体"/>
          <w:b w:val="0"/>
          <w:bCs w:val="0"/>
          <w:color w:val="auto"/>
          <w:sz w:val="24"/>
          <w:lang w:eastAsia="zh-CN"/>
        </w:rPr>
        <w:t>肆</w:t>
      </w:r>
      <w:r>
        <w:rPr>
          <w:rFonts w:hint="eastAsia" w:ascii="宋体" w:hAnsi="宋体" w:eastAsia="宋体" w:cs="宋体"/>
          <w:b w:val="0"/>
          <w:bCs w:val="0"/>
          <w:color w:val="auto"/>
          <w:sz w:val="24"/>
        </w:rPr>
        <w:t>份，买卖双方各执</w:t>
      </w:r>
      <w:r>
        <w:rPr>
          <w:rFonts w:hint="eastAsia" w:ascii="宋体" w:hAnsi="宋体" w:cs="宋体"/>
          <w:b w:val="0"/>
          <w:bCs w:val="0"/>
          <w:color w:val="auto"/>
          <w:sz w:val="24"/>
          <w:lang w:eastAsia="zh-CN"/>
        </w:rPr>
        <w:t>贰</w:t>
      </w:r>
      <w:r>
        <w:rPr>
          <w:rFonts w:hint="eastAsia" w:ascii="宋体" w:hAnsi="宋体" w:eastAsia="宋体" w:cs="宋体"/>
          <w:b w:val="0"/>
          <w:bCs w:val="0"/>
          <w:color w:val="auto"/>
          <w:sz w:val="24"/>
        </w:rPr>
        <w:t>份；本合同经双方法定代表人或其授权的委托代理人签署并加盖法人公章后生效。</w:t>
      </w:r>
      <w:bookmarkStart w:id="182" w:name="_Toc6339"/>
    </w:p>
    <w:p>
      <w:pPr>
        <w:pStyle w:val="36"/>
        <w:ind w:left="0" w:leftChars="0" w:firstLine="0" w:firstLineChars="0"/>
        <w:rPr>
          <w:rFonts w:hint="eastAsia" w:ascii="宋体" w:hAnsi="宋体" w:eastAsia="宋体" w:cs="宋体"/>
          <w:b w:val="0"/>
          <w:bCs w:val="0"/>
          <w:color w:val="auto"/>
          <w:sz w:val="24"/>
        </w:rPr>
      </w:pPr>
    </w:p>
    <w:p>
      <w:pPr>
        <w:spacing w:line="240" w:lineRule="auto"/>
        <w:jc w:val="center"/>
        <w:outlineLvl w:val="0"/>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 xml:space="preserve">第五章  </w:t>
      </w:r>
      <w:r>
        <w:rPr>
          <w:rFonts w:hint="eastAsia" w:ascii="方正小标宋简体" w:hAnsi="方正小标宋简体" w:eastAsia="方正小标宋简体" w:cs="方正小标宋简体"/>
          <w:b w:val="0"/>
          <w:bCs w:val="0"/>
          <w:color w:val="auto"/>
          <w:sz w:val="28"/>
          <w:szCs w:val="28"/>
          <w:lang w:eastAsia="zh-CN"/>
        </w:rPr>
        <w:t>投标文件</w:t>
      </w:r>
      <w:r>
        <w:rPr>
          <w:rFonts w:hint="eastAsia" w:ascii="方正小标宋简体" w:hAnsi="方正小标宋简体" w:eastAsia="方正小标宋简体" w:cs="方正小标宋简体"/>
          <w:b w:val="0"/>
          <w:bCs w:val="0"/>
          <w:color w:val="auto"/>
          <w:sz w:val="28"/>
          <w:szCs w:val="28"/>
        </w:rPr>
        <w:t>格式</w:t>
      </w:r>
      <w:bookmarkEnd w:id="182"/>
    </w:p>
    <w:p>
      <w:pPr>
        <w:pStyle w:val="27"/>
        <w:rPr>
          <w:rFonts w:hint="eastAsia"/>
          <w:color w:val="auto"/>
        </w:rPr>
      </w:pPr>
    </w:p>
    <w:p>
      <w:pPr>
        <w:rPr>
          <w:rFonts w:hint="eastAsia"/>
          <w:color w:val="auto"/>
        </w:rPr>
      </w:pPr>
    </w:p>
    <w:p>
      <w:pPr>
        <w:spacing w:line="24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eastAsia="zh-CN"/>
        </w:rPr>
        <w:t>投标文件</w:t>
      </w:r>
      <w:r>
        <w:rPr>
          <w:rFonts w:hint="eastAsia" w:ascii="宋体" w:hAnsi="宋体" w:eastAsia="宋体" w:cs="宋体"/>
          <w:b w:val="0"/>
          <w:bCs w:val="0"/>
          <w:color w:val="auto"/>
          <w:sz w:val="24"/>
        </w:rPr>
        <w:t>封面</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1、商务经济文件（1）法定代表人授权书</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（2）投标函</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（3）投标报价一览表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（4）分项明细报价表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（5）备品、备件清单</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（6）商务条款偏离表</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（7）售后服务方案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（8）项目负责人及项目班子成员</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（9）资格文件</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2、技术文件（1）技术参数、功能偏离表</w:t>
      </w:r>
    </w:p>
    <w:p>
      <w:pPr>
        <w:pStyle w:val="1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（2）技术方案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（3）供货计划</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（4）施工方案</w:t>
      </w:r>
    </w:p>
    <w:p>
      <w:pPr>
        <w:pStyle w:val="17"/>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（5）投标人认为有必要的其他内容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420" w:leftChars="0"/>
        <w:textAlignment w:val="auto"/>
        <w:rPr>
          <w:rFonts w:hint="eastAsia" w:ascii="宋体" w:hAnsi="宋体" w:eastAsia="宋体" w:cs="宋体"/>
          <w:b w:val="0"/>
          <w:bCs w:val="0"/>
          <w:color w:val="auto"/>
          <w:sz w:val="24"/>
          <w:szCs w:val="24"/>
          <w:lang w:eastAsia="zh-CN"/>
        </w:rPr>
      </w:pPr>
    </w:p>
    <w:p>
      <w:pPr>
        <w:pStyle w:val="36"/>
        <w:ind w:left="0" w:leftChars="0" w:firstLine="0" w:firstLineChars="0"/>
        <w:rPr>
          <w:rFonts w:hint="eastAsia" w:ascii="方正小标宋简体" w:hAnsi="方正小标宋简体" w:eastAsia="方正小标宋简体" w:cs="方正小标宋简体"/>
          <w:b w:val="0"/>
          <w:bCs w:val="0"/>
          <w:color w:val="auto"/>
          <w:sz w:val="40"/>
          <w:szCs w:val="40"/>
          <w:lang w:eastAsia="zh-CN"/>
        </w:rPr>
      </w:pPr>
    </w:p>
    <w:p>
      <w:pPr>
        <w:pStyle w:val="36"/>
        <w:rPr>
          <w:rFonts w:hint="eastAsia" w:ascii="方正小标宋简体" w:hAnsi="方正小标宋简体" w:eastAsia="方正小标宋简体" w:cs="方正小标宋简体"/>
          <w:b w:val="0"/>
          <w:bCs w:val="0"/>
          <w:color w:val="auto"/>
          <w:sz w:val="40"/>
          <w:szCs w:val="40"/>
          <w:lang w:eastAsia="zh-CN"/>
        </w:rPr>
      </w:pPr>
    </w:p>
    <w:p>
      <w:pPr>
        <w:pStyle w:val="36"/>
        <w:rPr>
          <w:rFonts w:hint="eastAsia" w:ascii="方正小标宋简体" w:hAnsi="方正小标宋简体" w:eastAsia="方正小标宋简体" w:cs="方正小标宋简体"/>
          <w:b w:val="0"/>
          <w:bCs w:val="0"/>
          <w:color w:val="auto"/>
          <w:sz w:val="40"/>
          <w:szCs w:val="40"/>
          <w:lang w:eastAsia="zh-CN"/>
        </w:rPr>
      </w:pPr>
    </w:p>
    <w:p>
      <w:pPr>
        <w:pStyle w:val="36"/>
        <w:rPr>
          <w:rFonts w:hint="eastAsia" w:ascii="方正小标宋简体" w:hAnsi="方正小标宋简体" w:eastAsia="方正小标宋简体" w:cs="方正小标宋简体"/>
          <w:b w:val="0"/>
          <w:bCs w:val="0"/>
          <w:color w:val="auto"/>
          <w:sz w:val="40"/>
          <w:szCs w:val="40"/>
          <w:lang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ind w:left="0" w:leftChars="0" w:firstLine="0" w:firstLineChars="0"/>
        <w:rPr>
          <w:rFonts w:hint="eastAsia" w:ascii="Times New Roman" w:hAnsi="Times New Roman" w:eastAsia="宋体" w:cs="Times New Roman"/>
          <w:b/>
          <w:bCs/>
          <w:color w:val="auto"/>
          <w:spacing w:val="-20"/>
          <w:kern w:val="2"/>
          <w:sz w:val="72"/>
          <w:szCs w:val="72"/>
          <w:lang w:val="en-US" w:eastAsia="zh-CN"/>
        </w:rPr>
      </w:pPr>
    </w:p>
    <w:p>
      <w:pPr>
        <w:pStyle w:val="2"/>
        <w:jc w:val="right"/>
        <w:rPr>
          <w:rFonts w:hint="eastAsia" w:ascii="Times New Roman" w:hAnsi="Times New Roman" w:cs="Times New Roman"/>
          <w:b/>
          <w:bCs/>
          <w:color w:val="auto"/>
          <w:spacing w:val="-20"/>
          <w:kern w:val="2"/>
          <w:sz w:val="28"/>
          <w:szCs w:val="28"/>
          <w:lang w:val="en-US" w:eastAsia="zh-CN"/>
        </w:rPr>
      </w:pPr>
    </w:p>
    <w:p>
      <w:pPr>
        <w:pStyle w:val="2"/>
        <w:jc w:val="right"/>
        <w:rPr>
          <w:rFonts w:hint="eastAsia" w:ascii="Times New Roman" w:hAnsi="Times New Roman" w:cs="Times New Roman"/>
          <w:b/>
          <w:bCs/>
          <w:color w:val="auto"/>
          <w:spacing w:val="-20"/>
          <w:kern w:val="2"/>
          <w:sz w:val="28"/>
          <w:szCs w:val="28"/>
          <w:lang w:val="en-US" w:eastAsia="zh-CN"/>
        </w:rPr>
      </w:pPr>
    </w:p>
    <w:p>
      <w:pPr>
        <w:pStyle w:val="2"/>
        <w:jc w:val="right"/>
        <w:rPr>
          <w:rFonts w:hint="eastAsia" w:ascii="Times New Roman" w:hAnsi="Times New Roman" w:cs="Times New Roman"/>
          <w:b/>
          <w:bCs/>
          <w:color w:val="auto"/>
          <w:spacing w:val="-20"/>
          <w:kern w:val="2"/>
          <w:sz w:val="28"/>
          <w:szCs w:val="28"/>
          <w:lang w:val="en-US" w:eastAsia="zh-CN"/>
        </w:rPr>
      </w:pPr>
      <w:r>
        <w:rPr>
          <w:rFonts w:hint="eastAsia" w:ascii="Times New Roman" w:hAnsi="Times New Roman" w:cs="Times New Roman"/>
          <w:b/>
          <w:bCs/>
          <w:color w:val="auto"/>
          <w:spacing w:val="-20"/>
          <w:kern w:val="2"/>
          <w:sz w:val="28"/>
          <w:szCs w:val="28"/>
          <w:lang w:val="en-US" w:eastAsia="zh-CN"/>
        </w:rPr>
        <w:t>正本/副本</w:t>
      </w:r>
    </w:p>
    <w:p>
      <w:pPr>
        <w:pStyle w:val="2"/>
        <w:jc w:val="right"/>
        <w:rPr>
          <w:rFonts w:hint="eastAsia" w:ascii="Times New Roman" w:hAnsi="Times New Roman" w:cs="Times New Roman"/>
          <w:b/>
          <w:bCs/>
          <w:color w:val="auto"/>
          <w:spacing w:val="-20"/>
          <w:kern w:val="2"/>
          <w:sz w:val="28"/>
          <w:szCs w:val="28"/>
          <w:lang w:val="en-US" w:eastAsia="zh-CN"/>
        </w:rPr>
      </w:pPr>
    </w:p>
    <w:p>
      <w:pPr>
        <w:pStyle w:val="2"/>
        <w:jc w:val="right"/>
        <w:rPr>
          <w:rFonts w:hint="eastAsia" w:ascii="Times New Roman" w:hAnsi="Times New Roman" w:cs="Times New Roman"/>
          <w:b/>
          <w:bCs/>
          <w:color w:val="auto"/>
          <w:spacing w:val="-20"/>
          <w:kern w:val="2"/>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56"/>
          <w:szCs w:val="56"/>
          <w:lang w:eastAsia="zh-CN"/>
        </w:rPr>
      </w:pPr>
      <w:r>
        <w:rPr>
          <w:rFonts w:hint="eastAsia" w:ascii="方正小标宋简体" w:hAnsi="方正小标宋简体" w:eastAsia="方正小标宋简体" w:cs="方正小标宋简体"/>
          <w:b w:val="0"/>
          <w:bCs w:val="0"/>
          <w:color w:val="auto"/>
          <w:sz w:val="56"/>
          <w:szCs w:val="56"/>
          <w:lang w:val="en-US" w:eastAsia="zh-CN"/>
        </w:rPr>
        <w:t>塔城地区公安局交警支队监管指挥中心改扩建项目（施工）（二次）</w:t>
      </w:r>
    </w:p>
    <w:p>
      <w:pPr>
        <w:spacing w:line="360" w:lineRule="auto"/>
        <w:jc w:val="center"/>
        <w:rPr>
          <w:rFonts w:hint="eastAsia" w:ascii="方正小标宋简体" w:hAnsi="方正小标宋简体" w:eastAsia="方正小标宋简体" w:cs="方正小标宋简体"/>
          <w:b w:val="0"/>
          <w:bCs w:val="0"/>
          <w:color w:val="auto"/>
          <w:sz w:val="72"/>
          <w:szCs w:val="72"/>
          <w:lang w:eastAsia="zh-CN"/>
        </w:rPr>
      </w:pPr>
    </w:p>
    <w:p>
      <w:pPr>
        <w:spacing w:line="360" w:lineRule="auto"/>
        <w:jc w:val="center"/>
        <w:rPr>
          <w:rFonts w:hint="eastAsia" w:ascii="方正小标宋简体" w:hAnsi="方正小标宋简体" w:eastAsia="方正小标宋简体" w:cs="方正小标宋简体"/>
          <w:b w:val="0"/>
          <w:bCs w:val="0"/>
          <w:color w:val="auto"/>
          <w:sz w:val="72"/>
          <w:szCs w:val="72"/>
        </w:rPr>
      </w:pPr>
      <w:r>
        <w:rPr>
          <w:rFonts w:hint="eastAsia" w:ascii="方正小标宋简体" w:hAnsi="方正小标宋简体" w:eastAsia="方正小标宋简体" w:cs="方正小标宋简体"/>
          <w:b w:val="0"/>
          <w:bCs w:val="0"/>
          <w:color w:val="auto"/>
          <w:sz w:val="72"/>
          <w:szCs w:val="72"/>
          <w:lang w:eastAsia="zh-CN"/>
        </w:rPr>
        <w:t>投</w:t>
      </w:r>
      <w:r>
        <w:rPr>
          <w:rFonts w:hint="eastAsia" w:ascii="方正小标宋简体" w:hAnsi="方正小标宋简体" w:eastAsia="方正小标宋简体" w:cs="方正小标宋简体"/>
          <w:b w:val="0"/>
          <w:bCs w:val="0"/>
          <w:color w:val="auto"/>
          <w:sz w:val="72"/>
          <w:szCs w:val="72"/>
          <w:lang w:val="en-US" w:eastAsia="zh-CN"/>
        </w:rPr>
        <w:t xml:space="preserve"> </w:t>
      </w:r>
      <w:r>
        <w:rPr>
          <w:rFonts w:hint="eastAsia" w:ascii="方正小标宋简体" w:hAnsi="方正小标宋简体" w:eastAsia="方正小标宋简体" w:cs="方正小标宋简体"/>
          <w:b w:val="0"/>
          <w:bCs w:val="0"/>
          <w:color w:val="auto"/>
          <w:sz w:val="72"/>
          <w:szCs w:val="72"/>
          <w:lang w:eastAsia="zh-CN"/>
        </w:rPr>
        <w:t>标</w:t>
      </w:r>
      <w:r>
        <w:rPr>
          <w:rFonts w:hint="eastAsia" w:ascii="方正小标宋简体" w:hAnsi="方正小标宋简体" w:eastAsia="方正小标宋简体" w:cs="方正小标宋简体"/>
          <w:b w:val="0"/>
          <w:bCs w:val="0"/>
          <w:color w:val="auto"/>
          <w:sz w:val="72"/>
          <w:szCs w:val="72"/>
        </w:rPr>
        <w:t xml:space="preserve"> 文 件</w:t>
      </w:r>
    </w:p>
    <w:p>
      <w:pPr>
        <w:pStyle w:val="27"/>
        <w:jc w:val="center"/>
        <w:rPr>
          <w:rFonts w:hint="default"/>
          <w:color w:val="auto"/>
          <w:lang w:val="en-US"/>
        </w:rPr>
      </w:pPr>
      <w:r>
        <w:rPr>
          <w:rFonts w:hint="eastAsia" w:ascii="方正小标宋简体" w:hAnsi="方正小标宋简体" w:eastAsia="方正小标宋简体" w:cs="方正小标宋简体"/>
          <w:b w:val="0"/>
          <w:bCs w:val="0"/>
          <w:color w:val="auto"/>
          <w:kern w:val="0"/>
          <w:sz w:val="24"/>
          <w:lang w:eastAsia="zh-CN"/>
        </w:rPr>
        <w:t>招标</w:t>
      </w:r>
      <w:r>
        <w:rPr>
          <w:rFonts w:hint="eastAsia" w:ascii="方正小标宋简体" w:hAnsi="方正小标宋简体" w:eastAsia="方正小标宋简体" w:cs="方正小标宋简体"/>
          <w:b w:val="0"/>
          <w:bCs w:val="0"/>
          <w:color w:val="auto"/>
          <w:kern w:val="0"/>
          <w:sz w:val="24"/>
        </w:rPr>
        <w:t>文件编号</w:t>
      </w:r>
      <w:r>
        <w:rPr>
          <w:rFonts w:hint="eastAsia" w:ascii="方正小标宋简体" w:hAnsi="方正小标宋简体" w:eastAsia="方正小标宋简体" w:cs="方正小标宋简体"/>
          <w:b w:val="0"/>
          <w:bCs w:val="0"/>
          <w:color w:val="auto"/>
          <w:w w:val="95"/>
          <w:sz w:val="24"/>
        </w:rPr>
        <w:t>：</w:t>
      </w:r>
      <w:r>
        <w:rPr>
          <w:rFonts w:hint="eastAsia" w:asciiTheme="minorEastAsia" w:hAnsiTheme="minorEastAsia" w:eastAsiaTheme="minorEastAsia" w:cstheme="minorEastAsia"/>
          <w:b w:val="0"/>
          <w:bCs w:val="0"/>
          <w:color w:val="auto"/>
          <w:sz w:val="24"/>
          <w:lang w:val="en-US" w:eastAsia="zh-CN"/>
        </w:rPr>
        <w:t>GJGC2022-GC002（2）</w:t>
      </w:r>
    </w:p>
    <w:p>
      <w:pPr>
        <w:jc w:val="center"/>
        <w:rPr>
          <w:rFonts w:hint="eastAsia" w:ascii="方正小标宋简体" w:hAnsi="方正小标宋简体" w:eastAsia="方正小标宋简体" w:cs="方正小标宋简体"/>
          <w:b w:val="0"/>
          <w:bCs w:val="0"/>
          <w:color w:val="auto"/>
          <w:sz w:val="72"/>
          <w:szCs w:val="72"/>
        </w:rPr>
      </w:pPr>
    </w:p>
    <w:p>
      <w:pPr>
        <w:spacing w:line="360" w:lineRule="auto"/>
        <w:rPr>
          <w:rFonts w:hint="eastAsia" w:ascii="方正小标宋简体" w:hAnsi="方正小标宋简体" w:eastAsia="方正小标宋简体" w:cs="方正小标宋简体"/>
          <w:b w:val="0"/>
          <w:bCs w:val="0"/>
          <w:color w:val="auto"/>
        </w:rPr>
      </w:pPr>
    </w:p>
    <w:p>
      <w:pPr>
        <w:spacing w:line="360" w:lineRule="auto"/>
        <w:rPr>
          <w:rFonts w:hint="eastAsia" w:ascii="方正小标宋简体" w:hAnsi="方正小标宋简体" w:eastAsia="方正小标宋简体" w:cs="方正小标宋简体"/>
          <w:b w:val="0"/>
          <w:bCs w:val="0"/>
          <w:color w:val="auto"/>
        </w:rPr>
      </w:pPr>
    </w:p>
    <w:p>
      <w:pPr>
        <w:spacing w:line="360" w:lineRule="auto"/>
        <w:ind w:firstLine="602"/>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lang w:eastAsia="zh-CN"/>
        </w:rPr>
        <w:t>投标单位</w:t>
      </w:r>
      <w:r>
        <w:rPr>
          <w:rFonts w:hint="eastAsia" w:ascii="方正小标宋简体" w:hAnsi="方正小标宋简体" w:eastAsia="方正小标宋简体" w:cs="方正小标宋简体"/>
          <w:b w:val="0"/>
          <w:bCs w:val="0"/>
          <w:color w:val="auto"/>
          <w:sz w:val="28"/>
          <w:szCs w:val="28"/>
        </w:rPr>
        <w:t>： （单位名称）盖章</w:t>
      </w:r>
    </w:p>
    <w:p>
      <w:pPr>
        <w:spacing w:line="360" w:lineRule="auto"/>
        <w:rPr>
          <w:rFonts w:hint="eastAsia" w:ascii="方正小标宋简体" w:hAnsi="方正小标宋简体" w:eastAsia="方正小标宋简体" w:cs="方正小标宋简体"/>
          <w:b w:val="0"/>
          <w:bCs w:val="0"/>
          <w:color w:val="auto"/>
          <w:sz w:val="28"/>
          <w:szCs w:val="28"/>
        </w:rPr>
      </w:pPr>
    </w:p>
    <w:p>
      <w:pPr>
        <w:spacing w:line="360" w:lineRule="auto"/>
        <w:ind w:firstLine="602"/>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单位地址：</w:t>
      </w:r>
    </w:p>
    <w:p>
      <w:pPr>
        <w:spacing w:line="360" w:lineRule="auto"/>
        <w:ind w:firstLine="602"/>
        <w:rPr>
          <w:rFonts w:hint="eastAsia" w:ascii="方正小标宋简体" w:hAnsi="方正小标宋简体" w:eastAsia="方正小标宋简体" w:cs="方正小标宋简体"/>
          <w:b w:val="0"/>
          <w:bCs w:val="0"/>
          <w:color w:val="auto"/>
          <w:sz w:val="28"/>
          <w:szCs w:val="28"/>
        </w:rPr>
      </w:pPr>
    </w:p>
    <w:p>
      <w:pPr>
        <w:pStyle w:val="17"/>
        <w:ind w:firstLine="560" w:firstLineChars="200"/>
        <w:outlineLvl w:val="0"/>
        <w:rPr>
          <w:rFonts w:hint="eastAsia" w:ascii="方正小标宋简体" w:hAnsi="方正小标宋简体" w:eastAsia="方正小标宋简体" w:cs="方正小标宋简体"/>
          <w:b w:val="0"/>
          <w:bCs w:val="0"/>
          <w:color w:val="auto"/>
          <w:sz w:val="28"/>
          <w:szCs w:val="28"/>
        </w:rPr>
      </w:pPr>
      <w:bookmarkStart w:id="183" w:name="_Toc24349"/>
      <w:r>
        <w:rPr>
          <w:rFonts w:hint="eastAsia" w:ascii="方正小标宋简体" w:hAnsi="方正小标宋简体" w:eastAsia="方正小标宋简体" w:cs="方正小标宋简体"/>
          <w:b w:val="0"/>
          <w:bCs w:val="0"/>
          <w:color w:val="auto"/>
          <w:sz w:val="28"/>
          <w:szCs w:val="28"/>
        </w:rPr>
        <w:t>联系人：                   联系电话：</w:t>
      </w:r>
      <w:bookmarkEnd w:id="183"/>
    </w:p>
    <w:p>
      <w:pPr>
        <w:pStyle w:val="17"/>
        <w:ind w:firstLine="560" w:firstLineChars="200"/>
        <w:outlineLvl w:val="0"/>
        <w:rPr>
          <w:rFonts w:hint="eastAsia" w:ascii="方正小标宋简体" w:hAnsi="方正小标宋简体" w:eastAsia="方正小标宋简体" w:cs="方正小标宋简体"/>
          <w:b w:val="0"/>
          <w:bCs w:val="0"/>
          <w:color w:val="auto"/>
          <w:sz w:val="28"/>
          <w:szCs w:val="28"/>
        </w:rPr>
      </w:pPr>
    </w:p>
    <w:p>
      <w:pPr>
        <w:pStyle w:val="17"/>
        <w:ind w:firstLine="560" w:firstLineChars="200"/>
        <w:outlineLvl w:val="0"/>
        <w:rPr>
          <w:rFonts w:hint="eastAsia" w:ascii="方正小标宋简体" w:hAnsi="方正小标宋简体" w:eastAsia="方正小标宋简体" w:cs="方正小标宋简体"/>
          <w:b w:val="0"/>
          <w:bCs w:val="0"/>
          <w:color w:val="auto"/>
          <w:sz w:val="28"/>
          <w:szCs w:val="28"/>
        </w:rPr>
      </w:pPr>
    </w:p>
    <w:p>
      <w:pPr>
        <w:spacing w:line="540" w:lineRule="exact"/>
        <w:outlineLvl w:val="0"/>
        <w:rPr>
          <w:rFonts w:hint="eastAsia" w:ascii="宋体" w:hAnsi="宋体" w:eastAsia="宋体" w:cs="宋体"/>
          <w:b/>
          <w:color w:val="auto"/>
          <w:sz w:val="28"/>
        </w:rPr>
      </w:pPr>
      <w:bookmarkStart w:id="184" w:name="_Toc13880"/>
      <w:bookmarkStart w:id="185" w:name="_Toc12826"/>
      <w:r>
        <w:rPr>
          <w:rFonts w:hint="eastAsia" w:ascii="宋体" w:hAnsi="宋体" w:eastAsia="宋体" w:cs="宋体"/>
          <w:b/>
          <w:color w:val="auto"/>
          <w:sz w:val="28"/>
        </w:rPr>
        <w:t>附件</w:t>
      </w:r>
      <w:r>
        <w:rPr>
          <w:rFonts w:hint="eastAsia" w:ascii="宋体" w:hAnsi="宋体" w:eastAsia="宋体" w:cs="宋体"/>
          <w:b/>
          <w:color w:val="auto"/>
          <w:sz w:val="28"/>
          <w:lang w:eastAsia="zh-CN"/>
        </w:rPr>
        <w:t>一</w:t>
      </w:r>
      <w:r>
        <w:rPr>
          <w:rFonts w:hint="eastAsia" w:ascii="宋体" w:hAnsi="宋体" w:eastAsia="宋体" w:cs="宋体"/>
          <w:b/>
          <w:color w:val="auto"/>
          <w:sz w:val="28"/>
        </w:rPr>
        <w:t xml:space="preserve">  </w:t>
      </w:r>
      <w:r>
        <w:rPr>
          <w:rFonts w:hint="eastAsia" w:ascii="宋体" w:hAnsi="宋体" w:eastAsia="宋体" w:cs="宋体"/>
          <w:b/>
          <w:color w:val="auto"/>
          <w:sz w:val="28"/>
          <w:szCs w:val="28"/>
        </w:rPr>
        <w:t>法定代表人授权书</w:t>
      </w:r>
      <w:bookmarkEnd w:id="184"/>
      <w:bookmarkEnd w:id="185"/>
    </w:p>
    <w:p>
      <w:pPr>
        <w:spacing w:line="540" w:lineRule="exact"/>
        <w:ind w:left="-1454"/>
        <w:jc w:val="center"/>
        <w:rPr>
          <w:rFonts w:hint="eastAsia" w:ascii="宋体" w:hAnsi="宋体" w:eastAsia="宋体" w:cs="宋体"/>
          <w:b/>
          <w:color w:val="auto"/>
          <w:sz w:val="28"/>
        </w:rPr>
      </w:pPr>
      <w:r>
        <w:rPr>
          <w:rFonts w:hint="eastAsia" w:ascii="宋体" w:hAnsi="宋体" w:eastAsia="宋体" w:cs="宋体"/>
          <w:b/>
          <w:color w:val="auto"/>
          <w:sz w:val="28"/>
        </w:rPr>
        <w:t xml:space="preserve">             </w:t>
      </w:r>
    </w:p>
    <w:p>
      <w:pPr>
        <w:jc w:val="center"/>
        <w:rPr>
          <w:rFonts w:hint="eastAsia" w:ascii="宋体" w:hAnsi="宋体" w:eastAsia="宋体" w:cs="宋体"/>
          <w:color w:val="auto"/>
          <w:sz w:val="36"/>
        </w:rPr>
      </w:pPr>
      <w:r>
        <w:rPr>
          <w:rFonts w:hint="eastAsia" w:ascii="宋体" w:hAnsi="宋体" w:eastAsia="宋体" w:cs="宋体"/>
          <w:color w:val="auto"/>
          <w:sz w:val="36"/>
        </w:rPr>
        <w:t>法定代表人授权书</w:t>
      </w:r>
    </w:p>
    <w:p>
      <w:pPr>
        <w:spacing w:line="540" w:lineRule="exact"/>
        <w:rPr>
          <w:rFonts w:hint="eastAsia" w:ascii="宋体" w:hAnsi="宋体" w:eastAsia="宋体" w:cs="宋体"/>
          <w:color w:val="auto"/>
          <w:sz w:val="28"/>
        </w:rPr>
      </w:pPr>
    </w:p>
    <w:p>
      <w:pPr>
        <w:spacing w:line="360" w:lineRule="auto"/>
        <w:ind w:firstLine="570"/>
        <w:jc w:val="left"/>
        <w:rPr>
          <w:rFonts w:hint="eastAsia" w:ascii="宋体" w:hAnsi="宋体" w:eastAsia="宋体" w:cs="宋体"/>
          <w:color w:val="auto"/>
          <w:sz w:val="28"/>
        </w:rPr>
      </w:pPr>
      <w:r>
        <w:rPr>
          <w:rFonts w:hint="eastAsia" w:ascii="宋体" w:hAnsi="宋体" w:eastAsia="宋体" w:cs="宋体"/>
          <w:color w:val="auto"/>
          <w:sz w:val="28"/>
        </w:rPr>
        <w:t xml:space="preserve">  本授权书声明：</w:t>
      </w:r>
      <w:r>
        <w:rPr>
          <w:rFonts w:hint="eastAsia" w:ascii="宋体" w:hAnsi="宋体" w:eastAsia="宋体" w:cs="宋体"/>
          <w:color w:val="auto"/>
          <w:sz w:val="28"/>
          <w:u w:val="single"/>
        </w:rPr>
        <w:t xml:space="preserve">                                    </w:t>
      </w:r>
      <w:r>
        <w:rPr>
          <w:rFonts w:hint="eastAsia" w:ascii="宋体" w:hAnsi="宋体" w:eastAsia="宋体" w:cs="宋体"/>
          <w:color w:val="auto"/>
          <w:sz w:val="28"/>
        </w:rPr>
        <w:t>的法定代表人</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（姓名）代表本公司授权：</w:t>
      </w:r>
      <w:r>
        <w:rPr>
          <w:rFonts w:hint="eastAsia" w:ascii="宋体" w:hAnsi="宋体" w:eastAsia="宋体" w:cs="宋体"/>
          <w:color w:val="auto"/>
          <w:sz w:val="28"/>
          <w:u w:val="single"/>
        </w:rPr>
        <w:t xml:space="preserve">              </w:t>
      </w:r>
      <w:r>
        <w:rPr>
          <w:rFonts w:hint="eastAsia" w:ascii="宋体" w:hAnsi="宋体" w:eastAsia="宋体" w:cs="宋体"/>
          <w:color w:val="auto"/>
          <w:sz w:val="28"/>
        </w:rPr>
        <w:t>（被授权人的姓名、职务）为本公司的合法代理人， 就</w:t>
      </w:r>
      <w:r>
        <w:rPr>
          <w:rFonts w:hint="eastAsia" w:ascii="宋体" w:hAnsi="宋体" w:eastAsia="宋体" w:cs="宋体"/>
          <w:color w:val="auto"/>
          <w:sz w:val="28"/>
          <w:u w:val="single"/>
        </w:rPr>
        <w:t xml:space="preserve"> </w:t>
      </w:r>
      <w:r>
        <w:rPr>
          <w:rFonts w:hint="eastAsia" w:ascii="宋体" w:hAnsi="宋体" w:cs="宋体"/>
          <w:color w:val="auto"/>
          <w:sz w:val="28"/>
          <w:u w:val="single"/>
          <w:lang w:val="en-US" w:eastAsia="zh-CN"/>
        </w:rPr>
        <w:t xml:space="preserve">                         </w:t>
      </w:r>
      <w:r>
        <w:rPr>
          <w:rFonts w:hint="eastAsia" w:ascii="宋体" w:hAnsi="宋体" w:eastAsia="宋体" w:cs="宋体"/>
          <w:color w:val="auto"/>
          <w:sz w:val="28"/>
        </w:rPr>
        <w:t>项目进行投标及合同的执行和完成，并以本公司名义处理一切与之有关的事务。</w:t>
      </w:r>
    </w:p>
    <w:p>
      <w:pPr>
        <w:spacing w:line="360" w:lineRule="auto"/>
        <w:ind w:firstLine="570"/>
        <w:rPr>
          <w:rFonts w:hint="eastAsia" w:ascii="宋体" w:hAnsi="宋体" w:eastAsia="宋体" w:cs="宋体"/>
          <w:color w:val="auto"/>
          <w:sz w:val="28"/>
        </w:rPr>
      </w:pPr>
      <w:r>
        <w:rPr>
          <w:rFonts w:hint="eastAsia" w:ascii="宋体" w:hAnsi="宋体" w:eastAsia="宋体" w:cs="宋体"/>
          <w:color w:val="auto"/>
          <w:sz w:val="28"/>
        </w:rPr>
        <w:t>本授权书生效于</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日至</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日止，特此声明。</w:t>
      </w:r>
    </w:p>
    <w:p>
      <w:pPr>
        <w:spacing w:line="540" w:lineRule="exact"/>
        <w:rPr>
          <w:rFonts w:hint="eastAsia" w:ascii="宋体" w:hAnsi="宋体" w:eastAsia="宋体" w:cs="宋体"/>
          <w:color w:val="auto"/>
          <w:sz w:val="28"/>
        </w:rPr>
      </w:pPr>
      <w:r>
        <w:rPr>
          <w:color w:val="auto"/>
        </w:rPr>
        <w:pict>
          <v:shape id="_x0000_s2050" o:spid="_x0000_s2050" o:spt="202" type="#_x0000_t202" style="position:absolute;left:0pt;margin-left:105.9pt;margin-top:9.9pt;height:193.6pt;width:383.4pt;mso-position-horizontal-relative:page;mso-wrap-distance-bottom:0pt;mso-wrap-distance-top:0pt;z-index:-251656192;mso-width-relative:page;mso-height-relative:page;" filled="f" stroked="t" coordsize="21600,21600">
            <v:path/>
            <v:fill on="f" focussize="0,0"/>
            <v:stroke weight="0.48pt" color="#000000"/>
            <v:imagedata o:title=""/>
            <o:lock v:ext="edit"/>
            <v:textbox inset="0mm,0mm,0mm,0mm">
              <w:txbxContent>
                <w:p>
                  <w:pPr>
                    <w:pStyle w:val="13"/>
                    <w:ind w:left="0"/>
                    <w:rPr>
                      <w:rFonts w:ascii="Times New Roman"/>
                    </w:rPr>
                  </w:pPr>
                </w:p>
                <w:p>
                  <w:pPr>
                    <w:pStyle w:val="13"/>
                    <w:ind w:left="0"/>
                    <w:rPr>
                      <w:rFonts w:ascii="Times New Roman"/>
                    </w:rPr>
                  </w:pPr>
                </w:p>
                <w:p>
                  <w:pPr>
                    <w:pStyle w:val="13"/>
                    <w:ind w:left="0"/>
                    <w:rPr>
                      <w:rFonts w:ascii="Times New Roman"/>
                    </w:rPr>
                  </w:pPr>
                </w:p>
                <w:p>
                  <w:pPr>
                    <w:pStyle w:val="13"/>
                    <w:ind w:left="0"/>
                    <w:rPr>
                      <w:rFonts w:ascii="Times New Roman"/>
                    </w:rPr>
                  </w:pPr>
                </w:p>
                <w:p>
                  <w:pPr>
                    <w:pStyle w:val="13"/>
                    <w:ind w:left="0"/>
                    <w:rPr>
                      <w:rFonts w:ascii="Times New Roman"/>
                    </w:rPr>
                  </w:pPr>
                </w:p>
                <w:p>
                  <w:pPr>
                    <w:pStyle w:val="13"/>
                    <w:spacing w:before="5"/>
                    <w:ind w:left="0"/>
                    <w:rPr>
                      <w:rFonts w:ascii="Times New Roman"/>
                    </w:rPr>
                  </w:pPr>
                </w:p>
                <w:p>
                  <w:pPr>
                    <w:pStyle w:val="13"/>
                    <w:spacing w:before="1"/>
                    <w:ind w:left="2608" w:right="2609"/>
                    <w:jc w:val="center"/>
                  </w:pPr>
                  <w:r>
                    <w:t>被授权人身份证正反面</w:t>
                  </w:r>
                  <w:r>
                    <w:rPr>
                      <w:rFonts w:hint="eastAsia"/>
                      <w:lang w:eastAsia="zh-CN"/>
                    </w:rPr>
                    <w:t>扫描件</w:t>
                  </w:r>
                </w:p>
              </w:txbxContent>
            </v:textbox>
            <w10:wrap type="topAndBottom"/>
          </v:shape>
        </w:pict>
      </w:r>
    </w:p>
    <w:p>
      <w:pPr>
        <w:spacing w:line="540" w:lineRule="exact"/>
        <w:rPr>
          <w:rFonts w:hint="eastAsia" w:ascii="宋体" w:hAnsi="宋体" w:eastAsia="宋体" w:cs="宋体"/>
          <w:color w:val="auto"/>
          <w:sz w:val="28"/>
        </w:rPr>
      </w:pPr>
    </w:p>
    <w:p>
      <w:pPr>
        <w:spacing w:line="540" w:lineRule="exact"/>
        <w:ind w:firstLine="570"/>
        <w:rPr>
          <w:rFonts w:hint="eastAsia" w:ascii="宋体" w:hAnsi="宋体" w:eastAsia="宋体" w:cs="宋体"/>
          <w:color w:val="auto"/>
          <w:sz w:val="28"/>
        </w:rPr>
      </w:pPr>
      <w:r>
        <w:rPr>
          <w:rFonts w:hint="eastAsia" w:ascii="宋体" w:hAnsi="宋体" w:eastAsia="宋体" w:cs="宋体"/>
          <w:color w:val="auto"/>
          <w:sz w:val="28"/>
        </w:rPr>
        <w:t>授权代表签字盖章：</w:t>
      </w:r>
    </w:p>
    <w:p>
      <w:pPr>
        <w:spacing w:line="540" w:lineRule="exact"/>
        <w:ind w:firstLine="570"/>
        <w:rPr>
          <w:rFonts w:hint="eastAsia" w:ascii="宋体" w:hAnsi="宋体" w:eastAsia="宋体" w:cs="宋体"/>
          <w:color w:val="auto"/>
          <w:sz w:val="28"/>
        </w:rPr>
      </w:pPr>
    </w:p>
    <w:p>
      <w:pPr>
        <w:spacing w:line="540" w:lineRule="exact"/>
        <w:ind w:firstLine="570"/>
        <w:rPr>
          <w:rFonts w:hint="eastAsia" w:ascii="宋体" w:hAnsi="宋体" w:eastAsia="宋体" w:cs="宋体"/>
          <w:color w:val="auto"/>
          <w:sz w:val="32"/>
        </w:rPr>
      </w:pPr>
      <w:r>
        <w:rPr>
          <w:rFonts w:hint="eastAsia" w:ascii="宋体" w:hAnsi="宋体" w:eastAsia="宋体" w:cs="宋体"/>
          <w:color w:val="auto"/>
          <w:sz w:val="28"/>
        </w:rPr>
        <w:t>代理人（被授权人）签字</w:t>
      </w:r>
      <w:r>
        <w:rPr>
          <w:rFonts w:hint="eastAsia" w:ascii="宋体" w:hAnsi="宋体" w:eastAsia="宋体" w:cs="宋体"/>
          <w:color w:val="auto"/>
          <w:sz w:val="32"/>
        </w:rPr>
        <w:t>：</w:t>
      </w:r>
      <w:r>
        <w:rPr>
          <w:rFonts w:hint="eastAsia" w:ascii="宋体" w:hAnsi="宋体" w:eastAsia="宋体" w:cs="宋体"/>
          <w:color w:val="auto"/>
          <w:sz w:val="32"/>
          <w:u w:val="single"/>
        </w:rPr>
        <w:t xml:space="preserve">                </w:t>
      </w:r>
    </w:p>
    <w:p>
      <w:pPr>
        <w:spacing w:before="310" w:beforeLines="0" w:line="540" w:lineRule="exact"/>
        <w:ind w:firstLine="573"/>
        <w:rPr>
          <w:rFonts w:hint="eastAsia" w:ascii="宋体" w:hAnsi="宋体" w:eastAsia="宋体" w:cs="宋体"/>
          <w:color w:val="auto"/>
          <w:sz w:val="28"/>
        </w:rPr>
      </w:pPr>
      <w:r>
        <w:rPr>
          <w:rFonts w:hint="eastAsia" w:ascii="宋体" w:hAnsi="宋体" w:eastAsia="宋体" w:cs="宋体"/>
          <w:color w:val="auto"/>
          <w:sz w:val="28"/>
        </w:rPr>
        <w:t>授权单位（盖章）：</w:t>
      </w:r>
    </w:p>
    <w:p>
      <w:pPr>
        <w:spacing w:before="310" w:beforeLines="0" w:line="540" w:lineRule="exact"/>
        <w:rPr>
          <w:rFonts w:hint="eastAsia" w:ascii="宋体" w:hAnsi="宋体" w:eastAsia="宋体" w:cs="宋体"/>
          <w:color w:val="auto"/>
          <w:sz w:val="28"/>
        </w:rPr>
      </w:pPr>
      <w:r>
        <w:rPr>
          <w:rFonts w:hint="eastAsia" w:ascii="宋体" w:hAnsi="宋体" w:eastAsia="宋体" w:cs="宋体"/>
          <w:color w:val="auto"/>
          <w:sz w:val="28"/>
        </w:rPr>
        <w:t xml:space="preserve">授权时间：     </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pStyle w:val="27"/>
        <w:rPr>
          <w:rFonts w:hint="eastAsia"/>
          <w:color w:val="auto"/>
        </w:rPr>
      </w:pPr>
    </w:p>
    <w:p>
      <w:pPr>
        <w:rPr>
          <w:rFonts w:hint="eastAsia"/>
          <w:color w:val="auto"/>
        </w:rPr>
      </w:pPr>
    </w:p>
    <w:p>
      <w:pPr>
        <w:spacing w:line="540" w:lineRule="exact"/>
        <w:outlineLvl w:val="0"/>
        <w:rPr>
          <w:rFonts w:hint="eastAsia" w:ascii="宋体" w:hAnsi="宋体" w:eastAsia="宋体" w:cs="宋体"/>
          <w:b/>
          <w:color w:val="auto"/>
          <w:sz w:val="28"/>
        </w:rPr>
      </w:pPr>
      <w:bookmarkStart w:id="186" w:name="_Toc14828"/>
      <w:bookmarkStart w:id="187" w:name="_Toc32437"/>
      <w:r>
        <w:rPr>
          <w:rFonts w:hint="eastAsia" w:ascii="宋体" w:hAnsi="宋体" w:eastAsia="宋体" w:cs="宋体"/>
          <w:b/>
          <w:color w:val="auto"/>
          <w:sz w:val="28"/>
        </w:rPr>
        <w:t>附件</w:t>
      </w:r>
      <w:r>
        <w:rPr>
          <w:rFonts w:hint="eastAsia" w:ascii="宋体" w:hAnsi="宋体" w:eastAsia="宋体" w:cs="宋体"/>
          <w:b/>
          <w:color w:val="auto"/>
          <w:sz w:val="28"/>
          <w:lang w:eastAsia="zh-CN"/>
        </w:rPr>
        <w:t>二</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投标函</w:t>
      </w:r>
      <w:bookmarkEnd w:id="186"/>
      <w:bookmarkEnd w:id="187"/>
    </w:p>
    <w:p>
      <w:pPr>
        <w:spacing w:line="540" w:lineRule="exact"/>
        <w:jc w:val="center"/>
        <w:rPr>
          <w:rFonts w:hint="eastAsia" w:ascii="宋体" w:hAnsi="宋体" w:eastAsia="宋体" w:cs="宋体"/>
          <w:color w:val="auto"/>
          <w:sz w:val="28"/>
        </w:rPr>
      </w:pPr>
      <w:r>
        <w:rPr>
          <w:rFonts w:hint="eastAsia" w:ascii="宋体" w:hAnsi="宋体" w:eastAsia="宋体" w:cs="宋体"/>
          <w:color w:val="auto"/>
          <w:sz w:val="36"/>
        </w:rPr>
        <w:t>投标函</w:t>
      </w:r>
      <w:r>
        <w:rPr>
          <w:rFonts w:hint="eastAsia" w:ascii="宋体" w:hAnsi="宋体" w:eastAsia="宋体" w:cs="宋体"/>
          <w:color w:val="auto"/>
          <w:sz w:val="24"/>
        </w:rPr>
        <w:t>（格式）</w:t>
      </w:r>
    </w:p>
    <w:p>
      <w:pPr>
        <w:spacing w:line="360" w:lineRule="auto"/>
        <w:rPr>
          <w:rFonts w:hint="eastAsia" w:ascii="宋体" w:hAnsi="宋体" w:eastAsia="宋体" w:cs="宋体"/>
          <w:color w:val="auto"/>
          <w:sz w:val="24"/>
        </w:rPr>
      </w:pPr>
      <w:r>
        <w:rPr>
          <w:rFonts w:hint="eastAsia" w:ascii="宋体" w:hAnsi="宋体" w:eastAsia="宋体" w:cs="宋体"/>
          <w:color w:val="auto"/>
          <w:sz w:val="28"/>
        </w:rPr>
        <w:t xml:space="preserve"> </w:t>
      </w:r>
      <w:r>
        <w:rPr>
          <w:rFonts w:hint="eastAsia" w:ascii="宋体" w:hAnsi="宋体" w:eastAsia="宋体" w:cs="宋体"/>
          <w:color w:val="auto"/>
          <w:sz w:val="24"/>
        </w:rPr>
        <w:t xml:space="preserve">   致：</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伊犁哈萨克自治州塔城地区公安局</w:t>
      </w:r>
      <w:r>
        <w:rPr>
          <w:rFonts w:hint="eastAsia" w:ascii="宋体" w:hAnsi="宋体" w:eastAsia="宋体" w:cs="宋体"/>
          <w:color w:val="auto"/>
          <w:sz w:val="24"/>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cs="宋体"/>
          <w:color w:val="auto"/>
          <w:sz w:val="24"/>
          <w:u w:val="single"/>
          <w:lang w:val="en-US" w:eastAsia="zh-CN"/>
        </w:rPr>
        <w:t>塔城地区公安局交警支队监管指挥中心改扩建项目（施工）（二次）</w:t>
      </w:r>
      <w:r>
        <w:rPr>
          <w:rFonts w:hint="eastAsia" w:ascii="宋体" w:hAnsi="宋体" w:eastAsia="宋体" w:cs="宋体"/>
          <w:color w:val="auto"/>
          <w:sz w:val="24"/>
        </w:rPr>
        <w:t>招标文件（</w:t>
      </w:r>
      <w:r>
        <w:rPr>
          <w:rFonts w:hint="eastAsia" w:ascii="宋体" w:hAnsi="宋体" w:eastAsia="宋体" w:cs="宋体"/>
          <w:color w:val="auto"/>
          <w:sz w:val="24"/>
          <w:lang w:eastAsia="zh-CN"/>
        </w:rPr>
        <w:t>项目</w:t>
      </w:r>
      <w:r>
        <w:rPr>
          <w:rFonts w:hint="eastAsia" w:ascii="宋体" w:hAnsi="宋体" w:eastAsia="宋体" w:cs="宋体"/>
          <w:color w:val="auto"/>
          <w:sz w:val="24"/>
        </w:rPr>
        <w:t>编号</w:t>
      </w:r>
      <w:r>
        <w:rPr>
          <w:rFonts w:hint="eastAsia" w:ascii="宋体" w:hAnsi="宋体" w:cs="宋体"/>
          <w:color w:val="auto"/>
          <w:sz w:val="24"/>
          <w:lang w:eastAsia="zh-CN"/>
        </w:rPr>
        <w:t>GJ</w:t>
      </w:r>
      <w:r>
        <w:rPr>
          <w:rFonts w:hint="eastAsia" w:ascii="宋体" w:hAnsi="宋体" w:cs="宋体"/>
          <w:color w:val="auto"/>
          <w:sz w:val="24"/>
          <w:lang w:val="en-US" w:eastAsia="zh-CN"/>
        </w:rPr>
        <w:t>GC2022-GC002（2）</w:t>
      </w:r>
      <w:r>
        <w:rPr>
          <w:rFonts w:hint="eastAsia" w:ascii="宋体" w:hAnsi="宋体" w:eastAsia="宋体" w:cs="宋体"/>
          <w:color w:val="auto"/>
          <w:sz w:val="24"/>
        </w:rPr>
        <w:t>），我单位经考察现场并充分研究贵方的招标文件后，我方提出以下承诺：</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l、愿意按照招标文件的一切要求，提供以上设备，同时负责运输、包装、运杂保险、装卸、安装、培训、售后服务等，总价格及明细见《</w:t>
      </w:r>
      <w:r>
        <w:rPr>
          <w:rFonts w:hint="eastAsia" w:ascii="宋体" w:hAnsi="宋体" w:eastAsia="宋体" w:cs="宋体"/>
          <w:color w:val="auto"/>
          <w:sz w:val="24"/>
          <w:lang w:eastAsia="zh-CN"/>
        </w:rPr>
        <w:t>投标</w:t>
      </w:r>
      <w:r>
        <w:rPr>
          <w:rFonts w:hint="eastAsia" w:ascii="宋体" w:hAnsi="宋体" w:eastAsia="宋体" w:cs="宋体"/>
          <w:color w:val="auto"/>
          <w:sz w:val="24"/>
        </w:rPr>
        <w:t>报价</w:t>
      </w:r>
      <w:r>
        <w:rPr>
          <w:rFonts w:hint="eastAsia" w:ascii="宋体" w:hAnsi="宋体" w:eastAsia="宋体" w:cs="宋体"/>
          <w:color w:val="auto"/>
          <w:sz w:val="24"/>
          <w:lang w:eastAsia="zh-CN"/>
        </w:rPr>
        <w:t>一览</w:t>
      </w:r>
      <w:r>
        <w:rPr>
          <w:rFonts w:hint="eastAsia" w:ascii="宋体" w:hAnsi="宋体" w:eastAsia="宋体" w:cs="宋体"/>
          <w:color w:val="auto"/>
          <w:sz w:val="24"/>
        </w:rPr>
        <w:t>表》。</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2、如果我们的投标文件被接受，我们将严格履行招标文件中规定的每一项要求，按期、按质、按量履行供货义务。并免费提供</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3</w:t>
      </w:r>
      <w:r>
        <w:rPr>
          <w:rFonts w:hint="eastAsia" w:ascii="宋体" w:hAnsi="宋体" w:eastAsia="宋体" w:cs="宋体"/>
          <w:color w:val="auto"/>
          <w:sz w:val="24"/>
          <w:u w:val="single"/>
        </w:rPr>
        <w:t xml:space="preserve"> </w:t>
      </w:r>
      <w:r>
        <w:rPr>
          <w:rFonts w:hint="eastAsia" w:ascii="宋体" w:hAnsi="宋体" w:eastAsia="宋体" w:cs="宋体"/>
          <w:color w:val="auto"/>
          <w:sz w:val="24"/>
        </w:rPr>
        <w:t>年的</w:t>
      </w:r>
      <w:r>
        <w:rPr>
          <w:rFonts w:hint="eastAsia" w:hAnsi="宋体" w:cs="宋体"/>
          <w:b w:val="0"/>
          <w:bCs w:val="0"/>
          <w:color w:val="auto"/>
          <w:sz w:val="24"/>
          <w:szCs w:val="24"/>
          <w:lang w:val="en-US" w:eastAsia="zh-CN"/>
        </w:rPr>
        <w:t>系统售后维护服务</w:t>
      </w:r>
      <w:r>
        <w:rPr>
          <w:rFonts w:hint="eastAsia" w:ascii="宋体" w:hAnsi="宋体" w:eastAsia="宋体" w:cs="宋体"/>
          <w:color w:val="auto"/>
          <w:sz w:val="24"/>
        </w:rPr>
        <w:t>。</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投标单位</w:t>
      </w:r>
      <w:r>
        <w:rPr>
          <w:rFonts w:hint="eastAsia" w:ascii="宋体" w:hAnsi="宋体" w:eastAsia="宋体" w:cs="宋体"/>
          <w:color w:val="auto"/>
          <w:sz w:val="24"/>
        </w:rPr>
        <w:t>已详细阅读并理解了招标文件的全部，包括修改文件(如有的话)。我们完全理解并同意放弃对这方面有不明及误解的权利。</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4、我们同意按招标文件中的规定，本招标文件的有效期限为开标后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rPr>
        <w:t xml:space="preserve">0 </w:t>
      </w:r>
      <w:r>
        <w:rPr>
          <w:rFonts w:hint="eastAsia" w:ascii="宋体" w:hAnsi="宋体" w:eastAsia="宋体" w:cs="宋体"/>
          <w:color w:val="auto"/>
          <w:sz w:val="24"/>
        </w:rPr>
        <w:t>天。</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5、我们愿意提供</w:t>
      </w:r>
      <w:r>
        <w:rPr>
          <w:rFonts w:hint="eastAsia" w:ascii="宋体" w:hAnsi="宋体" w:eastAsia="宋体" w:cs="宋体"/>
          <w:color w:val="auto"/>
          <w:sz w:val="24"/>
          <w:lang w:eastAsia="zh-CN"/>
        </w:rPr>
        <w:t>招标人</w:t>
      </w:r>
      <w:r>
        <w:rPr>
          <w:rFonts w:hint="eastAsia" w:ascii="宋体" w:hAnsi="宋体" w:eastAsia="宋体" w:cs="宋体"/>
          <w:color w:val="auto"/>
          <w:sz w:val="24"/>
        </w:rPr>
        <w:t>在招标文件中要求的所有资料。</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6、我们认为你们有权决定中标</w:t>
      </w:r>
      <w:r>
        <w:rPr>
          <w:rFonts w:hint="eastAsia" w:ascii="宋体" w:hAnsi="宋体" w:eastAsia="宋体" w:cs="宋体"/>
          <w:color w:val="auto"/>
          <w:sz w:val="24"/>
          <w:lang w:eastAsia="zh-CN"/>
        </w:rPr>
        <w:t>投标单位</w:t>
      </w:r>
      <w:r>
        <w:rPr>
          <w:rFonts w:hint="eastAsia" w:ascii="宋体" w:hAnsi="宋体" w:eastAsia="宋体" w:cs="宋体"/>
          <w:color w:val="auto"/>
          <w:sz w:val="24"/>
        </w:rPr>
        <w:t>，还认为你们有权接受或拒绝所有的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成交。</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7、我方愿意遵守招标文件中所列的收费标准。</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我方充分考虑常态化疫情防控工作给项目带来的商业风险及各类可能发生的不良影响，</w:t>
      </w:r>
      <w:r>
        <w:rPr>
          <w:rFonts w:hint="eastAsia" w:ascii="宋体" w:hAnsi="宋体" w:eastAsia="宋体" w:cs="宋体"/>
          <w:color w:val="auto"/>
          <w:sz w:val="24"/>
        </w:rPr>
        <w:t>如果在规定的</w:t>
      </w:r>
      <w:r>
        <w:rPr>
          <w:rFonts w:hint="eastAsia" w:ascii="宋体" w:hAnsi="宋体" w:eastAsia="宋体" w:cs="宋体"/>
          <w:color w:val="auto"/>
          <w:sz w:val="24"/>
          <w:lang w:eastAsia="zh-CN"/>
        </w:rPr>
        <w:t>投标</w:t>
      </w:r>
      <w:r>
        <w:rPr>
          <w:rFonts w:hint="eastAsia" w:ascii="宋体" w:hAnsi="宋体" w:eastAsia="宋体" w:cs="宋体"/>
          <w:color w:val="auto"/>
          <w:sz w:val="24"/>
        </w:rPr>
        <w:t>有效期内撤回</w:t>
      </w:r>
      <w:r>
        <w:rPr>
          <w:rFonts w:hint="eastAsia" w:ascii="宋体" w:hAnsi="宋体" w:eastAsia="宋体" w:cs="宋体"/>
          <w:color w:val="auto"/>
          <w:sz w:val="24"/>
          <w:lang w:eastAsia="zh-CN"/>
        </w:rPr>
        <w:t>投标文件</w:t>
      </w:r>
      <w:r>
        <w:rPr>
          <w:rFonts w:hint="eastAsia" w:ascii="宋体" w:hAnsi="宋体" w:eastAsia="宋体" w:cs="宋体"/>
          <w:color w:val="auto"/>
          <w:sz w:val="24"/>
        </w:rPr>
        <w:t>或者有其他违约行为，我们的</w:t>
      </w:r>
      <w:r>
        <w:rPr>
          <w:rFonts w:hint="eastAsia" w:ascii="宋体" w:hAnsi="宋体" w:eastAsia="宋体" w:cs="宋体"/>
          <w:color w:val="auto"/>
          <w:sz w:val="24"/>
          <w:lang w:eastAsia="zh-CN"/>
        </w:rPr>
        <w:t>投标保证金</w:t>
      </w:r>
      <w:r>
        <w:rPr>
          <w:rFonts w:hint="eastAsia" w:ascii="宋体" w:hAnsi="宋体" w:eastAsia="宋体" w:cs="宋体"/>
          <w:color w:val="auto"/>
          <w:sz w:val="24"/>
        </w:rPr>
        <w:t>可不予退还。</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投标单位</w:t>
      </w:r>
      <w:r>
        <w:rPr>
          <w:rFonts w:hint="eastAsia" w:ascii="宋体" w:hAnsi="宋体" w:eastAsia="宋体" w:cs="宋体"/>
          <w:color w:val="auto"/>
          <w:sz w:val="24"/>
        </w:rPr>
        <w:t>同意提供按照贵方可能要求的与其投标有关的一切数据或资料，完全理解贵方不一定接受最低价的投标或收到的任何投标的约定。</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10、我方在投标文件中所作的承诺在开标后保持有效，不作任何更改和变动。</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11、我们愿意按招标文件的规定交纳</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元的招标保证金。</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w:t>
      </w:r>
      <w:r>
        <w:rPr>
          <w:rFonts w:hint="eastAsia" w:ascii="宋体" w:hAnsi="宋体" w:eastAsia="宋体" w:cs="宋体"/>
          <w:color w:val="auto"/>
          <w:sz w:val="24"/>
        </w:rPr>
        <w:t>如果我方中标，我方保证按照招标文件要求向招标代理机构支付中标服务费。</w:t>
      </w:r>
    </w:p>
    <w:p>
      <w:pPr>
        <w:spacing w:line="560" w:lineRule="exact"/>
        <w:rPr>
          <w:rFonts w:hint="eastAsia" w:ascii="宋体" w:hAnsi="宋体" w:eastAsia="宋体" w:cs="宋体"/>
          <w:color w:val="auto"/>
          <w:sz w:val="24"/>
        </w:rPr>
      </w:pPr>
      <w:r>
        <w:rPr>
          <w:rFonts w:hint="eastAsia" w:ascii="宋体" w:hAnsi="宋体" w:eastAsia="宋体" w:cs="宋体"/>
          <w:color w:val="auto"/>
          <w:sz w:val="24"/>
        </w:rPr>
        <w:t>投  标  人：（盖章）</w:t>
      </w:r>
    </w:p>
    <w:p>
      <w:pPr>
        <w:spacing w:line="560" w:lineRule="exact"/>
        <w:rPr>
          <w:rFonts w:hint="eastAsia" w:ascii="宋体" w:hAnsi="宋体" w:eastAsia="宋体" w:cs="宋体"/>
          <w:color w:val="auto"/>
          <w:sz w:val="24"/>
        </w:rPr>
      </w:pPr>
    </w:p>
    <w:p>
      <w:pPr>
        <w:spacing w:line="560" w:lineRule="exact"/>
        <w:rPr>
          <w:rFonts w:hint="eastAsia" w:ascii="宋体" w:hAnsi="宋体" w:eastAsia="宋体" w:cs="宋体"/>
          <w:color w:val="auto"/>
          <w:sz w:val="24"/>
        </w:rPr>
      </w:pPr>
      <w:r>
        <w:rPr>
          <w:rFonts w:hint="eastAsia" w:ascii="宋体" w:hAnsi="宋体" w:eastAsia="宋体" w:cs="宋体"/>
          <w:color w:val="auto"/>
          <w:sz w:val="24"/>
        </w:rPr>
        <w:t>法定代表人：（签章）</w:t>
      </w:r>
    </w:p>
    <w:p>
      <w:pPr>
        <w:spacing w:line="560" w:lineRule="exact"/>
        <w:ind w:firstLine="5040" w:firstLineChars="2100"/>
        <w:rPr>
          <w:rFonts w:hint="eastAsia" w:ascii="宋体" w:hAnsi="宋体" w:eastAsia="宋体" w:cs="宋体"/>
          <w:color w:val="auto"/>
          <w:sz w:val="24"/>
        </w:rPr>
      </w:pPr>
      <w:r>
        <w:rPr>
          <w:rFonts w:hint="eastAsia" w:ascii="宋体" w:hAnsi="宋体" w:eastAsia="宋体" w:cs="宋体"/>
          <w:color w:val="auto"/>
          <w:sz w:val="24"/>
        </w:rPr>
        <w:t>年    月    日</w:t>
      </w: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color w:val="auto"/>
        </w:rPr>
      </w:pPr>
    </w:p>
    <w:p>
      <w:pPr>
        <w:spacing w:line="540" w:lineRule="exact"/>
        <w:outlineLvl w:val="9"/>
        <w:rPr>
          <w:rFonts w:hint="eastAsia" w:ascii="宋体" w:hAnsi="宋体" w:eastAsia="宋体" w:cs="宋体"/>
          <w:b/>
          <w:color w:val="auto"/>
          <w:sz w:val="28"/>
        </w:rPr>
      </w:pPr>
      <w:bookmarkStart w:id="188" w:name="_Toc29002"/>
    </w:p>
    <w:p>
      <w:pPr>
        <w:spacing w:line="540" w:lineRule="exact"/>
        <w:outlineLvl w:val="0"/>
        <w:rPr>
          <w:rFonts w:hint="eastAsia" w:ascii="宋体" w:hAnsi="宋体" w:eastAsia="宋体" w:cs="宋体"/>
          <w:b/>
          <w:color w:val="auto"/>
          <w:sz w:val="28"/>
        </w:rPr>
      </w:pPr>
      <w:bookmarkStart w:id="189" w:name="_Toc24864"/>
      <w:r>
        <w:rPr>
          <w:rFonts w:hint="eastAsia" w:ascii="宋体" w:hAnsi="宋体" w:eastAsia="宋体" w:cs="宋体"/>
          <w:b/>
          <w:color w:val="auto"/>
          <w:sz w:val="28"/>
        </w:rPr>
        <w:t>附件三</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投标报价</w:t>
      </w:r>
      <w:r>
        <w:rPr>
          <w:rFonts w:hint="eastAsia" w:ascii="宋体" w:hAnsi="宋体" w:eastAsia="宋体" w:cs="宋体"/>
          <w:b/>
          <w:color w:val="auto"/>
          <w:sz w:val="28"/>
          <w:lang w:eastAsia="zh-CN"/>
        </w:rPr>
        <w:t>一览表</w:t>
      </w:r>
      <w:bookmarkEnd w:id="188"/>
      <w:bookmarkEnd w:id="189"/>
    </w:p>
    <w:p>
      <w:pPr>
        <w:autoSpaceDE w:val="0"/>
        <w:autoSpaceDN w:val="0"/>
        <w:adjustRightInd w:val="0"/>
        <w:spacing w:line="560" w:lineRule="exact"/>
        <w:rPr>
          <w:rFonts w:hint="eastAsia" w:ascii="宋体" w:hAnsi="宋体" w:eastAsia="宋体" w:cs="宋体"/>
          <w:b/>
          <w:bCs/>
          <w:color w:val="auto"/>
          <w:kern w:val="0"/>
          <w:sz w:val="30"/>
          <w:szCs w:val="44"/>
        </w:rPr>
      </w:pPr>
    </w:p>
    <w:p>
      <w:pPr>
        <w:spacing w:line="440" w:lineRule="exact"/>
        <w:jc w:val="center"/>
        <w:rPr>
          <w:rFonts w:hint="eastAsia" w:ascii="宋体" w:hAnsi="宋体" w:eastAsia="宋体" w:cs="宋体"/>
          <w:b/>
          <w:bCs/>
          <w:color w:val="auto"/>
          <w:kern w:val="0"/>
          <w:sz w:val="32"/>
          <w:szCs w:val="44"/>
          <w:lang w:eastAsia="zh-CN"/>
        </w:rPr>
      </w:pPr>
      <w:r>
        <w:rPr>
          <w:rFonts w:hint="eastAsia" w:ascii="宋体" w:hAnsi="宋体" w:eastAsia="宋体" w:cs="宋体"/>
          <w:b/>
          <w:bCs/>
          <w:color w:val="auto"/>
          <w:kern w:val="0"/>
          <w:sz w:val="32"/>
          <w:szCs w:val="44"/>
        </w:rPr>
        <w:t>投标报价</w:t>
      </w:r>
      <w:r>
        <w:rPr>
          <w:rFonts w:hint="eastAsia" w:ascii="宋体" w:hAnsi="宋体" w:eastAsia="宋体" w:cs="宋体"/>
          <w:b/>
          <w:bCs/>
          <w:color w:val="auto"/>
          <w:kern w:val="0"/>
          <w:sz w:val="32"/>
          <w:szCs w:val="44"/>
          <w:lang w:eastAsia="zh-CN"/>
        </w:rPr>
        <w:t>一览表</w:t>
      </w:r>
    </w:p>
    <w:p>
      <w:pPr>
        <w:pStyle w:val="27"/>
        <w:rPr>
          <w:rFonts w:hint="eastAsia" w:ascii="宋体" w:hAnsi="宋体" w:eastAsia="宋体" w:cs="宋体"/>
          <w:b/>
          <w:bCs/>
          <w:color w:val="auto"/>
          <w:kern w:val="0"/>
          <w:sz w:val="32"/>
          <w:szCs w:val="44"/>
          <w:lang w:eastAsia="zh-CN"/>
        </w:rPr>
      </w:pPr>
    </w:p>
    <w:p>
      <w:pPr>
        <w:rPr>
          <w:rFonts w:hint="eastAsia"/>
          <w:color w:val="auto"/>
        </w:rPr>
      </w:pPr>
    </w:p>
    <w:p>
      <w:pPr>
        <w:spacing w:line="440" w:lineRule="exact"/>
        <w:jc w:val="center"/>
        <w:rPr>
          <w:rFonts w:hint="eastAsia" w:ascii="宋体" w:hAnsi="宋体" w:eastAsia="宋体" w:cs="宋体"/>
          <w:b/>
          <w:color w:val="auto"/>
          <w:sz w:val="24"/>
        </w:rPr>
      </w:pPr>
    </w:p>
    <w:p>
      <w:pPr>
        <w:spacing w:line="440" w:lineRule="exact"/>
        <w:rPr>
          <w:rFonts w:hint="eastAsia" w:ascii="宋体" w:hAnsi="宋体" w:eastAsia="宋体" w:cs="宋体"/>
          <w:color w:val="auto"/>
          <w:sz w:val="24"/>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 xml:space="preserve">名称：                </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项目名称：</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项目编号：                                                 </w:t>
      </w:r>
      <w:r>
        <w:rPr>
          <w:rFonts w:hint="eastAsia" w:ascii="宋体" w:hAnsi="宋体" w:eastAsia="宋体" w:cs="宋体"/>
          <w:b/>
          <w:color w:val="auto"/>
          <w:sz w:val="24"/>
        </w:rPr>
        <w:t>单位：元</w:t>
      </w:r>
    </w:p>
    <w:tbl>
      <w:tblPr>
        <w:tblStyle w:val="2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0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投标总报价：人民币大写：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元                       </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小写</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lang w:eastAsia="zh-CN"/>
              </w:rPr>
              <w:t>交货完工期</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rPr>
                <w:rFonts w:hint="eastAsia" w:ascii="宋体" w:hAnsi="宋体" w:cs="宋体"/>
                <w:color w:val="auto"/>
                <w:sz w:val="24"/>
                <w:lang w:eastAsia="zh-CN"/>
              </w:rPr>
            </w:pPr>
            <w:r>
              <w:rPr>
                <w:rFonts w:hint="eastAsia" w:ascii="宋体" w:hAnsi="宋体" w:cs="宋体"/>
                <w:color w:val="auto"/>
                <w:sz w:val="24"/>
                <w:lang w:eastAsia="zh-CN"/>
              </w:rPr>
              <w:t>质量标准：</w:t>
            </w:r>
            <w:r>
              <w:rPr>
                <w:rFonts w:hint="eastAsia" w:ascii="宋体" w:hAnsi="宋体" w:cs="宋体"/>
                <w:color w:val="auto"/>
                <w:sz w:val="24"/>
                <w:u w:val="single"/>
                <w:lang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rPr>
                <w:rFonts w:hint="eastAsia" w:ascii="宋体" w:hAnsi="宋体" w:cs="宋体"/>
                <w:color w:val="auto"/>
                <w:sz w:val="24"/>
                <w:lang w:eastAsia="zh-CN"/>
              </w:rPr>
            </w:pPr>
            <w:r>
              <w:rPr>
                <w:rFonts w:hint="eastAsia" w:hAnsi="宋体" w:cs="宋体"/>
                <w:b w:val="0"/>
                <w:bCs w:val="0"/>
                <w:color w:val="auto"/>
                <w:sz w:val="24"/>
                <w:szCs w:val="24"/>
                <w:lang w:val="en-US" w:eastAsia="zh-CN"/>
              </w:rPr>
              <w:t>系统售后维护服务</w:t>
            </w:r>
            <w:r>
              <w:rPr>
                <w:rFonts w:hint="eastAsia" w:ascii="宋体" w:hAnsi="宋体" w:cs="宋体"/>
                <w:color w:val="auto"/>
                <w:sz w:val="24"/>
                <w:lang w:eastAsia="zh-CN"/>
              </w:rPr>
              <w:t>：</w:t>
            </w:r>
          </w:p>
        </w:tc>
      </w:tr>
    </w:tbl>
    <w:p>
      <w:pPr>
        <w:spacing w:line="440" w:lineRule="exact"/>
        <w:jc w:val="right"/>
        <w:rPr>
          <w:rFonts w:hint="eastAsia" w:ascii="宋体" w:hAnsi="宋体" w:eastAsia="宋体" w:cs="宋体"/>
          <w:color w:val="auto"/>
          <w:sz w:val="24"/>
        </w:rPr>
      </w:pPr>
      <w:r>
        <w:rPr>
          <w:rFonts w:hint="eastAsia" w:ascii="宋体" w:hAnsi="宋体" w:cs="宋体"/>
          <w:color w:val="auto"/>
          <w:sz w:val="24"/>
          <w:lang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eastAsia="zh-CN"/>
        </w:rPr>
        <w:t>投标单位</w:t>
      </w:r>
      <w:r>
        <w:rPr>
          <w:rFonts w:hint="eastAsia" w:ascii="宋体" w:hAnsi="宋体" w:eastAsia="宋体" w:cs="宋体"/>
          <w:color w:val="auto"/>
          <w:sz w:val="24"/>
        </w:rPr>
        <w:t>：（单位盖章）</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法定代表人或代理人：（签字或盖章）</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日期：          年  月  日</w:t>
      </w: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ascii="宋体" w:hAnsi="宋体" w:eastAsia="宋体" w:cs="宋体"/>
          <w:color w:val="auto"/>
          <w:sz w:val="24"/>
        </w:rPr>
      </w:pPr>
    </w:p>
    <w:p>
      <w:pPr>
        <w:rPr>
          <w:rFonts w:hint="eastAsia" w:ascii="宋体" w:hAnsi="宋体" w:eastAsia="宋体" w:cs="宋体"/>
          <w:color w:val="auto"/>
          <w:sz w:val="24"/>
        </w:rPr>
      </w:pPr>
    </w:p>
    <w:p>
      <w:pPr>
        <w:pStyle w:val="27"/>
        <w:rPr>
          <w:rFonts w:hint="eastAsia"/>
          <w:color w:val="auto"/>
        </w:rPr>
      </w:pPr>
    </w:p>
    <w:p>
      <w:pPr>
        <w:spacing w:line="440" w:lineRule="exact"/>
        <w:rPr>
          <w:rFonts w:hint="eastAsia" w:ascii="宋体" w:hAnsi="宋体" w:eastAsia="宋体" w:cs="宋体"/>
          <w:b/>
          <w:color w:val="auto"/>
          <w:sz w:val="24"/>
        </w:rPr>
      </w:pPr>
      <w:r>
        <w:rPr>
          <w:rFonts w:hint="eastAsia" w:ascii="宋体" w:hAnsi="宋体" w:eastAsia="宋体" w:cs="宋体"/>
          <w:b/>
          <w:color w:val="auto"/>
          <w:sz w:val="24"/>
        </w:rPr>
        <w:t>注：此表单独封装一份，单独提交供唱标时使用</w:t>
      </w:r>
    </w:p>
    <w:p>
      <w:pPr>
        <w:pStyle w:val="27"/>
        <w:ind w:left="0" w:leftChars="0" w:firstLine="0" w:firstLineChars="0"/>
        <w:rPr>
          <w:rFonts w:hint="eastAsia"/>
          <w:color w:val="auto"/>
          <w:lang w:eastAsia="zh-CN"/>
        </w:rPr>
      </w:pPr>
    </w:p>
    <w:p>
      <w:pPr>
        <w:rPr>
          <w:rFonts w:hint="eastAsia"/>
          <w:color w:val="auto"/>
          <w:lang w:eastAsia="zh-CN"/>
        </w:rPr>
      </w:pPr>
    </w:p>
    <w:p>
      <w:pPr>
        <w:spacing w:line="540" w:lineRule="exact"/>
        <w:outlineLvl w:val="0"/>
        <w:rPr>
          <w:rFonts w:hint="eastAsia" w:ascii="宋体" w:hAnsi="宋体" w:eastAsia="宋体" w:cs="宋体"/>
          <w:b/>
          <w:color w:val="auto"/>
          <w:sz w:val="28"/>
        </w:rPr>
      </w:pPr>
      <w:bookmarkStart w:id="190" w:name="_Toc22108"/>
      <w:r>
        <w:rPr>
          <w:rFonts w:hint="eastAsia" w:ascii="宋体" w:hAnsi="宋体" w:eastAsia="宋体" w:cs="宋体"/>
          <w:b/>
          <w:color w:val="auto"/>
          <w:sz w:val="28"/>
        </w:rPr>
        <w:t>附件</w:t>
      </w:r>
      <w:r>
        <w:rPr>
          <w:rFonts w:hint="eastAsia" w:ascii="宋体" w:hAnsi="宋体" w:eastAsia="宋体" w:cs="宋体"/>
          <w:b/>
          <w:color w:val="auto"/>
          <w:sz w:val="28"/>
          <w:lang w:eastAsia="zh-CN"/>
        </w:rPr>
        <w:t>四</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明细报价</w:t>
      </w:r>
      <w:r>
        <w:rPr>
          <w:rFonts w:hint="eastAsia" w:ascii="宋体" w:hAnsi="宋体" w:eastAsia="宋体" w:cs="宋体"/>
          <w:b/>
          <w:color w:val="auto"/>
          <w:sz w:val="28"/>
          <w:lang w:eastAsia="zh-CN"/>
        </w:rPr>
        <w:t>表</w:t>
      </w:r>
      <w:bookmarkEnd w:id="190"/>
      <w:r>
        <w:rPr>
          <w:rFonts w:hint="eastAsia" w:ascii="宋体" w:hAnsi="宋体" w:cs="宋体"/>
          <w:b/>
          <w:color w:val="auto"/>
          <w:sz w:val="28"/>
          <w:lang w:eastAsia="zh-CN"/>
        </w:rPr>
        <w:t>（对照需求清单自行填写）</w:t>
      </w:r>
    </w:p>
    <w:p>
      <w:pPr>
        <w:spacing w:line="440" w:lineRule="exact"/>
        <w:rPr>
          <w:rFonts w:hint="eastAsia" w:ascii="宋体" w:hAnsi="宋体" w:eastAsia="宋体" w:cs="宋体"/>
          <w:color w:val="auto"/>
          <w:sz w:val="24"/>
        </w:rPr>
      </w:pPr>
    </w:p>
    <w:p>
      <w:pPr>
        <w:spacing w:line="440" w:lineRule="exact"/>
        <w:jc w:val="center"/>
        <w:rPr>
          <w:rFonts w:hint="eastAsia" w:ascii="宋体" w:hAnsi="宋体" w:eastAsia="宋体" w:cs="宋体"/>
          <w:b/>
          <w:bCs/>
          <w:color w:val="auto"/>
          <w:kern w:val="0"/>
          <w:sz w:val="24"/>
          <w:szCs w:val="36"/>
        </w:rPr>
      </w:pPr>
      <w:r>
        <w:rPr>
          <w:rFonts w:hint="eastAsia" w:ascii="宋体" w:hAnsi="宋体" w:eastAsia="宋体" w:cs="宋体"/>
          <w:b/>
          <w:bCs/>
          <w:color w:val="auto"/>
          <w:kern w:val="0"/>
          <w:sz w:val="24"/>
          <w:szCs w:val="36"/>
        </w:rPr>
        <w:t>明细报价表</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项目名称： </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项目编号：                             单位：</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元</w:t>
      </w:r>
    </w:p>
    <w:tbl>
      <w:tblPr>
        <w:tblStyle w:val="29"/>
        <w:tblW w:w="4631" w:type="pct"/>
        <w:tblInd w:w="0" w:type="dxa"/>
        <w:tblLayout w:type="fixed"/>
        <w:tblCellMar>
          <w:top w:w="0" w:type="dxa"/>
          <w:left w:w="108" w:type="dxa"/>
          <w:bottom w:w="0" w:type="dxa"/>
          <w:right w:w="108" w:type="dxa"/>
        </w:tblCellMar>
      </w:tblPr>
      <w:tblGrid>
        <w:gridCol w:w="515"/>
        <w:gridCol w:w="2152"/>
        <w:gridCol w:w="1350"/>
        <w:gridCol w:w="1080"/>
        <w:gridCol w:w="795"/>
        <w:gridCol w:w="855"/>
        <w:gridCol w:w="2985"/>
      </w:tblGrid>
      <w:tr>
        <w:tblPrEx>
          <w:tblCellMar>
            <w:top w:w="0" w:type="dxa"/>
            <w:left w:w="108" w:type="dxa"/>
            <w:bottom w:w="0" w:type="dxa"/>
            <w:right w:w="108" w:type="dxa"/>
          </w:tblCellMar>
        </w:tblPrEx>
        <w:trPr>
          <w:trHeight w:val="314"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序号</w:t>
            </w:r>
          </w:p>
        </w:tc>
        <w:tc>
          <w:tcPr>
            <w:tcW w:w="11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设备</w:t>
            </w:r>
            <w:r>
              <w:rPr>
                <w:rFonts w:hint="eastAsia" w:ascii="宋体" w:hAnsi="宋体" w:eastAsia="宋体" w:cs="宋体"/>
                <w:i w:val="0"/>
                <w:color w:val="auto"/>
                <w:kern w:val="0"/>
                <w:sz w:val="18"/>
                <w:szCs w:val="18"/>
                <w:u w:val="none"/>
                <w:lang w:val="en-US" w:eastAsia="zh-CN" w:bidi="ar"/>
              </w:rPr>
              <w:t>名称</w:t>
            </w: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规格型号</w:t>
            </w: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单位</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数量</w:t>
            </w: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单价</w:t>
            </w: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合计</w:t>
            </w:r>
          </w:p>
        </w:tc>
      </w:tr>
      <w:tr>
        <w:tblPrEx>
          <w:tblCellMar>
            <w:top w:w="0" w:type="dxa"/>
            <w:left w:w="108" w:type="dxa"/>
            <w:bottom w:w="0" w:type="dxa"/>
            <w:right w:w="108" w:type="dxa"/>
          </w:tblCellMar>
        </w:tblPrEx>
        <w:trPr>
          <w:trHeight w:val="716"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640"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513"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448"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365"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438"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365"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365"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8</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365"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p>
        </w:tc>
        <w:tc>
          <w:tcPr>
            <w:tcW w:w="110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p>
        </w:tc>
        <w:tc>
          <w:tcPr>
            <w:tcW w:w="6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108" w:type="dxa"/>
            <w:bottom w:w="0" w:type="dxa"/>
            <w:right w:w="108" w:type="dxa"/>
          </w:tblCellMar>
        </w:tblPrEx>
        <w:trPr>
          <w:trHeight w:val="336" w:hRule="atLeast"/>
        </w:trPr>
        <w:tc>
          <w:tcPr>
            <w:tcW w:w="26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合计</w:t>
            </w:r>
          </w:p>
        </w:tc>
        <w:tc>
          <w:tcPr>
            <w:tcW w:w="4735" w:type="pct"/>
            <w:gridSpan w:val="6"/>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p>
        </w:tc>
      </w:tr>
    </w:tbl>
    <w:p>
      <w:pPr>
        <w:spacing w:line="440" w:lineRule="exact"/>
        <w:rPr>
          <w:rFonts w:hint="eastAsia" w:ascii="宋体" w:hAnsi="宋体" w:eastAsia="宋体" w:cs="宋体"/>
          <w:color w:val="auto"/>
          <w:sz w:val="24"/>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法定代表人或代理人（盖章或签字）：</w:t>
      </w:r>
    </w:p>
    <w:p>
      <w:pPr>
        <w:spacing w:line="440" w:lineRule="exact"/>
        <w:rPr>
          <w:rFonts w:hint="eastAsia" w:ascii="宋体" w:hAnsi="宋体" w:eastAsia="宋体" w:cs="宋体"/>
          <w:color w:val="auto"/>
          <w:sz w:val="24"/>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盖章：                                   年 月 日</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注：上述报价包含一切由供方承担的费用；</w:t>
      </w:r>
    </w:p>
    <w:p>
      <w:pPr>
        <w:spacing w:line="540" w:lineRule="exact"/>
        <w:outlineLvl w:val="0"/>
        <w:rPr>
          <w:rFonts w:hint="eastAsia" w:ascii="宋体" w:hAnsi="宋体" w:eastAsia="宋体" w:cs="宋体"/>
          <w:b/>
          <w:color w:val="auto"/>
          <w:sz w:val="28"/>
        </w:rPr>
      </w:pPr>
      <w:bookmarkStart w:id="191" w:name="_Toc414"/>
      <w:r>
        <w:rPr>
          <w:rFonts w:hint="eastAsia" w:ascii="宋体" w:hAnsi="宋体" w:eastAsia="宋体" w:cs="宋体"/>
          <w:b/>
          <w:color w:val="auto"/>
          <w:sz w:val="28"/>
        </w:rPr>
        <w:t>附</w:t>
      </w:r>
      <w:r>
        <w:rPr>
          <w:rFonts w:hint="eastAsia" w:ascii="宋体" w:hAnsi="宋体" w:eastAsia="宋体" w:cs="宋体"/>
          <w:b/>
          <w:color w:val="auto"/>
          <w:sz w:val="28"/>
          <w:lang w:eastAsia="zh-CN"/>
        </w:rPr>
        <w:t>件五</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备品、备件清单</w:t>
      </w:r>
      <w:bookmarkEnd w:id="191"/>
    </w:p>
    <w:p>
      <w:pPr>
        <w:pStyle w:val="2"/>
        <w:ind w:left="0" w:leftChars="0" w:firstLine="0" w:firstLineChars="0"/>
        <w:rPr>
          <w:rFonts w:hint="eastAsia"/>
          <w:color w:val="auto"/>
        </w:rPr>
      </w:pPr>
    </w:p>
    <w:p>
      <w:pPr>
        <w:spacing w:before="156" w:beforeLines="50" w:after="156" w:afterLines="50" w:line="440" w:lineRule="exact"/>
        <w:jc w:val="center"/>
        <w:rPr>
          <w:rFonts w:hint="eastAsia" w:ascii="宋体" w:hAnsi="宋体" w:eastAsia="宋体" w:cs="宋体"/>
          <w:b/>
          <w:color w:val="auto"/>
          <w:sz w:val="24"/>
        </w:rPr>
      </w:pPr>
      <w:r>
        <w:rPr>
          <w:rFonts w:hint="eastAsia" w:ascii="宋体" w:hAnsi="宋体" w:eastAsia="宋体" w:cs="宋体"/>
          <w:b/>
          <w:color w:val="auto"/>
          <w:sz w:val="24"/>
        </w:rPr>
        <w:t>备品、备件清单</w:t>
      </w:r>
    </w:p>
    <w:p>
      <w:pPr>
        <w:spacing w:after="156" w:afterLines="50" w:line="440" w:lineRule="exact"/>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96"/>
        <w:gridCol w:w="1853"/>
        <w:gridCol w:w="2223"/>
        <w:gridCol w:w="871"/>
        <w:gridCol w:w="955"/>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94"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96"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备品、备件名称</w:t>
            </w:r>
          </w:p>
        </w:tc>
        <w:tc>
          <w:tcPr>
            <w:tcW w:w="1853"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2223"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生产厂家</w:t>
            </w:r>
          </w:p>
        </w:tc>
        <w:tc>
          <w:tcPr>
            <w:tcW w:w="871"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955"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925"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925" w:type="dxa"/>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94" w:type="dxa"/>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1</w:t>
            </w:r>
          </w:p>
        </w:tc>
        <w:tc>
          <w:tcPr>
            <w:tcW w:w="1296" w:type="dxa"/>
            <w:noWrap w:val="0"/>
            <w:vAlign w:val="top"/>
          </w:tcPr>
          <w:p>
            <w:pPr>
              <w:spacing w:line="440" w:lineRule="exact"/>
              <w:rPr>
                <w:rFonts w:hint="eastAsia" w:ascii="宋体" w:hAnsi="宋体" w:eastAsia="宋体" w:cs="宋体"/>
                <w:color w:val="auto"/>
                <w:sz w:val="24"/>
              </w:rPr>
            </w:pPr>
          </w:p>
        </w:tc>
        <w:tc>
          <w:tcPr>
            <w:tcW w:w="1853" w:type="dxa"/>
            <w:noWrap w:val="0"/>
            <w:vAlign w:val="top"/>
          </w:tcPr>
          <w:p>
            <w:pPr>
              <w:spacing w:line="440" w:lineRule="exact"/>
              <w:rPr>
                <w:rFonts w:hint="eastAsia" w:ascii="宋体" w:hAnsi="宋体" w:eastAsia="宋体" w:cs="宋体"/>
                <w:color w:val="auto"/>
                <w:sz w:val="24"/>
              </w:rPr>
            </w:pPr>
          </w:p>
        </w:tc>
        <w:tc>
          <w:tcPr>
            <w:tcW w:w="2223" w:type="dxa"/>
            <w:noWrap w:val="0"/>
            <w:vAlign w:val="top"/>
          </w:tcPr>
          <w:p>
            <w:pPr>
              <w:spacing w:line="440" w:lineRule="exact"/>
              <w:rPr>
                <w:rFonts w:hint="eastAsia" w:ascii="宋体" w:hAnsi="宋体" w:eastAsia="宋体" w:cs="宋体"/>
                <w:color w:val="auto"/>
                <w:sz w:val="24"/>
              </w:rPr>
            </w:pPr>
          </w:p>
        </w:tc>
        <w:tc>
          <w:tcPr>
            <w:tcW w:w="871" w:type="dxa"/>
            <w:noWrap w:val="0"/>
            <w:vAlign w:val="top"/>
          </w:tcPr>
          <w:p>
            <w:pPr>
              <w:spacing w:line="440" w:lineRule="exact"/>
              <w:rPr>
                <w:rFonts w:hint="eastAsia" w:ascii="宋体" w:hAnsi="宋体" w:eastAsia="宋体" w:cs="宋体"/>
                <w:color w:val="auto"/>
                <w:sz w:val="24"/>
              </w:rPr>
            </w:pPr>
          </w:p>
        </w:tc>
        <w:tc>
          <w:tcPr>
            <w:tcW w:w="95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94" w:type="dxa"/>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2</w:t>
            </w:r>
          </w:p>
        </w:tc>
        <w:tc>
          <w:tcPr>
            <w:tcW w:w="1296" w:type="dxa"/>
            <w:noWrap w:val="0"/>
            <w:vAlign w:val="top"/>
          </w:tcPr>
          <w:p>
            <w:pPr>
              <w:spacing w:line="440" w:lineRule="exact"/>
              <w:rPr>
                <w:rFonts w:hint="eastAsia" w:ascii="宋体" w:hAnsi="宋体" w:eastAsia="宋体" w:cs="宋体"/>
                <w:color w:val="auto"/>
                <w:sz w:val="24"/>
              </w:rPr>
            </w:pPr>
          </w:p>
        </w:tc>
        <w:tc>
          <w:tcPr>
            <w:tcW w:w="1853" w:type="dxa"/>
            <w:noWrap w:val="0"/>
            <w:vAlign w:val="top"/>
          </w:tcPr>
          <w:p>
            <w:pPr>
              <w:spacing w:line="440" w:lineRule="exact"/>
              <w:rPr>
                <w:rFonts w:hint="eastAsia" w:ascii="宋体" w:hAnsi="宋体" w:eastAsia="宋体" w:cs="宋体"/>
                <w:color w:val="auto"/>
                <w:sz w:val="24"/>
              </w:rPr>
            </w:pPr>
          </w:p>
        </w:tc>
        <w:tc>
          <w:tcPr>
            <w:tcW w:w="2223" w:type="dxa"/>
            <w:noWrap w:val="0"/>
            <w:vAlign w:val="top"/>
          </w:tcPr>
          <w:p>
            <w:pPr>
              <w:spacing w:line="440" w:lineRule="exact"/>
              <w:rPr>
                <w:rFonts w:hint="eastAsia" w:ascii="宋体" w:hAnsi="宋体" w:eastAsia="宋体" w:cs="宋体"/>
                <w:color w:val="auto"/>
                <w:sz w:val="24"/>
              </w:rPr>
            </w:pPr>
          </w:p>
        </w:tc>
        <w:tc>
          <w:tcPr>
            <w:tcW w:w="871" w:type="dxa"/>
            <w:noWrap w:val="0"/>
            <w:vAlign w:val="top"/>
          </w:tcPr>
          <w:p>
            <w:pPr>
              <w:spacing w:line="440" w:lineRule="exact"/>
              <w:rPr>
                <w:rFonts w:hint="eastAsia" w:ascii="宋体" w:hAnsi="宋体" w:eastAsia="宋体" w:cs="宋体"/>
                <w:color w:val="auto"/>
                <w:sz w:val="24"/>
              </w:rPr>
            </w:pPr>
          </w:p>
        </w:tc>
        <w:tc>
          <w:tcPr>
            <w:tcW w:w="95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94" w:type="dxa"/>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3</w:t>
            </w:r>
          </w:p>
        </w:tc>
        <w:tc>
          <w:tcPr>
            <w:tcW w:w="1296" w:type="dxa"/>
            <w:noWrap w:val="0"/>
            <w:vAlign w:val="top"/>
          </w:tcPr>
          <w:p>
            <w:pPr>
              <w:spacing w:line="440" w:lineRule="exact"/>
              <w:rPr>
                <w:rFonts w:hint="eastAsia" w:ascii="宋体" w:hAnsi="宋体" w:eastAsia="宋体" w:cs="宋体"/>
                <w:color w:val="auto"/>
                <w:sz w:val="24"/>
              </w:rPr>
            </w:pPr>
          </w:p>
        </w:tc>
        <w:tc>
          <w:tcPr>
            <w:tcW w:w="1853" w:type="dxa"/>
            <w:noWrap w:val="0"/>
            <w:vAlign w:val="top"/>
          </w:tcPr>
          <w:p>
            <w:pPr>
              <w:spacing w:line="440" w:lineRule="exact"/>
              <w:rPr>
                <w:rFonts w:hint="eastAsia" w:ascii="宋体" w:hAnsi="宋体" w:eastAsia="宋体" w:cs="宋体"/>
                <w:color w:val="auto"/>
                <w:sz w:val="24"/>
              </w:rPr>
            </w:pPr>
          </w:p>
        </w:tc>
        <w:tc>
          <w:tcPr>
            <w:tcW w:w="2223" w:type="dxa"/>
            <w:noWrap w:val="0"/>
            <w:vAlign w:val="top"/>
          </w:tcPr>
          <w:p>
            <w:pPr>
              <w:spacing w:line="440" w:lineRule="exact"/>
              <w:rPr>
                <w:rFonts w:hint="eastAsia" w:ascii="宋体" w:hAnsi="宋体" w:eastAsia="宋体" w:cs="宋体"/>
                <w:color w:val="auto"/>
                <w:sz w:val="24"/>
              </w:rPr>
            </w:pPr>
          </w:p>
        </w:tc>
        <w:tc>
          <w:tcPr>
            <w:tcW w:w="871" w:type="dxa"/>
            <w:noWrap w:val="0"/>
            <w:vAlign w:val="top"/>
          </w:tcPr>
          <w:p>
            <w:pPr>
              <w:spacing w:line="440" w:lineRule="exact"/>
              <w:rPr>
                <w:rFonts w:hint="eastAsia" w:ascii="宋体" w:hAnsi="宋体" w:eastAsia="宋体" w:cs="宋体"/>
                <w:color w:val="auto"/>
                <w:sz w:val="24"/>
              </w:rPr>
            </w:pPr>
          </w:p>
        </w:tc>
        <w:tc>
          <w:tcPr>
            <w:tcW w:w="95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94" w:type="dxa"/>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w:t>
            </w:r>
          </w:p>
        </w:tc>
        <w:tc>
          <w:tcPr>
            <w:tcW w:w="1296" w:type="dxa"/>
            <w:noWrap w:val="0"/>
            <w:vAlign w:val="top"/>
          </w:tcPr>
          <w:p>
            <w:pPr>
              <w:spacing w:line="440" w:lineRule="exact"/>
              <w:rPr>
                <w:rFonts w:hint="eastAsia" w:ascii="宋体" w:hAnsi="宋体" w:eastAsia="宋体" w:cs="宋体"/>
                <w:color w:val="auto"/>
                <w:sz w:val="24"/>
              </w:rPr>
            </w:pPr>
          </w:p>
        </w:tc>
        <w:tc>
          <w:tcPr>
            <w:tcW w:w="1853" w:type="dxa"/>
            <w:noWrap w:val="0"/>
            <w:vAlign w:val="top"/>
          </w:tcPr>
          <w:p>
            <w:pPr>
              <w:spacing w:line="440" w:lineRule="exact"/>
              <w:rPr>
                <w:rFonts w:hint="eastAsia" w:ascii="宋体" w:hAnsi="宋体" w:eastAsia="宋体" w:cs="宋体"/>
                <w:color w:val="auto"/>
                <w:sz w:val="24"/>
              </w:rPr>
            </w:pPr>
          </w:p>
        </w:tc>
        <w:tc>
          <w:tcPr>
            <w:tcW w:w="2223" w:type="dxa"/>
            <w:noWrap w:val="0"/>
            <w:vAlign w:val="top"/>
          </w:tcPr>
          <w:p>
            <w:pPr>
              <w:spacing w:line="440" w:lineRule="exact"/>
              <w:rPr>
                <w:rFonts w:hint="eastAsia" w:ascii="宋体" w:hAnsi="宋体" w:eastAsia="宋体" w:cs="宋体"/>
                <w:color w:val="auto"/>
                <w:sz w:val="24"/>
              </w:rPr>
            </w:pPr>
          </w:p>
        </w:tc>
        <w:tc>
          <w:tcPr>
            <w:tcW w:w="871" w:type="dxa"/>
            <w:noWrap w:val="0"/>
            <w:vAlign w:val="top"/>
          </w:tcPr>
          <w:p>
            <w:pPr>
              <w:spacing w:line="440" w:lineRule="exact"/>
              <w:rPr>
                <w:rFonts w:hint="eastAsia" w:ascii="宋体" w:hAnsi="宋体" w:eastAsia="宋体" w:cs="宋体"/>
                <w:color w:val="auto"/>
                <w:sz w:val="24"/>
              </w:rPr>
            </w:pPr>
          </w:p>
        </w:tc>
        <w:tc>
          <w:tcPr>
            <w:tcW w:w="95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c>
          <w:tcPr>
            <w:tcW w:w="925" w:type="dxa"/>
            <w:noWrap w:val="0"/>
            <w:vAlign w:val="top"/>
          </w:tcPr>
          <w:p>
            <w:pPr>
              <w:spacing w:line="440" w:lineRule="exact"/>
              <w:rPr>
                <w:rFonts w:hint="eastAsia" w:ascii="宋体" w:hAnsi="宋体" w:eastAsia="宋体" w:cs="宋体"/>
                <w:color w:val="auto"/>
                <w:sz w:val="24"/>
              </w:rPr>
            </w:pPr>
          </w:p>
        </w:tc>
      </w:tr>
    </w:tbl>
    <w:p>
      <w:pPr>
        <w:spacing w:line="440" w:lineRule="exact"/>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代表签字：</w:t>
      </w:r>
      <w:r>
        <w:rPr>
          <w:rFonts w:hint="eastAsia" w:ascii="宋体" w:hAnsi="宋体" w:eastAsia="宋体" w:cs="宋体"/>
          <w:color w:val="auto"/>
          <w:sz w:val="24"/>
          <w:u w:val="single"/>
        </w:rPr>
        <w:t>　　　　　　　 　　</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bCs/>
          <w:color w:val="auto"/>
          <w:sz w:val="24"/>
        </w:rPr>
        <w:t>20</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w:t>
      </w:r>
    </w:p>
    <w:p>
      <w:pPr>
        <w:pStyle w:val="2"/>
        <w:rPr>
          <w:rFonts w:hint="eastAsia" w:ascii="宋体" w:hAnsi="宋体" w:eastAsia="宋体" w:cs="宋体"/>
          <w:color w:val="auto"/>
          <w:sz w:val="24"/>
        </w:rPr>
      </w:pPr>
    </w:p>
    <w:p>
      <w:pPr>
        <w:tabs>
          <w:tab w:val="left" w:pos="3975"/>
        </w:tabs>
        <w:spacing w:line="440" w:lineRule="exact"/>
        <w:rPr>
          <w:rFonts w:hint="eastAsia" w:ascii="宋体" w:hAnsi="宋体" w:eastAsia="宋体" w:cs="宋体"/>
          <w:b/>
          <w:color w:val="auto"/>
          <w:sz w:val="28"/>
        </w:rPr>
      </w:pPr>
      <w:r>
        <w:rPr>
          <w:rFonts w:hint="eastAsia" w:ascii="宋体" w:hAnsi="宋体" w:eastAsia="宋体" w:cs="宋体"/>
          <w:b/>
          <w:color w:val="auto"/>
          <w:sz w:val="28"/>
        </w:rPr>
        <w:t>附</w:t>
      </w:r>
      <w:r>
        <w:rPr>
          <w:rFonts w:hint="eastAsia" w:ascii="宋体" w:hAnsi="宋体" w:eastAsia="宋体" w:cs="宋体"/>
          <w:b/>
          <w:color w:val="auto"/>
          <w:sz w:val="28"/>
          <w:lang w:eastAsia="zh-CN"/>
        </w:rPr>
        <w:t>件</w:t>
      </w:r>
      <w:r>
        <w:rPr>
          <w:rFonts w:hint="eastAsia" w:ascii="宋体" w:hAnsi="宋体" w:cs="宋体"/>
          <w:b/>
          <w:color w:val="auto"/>
          <w:sz w:val="28"/>
          <w:lang w:eastAsia="zh-CN"/>
        </w:rPr>
        <w:t>六</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商务条款偏离表</w:t>
      </w:r>
    </w:p>
    <w:p>
      <w:pPr>
        <w:spacing w:line="440" w:lineRule="exact"/>
        <w:rPr>
          <w:rFonts w:hint="eastAsia" w:ascii="宋体" w:hAnsi="宋体" w:eastAsia="宋体" w:cs="宋体"/>
          <w:b/>
          <w:color w:val="auto"/>
          <w:sz w:val="24"/>
        </w:rPr>
      </w:pPr>
    </w:p>
    <w:p>
      <w:pPr>
        <w:spacing w:line="440" w:lineRule="exact"/>
        <w:ind w:firstLine="4019" w:firstLineChars="1668"/>
        <w:rPr>
          <w:rFonts w:hint="eastAsia" w:ascii="宋体" w:hAnsi="宋体" w:eastAsia="宋体" w:cs="宋体"/>
          <w:b/>
          <w:color w:val="auto"/>
          <w:sz w:val="24"/>
        </w:rPr>
      </w:pPr>
      <w:r>
        <w:rPr>
          <w:rFonts w:hint="eastAsia" w:ascii="宋体" w:hAnsi="宋体" w:eastAsia="宋体" w:cs="宋体"/>
          <w:b/>
          <w:color w:val="auto"/>
          <w:sz w:val="24"/>
        </w:rPr>
        <w:t>商务条款偏离表</w:t>
      </w:r>
    </w:p>
    <w:p>
      <w:pPr>
        <w:spacing w:line="440" w:lineRule="exact"/>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9"/>
        <w:tblW w:w="0" w:type="auto"/>
        <w:tblInd w:w="108" w:type="dxa"/>
        <w:tblLayout w:type="fixed"/>
        <w:tblCellMar>
          <w:top w:w="0" w:type="dxa"/>
          <w:left w:w="108" w:type="dxa"/>
          <w:bottom w:w="0" w:type="dxa"/>
          <w:right w:w="108" w:type="dxa"/>
        </w:tblCellMar>
      </w:tblPr>
      <w:tblGrid>
        <w:gridCol w:w="886"/>
        <w:gridCol w:w="2221"/>
        <w:gridCol w:w="1823"/>
        <w:gridCol w:w="1824"/>
        <w:gridCol w:w="1346"/>
        <w:gridCol w:w="1260"/>
      </w:tblGrid>
      <w:tr>
        <w:tblPrEx>
          <w:tblCellMar>
            <w:top w:w="0" w:type="dxa"/>
            <w:left w:w="108" w:type="dxa"/>
            <w:bottom w:w="0" w:type="dxa"/>
            <w:right w:w="108" w:type="dxa"/>
          </w:tblCellMar>
        </w:tblPrEx>
        <w:trPr>
          <w:trHeight w:val="771"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招标文件</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条目号</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招标文件的商务条款</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招标文件的商务条款</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偏离情况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CellMar>
            <w:top w:w="0" w:type="dxa"/>
            <w:left w:w="108" w:type="dxa"/>
            <w:bottom w:w="0" w:type="dxa"/>
            <w:right w:w="108" w:type="dxa"/>
          </w:tblCellMar>
        </w:tblPrEx>
        <w:trPr>
          <w:trHeight w:val="462"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482"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482"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p>
        </w:tc>
      </w:tr>
    </w:tbl>
    <w:p>
      <w:pPr>
        <w:spacing w:line="440" w:lineRule="exact"/>
        <w:rPr>
          <w:rFonts w:hint="eastAsia" w:ascii="宋体" w:hAnsi="宋体" w:eastAsia="宋体" w:cs="宋体"/>
          <w:color w:val="auto"/>
          <w:sz w:val="24"/>
        </w:rPr>
      </w:pPr>
    </w:p>
    <w:p>
      <w:pPr>
        <w:spacing w:line="440" w:lineRule="exact"/>
        <w:rPr>
          <w:rFonts w:hint="eastAsia" w:ascii="宋体" w:hAnsi="宋体" w:eastAsia="宋体" w:cs="宋体"/>
          <w:color w:val="auto"/>
          <w:sz w:val="24"/>
        </w:rPr>
      </w:pPr>
    </w:p>
    <w:p>
      <w:pPr>
        <w:spacing w:line="440" w:lineRule="exact"/>
        <w:rPr>
          <w:rFonts w:hint="eastAsia" w:ascii="宋体" w:hAnsi="宋体" w:eastAsia="宋体" w:cs="宋体"/>
          <w:color w:val="auto"/>
          <w:sz w:val="24"/>
        </w:rPr>
      </w:pPr>
      <w:r>
        <w:rPr>
          <w:rFonts w:hint="eastAsia" w:ascii="宋体" w:hAnsi="宋体" w:eastAsia="宋体" w:cs="宋体"/>
          <w:color w:val="auto"/>
          <w:sz w:val="24"/>
        </w:rPr>
        <w:t>注：1、与招标文件要求逐条对应填写。</w:t>
      </w:r>
    </w:p>
    <w:p>
      <w:pPr>
        <w:tabs>
          <w:tab w:val="left" w:pos="5910"/>
        </w:tabs>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2、表格形式可做适当调整但不得增减实质内容</w:t>
      </w:r>
      <w:r>
        <w:rPr>
          <w:rFonts w:hint="eastAsia" w:ascii="宋体" w:hAnsi="宋体" w:eastAsia="宋体" w:cs="宋体"/>
          <w:color w:val="auto"/>
          <w:sz w:val="24"/>
        </w:rPr>
        <w:tab/>
      </w:r>
    </w:p>
    <w:p>
      <w:pPr>
        <w:tabs>
          <w:tab w:val="left" w:pos="5910"/>
        </w:tabs>
        <w:spacing w:line="440" w:lineRule="exact"/>
        <w:ind w:firstLine="480"/>
        <w:rPr>
          <w:rFonts w:hint="eastAsia" w:ascii="宋体" w:hAnsi="宋体" w:eastAsia="宋体" w:cs="宋体"/>
          <w:color w:val="auto"/>
          <w:sz w:val="24"/>
        </w:rPr>
      </w:pPr>
    </w:p>
    <w:p>
      <w:pPr>
        <w:spacing w:line="440" w:lineRule="exact"/>
        <w:ind w:firstLine="480"/>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法人或代理人（盖章或签字）：</w:t>
      </w:r>
      <w:r>
        <w:rPr>
          <w:rFonts w:hint="eastAsia" w:ascii="宋体" w:hAnsi="宋体" w:eastAsia="宋体" w:cs="宋体"/>
          <w:color w:val="auto"/>
          <w:sz w:val="24"/>
          <w:u w:val="single"/>
        </w:rPr>
        <w:t xml:space="preserve">                </w:t>
      </w:r>
    </w:p>
    <w:p>
      <w:pPr>
        <w:tabs>
          <w:tab w:val="left" w:pos="3975"/>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盖章：</w:t>
      </w:r>
      <w:r>
        <w:rPr>
          <w:rFonts w:hint="eastAsia" w:ascii="宋体" w:hAnsi="宋体" w:eastAsia="宋体" w:cs="宋体"/>
          <w:color w:val="auto"/>
          <w:sz w:val="24"/>
        </w:rPr>
        <w:tab/>
      </w:r>
      <w:r>
        <w:rPr>
          <w:rFonts w:hint="eastAsia" w:ascii="宋体" w:hAnsi="宋体" w:eastAsia="宋体" w:cs="宋体"/>
          <w:color w:val="auto"/>
          <w:sz w:val="24"/>
        </w:rPr>
        <w:t>年   月    日</w:t>
      </w:r>
    </w:p>
    <w:p>
      <w:pPr>
        <w:pStyle w:val="27"/>
        <w:rPr>
          <w:rFonts w:hint="eastAsia" w:ascii="宋体" w:hAnsi="宋体" w:eastAsia="宋体" w:cs="宋体"/>
          <w:color w:val="auto"/>
          <w:sz w:val="24"/>
        </w:rPr>
      </w:pPr>
    </w:p>
    <w:p>
      <w:pPr>
        <w:rPr>
          <w:rFonts w:hint="eastAsia"/>
          <w:color w:val="auto"/>
        </w:rPr>
      </w:pPr>
    </w:p>
    <w:p>
      <w:pPr>
        <w:rPr>
          <w:rFonts w:hint="eastAsia"/>
          <w:color w:val="auto"/>
        </w:rPr>
      </w:pPr>
    </w:p>
    <w:p>
      <w:pPr>
        <w:pStyle w:val="8"/>
        <w:spacing w:before="45"/>
        <w:ind w:left="2" w:right="57"/>
        <w:jc w:val="left"/>
        <w:rPr>
          <w:color w:val="auto"/>
        </w:rPr>
      </w:pPr>
      <w:bookmarkStart w:id="192" w:name="_Toc29745"/>
      <w:bookmarkStart w:id="193" w:name="_Toc5696"/>
      <w:r>
        <w:rPr>
          <w:rFonts w:hint="eastAsia" w:ascii="宋体" w:hAnsi="宋体" w:eastAsia="宋体" w:cs="宋体"/>
          <w:b/>
          <w:color w:val="auto"/>
          <w:sz w:val="28"/>
        </w:rPr>
        <w:t>附件</w:t>
      </w:r>
      <w:r>
        <w:rPr>
          <w:rFonts w:hint="eastAsia" w:ascii="宋体" w:hAnsi="宋体" w:cs="宋体"/>
          <w:b/>
          <w:color w:val="auto"/>
          <w:sz w:val="28"/>
          <w:lang w:eastAsia="zh-CN"/>
        </w:rPr>
        <w:t>七</w:t>
      </w:r>
      <w:r>
        <w:rPr>
          <w:rFonts w:hint="eastAsia" w:ascii="宋体" w:hAnsi="宋体" w:eastAsia="宋体" w:cs="宋体"/>
          <w:b/>
          <w:color w:val="auto"/>
          <w:sz w:val="28"/>
          <w:lang w:val="en-US" w:eastAsia="zh-CN"/>
        </w:rPr>
        <w:t xml:space="preserve"> </w:t>
      </w:r>
      <w:bookmarkEnd w:id="192"/>
      <w:bookmarkEnd w:id="193"/>
      <w:r>
        <w:rPr>
          <w:rFonts w:hint="eastAsia" w:ascii="宋体" w:hAnsi="宋体" w:eastAsia="宋体" w:cs="宋体"/>
          <w:b/>
          <w:color w:val="auto"/>
          <w:sz w:val="28"/>
        </w:rPr>
        <w:t>售后服务方案</w:t>
      </w:r>
    </w:p>
    <w:p>
      <w:pPr>
        <w:pStyle w:val="13"/>
        <w:spacing w:before="9"/>
        <w:ind w:left="0"/>
        <w:rPr>
          <w:b/>
          <w:color w:val="auto"/>
          <w:sz w:val="30"/>
        </w:rPr>
      </w:pPr>
    </w:p>
    <w:p>
      <w:pPr>
        <w:pStyle w:val="13"/>
        <w:spacing w:line="364" w:lineRule="auto"/>
        <w:ind w:left="1437" w:right="5006"/>
        <w:rPr>
          <w:color w:val="auto"/>
        </w:rPr>
      </w:pPr>
      <w:r>
        <w:rPr>
          <w:color w:val="auto"/>
          <w:spacing w:val="-2"/>
        </w:rPr>
        <w:t xml:space="preserve">格式自拟，包括但不限于以下内容： </w:t>
      </w:r>
      <w:r>
        <w:rPr>
          <w:color w:val="auto"/>
        </w:rPr>
        <w:t>1、售后服务措施</w:t>
      </w:r>
    </w:p>
    <w:p>
      <w:pPr>
        <w:pStyle w:val="13"/>
        <w:spacing w:before="1"/>
        <w:ind w:left="1437"/>
        <w:rPr>
          <w:color w:val="auto"/>
        </w:rPr>
      </w:pPr>
      <w:r>
        <w:rPr>
          <w:color w:val="auto"/>
        </w:rPr>
        <w:t>2、售后服务承诺</w:t>
      </w:r>
    </w:p>
    <w:p>
      <w:pPr>
        <w:pStyle w:val="13"/>
        <w:spacing w:before="161"/>
        <w:ind w:left="1437"/>
        <w:rPr>
          <w:color w:val="auto"/>
        </w:rPr>
      </w:pPr>
      <w:r>
        <w:rPr>
          <w:color w:val="auto"/>
        </w:rPr>
        <w:t>3、保换方案及保障措施</w:t>
      </w:r>
    </w:p>
    <w:p>
      <w:pPr>
        <w:pStyle w:val="13"/>
        <w:spacing w:before="160"/>
        <w:ind w:left="1437"/>
        <w:rPr>
          <w:color w:val="auto"/>
        </w:rPr>
      </w:pPr>
      <w:r>
        <w:rPr>
          <w:color w:val="auto"/>
        </w:rPr>
        <w:t>4、售后现场技术服务响应时间及响应措施</w:t>
      </w:r>
    </w:p>
    <w:p>
      <w:pPr>
        <w:pStyle w:val="13"/>
        <w:spacing w:before="161"/>
        <w:ind w:left="1437"/>
        <w:rPr>
          <w:color w:val="auto"/>
        </w:rPr>
      </w:pPr>
      <w:r>
        <w:rPr>
          <w:color w:val="auto"/>
        </w:rPr>
        <w:t>5、培训方案等</w:t>
      </w:r>
    </w:p>
    <w:p>
      <w:pPr>
        <w:spacing w:after="0"/>
        <w:rPr>
          <w:color w:val="auto"/>
        </w:rPr>
      </w:pPr>
    </w:p>
    <w:p>
      <w:pPr>
        <w:pStyle w:val="27"/>
        <w:rPr>
          <w:color w:val="auto"/>
        </w:rPr>
      </w:pPr>
    </w:p>
    <w:p>
      <w:pPr>
        <w:rPr>
          <w:color w:val="auto"/>
        </w:rPr>
      </w:pPr>
    </w:p>
    <w:p>
      <w:pPr>
        <w:spacing w:line="540" w:lineRule="exact"/>
        <w:outlineLvl w:val="0"/>
        <w:rPr>
          <w:rFonts w:hint="eastAsia" w:ascii="宋体" w:hAnsi="宋体" w:eastAsia="宋体" w:cs="宋体"/>
          <w:b/>
          <w:color w:val="auto"/>
          <w:sz w:val="28"/>
          <w:lang w:val="en-US" w:eastAsia="zh-CN"/>
        </w:rPr>
      </w:pPr>
      <w:bookmarkStart w:id="194" w:name="_Toc6386"/>
      <w:r>
        <w:rPr>
          <w:rFonts w:hint="eastAsia" w:ascii="宋体" w:hAnsi="宋体" w:eastAsia="宋体" w:cs="宋体"/>
          <w:b/>
          <w:color w:val="auto"/>
          <w:sz w:val="28"/>
          <w:lang w:val="en-US" w:eastAsia="zh-CN"/>
        </w:rPr>
        <w:t xml:space="preserve">附件八  </w:t>
      </w:r>
      <w:r>
        <w:rPr>
          <w:rFonts w:hint="eastAsia" w:ascii="宋体" w:hAnsi="宋体" w:eastAsia="宋体" w:cs="宋体"/>
          <w:b/>
          <w:bCs/>
          <w:color w:val="auto"/>
          <w:kern w:val="2"/>
          <w:sz w:val="28"/>
          <w:szCs w:val="24"/>
          <w:lang w:val="en-US" w:eastAsia="zh-CN" w:bidi="zh-CN"/>
        </w:rPr>
        <w:t>项目负责人及项目班子成员</w:t>
      </w:r>
      <w:bookmarkEnd w:id="194"/>
      <w:r>
        <w:rPr>
          <w:rFonts w:hint="eastAsia" w:ascii="宋体" w:hAnsi="宋体" w:eastAsia="宋体" w:cs="宋体"/>
          <w:b/>
          <w:bCs/>
          <w:color w:val="auto"/>
          <w:kern w:val="2"/>
          <w:sz w:val="28"/>
          <w:szCs w:val="24"/>
          <w:lang w:val="en-US" w:eastAsia="zh-CN" w:bidi="zh-CN"/>
        </w:rPr>
        <w:t>（格式自拟）</w:t>
      </w:r>
    </w:p>
    <w:p>
      <w:pPr>
        <w:pStyle w:val="27"/>
        <w:rPr>
          <w:rFonts w:hint="eastAsia"/>
          <w:color w:val="auto"/>
          <w:lang w:val="en-US" w:eastAsia="zh-CN"/>
        </w:rPr>
      </w:pPr>
    </w:p>
    <w:p>
      <w:pPr>
        <w:pStyle w:val="27"/>
        <w:rPr>
          <w:color w:val="auto"/>
        </w:rPr>
      </w:pPr>
    </w:p>
    <w:p>
      <w:pPr>
        <w:rPr>
          <w:rFonts w:hint="eastAsia" w:ascii="宋体" w:hAnsi="宋体" w:eastAsia="宋体" w:cs="宋体"/>
          <w:b/>
          <w:color w:val="auto"/>
          <w:sz w:val="28"/>
          <w:lang w:val="en-US" w:eastAsia="zh-CN"/>
        </w:rPr>
      </w:pPr>
      <w:r>
        <w:rPr>
          <w:rFonts w:hint="eastAsia" w:ascii="宋体" w:hAnsi="宋体" w:eastAsia="宋体" w:cs="宋体"/>
          <w:b/>
          <w:color w:val="auto"/>
          <w:sz w:val="28"/>
          <w:lang w:val="en-US" w:eastAsia="zh-CN"/>
        </w:rPr>
        <w:t>附件九  资格文件</w:t>
      </w:r>
    </w:p>
    <w:p>
      <w:pPr>
        <w:pStyle w:val="13"/>
        <w:spacing w:before="1"/>
        <w:ind w:left="1437"/>
        <w:rPr>
          <w:rFonts w:eastAsia="宋体"/>
          <w:color w:val="auto"/>
        </w:rPr>
      </w:pPr>
    </w:p>
    <w:p>
      <w:pPr>
        <w:pStyle w:val="13"/>
        <w:spacing w:before="1"/>
        <w:ind w:left="1437"/>
        <w:rPr>
          <w:rFonts w:hint="eastAsia" w:eastAsia="宋体"/>
          <w:color w:val="auto"/>
          <w:lang w:val="en-US" w:eastAsia="zh-CN"/>
        </w:rPr>
      </w:pPr>
      <w:r>
        <w:rPr>
          <w:rFonts w:hint="eastAsia" w:eastAsia="宋体"/>
          <w:color w:val="auto"/>
          <w:lang w:val="en-US" w:eastAsia="zh-CN"/>
        </w:rPr>
        <w:t>1、企业简介</w:t>
      </w:r>
    </w:p>
    <w:p>
      <w:pPr>
        <w:pStyle w:val="13"/>
        <w:spacing w:before="1"/>
        <w:ind w:left="1437"/>
        <w:rPr>
          <w:rFonts w:hint="eastAsia" w:eastAsia="宋体"/>
          <w:color w:val="auto"/>
          <w:lang w:val="en-US" w:eastAsia="zh-CN"/>
        </w:rPr>
      </w:pPr>
      <w:r>
        <w:rPr>
          <w:rFonts w:hint="eastAsia" w:eastAsia="宋体"/>
          <w:color w:val="auto"/>
          <w:lang w:val="en-US" w:eastAsia="zh-CN"/>
        </w:rPr>
        <w:t>2、营业执照、组织机构代码证、税务登记证（或三证合一的营业执照）</w:t>
      </w:r>
    </w:p>
    <w:p>
      <w:pPr>
        <w:pStyle w:val="13"/>
        <w:spacing w:before="1"/>
        <w:ind w:left="1437"/>
        <w:rPr>
          <w:rFonts w:hint="eastAsia" w:eastAsia="宋体"/>
          <w:color w:val="auto"/>
          <w:lang w:val="en-US" w:eastAsia="zh-CN"/>
        </w:rPr>
      </w:pPr>
      <w:r>
        <w:rPr>
          <w:rFonts w:hint="eastAsia" w:eastAsia="宋体"/>
          <w:color w:val="auto"/>
          <w:lang w:val="en-US" w:eastAsia="zh-CN"/>
        </w:rPr>
        <w:t>3、资质证书</w:t>
      </w:r>
    </w:p>
    <w:p>
      <w:pPr>
        <w:pStyle w:val="13"/>
        <w:spacing w:before="1"/>
        <w:ind w:left="1437"/>
        <w:rPr>
          <w:rFonts w:hint="eastAsia" w:eastAsia="宋体"/>
          <w:color w:val="auto"/>
          <w:lang w:val="en-US" w:eastAsia="zh-CN"/>
        </w:rPr>
      </w:pPr>
      <w:bookmarkStart w:id="195" w:name="★近三年（2016、2017、2018）审计报告"/>
      <w:bookmarkEnd w:id="195"/>
      <w:r>
        <w:rPr>
          <w:rFonts w:hint="eastAsia" w:eastAsia="宋体"/>
          <w:color w:val="auto"/>
          <w:lang w:val="en-US" w:eastAsia="zh-CN"/>
        </w:rPr>
        <w:t>4、近三年（201</w:t>
      </w:r>
      <w:r>
        <w:rPr>
          <w:rFonts w:hint="eastAsia"/>
          <w:color w:val="auto"/>
          <w:lang w:val="en-US" w:eastAsia="zh-CN"/>
        </w:rPr>
        <w:t>9</w:t>
      </w:r>
      <w:r>
        <w:rPr>
          <w:rFonts w:hint="eastAsia" w:eastAsia="宋体"/>
          <w:color w:val="auto"/>
          <w:lang w:val="en-US" w:eastAsia="zh-CN"/>
        </w:rPr>
        <w:t>、20</w:t>
      </w:r>
      <w:r>
        <w:rPr>
          <w:rFonts w:hint="eastAsia"/>
          <w:color w:val="auto"/>
          <w:lang w:val="en-US" w:eastAsia="zh-CN"/>
        </w:rPr>
        <w:t>2</w:t>
      </w:r>
      <w:r>
        <w:rPr>
          <w:rFonts w:hint="eastAsia" w:eastAsia="宋体"/>
          <w:color w:val="auto"/>
          <w:lang w:val="en-US" w:eastAsia="zh-CN"/>
        </w:rPr>
        <w:t>、20</w:t>
      </w:r>
      <w:r>
        <w:rPr>
          <w:rFonts w:hint="eastAsia"/>
          <w:color w:val="auto"/>
          <w:lang w:val="en-US" w:eastAsia="zh-CN"/>
        </w:rPr>
        <w:t>21</w:t>
      </w:r>
      <w:r>
        <w:rPr>
          <w:rFonts w:hint="eastAsia" w:eastAsia="宋体"/>
          <w:color w:val="auto"/>
          <w:lang w:val="en-US" w:eastAsia="zh-CN"/>
        </w:rPr>
        <w:t>）审计报告</w:t>
      </w:r>
    </w:p>
    <w:p>
      <w:pPr>
        <w:pStyle w:val="13"/>
        <w:spacing w:before="1"/>
        <w:ind w:left="1437"/>
        <w:rPr>
          <w:rFonts w:hint="eastAsia" w:eastAsia="宋体"/>
          <w:color w:val="auto"/>
          <w:lang w:val="en-US" w:eastAsia="zh-CN"/>
        </w:rPr>
      </w:pPr>
      <w:bookmarkStart w:id="196" w:name="★投标保证金收据"/>
      <w:bookmarkEnd w:id="196"/>
      <w:r>
        <w:rPr>
          <w:rFonts w:hint="eastAsia" w:eastAsia="宋体"/>
          <w:color w:val="auto"/>
          <w:lang w:val="en-US" w:eastAsia="zh-CN"/>
        </w:rPr>
        <w:t>5、投标保证金收据</w:t>
      </w:r>
    </w:p>
    <w:p>
      <w:pPr>
        <w:pStyle w:val="13"/>
        <w:spacing w:before="1"/>
        <w:ind w:left="1437"/>
        <w:rPr>
          <w:rFonts w:hint="eastAsia" w:eastAsia="宋体"/>
          <w:color w:val="auto"/>
          <w:lang w:val="en-US" w:eastAsia="zh-CN"/>
        </w:rPr>
      </w:pPr>
      <w:bookmarkStart w:id="197" w:name="★“信用中国”、“中国政府采购网”网页打印件"/>
      <w:bookmarkEnd w:id="197"/>
      <w:r>
        <w:rPr>
          <w:rFonts w:hint="eastAsia" w:eastAsia="宋体"/>
          <w:color w:val="auto"/>
          <w:lang w:val="en-US" w:eastAsia="zh-CN"/>
        </w:rPr>
        <w:t>6、“信用中国”、“中国政府采购网”网页截图</w:t>
      </w:r>
    </w:p>
    <w:p>
      <w:pPr>
        <w:pStyle w:val="13"/>
        <w:spacing w:before="1"/>
        <w:ind w:left="1437"/>
        <w:rPr>
          <w:rFonts w:hint="eastAsia" w:eastAsia="宋体"/>
          <w:color w:val="auto"/>
        </w:rPr>
      </w:pPr>
      <w:bookmarkStart w:id="198" w:name="★中、小微企业声明函（中、小、微型企业产品价格需扣除的须提供）（格式见附件1）"/>
      <w:bookmarkEnd w:id="198"/>
      <w:bookmarkStart w:id="199" w:name="投标人认为有必要提供其他材料（如有）"/>
      <w:bookmarkEnd w:id="199"/>
      <w:r>
        <w:rPr>
          <w:rFonts w:hint="eastAsia" w:eastAsia="宋体"/>
          <w:color w:val="auto"/>
        </w:rPr>
        <w:t>投标人认为有必要提供其他材料（如有）</w:t>
      </w:r>
    </w:p>
    <w:p>
      <w:pPr>
        <w:pStyle w:val="15"/>
        <w:rPr>
          <w:rFonts w:hint="eastAsia" w:eastAsia="宋体"/>
          <w:color w:val="auto"/>
        </w:rPr>
      </w:pPr>
    </w:p>
    <w:p>
      <w:pPr>
        <w:spacing w:line="540" w:lineRule="exact"/>
        <w:outlineLvl w:val="0"/>
        <w:rPr>
          <w:rFonts w:hint="eastAsia" w:ascii="宋体" w:hAnsi="宋体" w:eastAsia="宋体" w:cs="宋体"/>
          <w:b/>
          <w:color w:val="auto"/>
          <w:sz w:val="28"/>
        </w:rPr>
      </w:pPr>
      <w:r>
        <w:rPr>
          <w:rFonts w:hint="eastAsia" w:ascii="宋体" w:hAnsi="宋体" w:eastAsia="宋体" w:cs="宋体"/>
          <w:b/>
          <w:color w:val="auto"/>
          <w:sz w:val="28"/>
          <w:lang w:val="en-US" w:eastAsia="zh-CN"/>
        </w:rPr>
        <w:t xml:space="preserve">附件十   </w:t>
      </w:r>
      <w:r>
        <w:rPr>
          <w:rFonts w:hint="eastAsia" w:ascii="宋体" w:hAnsi="宋体" w:eastAsia="宋体" w:cs="宋体"/>
          <w:b/>
          <w:color w:val="auto"/>
          <w:sz w:val="28"/>
        </w:rPr>
        <w:t>技术参数、功能偏离表</w:t>
      </w:r>
    </w:p>
    <w:p>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技术参数、功能偏离表</w:t>
      </w:r>
    </w:p>
    <w:p>
      <w:pPr>
        <w:spacing w:line="440" w:lineRule="exact"/>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9"/>
        <w:tblW w:w="0" w:type="auto"/>
        <w:tblInd w:w="108" w:type="dxa"/>
        <w:tblLayout w:type="fixed"/>
        <w:tblCellMar>
          <w:top w:w="0" w:type="dxa"/>
          <w:left w:w="108" w:type="dxa"/>
          <w:bottom w:w="0" w:type="dxa"/>
          <w:right w:w="108" w:type="dxa"/>
        </w:tblCellMar>
      </w:tblPr>
      <w:tblGrid>
        <w:gridCol w:w="1044"/>
        <w:gridCol w:w="2263"/>
        <w:gridCol w:w="1373"/>
        <w:gridCol w:w="1800"/>
        <w:gridCol w:w="1440"/>
        <w:gridCol w:w="1260"/>
      </w:tblGrid>
      <w:tr>
        <w:tblPrEx>
          <w:tblCellMar>
            <w:top w:w="0" w:type="dxa"/>
            <w:left w:w="108" w:type="dxa"/>
            <w:bottom w:w="0" w:type="dxa"/>
            <w:right w:w="108" w:type="dxa"/>
          </w:tblCellMar>
        </w:tblPrEx>
        <w:trPr>
          <w:trHeight w:val="747"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招标文件规</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格条目号</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采购规格</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响应规格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偏离情况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1</w:t>
            </w:r>
          </w:p>
        </w:tc>
        <w:tc>
          <w:tcPr>
            <w:tcW w:w="22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r>
      <w:tr>
        <w:tblPrEx>
          <w:tblCellMar>
            <w:top w:w="0" w:type="dxa"/>
            <w:left w:w="108" w:type="dxa"/>
            <w:bottom w:w="0" w:type="dxa"/>
            <w:right w:w="108" w:type="dxa"/>
          </w:tblCellMar>
        </w:tblPrEx>
        <w:trPr>
          <w:trHeight w:val="35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2</w:t>
            </w:r>
          </w:p>
        </w:tc>
        <w:tc>
          <w:tcPr>
            <w:tcW w:w="22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3</w:t>
            </w:r>
          </w:p>
        </w:tc>
        <w:tc>
          <w:tcPr>
            <w:tcW w:w="22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26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rPr>
            </w:pPr>
          </w:p>
        </w:tc>
      </w:tr>
    </w:tbl>
    <w:p>
      <w:pPr>
        <w:spacing w:line="440" w:lineRule="exact"/>
        <w:rPr>
          <w:rFonts w:hint="eastAsia" w:ascii="宋体" w:hAnsi="宋体" w:eastAsia="宋体" w:cs="宋体"/>
          <w:color w:val="auto"/>
          <w:sz w:val="24"/>
        </w:rPr>
      </w:pPr>
      <w:r>
        <w:rPr>
          <w:rFonts w:hint="eastAsia" w:ascii="宋体" w:hAnsi="宋体" w:eastAsia="宋体" w:cs="宋体"/>
          <w:color w:val="auto"/>
          <w:sz w:val="24"/>
        </w:rPr>
        <w:t>注：1、与招标文件要求逐条对应填写</w:t>
      </w:r>
    </w:p>
    <w:p>
      <w:pPr>
        <w:numPr>
          <w:ilvl w:val="0"/>
          <w:numId w:val="4"/>
        </w:numPr>
        <w:spacing w:line="440" w:lineRule="exact"/>
        <w:ind w:left="480" w:leftChars="0" w:firstLine="0" w:firstLineChars="0"/>
        <w:rPr>
          <w:rFonts w:hint="eastAsia" w:ascii="宋体" w:hAnsi="宋体" w:eastAsia="宋体" w:cs="宋体"/>
          <w:color w:val="auto"/>
          <w:sz w:val="24"/>
        </w:rPr>
      </w:pPr>
      <w:r>
        <w:rPr>
          <w:rFonts w:hint="eastAsia" w:ascii="宋体" w:hAnsi="宋体" w:eastAsia="宋体" w:cs="宋体"/>
          <w:color w:val="auto"/>
          <w:sz w:val="24"/>
        </w:rPr>
        <w:t>表格形式可做适当调整但不得增减实质内容</w:t>
      </w:r>
    </w:p>
    <w:p>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lang w:eastAsia="zh-CN"/>
        </w:rPr>
        <w:t>重要指标</w:t>
      </w:r>
      <w:r>
        <w:rPr>
          <w:rFonts w:hint="eastAsia" w:ascii="宋体" w:hAnsi="宋体" w:cs="宋体"/>
          <w:color w:val="auto"/>
          <w:sz w:val="24"/>
          <w:lang w:eastAsia="zh-CN"/>
        </w:rPr>
        <w:t>项</w:t>
      </w:r>
      <w:r>
        <w:rPr>
          <w:rFonts w:hint="eastAsia" w:ascii="宋体" w:hAnsi="宋体" w:eastAsia="宋体" w:cs="宋体"/>
          <w:color w:val="auto"/>
          <w:sz w:val="24"/>
          <w:lang w:eastAsia="zh-CN"/>
        </w:rPr>
        <w:t>如有正偏离，后附证明材料</w:t>
      </w:r>
    </w:p>
    <w:p>
      <w:pPr>
        <w:spacing w:line="440" w:lineRule="exact"/>
        <w:rPr>
          <w:rFonts w:hint="eastAsia" w:ascii="宋体" w:hAnsi="宋体" w:eastAsia="宋体" w:cs="宋体"/>
          <w:color w:val="auto"/>
          <w:sz w:val="24"/>
          <w:u w:val="single"/>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法人或代理人（盖章或签字）：</w:t>
      </w:r>
      <w:r>
        <w:rPr>
          <w:rFonts w:hint="eastAsia" w:ascii="宋体" w:hAnsi="宋体" w:eastAsia="宋体" w:cs="宋体"/>
          <w:color w:val="auto"/>
          <w:sz w:val="24"/>
          <w:u w:val="single"/>
        </w:rPr>
        <w:t xml:space="preserve">                    </w:t>
      </w:r>
    </w:p>
    <w:p>
      <w:pPr>
        <w:tabs>
          <w:tab w:val="left" w:pos="3975"/>
        </w:tabs>
        <w:spacing w:line="440" w:lineRule="exact"/>
        <w:rPr>
          <w:rFonts w:hint="eastAsia" w:ascii="宋体" w:hAnsi="宋体" w:eastAsia="宋体" w:cs="宋体"/>
          <w:color w:val="auto"/>
          <w:sz w:val="24"/>
        </w:rPr>
      </w:pPr>
      <w:r>
        <w:rPr>
          <w:rFonts w:hint="eastAsia" w:ascii="宋体" w:hAnsi="宋体" w:eastAsia="宋体" w:cs="宋体"/>
          <w:color w:val="auto"/>
          <w:sz w:val="24"/>
          <w:lang w:eastAsia="zh-CN"/>
        </w:rPr>
        <w:t>投标单位</w:t>
      </w:r>
      <w:r>
        <w:rPr>
          <w:rFonts w:hint="eastAsia" w:ascii="宋体" w:hAnsi="宋体" w:eastAsia="宋体" w:cs="宋体"/>
          <w:color w:val="auto"/>
          <w:sz w:val="24"/>
        </w:rPr>
        <w:t>盖章：</w:t>
      </w:r>
      <w:r>
        <w:rPr>
          <w:rFonts w:hint="eastAsia" w:ascii="宋体" w:hAnsi="宋体" w:eastAsia="宋体" w:cs="宋体"/>
          <w:color w:val="auto"/>
          <w:sz w:val="24"/>
        </w:rPr>
        <w:tab/>
      </w:r>
      <w:r>
        <w:rPr>
          <w:rFonts w:hint="eastAsia" w:ascii="宋体" w:hAnsi="宋体" w:eastAsia="宋体" w:cs="宋体"/>
          <w:color w:val="auto"/>
          <w:sz w:val="24"/>
        </w:rPr>
        <w:t>年   月    日</w:t>
      </w:r>
    </w:p>
    <w:p>
      <w:pPr>
        <w:rPr>
          <w:rFonts w:hint="eastAsia" w:ascii="宋体" w:hAnsi="宋体" w:eastAsia="宋体" w:cs="宋体"/>
          <w:b/>
          <w:color w:val="auto"/>
          <w:sz w:val="28"/>
          <w:lang w:val="en-US" w:eastAsia="zh-CN"/>
        </w:rPr>
      </w:pPr>
    </w:p>
    <w:p>
      <w:pPr>
        <w:pStyle w:val="15"/>
        <w:rPr>
          <w:rFonts w:hint="eastAsia" w:eastAsia="宋体"/>
          <w:color w:val="auto"/>
        </w:rPr>
      </w:pPr>
    </w:p>
    <w:p>
      <w:pPr>
        <w:spacing w:line="540" w:lineRule="exact"/>
        <w:outlineLvl w:val="0"/>
        <w:rPr>
          <w:rFonts w:hint="eastAsia" w:ascii="宋体" w:hAnsi="宋体" w:eastAsia="宋体" w:cs="宋体"/>
          <w:b/>
          <w:color w:val="auto"/>
          <w:sz w:val="28"/>
          <w:lang w:val="en-US" w:eastAsia="zh-CN"/>
        </w:rPr>
      </w:pPr>
      <w:bookmarkStart w:id="200" w:name="_Toc8181"/>
      <w:r>
        <w:rPr>
          <w:rFonts w:hint="eastAsia" w:ascii="宋体" w:hAnsi="宋体" w:eastAsia="宋体" w:cs="宋体"/>
          <w:b/>
          <w:color w:val="auto"/>
          <w:sz w:val="28"/>
          <w:lang w:val="en-US" w:eastAsia="zh-CN"/>
        </w:rPr>
        <w:t xml:space="preserve">附件十一  </w:t>
      </w:r>
      <w:bookmarkEnd w:id="200"/>
      <w:r>
        <w:rPr>
          <w:rFonts w:hint="eastAsia" w:ascii="宋体" w:hAnsi="宋体" w:eastAsia="宋体" w:cs="宋体"/>
          <w:b/>
          <w:color w:val="auto"/>
          <w:sz w:val="28"/>
          <w:lang w:val="en-US" w:eastAsia="zh-CN"/>
        </w:rPr>
        <w:t>技术方案（格式自拟）</w:t>
      </w:r>
    </w:p>
    <w:p>
      <w:pPr>
        <w:pStyle w:val="27"/>
        <w:rPr>
          <w:rFonts w:hint="eastAsia"/>
          <w:color w:val="auto"/>
        </w:rPr>
      </w:pPr>
    </w:p>
    <w:p>
      <w:pPr>
        <w:pStyle w:val="74"/>
        <w:numPr>
          <w:ilvl w:val="0"/>
          <w:numId w:val="0"/>
        </w:numPr>
        <w:tabs>
          <w:tab w:val="left" w:pos="1319"/>
        </w:tabs>
        <w:spacing w:before="4" w:after="0" w:line="240" w:lineRule="auto"/>
        <w:ind w:leftChars="200" w:right="0" w:rightChars="0"/>
        <w:jc w:val="left"/>
        <w:rPr>
          <w:rFonts w:ascii="Times New Roman" w:hAnsi="Times New Roman" w:eastAsia="宋体" w:cs="Times New Roman"/>
          <w:color w:val="auto"/>
          <w:spacing w:val="-2"/>
          <w:kern w:val="0"/>
          <w:sz w:val="24"/>
          <w:szCs w:val="20"/>
          <w:lang w:val="en-US" w:eastAsia="zh-CN" w:bidi="ar-SA"/>
        </w:rPr>
      </w:pPr>
      <w:r>
        <w:rPr>
          <w:rFonts w:hint="eastAsia" w:ascii="Times New Roman" w:hAnsi="Times New Roman" w:eastAsia="宋体" w:cs="Times New Roman"/>
          <w:color w:val="auto"/>
          <w:spacing w:val="-2"/>
          <w:kern w:val="0"/>
          <w:sz w:val="24"/>
          <w:szCs w:val="20"/>
          <w:lang w:val="en-US" w:eastAsia="zh-CN" w:bidi="ar-SA"/>
        </w:rPr>
        <w:t>1、</w:t>
      </w:r>
      <w:r>
        <w:rPr>
          <w:rFonts w:ascii="Times New Roman" w:hAnsi="Times New Roman" w:eastAsia="宋体" w:cs="Times New Roman"/>
          <w:color w:val="auto"/>
          <w:spacing w:val="-2"/>
          <w:kern w:val="0"/>
          <w:sz w:val="24"/>
          <w:szCs w:val="20"/>
          <w:lang w:val="en-US" w:eastAsia="zh-CN" w:bidi="ar-SA"/>
        </w:rPr>
        <w:t>所投产品详述</w:t>
      </w:r>
    </w:p>
    <w:p>
      <w:pPr>
        <w:pStyle w:val="15"/>
        <w:rPr>
          <w:rFonts w:ascii="Times New Roman" w:hAnsi="Times New Roman" w:eastAsia="宋体" w:cs="Times New Roman"/>
          <w:color w:val="auto"/>
          <w:spacing w:val="-2"/>
          <w:kern w:val="0"/>
          <w:sz w:val="24"/>
          <w:szCs w:val="20"/>
          <w:lang w:val="en-US" w:eastAsia="zh-CN" w:bidi="ar-SA"/>
        </w:rPr>
      </w:pPr>
      <w:r>
        <w:rPr>
          <w:rFonts w:hint="eastAsia" w:ascii="Times New Roman" w:hAnsi="Times New Roman" w:eastAsia="宋体" w:cs="Times New Roman"/>
          <w:color w:val="auto"/>
          <w:spacing w:val="-2"/>
          <w:kern w:val="0"/>
          <w:sz w:val="24"/>
          <w:szCs w:val="20"/>
          <w:lang w:val="en-US" w:eastAsia="zh-CN" w:bidi="ar-SA"/>
        </w:rPr>
        <w:t>2、</w:t>
      </w:r>
      <w:r>
        <w:rPr>
          <w:rFonts w:ascii="Times New Roman" w:hAnsi="Times New Roman" w:eastAsia="宋体" w:cs="Times New Roman"/>
          <w:color w:val="auto"/>
          <w:spacing w:val="-2"/>
          <w:kern w:val="0"/>
          <w:sz w:val="24"/>
          <w:szCs w:val="20"/>
          <w:lang w:val="en-US" w:eastAsia="zh-CN" w:bidi="ar-SA"/>
        </w:rPr>
        <w:t>对所投产品进行分析</w:t>
      </w:r>
    </w:p>
    <w:p>
      <w:pPr>
        <w:pStyle w:val="15"/>
        <w:rPr>
          <w:rFonts w:ascii="Times New Roman" w:hAnsi="Times New Roman" w:eastAsia="宋体" w:cs="Times New Roman"/>
          <w:color w:val="auto"/>
          <w:spacing w:val="-2"/>
          <w:kern w:val="0"/>
          <w:sz w:val="24"/>
          <w:szCs w:val="20"/>
          <w:lang w:val="en-US" w:eastAsia="zh-CN" w:bidi="ar-SA"/>
        </w:rPr>
      </w:pPr>
    </w:p>
    <w:p>
      <w:pPr>
        <w:spacing w:line="540" w:lineRule="exact"/>
        <w:outlineLvl w:val="0"/>
        <w:rPr>
          <w:rFonts w:hint="eastAsia"/>
          <w:color w:val="auto"/>
          <w:lang w:val="en-US" w:eastAsia="zh-CN"/>
        </w:rPr>
      </w:pPr>
      <w:bookmarkStart w:id="201" w:name="_Toc25834"/>
      <w:r>
        <w:rPr>
          <w:rFonts w:hint="eastAsia" w:ascii="宋体" w:hAnsi="宋体" w:eastAsia="宋体" w:cs="宋体"/>
          <w:b/>
          <w:color w:val="auto"/>
          <w:sz w:val="28"/>
          <w:lang w:eastAsia="zh-CN"/>
        </w:rPr>
        <w:t>附件十二</w:t>
      </w:r>
      <w:r>
        <w:rPr>
          <w:rFonts w:hint="eastAsia" w:ascii="宋体" w:hAnsi="宋体" w:eastAsia="宋体" w:cs="宋体"/>
          <w:b/>
          <w:color w:val="auto"/>
          <w:sz w:val="28"/>
          <w:lang w:val="en-US" w:eastAsia="zh-CN"/>
        </w:rPr>
        <w:t xml:space="preserve">  供货</w:t>
      </w:r>
      <w:bookmarkEnd w:id="201"/>
      <w:r>
        <w:rPr>
          <w:rFonts w:hint="eastAsia" w:ascii="宋体" w:hAnsi="宋体" w:eastAsia="宋体" w:cs="宋体"/>
          <w:b/>
          <w:color w:val="auto"/>
          <w:sz w:val="28"/>
          <w:lang w:val="en-US" w:eastAsia="zh-CN"/>
        </w:rPr>
        <w:t>计划（格式自拟）</w:t>
      </w:r>
    </w:p>
    <w:p>
      <w:pPr>
        <w:tabs>
          <w:tab w:val="left" w:pos="3975"/>
        </w:tabs>
        <w:spacing w:line="440" w:lineRule="exact"/>
        <w:rPr>
          <w:rFonts w:hint="eastAsia" w:ascii="宋体" w:hAnsi="宋体" w:eastAsia="宋体" w:cs="宋体"/>
          <w:b/>
          <w:color w:val="auto"/>
          <w:sz w:val="28"/>
          <w:lang w:val="en-US" w:eastAsia="zh-CN"/>
        </w:rPr>
      </w:pPr>
      <w:bookmarkStart w:id="202" w:name="_Toc32161"/>
      <w:r>
        <w:rPr>
          <w:rFonts w:hint="eastAsia" w:ascii="宋体" w:hAnsi="宋体" w:eastAsia="宋体" w:cs="宋体"/>
          <w:b/>
          <w:color w:val="auto"/>
          <w:sz w:val="28"/>
        </w:rPr>
        <w:t>附</w:t>
      </w:r>
      <w:r>
        <w:rPr>
          <w:rFonts w:hint="eastAsia" w:ascii="宋体" w:hAnsi="宋体" w:eastAsia="宋体" w:cs="宋体"/>
          <w:b/>
          <w:color w:val="auto"/>
          <w:sz w:val="28"/>
          <w:lang w:eastAsia="zh-CN"/>
        </w:rPr>
        <w:t>件十三</w:t>
      </w:r>
      <w:r>
        <w:rPr>
          <w:rFonts w:hint="eastAsia" w:ascii="宋体" w:hAnsi="宋体" w:eastAsia="宋体" w:cs="宋体"/>
          <w:b/>
          <w:color w:val="auto"/>
          <w:sz w:val="28"/>
          <w:lang w:val="en-US" w:eastAsia="zh-CN"/>
        </w:rPr>
        <w:t xml:space="preserve"> </w:t>
      </w:r>
      <w:bookmarkEnd w:id="202"/>
      <w:r>
        <w:rPr>
          <w:rFonts w:hint="eastAsia" w:ascii="宋体" w:hAnsi="宋体" w:eastAsia="宋体" w:cs="宋体"/>
          <w:b/>
          <w:color w:val="auto"/>
          <w:sz w:val="28"/>
          <w:lang w:val="en-US" w:eastAsia="zh-CN"/>
        </w:rPr>
        <w:t xml:space="preserve"> 施工方案（格式自拟）</w:t>
      </w:r>
    </w:p>
    <w:p>
      <w:pPr>
        <w:tabs>
          <w:tab w:val="left" w:pos="3975"/>
        </w:tabs>
        <w:spacing w:line="440" w:lineRule="exact"/>
        <w:rPr>
          <w:rFonts w:hint="eastAsia" w:ascii="宋体" w:hAnsi="宋体" w:eastAsia="宋体" w:cs="宋体"/>
          <w:b/>
          <w:color w:val="auto"/>
          <w:sz w:val="28"/>
          <w:lang w:val="en-US" w:eastAsia="zh-CN"/>
        </w:rPr>
      </w:pPr>
      <w:r>
        <w:rPr>
          <w:rFonts w:hint="eastAsia" w:ascii="宋体" w:hAnsi="宋体" w:eastAsia="宋体" w:cs="宋体"/>
          <w:b/>
          <w:color w:val="auto"/>
          <w:sz w:val="28"/>
        </w:rPr>
        <w:t>附</w:t>
      </w:r>
      <w:r>
        <w:rPr>
          <w:rFonts w:hint="eastAsia" w:ascii="宋体" w:hAnsi="宋体" w:eastAsia="宋体" w:cs="宋体"/>
          <w:b/>
          <w:color w:val="auto"/>
          <w:sz w:val="28"/>
          <w:lang w:eastAsia="zh-CN"/>
        </w:rPr>
        <w:t>件十四</w:t>
      </w:r>
      <w:r>
        <w:rPr>
          <w:rFonts w:hint="eastAsia" w:ascii="宋体" w:hAnsi="宋体" w:eastAsia="宋体" w:cs="宋体"/>
          <w:b/>
          <w:color w:val="auto"/>
          <w:sz w:val="28"/>
          <w:lang w:val="en-US" w:eastAsia="zh-CN"/>
        </w:rPr>
        <w:t xml:space="preserve"> </w:t>
      </w:r>
      <w:r>
        <w:rPr>
          <w:rFonts w:hint="eastAsia" w:ascii="宋体" w:hAnsi="宋体" w:cs="宋体"/>
          <w:b/>
          <w:color w:val="auto"/>
          <w:sz w:val="28"/>
          <w:lang w:val="en-US" w:eastAsia="zh-CN"/>
        </w:rPr>
        <w:t xml:space="preserve"> </w:t>
      </w:r>
      <w:r>
        <w:rPr>
          <w:rFonts w:hint="eastAsia" w:ascii="宋体" w:hAnsi="宋体" w:eastAsia="宋体" w:cs="宋体"/>
          <w:b/>
          <w:color w:val="auto"/>
          <w:sz w:val="28"/>
          <w:lang w:val="en-US" w:eastAsia="zh-CN"/>
        </w:rPr>
        <w:t>投标人认为有必要的其他内容（格式自拟）</w:t>
      </w:r>
    </w:p>
    <w:p>
      <w:pPr>
        <w:pStyle w:val="15"/>
        <w:ind w:left="0" w:leftChars="0" w:firstLine="0" w:firstLineChars="0"/>
        <w:rPr>
          <w:rFonts w:hint="eastAsia"/>
          <w:color w:val="auto"/>
          <w:sz w:val="24"/>
        </w:rPr>
        <w:sectPr>
          <w:footerReference r:id="rId7" w:type="default"/>
          <w:pgSz w:w="11910" w:h="16840"/>
          <w:pgMar w:top="1380" w:right="780" w:bottom="1160" w:left="840" w:header="0" w:footer="975" w:gutter="0"/>
          <w:pgNumType w:fmt="decimal" w:start="1"/>
          <w:cols w:space="720" w:num="1"/>
        </w:sectPr>
      </w:pPr>
    </w:p>
    <w:p>
      <w:pPr>
        <w:pStyle w:val="2"/>
        <w:numPr>
          <w:ilvl w:val="0"/>
          <w:numId w:val="0"/>
        </w:numPr>
        <w:jc w:val="both"/>
        <w:rPr>
          <w:rFonts w:hint="eastAsia" w:ascii="宋体" w:hAnsi="宋体" w:eastAsia="宋体" w:cs="宋体"/>
          <w:b/>
          <w:bCs/>
          <w:color w:val="auto"/>
          <w:sz w:val="32"/>
          <w:szCs w:val="28"/>
          <w:lang w:val="en-US" w:eastAsia="zh-CN"/>
        </w:rPr>
      </w:pPr>
      <w:bookmarkStart w:id="203" w:name="_Toc16521"/>
    </w:p>
    <w:p>
      <w:pPr>
        <w:pStyle w:val="2"/>
        <w:numPr>
          <w:ilvl w:val="0"/>
          <w:numId w:val="0"/>
        </w:numPr>
        <w:jc w:val="center"/>
        <w:rPr>
          <w:rFonts w:hint="eastAsia" w:ascii="宋体" w:hAnsi="宋体" w:eastAsia="宋体" w:cs="宋体"/>
          <w:b/>
          <w:color w:val="auto"/>
          <w:sz w:val="32"/>
          <w:szCs w:val="32"/>
          <w:lang w:eastAsia="zh-CN"/>
        </w:rPr>
      </w:pPr>
      <w:r>
        <w:rPr>
          <w:rFonts w:hint="eastAsia" w:ascii="宋体" w:hAnsi="宋体" w:eastAsia="宋体" w:cs="宋体"/>
          <w:b/>
          <w:bCs/>
          <w:color w:val="auto"/>
          <w:sz w:val="32"/>
          <w:szCs w:val="28"/>
          <w:lang w:val="en-US" w:eastAsia="zh-CN"/>
        </w:rPr>
        <w:t>第六章</w:t>
      </w:r>
      <w:bookmarkEnd w:id="203"/>
      <w:bookmarkStart w:id="204" w:name="_Toc8482"/>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评标标准</w:t>
      </w:r>
      <w:bookmarkEnd w:id="204"/>
    </w:p>
    <w:p>
      <w:pPr>
        <w:spacing w:line="240" w:lineRule="auto"/>
        <w:ind w:firstLine="480" w:firstLineChars="200"/>
        <w:rPr>
          <w:rFonts w:hint="eastAsia" w:ascii="宋体" w:hAnsi="宋体" w:eastAsia="宋体" w:cs="宋体"/>
          <w:b w:val="0"/>
          <w:bCs w:val="0"/>
          <w:color w:val="auto"/>
          <w:sz w:val="24"/>
        </w:rPr>
      </w:pPr>
      <w:bookmarkStart w:id="205" w:name="_Toc8052"/>
      <w:bookmarkStart w:id="206" w:name="_Toc31965"/>
      <w:r>
        <w:rPr>
          <w:rFonts w:hint="eastAsia" w:ascii="宋体" w:hAnsi="宋体" w:eastAsia="宋体" w:cs="宋体"/>
          <w:b w:val="0"/>
          <w:bCs w:val="0"/>
          <w:color w:val="auto"/>
          <w:sz w:val="24"/>
        </w:rPr>
        <w:t>一、前言</w:t>
      </w:r>
      <w:bookmarkEnd w:id="205"/>
      <w:bookmarkEnd w:id="206"/>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1.1为保证招标“公开、公平、公正”，根据《中华人民共和国政府采购法》、结合本项目特点，制定本评标办法，实行评标的规范化、标准化、科学化。</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1.2 本评标办法仅适用于本次招标。</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1.3本评标办法的解释和修订权属</w:t>
      </w:r>
      <w:r>
        <w:rPr>
          <w:rFonts w:hint="eastAsia" w:ascii="宋体" w:hAnsi="宋体" w:eastAsia="宋体" w:cs="宋体"/>
          <w:b w:val="0"/>
          <w:bCs w:val="0"/>
          <w:color w:val="auto"/>
          <w:sz w:val="24"/>
          <w:lang w:eastAsia="zh-CN"/>
        </w:rPr>
        <w:t>国金工程项目管理有限公司</w:t>
      </w:r>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rPr>
      </w:pPr>
      <w:bookmarkStart w:id="207" w:name="_Toc5394"/>
      <w:bookmarkStart w:id="208" w:name="_Toc20136"/>
      <w:r>
        <w:rPr>
          <w:rFonts w:hint="eastAsia" w:ascii="宋体" w:hAnsi="宋体" w:eastAsia="宋体" w:cs="宋体"/>
          <w:b w:val="0"/>
          <w:bCs w:val="0"/>
          <w:color w:val="auto"/>
          <w:sz w:val="24"/>
        </w:rPr>
        <w:t>二、评标依据</w:t>
      </w:r>
      <w:bookmarkEnd w:id="207"/>
      <w:bookmarkEnd w:id="208"/>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2.1 评标工作严格执行《中华人民共和国政府采购法》，《评标委员会和评标方法暂行规定》，《政府采购货物和服务招标投标管理办法》以及国家和地方颁布的有关法令、法规。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2.2 评标依据是招标文件及其补充通知、</w:t>
      </w:r>
      <w:r>
        <w:rPr>
          <w:rFonts w:hint="eastAsia" w:ascii="宋体" w:hAnsi="宋体" w:eastAsia="宋体" w:cs="宋体"/>
          <w:b w:val="0"/>
          <w:bCs w:val="0"/>
          <w:color w:val="auto"/>
          <w:sz w:val="24"/>
          <w:lang w:eastAsia="zh-CN"/>
        </w:rPr>
        <w:t>投标单位</w:t>
      </w:r>
      <w:r>
        <w:rPr>
          <w:rFonts w:hint="eastAsia" w:ascii="宋体" w:hAnsi="宋体" w:eastAsia="宋体" w:cs="宋体"/>
          <w:b w:val="0"/>
          <w:bCs w:val="0"/>
          <w:color w:val="auto"/>
          <w:sz w:val="24"/>
        </w:rPr>
        <w:t>的投标文件及其澄清文件及本评标办法。</w:t>
      </w:r>
    </w:p>
    <w:p>
      <w:pPr>
        <w:spacing w:line="240" w:lineRule="auto"/>
        <w:ind w:firstLine="480" w:firstLineChars="200"/>
        <w:rPr>
          <w:rFonts w:hint="eastAsia" w:ascii="宋体" w:hAnsi="宋体" w:eastAsia="宋体" w:cs="宋体"/>
          <w:b w:val="0"/>
          <w:bCs w:val="0"/>
          <w:color w:val="auto"/>
          <w:sz w:val="24"/>
        </w:rPr>
      </w:pPr>
      <w:bookmarkStart w:id="209" w:name="_Toc21258"/>
      <w:bookmarkStart w:id="210" w:name="_Toc23016"/>
      <w:r>
        <w:rPr>
          <w:rFonts w:hint="eastAsia" w:ascii="宋体" w:hAnsi="宋体" w:eastAsia="宋体" w:cs="宋体"/>
          <w:b w:val="0"/>
          <w:bCs w:val="0"/>
          <w:color w:val="auto"/>
          <w:sz w:val="24"/>
        </w:rPr>
        <w:t>三、评标机构</w:t>
      </w:r>
      <w:bookmarkEnd w:id="209"/>
      <w:bookmarkEnd w:id="210"/>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3.1 评标委员会</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由招标人负责组建评标委员会负责本项目招标的评标工作，评标委员会向招标人推荐中标候选人。评标委员会人数为5人以上单数，分别由业主代表、技术、经济方面的专家组成，其中技术、经济方面的专家数量不少于评标委员会成员总数的三分之二。</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评标委员会的职责主要是：</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（l）根据评标标准和办法及招标文件要求，对投标文件进行认真评审和比较，并对评标结果签字确认。</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（2）向招标人提交书面评标报告，推荐排序的中标候选人1－3名。</w:t>
      </w:r>
    </w:p>
    <w:p>
      <w:pPr>
        <w:spacing w:line="240" w:lineRule="auto"/>
        <w:ind w:firstLine="480" w:firstLineChars="200"/>
        <w:rPr>
          <w:rFonts w:hint="eastAsia" w:ascii="宋体" w:hAnsi="宋体" w:eastAsia="宋体" w:cs="宋体"/>
          <w:b w:val="0"/>
          <w:bCs w:val="0"/>
          <w:color w:val="auto"/>
          <w:sz w:val="24"/>
          <w:lang w:eastAsia="zh-CN"/>
        </w:rPr>
      </w:pPr>
      <w:bookmarkStart w:id="211" w:name="_Toc6392"/>
      <w:bookmarkStart w:id="212" w:name="_Toc24090"/>
      <w:r>
        <w:rPr>
          <w:rFonts w:hint="eastAsia" w:ascii="宋体" w:hAnsi="宋体" w:eastAsia="宋体" w:cs="宋体"/>
          <w:b w:val="0"/>
          <w:bCs w:val="0"/>
          <w:color w:val="auto"/>
          <w:sz w:val="24"/>
        </w:rPr>
        <w:t>四、</w:t>
      </w:r>
      <w:bookmarkEnd w:id="211"/>
      <w:bookmarkEnd w:id="212"/>
      <w:r>
        <w:rPr>
          <w:rFonts w:hint="eastAsia" w:ascii="宋体" w:hAnsi="宋体" w:eastAsia="宋体" w:cs="宋体"/>
          <w:b w:val="0"/>
          <w:bCs w:val="0"/>
          <w:color w:val="auto"/>
          <w:sz w:val="24"/>
          <w:lang w:eastAsia="zh-CN"/>
        </w:rPr>
        <w:t>评审程序</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.1 评审的依据：招标文件。</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.2 评标办法：综合评估法</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综合评分法，是指投标文件满足招标文件全部实质性要求，且按照评审因素的量化指标评审得分最高的投标人为中标候选人的评标方法。</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.3 评审程序：</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成立评标委员会→初步评审（符合性审查）→错误性修正→详细评审（商务、技术部分评审）→推荐中标候选人→完成评标报告</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通过初步评审的投标文件，方可进入下一环节的评审。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五、</w:t>
      </w:r>
      <w:r>
        <w:rPr>
          <w:rFonts w:hint="eastAsia" w:ascii="宋体" w:hAnsi="宋体" w:eastAsia="宋体" w:cs="宋体"/>
          <w:b w:val="0"/>
          <w:bCs w:val="0"/>
          <w:color w:val="auto"/>
          <w:sz w:val="24"/>
        </w:rPr>
        <w:t>初步评审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.1 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按上述规定，经投标人确认后，对投标人起约束作用。如果投标人不确认的，则其投标无效。</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.2 采购方不接受不符合国家有关部门相关规定的投标报价或优惠方案。</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.3 在评审过程中，评审小组发现投标人以他人名义投标、串通投标、以行贿手段谋取中标或者以其他弄虚作假方式投标的，该投标人的投标将被否决。</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.4 有下列情形之一的，视为投标人串通投标，其投标无效：</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(1)不同投标人的投标文件由同一单位或者个人编制；</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(2)不同投标人委托同一单位或者个人办理投标事宜；</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(3)不同投标人的投标文件载明的项目管理成员或者联系人员为同一人；</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(4)不同投标人的投标文件异常一致或者投标报价呈规律性差异；</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(5)不同投标人的投标文件相互混装；</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(6)不同投标人的投标保证金从同一单位或者个人的账户转出。</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.5 投标人存在下列情况之一的，投标无效：</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(1)未按照招标文件的规定提交投标保证金的；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(2)投标文件未按招标文件要求签署、盖章的；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(3)不具备招标文件中规定的资格要求的；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(4)报价超过招标文件中规定的预算金额或者最高限价的；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(5)投标文件含有</w:t>
      </w:r>
      <w:r>
        <w:rPr>
          <w:rFonts w:hint="eastAsia" w:ascii="宋体" w:hAnsi="宋体" w:eastAsia="宋体" w:cs="宋体"/>
          <w:b w:val="0"/>
          <w:bCs w:val="0"/>
          <w:color w:val="auto"/>
          <w:sz w:val="24"/>
          <w:lang w:eastAsia="zh-CN"/>
        </w:rPr>
        <w:t>招标人</w:t>
      </w:r>
      <w:r>
        <w:rPr>
          <w:rFonts w:hint="eastAsia" w:ascii="宋体" w:hAnsi="宋体" w:eastAsia="宋体" w:cs="宋体"/>
          <w:b w:val="0"/>
          <w:bCs w:val="0"/>
          <w:color w:val="auto"/>
          <w:sz w:val="24"/>
        </w:rPr>
        <w:t>不能接受的附加条件的；</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(6)法律、法规和招标文件规定的其他无效情形。</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.6 评审小组应当审查每一投标文件是否对招标文件提出的所有实质性要求和条件做出响应。未能在实质上响应的投标，其投标将被否决。</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.7 投标人不得误导、干扰采购方的评审活动，否则将废除其投标。</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.8 评审小组根据上述规定否决不合格投标，因有效投标不足本次评审办法规定数量而使得投标明显缺乏竞争性时，根据《中华人民共和国政府采购法》的相关规定，将作流标处理。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初步评审的标准详见附表</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w:t>
      </w:r>
    </w:p>
    <w:p>
      <w:pPr>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六、投标文件计算错误的修正</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.1 投标文件中报价出现前后不一致的，评审小组按以下原则对投标报价进行修正：</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a. 投标文件中开标一览表（报价表）内容与投标文件中相应内容不一致的，以开标一览表（报价表）为准；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b. 大写金额和小写金额不一致的，以大写金额为准；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c. 单价金额小数点或者百分比有明显错位的，以开标一览表的总价为准，并修改单价；</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d. 总价金额与按单价汇总金额不一致的，以单价金额计算结果为准。同时出现两种以上不一致的，按照前款规定的顺序修正。</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.2 修正后的最终投标报价若超过最高投标限价（如有），评审小组应当否决其投标。</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.3 按上述修正错误的原则及方法调整或修正投标文件的投标报价，经投标人确认后，对投标人起约束作用。如果投标人不确认的，则其投标无效。</w:t>
      </w:r>
    </w:p>
    <w:p>
      <w:pPr>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七、详细评审</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.1 经符合性审查合格的投标文件，评审小组应当根据招标文件确定的评审标准和方法，确定最终采购需求后，由评审小组采用综合评分法对合格的投标人的投标文件进行综合评分。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.2 评标小组成员应当按照客观、公正、审慎的原则，根据招标文件规定的评审程序、评审方法和评审标准进行独立评审。未实质性响应招标文件的投标文件按无效响应处理，评标小组应当告知提交投标文件的投标人。</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.3 根据综合评分法完成评审工作后，评审小组应当向</w:t>
      </w:r>
      <w:r>
        <w:rPr>
          <w:rFonts w:hint="eastAsia" w:ascii="宋体" w:hAnsi="宋体" w:eastAsia="宋体" w:cs="宋体"/>
          <w:b w:val="0"/>
          <w:bCs w:val="0"/>
          <w:color w:val="auto"/>
          <w:sz w:val="24"/>
          <w:lang w:eastAsia="zh-CN"/>
        </w:rPr>
        <w:t>招标人</w:t>
      </w:r>
      <w:r>
        <w:rPr>
          <w:rFonts w:hint="eastAsia" w:ascii="宋体" w:hAnsi="宋体" w:eastAsia="宋体" w:cs="宋体"/>
          <w:b w:val="0"/>
          <w:bCs w:val="0"/>
          <w:color w:val="auto"/>
          <w:sz w:val="24"/>
        </w:rPr>
        <w:t>递交书面评审报告。</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.4 评审和定标一般应当在开标后7个工作日内完成，项目金额较大、技术较为复杂等特殊项目的评审工作应当在30个工作日内完成。不能在开标后30个工作日内完成评审和定标的，</w:t>
      </w:r>
      <w:r>
        <w:rPr>
          <w:rFonts w:hint="eastAsia" w:ascii="宋体" w:hAnsi="宋体" w:eastAsia="宋体" w:cs="宋体"/>
          <w:b w:val="0"/>
          <w:bCs w:val="0"/>
          <w:color w:val="auto"/>
          <w:sz w:val="24"/>
          <w:lang w:eastAsia="zh-CN"/>
        </w:rPr>
        <w:t>招标人</w:t>
      </w:r>
      <w:r>
        <w:rPr>
          <w:rFonts w:hint="eastAsia" w:ascii="宋体" w:hAnsi="宋体" w:eastAsia="宋体" w:cs="宋体"/>
          <w:b w:val="0"/>
          <w:bCs w:val="0"/>
          <w:color w:val="auto"/>
          <w:sz w:val="24"/>
        </w:rPr>
        <w:t>应当提前3天通知所有投标人延长投标有效期。同意延长投标有效期的投标人应当相应延长投标保证金的有效期，但不得修改投标文件的实质性容。</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.5评审因素及标准(详见评分细则)</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评审因素：与投标人所提供货物服务的质量相关，包括投标报价、技术或者服务水平、履约能力、售后服务等。</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（1）商务技术部分</w:t>
      </w: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rPr>
        <w:t>0分；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（2）投标报价部分</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0分。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计算各项分值时，按四舍五入的原则，保留小数点后二位。</w:t>
      </w:r>
    </w:p>
    <w:p>
      <w:pPr>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八、投标报价</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rPr>
        <w:t>1投标人的投标标报价得分计算说明：</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价格分统一采用低价优先法计算，即满足招标文件要求且报价最低的投标人的价格为评标基准价，其价格分为满分。其他投标人的价格分统一按照下列公式计算：</w:t>
      </w:r>
    </w:p>
    <w:p>
      <w:pPr>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投标报价得分=（评标基准价/投标报价）×价格权值×100</w:t>
      </w:r>
      <w:r>
        <w:rPr>
          <w:rFonts w:hint="eastAsia" w:ascii="宋体" w:hAnsi="宋体" w:eastAsia="宋体" w:cs="宋体"/>
          <w:b w:val="0"/>
          <w:bCs w:val="0"/>
          <w:color w:val="auto"/>
          <w:sz w:val="24"/>
          <w:lang w:eastAsia="zh-CN"/>
        </w:rPr>
        <w:t>。</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本项目的价格权值为</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rPr>
        <w:t>0%。</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项目评审过程中，不得去掉投标报价中的最高报价和最低报价。</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符合政府采购优先（节约能源、保护环境）采购政策及促进中小企业（监狱企业、残疾人福利性单位）发展政策的，其价格给予6%的扣除，用扣除后的价格参与评审打分。若投标人和小微企业的产品/服务制造商有一家符合小微企业条件，并且提供了《中小企业声明函》及加盖单位公章的声明函附件（须说明投标人和产品/服务制造商的从业人员、营业收入、资产总额等相关情况）的，则其评标价=投标人报价中属于小型和微型企业产品/服务的价格部分×（100%-6%）+投标人报价中不属于小型和微型企业产品/服务的价格部分；否则，其评标价=投标人报价。</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rPr>
        <w:t>.2评审小组认为投标人的报价明显低于其他通过符合性审查投标人的报价算数平均价60%，有可能影响产品质量或者不能诚信履约的，应当要求其在评审现场合理的时间内提供书面说明，必要时提交相关证明材料；投标人不能证明其报价合理性的，评审小组应当将其作为无效投标处理。</w:t>
      </w:r>
    </w:p>
    <w:p>
      <w:pPr>
        <w:spacing w:line="24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九、综合得分</w:t>
      </w:r>
    </w:p>
    <w:p>
      <w:pPr>
        <w:spacing w:line="24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综合得分=商务技术部分得分+ 投标报价部分得分</w:t>
      </w: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eastAsia" w:ascii="宋体" w:hAnsi="宋体" w:eastAsia="宋体" w:cs="宋体"/>
          <w:b/>
          <w:color w:val="auto"/>
          <w:kern w:val="0"/>
          <w:sz w:val="24"/>
          <w:szCs w:val="24"/>
          <w:lang w:val="en-US" w:eastAsia="zh-CN"/>
        </w:rPr>
      </w:pPr>
      <w:bookmarkStart w:id="213" w:name="_Toc20175"/>
      <w:bookmarkStart w:id="214" w:name="_Toc7499_WPSOffice_Level1"/>
      <w:r>
        <w:rPr>
          <w:rFonts w:hint="eastAsia" w:ascii="宋体" w:hAnsi="宋体" w:eastAsia="宋体" w:cs="宋体"/>
          <w:b/>
          <w:color w:val="auto"/>
          <w:kern w:val="0"/>
          <w:sz w:val="24"/>
          <w:szCs w:val="24"/>
          <w:lang w:eastAsia="zh-CN"/>
        </w:rPr>
        <w:t>附表</w:t>
      </w:r>
      <w:r>
        <w:rPr>
          <w:rFonts w:hint="eastAsia" w:ascii="宋体" w:hAnsi="宋体" w:eastAsia="宋体" w:cs="宋体"/>
          <w:b/>
          <w:color w:val="auto"/>
          <w:kern w:val="0"/>
          <w:sz w:val="24"/>
          <w:szCs w:val="24"/>
          <w:lang w:val="en-US" w:eastAsia="zh-CN"/>
        </w:rPr>
        <w:t>1：资格审查</w:t>
      </w:r>
      <w:bookmarkEnd w:id="213"/>
      <w:bookmarkEnd w:id="214"/>
    </w:p>
    <w:p>
      <w:pPr>
        <w:autoSpaceDE w:val="0"/>
        <w:autoSpaceDN w:val="0"/>
        <w:adjustRightIn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资格审查</w:t>
      </w:r>
    </w:p>
    <w:tbl>
      <w:tblPr>
        <w:tblStyle w:val="2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7" w:type="dxa"/>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序号</w:t>
            </w:r>
          </w:p>
        </w:tc>
        <w:tc>
          <w:tcPr>
            <w:tcW w:w="8472" w:type="dxa"/>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7" w:type="dxa"/>
            <w:noWrap/>
            <w:vAlign w:val="center"/>
          </w:tcPr>
          <w:p>
            <w:pPr>
              <w:keepNext w:val="0"/>
              <w:keepLines w:val="0"/>
              <w:pageBreakBefore w:val="0"/>
              <w:widowControl/>
              <w:kinsoku/>
              <w:wordWrap/>
              <w:overflowPunct/>
              <w:topLinePunct w:val="0"/>
              <w:bidi w:val="0"/>
              <w:snapToGrid/>
              <w:spacing w:line="2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472" w:type="dxa"/>
            <w:noWrap w:val="0"/>
            <w:vAlign w:val="center"/>
          </w:tcPr>
          <w:p>
            <w:pPr>
              <w:keepNext w:val="0"/>
              <w:keepLines w:val="0"/>
              <w:pageBreakBefore w:val="0"/>
              <w:widowControl/>
              <w:kinsoku/>
              <w:wordWrap/>
              <w:overflowPunct/>
              <w:topLinePunct w:val="0"/>
              <w:bidi w:val="0"/>
              <w:snapToGrid/>
              <w:spacing w:line="2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法定代表人的法定代表人证明原件或授权代表的法人授权委托书原件；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7" w:type="dxa"/>
            <w:noWrap/>
            <w:vAlign w:val="center"/>
          </w:tcPr>
          <w:p>
            <w:pPr>
              <w:keepNext w:val="0"/>
              <w:keepLines w:val="0"/>
              <w:pageBreakBefore w:val="0"/>
              <w:widowControl/>
              <w:kinsoku/>
              <w:wordWrap/>
              <w:overflowPunct/>
              <w:topLinePunct w:val="0"/>
              <w:bidi w:val="0"/>
              <w:snapToGrid/>
              <w:spacing w:line="2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472" w:type="dxa"/>
            <w:noWrap w:val="0"/>
            <w:vAlign w:val="center"/>
          </w:tcPr>
          <w:p>
            <w:pPr>
              <w:keepNext w:val="0"/>
              <w:keepLines w:val="0"/>
              <w:pageBreakBefore w:val="0"/>
              <w:widowControl/>
              <w:kinsoku/>
              <w:wordWrap/>
              <w:overflowPunct/>
              <w:topLinePunct w:val="0"/>
              <w:bidi w:val="0"/>
              <w:snapToGrid/>
              <w:spacing w:line="2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法定代表人的身份证原件或授权代表本人身份证原件；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7" w:type="dxa"/>
            <w:noWrap/>
            <w:vAlign w:val="center"/>
          </w:tcPr>
          <w:p>
            <w:pPr>
              <w:keepNext w:val="0"/>
              <w:keepLines w:val="0"/>
              <w:pageBreakBefore w:val="0"/>
              <w:widowControl/>
              <w:kinsoku/>
              <w:wordWrap/>
              <w:overflowPunct/>
              <w:topLinePunct w:val="0"/>
              <w:bidi w:val="0"/>
              <w:snapToGrid/>
              <w:spacing w:line="2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8472" w:type="dxa"/>
            <w:noWrap w:val="0"/>
            <w:vAlign w:val="center"/>
          </w:tcPr>
          <w:p>
            <w:pPr>
              <w:keepNext w:val="0"/>
              <w:keepLines w:val="0"/>
              <w:pageBreakBefore w:val="0"/>
              <w:widowControl/>
              <w:kinsoku/>
              <w:wordWrap/>
              <w:overflowPunct/>
              <w:topLinePunct w:val="0"/>
              <w:bidi w:val="0"/>
              <w:snapToGrid/>
              <w:spacing w:line="2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企业营业执照原件</w:t>
            </w:r>
            <w:r>
              <w:rPr>
                <w:rFonts w:hint="eastAsia" w:ascii="宋体" w:hAnsi="宋体" w:cs="宋体"/>
                <w:b w:val="0"/>
                <w:bCs w:val="0"/>
                <w:color w:val="auto"/>
                <w:sz w:val="24"/>
                <w:szCs w:val="24"/>
                <w:lang w:eastAsia="zh-CN"/>
              </w:rPr>
              <w:t>或公证件</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noWrap/>
            <w:vAlign w:val="center"/>
          </w:tcPr>
          <w:p>
            <w:pPr>
              <w:keepNext w:val="0"/>
              <w:keepLines w:val="0"/>
              <w:pageBreakBefore w:val="0"/>
              <w:widowControl/>
              <w:kinsoku/>
              <w:wordWrap/>
              <w:overflowPunct/>
              <w:topLinePunct w:val="0"/>
              <w:bidi w:val="0"/>
              <w:snapToGrid/>
              <w:spacing w:line="24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8472" w:type="dxa"/>
            <w:noWrap w:val="0"/>
            <w:vAlign w:val="center"/>
          </w:tcPr>
          <w:p>
            <w:pPr>
              <w:keepNext w:val="0"/>
              <w:keepLines w:val="0"/>
              <w:pageBreakBefore w:val="0"/>
              <w:widowControl/>
              <w:kinsoku/>
              <w:wordWrap/>
              <w:overflowPunct/>
              <w:topLinePunct w:val="0"/>
              <w:bidi w:val="0"/>
              <w:snapToGrid/>
              <w:spacing w:line="24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投标保证金交纳凭证原件</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07" w:type="dxa"/>
            <w:noWrap/>
            <w:vAlign w:val="center"/>
          </w:tcPr>
          <w:p>
            <w:pPr>
              <w:keepNext w:val="0"/>
              <w:keepLines w:val="0"/>
              <w:pageBreakBefore w:val="0"/>
              <w:widowControl/>
              <w:kinsoku/>
              <w:wordWrap/>
              <w:overflowPunct/>
              <w:topLinePunct w:val="0"/>
              <w:bidi w:val="0"/>
              <w:snapToGrid/>
              <w:spacing w:line="24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8472" w:type="dxa"/>
            <w:noWrap w:val="0"/>
            <w:vAlign w:val="center"/>
          </w:tcPr>
          <w:p>
            <w:pPr>
              <w:keepNext w:val="0"/>
              <w:keepLines w:val="0"/>
              <w:pageBreakBefore w:val="0"/>
              <w:widowControl/>
              <w:kinsoku/>
              <w:wordWrap/>
              <w:overflowPunct/>
              <w:topLinePunct w:val="0"/>
              <w:bidi w:val="0"/>
              <w:snapToGrid/>
              <w:spacing w:line="240" w:lineRule="exact"/>
              <w:jc w:val="left"/>
              <w:textAlignment w:val="auto"/>
              <w:rPr>
                <w:rFonts w:hint="eastAsia" w:ascii="宋体" w:hAnsi="宋体" w:eastAsia="宋体" w:cs="宋体"/>
                <w:color w:val="auto"/>
                <w:kern w:val="0"/>
                <w:sz w:val="24"/>
                <w:szCs w:val="24"/>
              </w:rPr>
            </w:pPr>
            <w:r>
              <w:rPr>
                <w:rFonts w:hint="eastAsia" w:asciiTheme="minorEastAsia" w:hAnsiTheme="minorEastAsia" w:eastAsiaTheme="minorEastAsia" w:cstheme="minorEastAsia"/>
                <w:b w:val="0"/>
                <w:bCs w:val="0"/>
                <w:color w:val="auto"/>
                <w:sz w:val="24"/>
                <w:lang w:val="en-US" w:eastAsia="zh-CN"/>
              </w:rPr>
              <w:t>通信工程施工总承包二级及以上资质或电子与智能化工程专业承包二级及以上资质证书原件</w:t>
            </w:r>
            <w:r>
              <w:rPr>
                <w:rFonts w:hint="eastAsia" w:ascii="宋体" w:hAnsi="宋体" w:cs="宋体"/>
                <w:b w:val="0"/>
                <w:bCs w:val="0"/>
                <w:color w:val="auto"/>
                <w:sz w:val="24"/>
                <w:szCs w:val="24"/>
                <w:lang w:eastAsia="zh-CN"/>
              </w:rPr>
              <w:t>或公证件</w:t>
            </w:r>
            <w:r>
              <w:rPr>
                <w:rFonts w:hint="eastAsia" w:asciiTheme="minorEastAsia" w:hAnsiTheme="minorEastAsia" w:eastAsiaTheme="minorEastAsia" w:cstheme="minorEastAsia"/>
                <w:b w:val="0"/>
                <w:bCs w:val="0"/>
                <w:color w:val="auto"/>
                <w:sz w:val="24"/>
                <w:lang w:val="en-US" w:eastAsia="zh-CN"/>
              </w:rPr>
              <w:t>。</w:t>
            </w: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注：1、以上审查项目中，须提交原件审查，资格审查时以原件为准。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szCs w:val="24"/>
        </w:rPr>
        <w:t>2、如果资格评审中有一项不满足审查标准的，监督人将认定该投标人不通过资格审查，不得进入下一阶段评审。并且不允许投标人通过修改或撤销其不符合要求的差异或保留，使之成为具有响应性的投标。</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eastAsia" w:ascii="宋体" w:hAnsi="宋体" w:eastAsia="宋体" w:cs="宋体"/>
          <w:b/>
          <w:color w:val="auto"/>
          <w:kern w:val="0"/>
          <w:sz w:val="24"/>
          <w:szCs w:val="24"/>
        </w:rPr>
      </w:pPr>
      <w:bookmarkStart w:id="215" w:name="_Toc21521"/>
      <w:bookmarkStart w:id="216" w:name="_Toc10018_WPSOffice_Level1"/>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附表</w:t>
      </w: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：初步评审-符合性审查表</w:t>
      </w:r>
      <w:bookmarkEnd w:id="215"/>
      <w:bookmarkEnd w:id="216"/>
    </w:p>
    <w:p>
      <w:pPr>
        <w:pStyle w:val="2"/>
        <w:ind w:left="0" w:leftChars="0" w:firstLine="0" w:firstLineChars="0"/>
        <w:jc w:val="center"/>
        <w:rPr>
          <w:rFonts w:hint="eastAsia" w:ascii="宋体" w:hAnsi="宋体" w:eastAsia="宋体" w:cs="宋体"/>
          <w:color w:val="auto"/>
        </w:rPr>
      </w:pPr>
      <w:r>
        <w:rPr>
          <w:rFonts w:hint="eastAsia" w:ascii="宋体" w:hAnsi="宋体" w:eastAsia="宋体" w:cs="宋体"/>
          <w:b/>
          <w:color w:val="auto"/>
          <w:kern w:val="0"/>
          <w:sz w:val="24"/>
          <w:szCs w:val="24"/>
        </w:rPr>
        <w:t>符合性审查表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7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Merge w:val="restart"/>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6279" w:type="dxa"/>
            <w:vMerge w:val="restart"/>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投标文件符合性审查内容</w:t>
            </w:r>
          </w:p>
        </w:tc>
        <w:tc>
          <w:tcPr>
            <w:tcW w:w="2520" w:type="dxa"/>
            <w:gridSpan w:val="2"/>
            <w:noWrap w:val="0"/>
            <w:vAlign w:val="top"/>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Merge w:val="continue"/>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6279" w:type="dxa"/>
            <w:vMerge w:val="continue"/>
            <w:noWrap w:val="0"/>
            <w:vAlign w:val="top"/>
          </w:tcPr>
          <w:p>
            <w:pPr>
              <w:autoSpaceDE w:val="0"/>
              <w:autoSpaceDN w:val="0"/>
              <w:adjustRightInd w:val="0"/>
              <w:jc w:val="center"/>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260" w:type="dxa"/>
            <w:noWrap w:val="0"/>
            <w:vAlign w:val="top"/>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凡招标文件中要求盖章或签字处，是否按要求加盖单位公章、法定代表人或被授权委托人签字或盖章的。</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投标文件组成齐全完整，内容均按规定填写；投标文件的关键内容无字迹模糊、无法辨认的。</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投标文件提交的份数及装订，是否满足招标文件的要求。</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投标人按照招标文件规定的金额、形式、时效和内容提供了投标担保。</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投标文件是否实质上响应了招标文件的要求。实质上响应的投标应该是与招标文件要求的全部条款、条件等相符，没有重大偏离或保留的投标。</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投标文件所提供的清单必须与招标文件提供的相一致。</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一份投标文件应只有一个投标报价，在招标文件没有规定的情况下，未提交选择性的报价。</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8</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投标人的投标报价未超出最高投标限价。</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9</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投标文件载明的质保期期限未低于招标文件规定的期限。</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投标人未提出不同的验收、计量、支付办法。</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投标文件未附有招标人不能接受的附加条件的。</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未与其他投标人相互串通报价，或者与招标人串通投标的。</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法律、法规和招标文件规定的其他无效情形。</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autoSpaceDE w:val="0"/>
              <w:autoSpaceDN w:val="0"/>
              <w:adjustRightInd w:val="0"/>
              <w:jc w:val="center"/>
              <w:rPr>
                <w:rFonts w:hint="eastAsia" w:ascii="宋体" w:hAnsi="宋体" w:eastAsia="宋体" w:cs="宋体"/>
                <w:color w:val="auto"/>
                <w:kern w:val="0"/>
                <w:sz w:val="24"/>
                <w:szCs w:val="24"/>
              </w:rPr>
            </w:pPr>
          </w:p>
        </w:tc>
        <w:tc>
          <w:tcPr>
            <w:tcW w:w="6279" w:type="dxa"/>
            <w:noWrap w:val="0"/>
            <w:vAlign w:val="top"/>
          </w:tcPr>
          <w:p>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结论</w:t>
            </w: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c>
          <w:tcPr>
            <w:tcW w:w="1260" w:type="dxa"/>
            <w:noWrap w:val="0"/>
            <w:vAlign w:val="top"/>
          </w:tcPr>
          <w:p>
            <w:pPr>
              <w:autoSpaceDE w:val="0"/>
              <w:autoSpaceDN w:val="0"/>
              <w:adjustRightInd w:val="0"/>
              <w:jc w:val="left"/>
              <w:rPr>
                <w:rFonts w:hint="eastAsia" w:ascii="宋体" w:hAnsi="宋体" w:eastAsia="宋体" w:cs="宋体"/>
                <w:color w:val="auto"/>
                <w:kern w:val="0"/>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（1）上述各项中用“√”表示通过，“×”表示不通过；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（2）上述各项中如有一项为“×”，则结论为“×”，表示该投标文件中存在重大偏差，不能通过初步评审；评委对某一分项评审认为不合格时，必须要写明原因。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（3）投标文件最终合格与否，以所有评委的评审意见中少数服从多数为原则定论。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（4）投标人请认真阅读和理解上述内容，避免投标文件中有违背上述审查标准之一的情况发生而造成投标被否决。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详细评审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根据招标文件的规定，对经初步评审合格的投标文件，进行详细评审，从而进一步确定投标的实质响应性和</w:t>
      </w:r>
      <w:r>
        <w:rPr>
          <w:rFonts w:hint="eastAsia" w:ascii="宋体" w:hAnsi="宋体" w:eastAsia="宋体" w:cs="宋体"/>
          <w:color w:val="auto"/>
          <w:sz w:val="24"/>
          <w:lang w:eastAsia="zh-CN"/>
        </w:rPr>
        <w:t>投标单位</w:t>
      </w:r>
      <w:r>
        <w:rPr>
          <w:rFonts w:hint="eastAsia" w:ascii="宋体" w:hAnsi="宋体" w:eastAsia="宋体" w:cs="宋体"/>
          <w:color w:val="auto"/>
          <w:sz w:val="24"/>
        </w:rPr>
        <w:t>的履约能力。</w:t>
      </w:r>
    </w:p>
    <w:p>
      <w:pPr>
        <w:autoSpaceDE w:val="0"/>
        <w:autoSpaceDN w:val="0"/>
        <w:adjustRightInd w:val="0"/>
        <w:jc w:val="both"/>
        <w:outlineLvl w:val="0"/>
        <w:rPr>
          <w:rFonts w:hint="eastAsia" w:ascii="宋体" w:hAnsi="宋体" w:eastAsia="宋体" w:cs="宋体"/>
          <w:b/>
          <w:color w:val="auto"/>
          <w:kern w:val="0"/>
          <w:sz w:val="24"/>
          <w:szCs w:val="24"/>
        </w:rPr>
      </w:pPr>
      <w:bookmarkStart w:id="217" w:name="_Toc28130_WPSOffice_Level1"/>
      <w:bookmarkStart w:id="218" w:name="_Toc25437"/>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p>
    <w:p>
      <w:pPr>
        <w:autoSpaceDE w:val="0"/>
        <w:autoSpaceDN w:val="0"/>
        <w:adjustRightInd w:val="0"/>
        <w:jc w:val="both"/>
        <w:outlineLvl w:val="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附表</w:t>
      </w: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eastAsia="zh-CN"/>
        </w:rPr>
        <w:t>详细评审</w:t>
      </w:r>
      <w:r>
        <w:rPr>
          <w:rFonts w:hint="eastAsia" w:ascii="宋体" w:hAnsi="宋体" w:eastAsia="宋体" w:cs="宋体"/>
          <w:b/>
          <w:color w:val="auto"/>
          <w:kern w:val="0"/>
          <w:sz w:val="24"/>
          <w:szCs w:val="24"/>
        </w:rPr>
        <w:t>表</w:t>
      </w:r>
      <w:bookmarkEnd w:id="217"/>
      <w:bookmarkEnd w:id="218"/>
    </w:p>
    <w:tbl>
      <w:tblPr>
        <w:tblStyle w:val="29"/>
        <w:tblW w:w="10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590"/>
        <w:gridCol w:w="8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评分内容</w:t>
            </w:r>
          </w:p>
        </w:tc>
        <w:tc>
          <w:tcPr>
            <w:tcW w:w="8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1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报价得分</w:t>
            </w:r>
          </w:p>
          <w:p>
            <w:pPr>
              <w:spacing w:line="240" w:lineRule="auto"/>
              <w:jc w:val="center"/>
              <w:rPr>
                <w:rFonts w:ascii="宋体" w:hAnsi="宋体" w:cs="宋体"/>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0分</w:t>
            </w:r>
          </w:p>
        </w:tc>
        <w:tc>
          <w:tcPr>
            <w:tcW w:w="8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报即满足招标文件要求且投标价格最低的投标报价为评标基准价，其价格为满价得分=(评标基准价/投标报价)×</w:t>
            </w:r>
            <w:r>
              <w:rPr>
                <w:rFonts w:hint="eastAsia" w:ascii="宋体" w:hAnsi="宋体" w:cs="宋体"/>
                <w:color w:val="auto"/>
                <w:szCs w:val="21"/>
                <w:lang w:val="en-US" w:eastAsia="zh-CN"/>
              </w:rPr>
              <w:t>2</w:t>
            </w:r>
            <w:r>
              <w:rPr>
                <w:rFonts w:hint="eastAsia" w:ascii="宋体" w:hAnsi="宋体" w:cs="宋体"/>
                <w:color w:val="auto"/>
                <w:szCs w:val="21"/>
              </w:rPr>
              <w:t>0%×100</w:t>
            </w:r>
          </w:p>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备注：采用低价优先法计算，分（保留小数点后两位）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2</w:t>
            </w:r>
          </w:p>
        </w:tc>
        <w:tc>
          <w:tcPr>
            <w:tcW w:w="1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color w:val="auto"/>
                <w:szCs w:val="21"/>
              </w:rPr>
            </w:pPr>
            <w:r>
              <w:rPr>
                <w:rFonts w:hint="eastAsia" w:ascii="宋体" w:hAnsi="宋体" w:cs="宋体"/>
                <w:b/>
                <w:bCs/>
                <w:color w:val="auto"/>
                <w:szCs w:val="21"/>
              </w:rPr>
              <w:t>属于中小企业评审优惠内容及价格扣除幅度</w:t>
            </w:r>
          </w:p>
        </w:tc>
        <w:tc>
          <w:tcPr>
            <w:tcW w:w="8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（一）中小企业（含中型、小型、微型企业）应当同时符合以下条件：</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①符合中小企业划分标准（按《关于印发中小企业划型标准规定的通知》（工信部联企业〔2011〕300号）执行）；</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②提供本企业制造的货物、承担的项目或者服务，或者提供其他中小企业制造的货物。本项所称货物不包括使用大型企业注册商标的货物；</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③小型、微型企业提供中型企业制造的货物的，视同为中型企业。</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（二）价格扣除办法：</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①对于非专门面向中小企业的项目，对小型和微型企业（或联合体各方均为小型、微型企业的）产品的价格给予6%的扣除，用扣除后的价格参与价格分的评审。</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（三）小型和微型企业适用价格扣除办法时应提供的相关资料：</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①、《中小企业声明函》；</w:t>
            </w:r>
          </w:p>
          <w:p>
            <w:pPr>
              <w:adjustRightInd w:val="0"/>
              <w:snapToGrid w:val="0"/>
              <w:spacing w:line="380" w:lineRule="exact"/>
              <w:jc w:val="left"/>
              <w:rPr>
                <w:rFonts w:ascii="宋体" w:hAnsi="宋体" w:cs="宋体"/>
                <w:color w:val="auto"/>
                <w:szCs w:val="21"/>
              </w:rPr>
            </w:pPr>
            <w:r>
              <w:rPr>
                <w:rFonts w:hint="eastAsia" w:ascii="宋体" w:hAnsi="宋体" w:cs="宋体"/>
                <w:color w:val="auto"/>
                <w:szCs w:val="21"/>
              </w:rPr>
              <w:t>②、提供供应商工商行政登记所在地管理部门出具的小微企业证明文件；</w:t>
            </w:r>
          </w:p>
          <w:p>
            <w:pPr>
              <w:pStyle w:val="17"/>
              <w:snapToGrid w:val="0"/>
              <w:spacing w:line="380" w:lineRule="exact"/>
              <w:rPr>
                <w:rFonts w:hAnsi="宋体" w:cs="宋体"/>
                <w:color w:val="auto"/>
                <w:sz w:val="21"/>
                <w:szCs w:val="21"/>
              </w:rPr>
            </w:pPr>
            <w:r>
              <w:rPr>
                <w:rFonts w:hint="eastAsia" w:hAnsi="宋体" w:cs="宋体"/>
                <w:color w:val="auto"/>
                <w:sz w:val="21"/>
                <w:szCs w:val="21"/>
              </w:rPr>
              <w:t>③、提供所代理产品生产厂家的属地主管部门出具的小微企业证明文件；</w:t>
            </w:r>
          </w:p>
        </w:tc>
      </w:tr>
    </w:tbl>
    <w:p>
      <w:pPr>
        <w:spacing w:line="500" w:lineRule="exact"/>
        <w:jc w:val="center"/>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rPr>
          <w:rFonts w:ascii="宋体" w:hAnsi="宋体" w:cs="宋体"/>
          <w:b/>
          <w:bCs/>
          <w:color w:val="auto"/>
          <w:sz w:val="18"/>
          <w:szCs w:val="18"/>
          <w:shd w:val="clear" w:color="auto" w:fill="FFFFFF"/>
        </w:rPr>
      </w:pPr>
    </w:p>
    <w:p>
      <w:pPr>
        <w:pStyle w:val="2"/>
        <w:ind w:left="0" w:leftChars="0" w:firstLine="0" w:firstLineChars="0"/>
        <w:rPr>
          <w:rFonts w:ascii="宋体" w:hAnsi="宋体" w:cs="宋体"/>
          <w:b/>
          <w:bCs/>
          <w:color w:val="auto"/>
          <w:sz w:val="18"/>
          <w:szCs w:val="18"/>
          <w:shd w:val="clear" w:color="auto" w:fill="FFFFFF"/>
        </w:rPr>
      </w:pPr>
    </w:p>
    <w:p>
      <w:pPr>
        <w:pStyle w:val="13"/>
        <w:rPr>
          <w:rFonts w:hint="eastAsia"/>
          <w:color w:val="auto"/>
        </w:rPr>
      </w:pPr>
    </w:p>
    <w:p>
      <w:pPr>
        <w:autoSpaceDE w:val="0"/>
        <w:autoSpaceDN w:val="0"/>
        <w:adjustRightInd w:val="0"/>
        <w:ind w:firstLine="2891" w:firstLineChars="1200"/>
        <w:jc w:val="left"/>
        <w:outlineLvl w:val="0"/>
        <w:rPr>
          <w:rFonts w:hint="eastAsia" w:ascii="宋体" w:hAnsi="宋体" w:eastAsia="宋体" w:cs="宋体"/>
          <w:b/>
          <w:color w:val="auto"/>
          <w:kern w:val="0"/>
          <w:sz w:val="24"/>
          <w:szCs w:val="24"/>
        </w:rPr>
      </w:pPr>
      <w:bookmarkStart w:id="219" w:name="_Toc14960"/>
      <w:bookmarkStart w:id="220" w:name="_Toc4550_WPSOffice_Level1"/>
      <w:bookmarkStart w:id="221" w:name="_Toc6354_WPSOffice_Level1"/>
      <w:r>
        <w:rPr>
          <w:rFonts w:hint="eastAsia" w:ascii="宋体" w:hAnsi="宋体" w:eastAsia="宋体" w:cs="宋体"/>
          <w:b/>
          <w:color w:val="auto"/>
          <w:kern w:val="0"/>
          <w:sz w:val="24"/>
          <w:szCs w:val="24"/>
        </w:rPr>
        <w:t>商务技术部分评审（</w:t>
      </w:r>
      <w:r>
        <w:rPr>
          <w:rFonts w:hint="eastAsia" w:ascii="宋体" w:hAnsi="宋体" w:cs="宋体"/>
          <w:b/>
          <w:color w:val="auto"/>
          <w:kern w:val="0"/>
          <w:sz w:val="24"/>
          <w:szCs w:val="24"/>
          <w:lang w:val="en-US" w:eastAsia="zh-CN"/>
        </w:rPr>
        <w:t>8</w:t>
      </w:r>
      <w:r>
        <w:rPr>
          <w:rFonts w:hint="eastAsia" w:ascii="宋体" w:hAnsi="宋体" w:eastAsia="宋体" w:cs="宋体"/>
          <w:b/>
          <w:color w:val="auto"/>
          <w:kern w:val="0"/>
          <w:sz w:val="24"/>
          <w:szCs w:val="24"/>
        </w:rPr>
        <w:t>0分）</w:t>
      </w:r>
      <w:bookmarkEnd w:id="219"/>
      <w:bookmarkEnd w:id="220"/>
      <w:bookmarkEnd w:id="221"/>
    </w:p>
    <w:tbl>
      <w:tblPr>
        <w:tblStyle w:val="29"/>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323"/>
        <w:gridCol w:w="671"/>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评分项目</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评审内容</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分值（分）</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商务部分（2</w:t>
            </w:r>
            <w:r>
              <w:rPr>
                <w:rFonts w:hint="eastAsia" w:ascii="宋体" w:hAnsi="宋体" w:cs="宋体"/>
                <w:i w:val="0"/>
                <w:iCs w:val="0"/>
                <w:color w:val="auto"/>
                <w:kern w:val="0"/>
                <w:sz w:val="22"/>
                <w:szCs w:val="22"/>
                <w:u w:val="none"/>
                <w:lang w:val="en-US" w:eastAsia="zh-CN" w:bidi="ar"/>
              </w:rPr>
              <w:t>4.5</w:t>
            </w:r>
            <w:r>
              <w:rPr>
                <w:rFonts w:hint="eastAsia" w:ascii="宋体" w:hAnsi="宋体" w:eastAsia="宋体" w:cs="宋体"/>
                <w:i w:val="0"/>
                <w:iCs w:val="0"/>
                <w:color w:val="auto"/>
                <w:kern w:val="0"/>
                <w:sz w:val="22"/>
                <w:szCs w:val="22"/>
                <w:u w:val="none"/>
                <w:lang w:val="en-US" w:eastAsia="zh-CN" w:bidi="ar"/>
              </w:rPr>
              <w:t>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企业业绩</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投标人自</w:t>
            </w:r>
            <w:r>
              <w:rPr>
                <w:rFonts w:hint="default" w:ascii="Times New Roman" w:hAnsi="Times New Roman" w:eastAsia="宋体" w:cs="Times New Roman"/>
                <w:i w:val="0"/>
                <w:iCs w:val="0"/>
                <w:color w:val="auto"/>
                <w:kern w:val="0"/>
                <w:sz w:val="21"/>
                <w:szCs w:val="21"/>
                <w:u w:val="none"/>
                <w:lang w:val="en-US" w:eastAsia="zh-CN" w:bidi="ar"/>
              </w:rPr>
              <w:t>2019</w:t>
            </w:r>
            <w:r>
              <w:rPr>
                <w:rFonts w:hint="eastAsia" w:ascii="宋体" w:hAnsi="宋体" w:eastAsia="宋体" w:cs="宋体"/>
                <w:i w:val="0"/>
                <w:iCs w:val="0"/>
                <w:color w:val="auto"/>
                <w:kern w:val="0"/>
                <w:sz w:val="21"/>
                <w:szCs w:val="21"/>
                <w:u w:val="none"/>
                <w:lang w:val="en-US" w:eastAsia="zh-CN" w:bidi="ar"/>
              </w:rPr>
              <w:t>年</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月</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日（时间以竣工报告日期为准）以来完成过一个单项合同金额人民币</w:t>
            </w:r>
            <w:r>
              <w:rPr>
                <w:rFonts w:hint="default" w:ascii="Times New Roman" w:hAnsi="Times New Roman" w:eastAsia="宋体" w:cs="Times New Roman"/>
                <w:i w:val="0"/>
                <w:iCs w:val="0"/>
                <w:color w:val="auto"/>
                <w:kern w:val="0"/>
                <w:sz w:val="21"/>
                <w:szCs w:val="21"/>
                <w:u w:val="none"/>
                <w:lang w:val="en-US" w:eastAsia="zh-CN" w:bidi="ar"/>
              </w:rPr>
              <w:t>500</w:t>
            </w:r>
            <w:r>
              <w:rPr>
                <w:rFonts w:hint="eastAsia" w:ascii="宋体" w:hAnsi="宋体" w:eastAsia="宋体" w:cs="宋体"/>
                <w:i w:val="0"/>
                <w:iCs w:val="0"/>
                <w:color w:val="auto"/>
                <w:kern w:val="0"/>
                <w:sz w:val="21"/>
                <w:szCs w:val="21"/>
                <w:u w:val="none"/>
                <w:lang w:val="en-US" w:eastAsia="zh-CN" w:bidi="ar"/>
              </w:rPr>
              <w:t>万元及以上的类似业绩，每提供一项得</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分，最多得</w:t>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分。（同时提供中标通知书和合同书和发票，三项提供齐全视为完整业绩，不满足的不得分。同一分标段的项目只认可为一个业绩。）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标函质量</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1.5</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投标文件符合招标文件的内容要求，没有遗漏，叙述较为清晰，数据基本详实，资料简单的投标文件得0.5分；投标文件符合</w:t>
            </w:r>
            <w:r>
              <w:rPr>
                <w:rFonts w:hint="eastAsia" w:ascii="宋体" w:hAnsi="宋体" w:cs="宋体"/>
                <w:i w:val="0"/>
                <w:iCs w:val="0"/>
                <w:color w:val="auto"/>
                <w:kern w:val="0"/>
                <w:sz w:val="21"/>
                <w:szCs w:val="21"/>
                <w:highlight w:val="none"/>
                <w:u w:val="none"/>
                <w:lang w:val="en-US" w:eastAsia="zh-CN" w:bidi="ar"/>
              </w:rPr>
              <w:t>招标</w:t>
            </w:r>
            <w:r>
              <w:rPr>
                <w:rFonts w:hint="eastAsia" w:ascii="宋体" w:hAnsi="宋体" w:eastAsia="宋体" w:cs="宋体"/>
                <w:i w:val="0"/>
                <w:iCs w:val="0"/>
                <w:color w:val="auto"/>
                <w:kern w:val="0"/>
                <w:sz w:val="21"/>
                <w:szCs w:val="21"/>
                <w:highlight w:val="none"/>
                <w:u w:val="none"/>
                <w:lang w:val="en-US" w:eastAsia="zh-CN" w:bidi="ar"/>
              </w:rPr>
              <w:t>文件的内容要求，没有遗漏，叙述清晰，数据详实，资料充盈的得1分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投标文件章节编排有序，体系完整，归类汇总合理，易读易懂，说服力强的得1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政策功能（非强制节能环保产品）</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环境标志产品认证证书，每项加1分，最高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售后服务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售后服务方案评价：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1、有优质的售后服务方案包括但不限于故障处理流程、故障响应时间、节假日保障服务等、零配件的供应方案和应急预案及突发事件处理方案，维保计划详细可行得5-3分；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2、有售后服务方案但不全，零配件的供应方案、维保计划一般得2-1分；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3、没有完整的售后服务方案和零配件的供应方案，维保计划较差的不得分。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供应商在塔城地区配备专业的技术服务队伍，人员不少于4人（需提本地服务人员名单及6个月缴纳社保的有效证明)得3分。每多提供一人得1分，不提供不得分，本项最低分0分，最高分</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系统售后维护服务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满足系统售后维护服务3年得1分，每增加一年加0.5分，最高得2分。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履约期限</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满足招标文件要求履约期限得1分，每提前5天得0.5分，最高分</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技术部分（55</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40.5</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投标人所投产品参数应完全满足招标文件的要求。为保证产品质量，▲代表关键指标要求，共</w:t>
            </w:r>
            <w:r>
              <w:rPr>
                <w:rFonts w:hint="eastAsia" w:ascii="宋体" w:hAnsi="宋体" w:cs="宋体"/>
                <w:i w:val="0"/>
                <w:iCs w:val="0"/>
                <w:color w:val="auto"/>
                <w:kern w:val="0"/>
                <w:sz w:val="21"/>
                <w:szCs w:val="21"/>
                <w:u w:val="none"/>
                <w:lang w:val="en-US" w:eastAsia="zh-CN" w:bidi="ar"/>
              </w:rPr>
              <w:t>81</w:t>
            </w:r>
            <w:r>
              <w:rPr>
                <w:rFonts w:hint="eastAsia" w:ascii="宋体" w:hAnsi="宋体" w:eastAsia="宋体" w:cs="宋体"/>
                <w:i w:val="0"/>
                <w:iCs w:val="0"/>
                <w:color w:val="auto"/>
                <w:kern w:val="0"/>
                <w:sz w:val="21"/>
                <w:szCs w:val="21"/>
                <w:u w:val="none"/>
                <w:lang w:val="en-US" w:eastAsia="zh-CN" w:bidi="ar"/>
              </w:rPr>
              <w:t>项每项0.5分，投标人需按要求提供证明材料，不满足该指标要求或不能提供相应证明材料的，不得分，提供一项得0.5分最高</w:t>
            </w:r>
            <w:r>
              <w:rPr>
                <w:rFonts w:hint="eastAsia" w:ascii="宋体" w:hAnsi="宋体" w:cs="宋体"/>
                <w:i w:val="0"/>
                <w:iCs w:val="0"/>
                <w:color w:val="auto"/>
                <w:kern w:val="0"/>
                <w:sz w:val="21"/>
                <w:szCs w:val="21"/>
                <w:u w:val="none"/>
                <w:lang w:val="en-US" w:eastAsia="zh-CN" w:bidi="ar"/>
              </w:rPr>
              <w:t>40.5</w:t>
            </w:r>
            <w:r>
              <w:rPr>
                <w:rFonts w:hint="eastAsia" w:ascii="宋体" w:hAnsi="宋体" w:eastAsia="宋体" w:cs="宋体"/>
                <w:i w:val="0"/>
                <w:iCs w:val="0"/>
                <w:color w:val="auto"/>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技术方案</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15</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根据投标文件中设计及实施方案科学合理性、整体性、可靠性、先进性、兼容性、可维护性、机房布置图纸符合现场需求以及是否能够达到用户要求，合理进行综合评价。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第一档：设计及实施方案设计科学合理，完全能够达到用户要求，且方案整体性、可靠性、先进性、兼容性、可维护性完全满足要求，机房布局图纸完善详实得</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第二档：设计及实施方案较为合理，有机房布局图，基本达到用户要求得</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第三档：设计及实施方案一般，没有机房布局图，得0-</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p>
        </w:tc>
      </w:tr>
    </w:tbl>
    <w:p>
      <w:pPr>
        <w:pStyle w:val="2"/>
        <w:numPr>
          <w:ilvl w:val="0"/>
          <w:numId w:val="0"/>
        </w:numPr>
        <w:rPr>
          <w:rFonts w:hint="default"/>
          <w:color w:val="auto"/>
          <w:lang w:val="en-US" w:eastAsia="zh-CN"/>
        </w:rPr>
      </w:pPr>
    </w:p>
    <w:sectPr>
      <w:headerReference r:id="rId8" w:type="default"/>
      <w:footerReference r:id="rId9" w:type="default"/>
      <w:pgSz w:w="11906" w:h="16838"/>
      <w:pgMar w:top="1440" w:right="1274" w:bottom="1440" w:left="1276"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Futura Bk">
    <w:altName w:val="Arial"/>
    <w:panose1 w:val="00000000000000000000"/>
    <w:charset w:val="00"/>
    <w:family w:val="swiss"/>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28</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2</w:t>
    </w:r>
    <w:r>
      <w:rPr>
        <w:lang w:val="zh-CN"/>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PAGE   \* MERGEFORMAT </w:instrText>
    </w:r>
    <w:r>
      <w:fldChar w:fldCharType="separate"/>
    </w:r>
    <w:r>
      <w:rPr>
        <w:lang w:val="zh-CN"/>
      </w:rPr>
      <w:t>2</w:t>
    </w:r>
    <w:r>
      <w:rPr>
        <w:lang w:val="zh-CN"/>
      </w:rPr>
      <w:fldChar w:fldCharType="end"/>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DECEF"/>
    <w:multiLevelType w:val="singleLevel"/>
    <w:tmpl w:val="A46DECEF"/>
    <w:lvl w:ilvl="0" w:tentative="0">
      <w:start w:val="1"/>
      <w:numFmt w:val="decimal"/>
      <w:suff w:val="nothing"/>
      <w:lvlText w:val="%1、"/>
      <w:lvlJc w:val="left"/>
    </w:lvl>
  </w:abstractNum>
  <w:abstractNum w:abstractNumId="1">
    <w:nsid w:val="FAAAD075"/>
    <w:multiLevelType w:val="singleLevel"/>
    <w:tmpl w:val="FAAAD075"/>
    <w:lvl w:ilvl="0" w:tentative="0">
      <w:start w:val="2"/>
      <w:numFmt w:val="decimal"/>
      <w:suff w:val="nothing"/>
      <w:lvlText w:val="%1、"/>
      <w:lvlJc w:val="left"/>
      <w:pPr>
        <w:ind w:left="480" w:leftChars="0" w:firstLine="0" w:firstLineChars="0"/>
      </w:pPr>
    </w:lvl>
  </w:abstractNum>
  <w:abstractNum w:abstractNumId="2">
    <w:nsid w:val="5399C810"/>
    <w:multiLevelType w:val="singleLevel"/>
    <w:tmpl w:val="5399C810"/>
    <w:lvl w:ilvl="0" w:tentative="0">
      <w:start w:val="1"/>
      <w:numFmt w:val="chineseCounting"/>
      <w:suff w:val="nothing"/>
      <w:lvlText w:val="%1、"/>
      <w:lvlJc w:val="left"/>
      <w:rPr>
        <w:rFonts w:hint="eastAsia"/>
      </w:rPr>
    </w:lvl>
  </w:abstractNum>
  <w:abstractNum w:abstractNumId="3">
    <w:nsid w:val="55CC2236"/>
    <w:multiLevelType w:val="singleLevel"/>
    <w:tmpl w:val="55CC2236"/>
    <w:lvl w:ilvl="0" w:tentative="0">
      <w:start w:val="3"/>
      <w:numFmt w:val="chineseCounting"/>
      <w:suff w:val="space"/>
      <w:lvlText w:val="第%1章"/>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mYmVlYTIxYTgxZjljMTg3ZDQ3OTY0YzU2YTY2ZGIifQ=="/>
  </w:docVars>
  <w:rsids>
    <w:rsidRoot w:val="00583F61"/>
    <w:rsid w:val="0000262F"/>
    <w:rsid w:val="000060DE"/>
    <w:rsid w:val="00006B79"/>
    <w:rsid w:val="000102F5"/>
    <w:rsid w:val="000107E1"/>
    <w:rsid w:val="000113A5"/>
    <w:rsid w:val="000272BA"/>
    <w:rsid w:val="00031789"/>
    <w:rsid w:val="0003479E"/>
    <w:rsid w:val="00036ACD"/>
    <w:rsid w:val="0004120F"/>
    <w:rsid w:val="000528FC"/>
    <w:rsid w:val="000563DD"/>
    <w:rsid w:val="00057BFB"/>
    <w:rsid w:val="00067701"/>
    <w:rsid w:val="00067970"/>
    <w:rsid w:val="00071648"/>
    <w:rsid w:val="00076890"/>
    <w:rsid w:val="00082D10"/>
    <w:rsid w:val="00087EBA"/>
    <w:rsid w:val="00094341"/>
    <w:rsid w:val="000A07FC"/>
    <w:rsid w:val="000A20CD"/>
    <w:rsid w:val="000A295D"/>
    <w:rsid w:val="000B7050"/>
    <w:rsid w:val="000C3FE8"/>
    <w:rsid w:val="000C6152"/>
    <w:rsid w:val="000E4DC8"/>
    <w:rsid w:val="000F0D13"/>
    <w:rsid w:val="000F656E"/>
    <w:rsid w:val="00101156"/>
    <w:rsid w:val="0010149F"/>
    <w:rsid w:val="00103108"/>
    <w:rsid w:val="001053F4"/>
    <w:rsid w:val="00115656"/>
    <w:rsid w:val="0011570C"/>
    <w:rsid w:val="001221DF"/>
    <w:rsid w:val="00123945"/>
    <w:rsid w:val="001245D5"/>
    <w:rsid w:val="00126566"/>
    <w:rsid w:val="00130E70"/>
    <w:rsid w:val="00132588"/>
    <w:rsid w:val="001335E4"/>
    <w:rsid w:val="0013470C"/>
    <w:rsid w:val="00143377"/>
    <w:rsid w:val="00144FD9"/>
    <w:rsid w:val="00147360"/>
    <w:rsid w:val="00150E15"/>
    <w:rsid w:val="001519A1"/>
    <w:rsid w:val="00154E89"/>
    <w:rsid w:val="0015550A"/>
    <w:rsid w:val="00155A57"/>
    <w:rsid w:val="0015767E"/>
    <w:rsid w:val="001611E4"/>
    <w:rsid w:val="001715E7"/>
    <w:rsid w:val="00174D5D"/>
    <w:rsid w:val="001867A7"/>
    <w:rsid w:val="0018712E"/>
    <w:rsid w:val="001A1384"/>
    <w:rsid w:val="001A4BEC"/>
    <w:rsid w:val="001A6641"/>
    <w:rsid w:val="001A6827"/>
    <w:rsid w:val="001C5207"/>
    <w:rsid w:val="001D3326"/>
    <w:rsid w:val="001D49D9"/>
    <w:rsid w:val="001D6909"/>
    <w:rsid w:val="001E0A05"/>
    <w:rsid w:val="001E448A"/>
    <w:rsid w:val="001F0B2F"/>
    <w:rsid w:val="001F1589"/>
    <w:rsid w:val="001F1DE5"/>
    <w:rsid w:val="001F2613"/>
    <w:rsid w:val="001F2EBF"/>
    <w:rsid w:val="001F710D"/>
    <w:rsid w:val="00203F5A"/>
    <w:rsid w:val="00205DAA"/>
    <w:rsid w:val="00207E29"/>
    <w:rsid w:val="0021298D"/>
    <w:rsid w:val="00216267"/>
    <w:rsid w:val="00220BB4"/>
    <w:rsid w:val="002327FC"/>
    <w:rsid w:val="00234716"/>
    <w:rsid w:val="0024090A"/>
    <w:rsid w:val="00243DB8"/>
    <w:rsid w:val="00251451"/>
    <w:rsid w:val="002609A3"/>
    <w:rsid w:val="00263DBA"/>
    <w:rsid w:val="002741FB"/>
    <w:rsid w:val="00276279"/>
    <w:rsid w:val="00282662"/>
    <w:rsid w:val="002846FD"/>
    <w:rsid w:val="00285A91"/>
    <w:rsid w:val="00285F17"/>
    <w:rsid w:val="002908ED"/>
    <w:rsid w:val="0029218B"/>
    <w:rsid w:val="002A6FE4"/>
    <w:rsid w:val="002B0FA7"/>
    <w:rsid w:val="002B2195"/>
    <w:rsid w:val="002B3D18"/>
    <w:rsid w:val="002B77B3"/>
    <w:rsid w:val="002C1CB3"/>
    <w:rsid w:val="002C252B"/>
    <w:rsid w:val="002C2A7C"/>
    <w:rsid w:val="002C2E69"/>
    <w:rsid w:val="002C4B97"/>
    <w:rsid w:val="002C642B"/>
    <w:rsid w:val="002D3951"/>
    <w:rsid w:val="002D5A4C"/>
    <w:rsid w:val="002D64E4"/>
    <w:rsid w:val="002E731E"/>
    <w:rsid w:val="0030082C"/>
    <w:rsid w:val="0030126A"/>
    <w:rsid w:val="00302C6E"/>
    <w:rsid w:val="0030372A"/>
    <w:rsid w:val="00307DDE"/>
    <w:rsid w:val="003365D5"/>
    <w:rsid w:val="00362449"/>
    <w:rsid w:val="00364B12"/>
    <w:rsid w:val="00371697"/>
    <w:rsid w:val="003733CE"/>
    <w:rsid w:val="00375868"/>
    <w:rsid w:val="00375A7F"/>
    <w:rsid w:val="00376BDB"/>
    <w:rsid w:val="00377A5A"/>
    <w:rsid w:val="00380018"/>
    <w:rsid w:val="00380A1F"/>
    <w:rsid w:val="00387D6B"/>
    <w:rsid w:val="003A677D"/>
    <w:rsid w:val="003B55AF"/>
    <w:rsid w:val="003B7169"/>
    <w:rsid w:val="003C5797"/>
    <w:rsid w:val="003D35DA"/>
    <w:rsid w:val="003E303C"/>
    <w:rsid w:val="003E7E27"/>
    <w:rsid w:val="003F1792"/>
    <w:rsid w:val="003F6838"/>
    <w:rsid w:val="004142D8"/>
    <w:rsid w:val="00415861"/>
    <w:rsid w:val="004203AD"/>
    <w:rsid w:val="0042709B"/>
    <w:rsid w:val="004304B0"/>
    <w:rsid w:val="0043215A"/>
    <w:rsid w:val="0043289D"/>
    <w:rsid w:val="00442968"/>
    <w:rsid w:val="004441F0"/>
    <w:rsid w:val="004451E5"/>
    <w:rsid w:val="00445982"/>
    <w:rsid w:val="00455EC8"/>
    <w:rsid w:val="00460380"/>
    <w:rsid w:val="004619E4"/>
    <w:rsid w:val="00464E16"/>
    <w:rsid w:val="004719BA"/>
    <w:rsid w:val="00472DEC"/>
    <w:rsid w:val="0047433B"/>
    <w:rsid w:val="00481EAC"/>
    <w:rsid w:val="0048313D"/>
    <w:rsid w:val="00483659"/>
    <w:rsid w:val="0048561B"/>
    <w:rsid w:val="004A5647"/>
    <w:rsid w:val="004A6AC5"/>
    <w:rsid w:val="004A7B36"/>
    <w:rsid w:val="004B4E10"/>
    <w:rsid w:val="004B5BC9"/>
    <w:rsid w:val="004C1FAE"/>
    <w:rsid w:val="004D123C"/>
    <w:rsid w:val="004D1A3E"/>
    <w:rsid w:val="004D7C1C"/>
    <w:rsid w:val="004E4D39"/>
    <w:rsid w:val="004E5F55"/>
    <w:rsid w:val="004E6C86"/>
    <w:rsid w:val="004F301B"/>
    <w:rsid w:val="004F32F1"/>
    <w:rsid w:val="005027D8"/>
    <w:rsid w:val="005163A6"/>
    <w:rsid w:val="00516BD7"/>
    <w:rsid w:val="005265D4"/>
    <w:rsid w:val="0053110E"/>
    <w:rsid w:val="0053350A"/>
    <w:rsid w:val="00535F25"/>
    <w:rsid w:val="00541DF7"/>
    <w:rsid w:val="005455BA"/>
    <w:rsid w:val="00547CCF"/>
    <w:rsid w:val="00556447"/>
    <w:rsid w:val="0055765E"/>
    <w:rsid w:val="005661D4"/>
    <w:rsid w:val="00571EDF"/>
    <w:rsid w:val="00573777"/>
    <w:rsid w:val="00583F61"/>
    <w:rsid w:val="00584A04"/>
    <w:rsid w:val="005901B9"/>
    <w:rsid w:val="00590215"/>
    <w:rsid w:val="00593B21"/>
    <w:rsid w:val="005958CC"/>
    <w:rsid w:val="005A1062"/>
    <w:rsid w:val="005A71DD"/>
    <w:rsid w:val="005A7E43"/>
    <w:rsid w:val="005B1FDA"/>
    <w:rsid w:val="005B6781"/>
    <w:rsid w:val="005B7177"/>
    <w:rsid w:val="005C6B2D"/>
    <w:rsid w:val="005D2AC2"/>
    <w:rsid w:val="005D37BC"/>
    <w:rsid w:val="005D429C"/>
    <w:rsid w:val="005E19C8"/>
    <w:rsid w:val="005E37BD"/>
    <w:rsid w:val="005F33DF"/>
    <w:rsid w:val="00600912"/>
    <w:rsid w:val="00607720"/>
    <w:rsid w:val="006170C6"/>
    <w:rsid w:val="0061749B"/>
    <w:rsid w:val="00622AD5"/>
    <w:rsid w:val="00623281"/>
    <w:rsid w:val="006423F3"/>
    <w:rsid w:val="00645C9B"/>
    <w:rsid w:val="00650AC9"/>
    <w:rsid w:val="00655784"/>
    <w:rsid w:val="0065653B"/>
    <w:rsid w:val="00657A1F"/>
    <w:rsid w:val="006606BC"/>
    <w:rsid w:val="00660F1A"/>
    <w:rsid w:val="0066474C"/>
    <w:rsid w:val="006648DB"/>
    <w:rsid w:val="00664FB4"/>
    <w:rsid w:val="006731E4"/>
    <w:rsid w:val="00677C74"/>
    <w:rsid w:val="00681A24"/>
    <w:rsid w:val="006836DD"/>
    <w:rsid w:val="00690FA8"/>
    <w:rsid w:val="00697ACF"/>
    <w:rsid w:val="006A178F"/>
    <w:rsid w:val="006A4876"/>
    <w:rsid w:val="006A6163"/>
    <w:rsid w:val="006B0B2C"/>
    <w:rsid w:val="006B3CD1"/>
    <w:rsid w:val="006B48C9"/>
    <w:rsid w:val="006B5753"/>
    <w:rsid w:val="006C176F"/>
    <w:rsid w:val="006C2345"/>
    <w:rsid w:val="006D27FB"/>
    <w:rsid w:val="006D6E4C"/>
    <w:rsid w:val="006E4572"/>
    <w:rsid w:val="006E4E87"/>
    <w:rsid w:val="006E579F"/>
    <w:rsid w:val="006F0D97"/>
    <w:rsid w:val="006F3257"/>
    <w:rsid w:val="006F3BD5"/>
    <w:rsid w:val="00703BD4"/>
    <w:rsid w:val="00706A57"/>
    <w:rsid w:val="00711F9D"/>
    <w:rsid w:val="00714AF9"/>
    <w:rsid w:val="007177E4"/>
    <w:rsid w:val="0072078B"/>
    <w:rsid w:val="00722102"/>
    <w:rsid w:val="007244DE"/>
    <w:rsid w:val="00724559"/>
    <w:rsid w:val="00727FE8"/>
    <w:rsid w:val="00737DB5"/>
    <w:rsid w:val="0074090C"/>
    <w:rsid w:val="00740D83"/>
    <w:rsid w:val="007429B4"/>
    <w:rsid w:val="007510CC"/>
    <w:rsid w:val="007618AE"/>
    <w:rsid w:val="00763C0E"/>
    <w:rsid w:val="007734F4"/>
    <w:rsid w:val="00777260"/>
    <w:rsid w:val="00782F60"/>
    <w:rsid w:val="00784324"/>
    <w:rsid w:val="00790DAA"/>
    <w:rsid w:val="00794E25"/>
    <w:rsid w:val="007A1389"/>
    <w:rsid w:val="007B0808"/>
    <w:rsid w:val="007B7B78"/>
    <w:rsid w:val="007C3AA4"/>
    <w:rsid w:val="007C56BA"/>
    <w:rsid w:val="007C5E53"/>
    <w:rsid w:val="007C6DF5"/>
    <w:rsid w:val="007D3E1A"/>
    <w:rsid w:val="007E182F"/>
    <w:rsid w:val="007E3AF2"/>
    <w:rsid w:val="007E4DCC"/>
    <w:rsid w:val="007E64CE"/>
    <w:rsid w:val="007E69BA"/>
    <w:rsid w:val="007F1DE2"/>
    <w:rsid w:val="007F2E4C"/>
    <w:rsid w:val="007F31A8"/>
    <w:rsid w:val="007F327F"/>
    <w:rsid w:val="007F3DFE"/>
    <w:rsid w:val="007F4311"/>
    <w:rsid w:val="008032FF"/>
    <w:rsid w:val="00806C09"/>
    <w:rsid w:val="008074CF"/>
    <w:rsid w:val="0081341F"/>
    <w:rsid w:val="00815C56"/>
    <w:rsid w:val="00822BC9"/>
    <w:rsid w:val="00823227"/>
    <w:rsid w:val="00823A63"/>
    <w:rsid w:val="008246F9"/>
    <w:rsid w:val="00831459"/>
    <w:rsid w:val="00837572"/>
    <w:rsid w:val="00843920"/>
    <w:rsid w:val="00854FD9"/>
    <w:rsid w:val="008552B8"/>
    <w:rsid w:val="00857A31"/>
    <w:rsid w:val="00860CBB"/>
    <w:rsid w:val="008632EE"/>
    <w:rsid w:val="00866A00"/>
    <w:rsid w:val="00867748"/>
    <w:rsid w:val="00872E23"/>
    <w:rsid w:val="00880680"/>
    <w:rsid w:val="00885D9B"/>
    <w:rsid w:val="00886A1D"/>
    <w:rsid w:val="00893102"/>
    <w:rsid w:val="00893941"/>
    <w:rsid w:val="00894661"/>
    <w:rsid w:val="00894E4E"/>
    <w:rsid w:val="0089609F"/>
    <w:rsid w:val="0089702C"/>
    <w:rsid w:val="008A4266"/>
    <w:rsid w:val="008A74ED"/>
    <w:rsid w:val="008B1443"/>
    <w:rsid w:val="008B49DA"/>
    <w:rsid w:val="008B6308"/>
    <w:rsid w:val="008B6981"/>
    <w:rsid w:val="008B7217"/>
    <w:rsid w:val="008C03BF"/>
    <w:rsid w:val="008C0896"/>
    <w:rsid w:val="008C6D70"/>
    <w:rsid w:val="008C7BFF"/>
    <w:rsid w:val="008E2E29"/>
    <w:rsid w:val="008E6AFE"/>
    <w:rsid w:val="00904B51"/>
    <w:rsid w:val="00912A7E"/>
    <w:rsid w:val="0091606C"/>
    <w:rsid w:val="00916DFD"/>
    <w:rsid w:val="009226F7"/>
    <w:rsid w:val="00924D64"/>
    <w:rsid w:val="0093321D"/>
    <w:rsid w:val="00933761"/>
    <w:rsid w:val="00935298"/>
    <w:rsid w:val="0094379A"/>
    <w:rsid w:val="009451AC"/>
    <w:rsid w:val="00952F3F"/>
    <w:rsid w:val="009548C3"/>
    <w:rsid w:val="00970BD1"/>
    <w:rsid w:val="00972C04"/>
    <w:rsid w:val="00986DA9"/>
    <w:rsid w:val="00991844"/>
    <w:rsid w:val="00996152"/>
    <w:rsid w:val="009B0830"/>
    <w:rsid w:val="009B362C"/>
    <w:rsid w:val="009C0448"/>
    <w:rsid w:val="009C286A"/>
    <w:rsid w:val="009C6D51"/>
    <w:rsid w:val="009D35B9"/>
    <w:rsid w:val="009D422E"/>
    <w:rsid w:val="009D6F5F"/>
    <w:rsid w:val="009E1015"/>
    <w:rsid w:val="00A03321"/>
    <w:rsid w:val="00A05939"/>
    <w:rsid w:val="00A11488"/>
    <w:rsid w:val="00A14461"/>
    <w:rsid w:val="00A30DDB"/>
    <w:rsid w:val="00A31C5B"/>
    <w:rsid w:val="00A3600E"/>
    <w:rsid w:val="00A36B5B"/>
    <w:rsid w:val="00A409D1"/>
    <w:rsid w:val="00A429D6"/>
    <w:rsid w:val="00A45E35"/>
    <w:rsid w:val="00A45E38"/>
    <w:rsid w:val="00A46F4A"/>
    <w:rsid w:val="00A6003A"/>
    <w:rsid w:val="00A63B14"/>
    <w:rsid w:val="00A64E42"/>
    <w:rsid w:val="00A72350"/>
    <w:rsid w:val="00A83160"/>
    <w:rsid w:val="00A949C6"/>
    <w:rsid w:val="00A9789E"/>
    <w:rsid w:val="00AA1B87"/>
    <w:rsid w:val="00AA363F"/>
    <w:rsid w:val="00AA5CBD"/>
    <w:rsid w:val="00AA6973"/>
    <w:rsid w:val="00AA6E3B"/>
    <w:rsid w:val="00AB0CDC"/>
    <w:rsid w:val="00AB3212"/>
    <w:rsid w:val="00AB41C2"/>
    <w:rsid w:val="00AB4B0A"/>
    <w:rsid w:val="00AB7BA4"/>
    <w:rsid w:val="00AD7840"/>
    <w:rsid w:val="00AE5C6F"/>
    <w:rsid w:val="00AF118D"/>
    <w:rsid w:val="00AF2EF6"/>
    <w:rsid w:val="00AF353A"/>
    <w:rsid w:val="00B0020A"/>
    <w:rsid w:val="00B0104E"/>
    <w:rsid w:val="00B04BF2"/>
    <w:rsid w:val="00B13BA7"/>
    <w:rsid w:val="00B1524A"/>
    <w:rsid w:val="00B24AFF"/>
    <w:rsid w:val="00B367D8"/>
    <w:rsid w:val="00B419A2"/>
    <w:rsid w:val="00B4202A"/>
    <w:rsid w:val="00B42E79"/>
    <w:rsid w:val="00B5067C"/>
    <w:rsid w:val="00B601CA"/>
    <w:rsid w:val="00B62104"/>
    <w:rsid w:val="00B65174"/>
    <w:rsid w:val="00B8675F"/>
    <w:rsid w:val="00B86789"/>
    <w:rsid w:val="00B87B45"/>
    <w:rsid w:val="00B87C43"/>
    <w:rsid w:val="00BA6047"/>
    <w:rsid w:val="00BB017D"/>
    <w:rsid w:val="00BB0437"/>
    <w:rsid w:val="00BC077A"/>
    <w:rsid w:val="00BC3B3E"/>
    <w:rsid w:val="00BD4118"/>
    <w:rsid w:val="00BD4A9C"/>
    <w:rsid w:val="00BD7C9E"/>
    <w:rsid w:val="00BE1986"/>
    <w:rsid w:val="00BF2041"/>
    <w:rsid w:val="00BF3D1E"/>
    <w:rsid w:val="00BF408B"/>
    <w:rsid w:val="00C01069"/>
    <w:rsid w:val="00C02E39"/>
    <w:rsid w:val="00C1432E"/>
    <w:rsid w:val="00C14E45"/>
    <w:rsid w:val="00C159DF"/>
    <w:rsid w:val="00C15A07"/>
    <w:rsid w:val="00C168DD"/>
    <w:rsid w:val="00C16F09"/>
    <w:rsid w:val="00C20292"/>
    <w:rsid w:val="00C2106E"/>
    <w:rsid w:val="00C26521"/>
    <w:rsid w:val="00C31080"/>
    <w:rsid w:val="00C3372F"/>
    <w:rsid w:val="00C417DB"/>
    <w:rsid w:val="00C42B4C"/>
    <w:rsid w:val="00C42E97"/>
    <w:rsid w:val="00C44362"/>
    <w:rsid w:val="00C53B2A"/>
    <w:rsid w:val="00C54757"/>
    <w:rsid w:val="00C56C47"/>
    <w:rsid w:val="00C66771"/>
    <w:rsid w:val="00C67F3D"/>
    <w:rsid w:val="00C709D3"/>
    <w:rsid w:val="00C70C22"/>
    <w:rsid w:val="00C76CA7"/>
    <w:rsid w:val="00C80079"/>
    <w:rsid w:val="00C8162F"/>
    <w:rsid w:val="00C81B80"/>
    <w:rsid w:val="00C82FB7"/>
    <w:rsid w:val="00C86930"/>
    <w:rsid w:val="00C87C6C"/>
    <w:rsid w:val="00C91056"/>
    <w:rsid w:val="00C95678"/>
    <w:rsid w:val="00C96E1B"/>
    <w:rsid w:val="00CA30F6"/>
    <w:rsid w:val="00CA56C6"/>
    <w:rsid w:val="00CA6131"/>
    <w:rsid w:val="00CA672A"/>
    <w:rsid w:val="00CC01FD"/>
    <w:rsid w:val="00CC3C15"/>
    <w:rsid w:val="00CC550C"/>
    <w:rsid w:val="00CD240F"/>
    <w:rsid w:val="00CD311F"/>
    <w:rsid w:val="00CE0D53"/>
    <w:rsid w:val="00CE200B"/>
    <w:rsid w:val="00CE71FE"/>
    <w:rsid w:val="00CF03BA"/>
    <w:rsid w:val="00CF3A46"/>
    <w:rsid w:val="00D00370"/>
    <w:rsid w:val="00D00D58"/>
    <w:rsid w:val="00D03934"/>
    <w:rsid w:val="00D06604"/>
    <w:rsid w:val="00D104C7"/>
    <w:rsid w:val="00D13BD5"/>
    <w:rsid w:val="00D140AE"/>
    <w:rsid w:val="00D172A2"/>
    <w:rsid w:val="00D24A52"/>
    <w:rsid w:val="00D250C5"/>
    <w:rsid w:val="00D33F63"/>
    <w:rsid w:val="00D343FF"/>
    <w:rsid w:val="00D35F43"/>
    <w:rsid w:val="00D45D35"/>
    <w:rsid w:val="00D51EFC"/>
    <w:rsid w:val="00D56618"/>
    <w:rsid w:val="00D60AD5"/>
    <w:rsid w:val="00D61696"/>
    <w:rsid w:val="00D617D1"/>
    <w:rsid w:val="00D65B1A"/>
    <w:rsid w:val="00D703CA"/>
    <w:rsid w:val="00D71E2F"/>
    <w:rsid w:val="00D7408A"/>
    <w:rsid w:val="00D777B6"/>
    <w:rsid w:val="00D81448"/>
    <w:rsid w:val="00D81FB2"/>
    <w:rsid w:val="00D905E2"/>
    <w:rsid w:val="00D92CB2"/>
    <w:rsid w:val="00D9355E"/>
    <w:rsid w:val="00D93929"/>
    <w:rsid w:val="00D93A25"/>
    <w:rsid w:val="00D94C93"/>
    <w:rsid w:val="00DA463C"/>
    <w:rsid w:val="00DB42D0"/>
    <w:rsid w:val="00DB458F"/>
    <w:rsid w:val="00DC13D1"/>
    <w:rsid w:val="00DD5F6D"/>
    <w:rsid w:val="00DE292F"/>
    <w:rsid w:val="00DE3635"/>
    <w:rsid w:val="00DE620E"/>
    <w:rsid w:val="00DF0E1B"/>
    <w:rsid w:val="00DF167C"/>
    <w:rsid w:val="00E005E6"/>
    <w:rsid w:val="00E02759"/>
    <w:rsid w:val="00E03675"/>
    <w:rsid w:val="00E159E7"/>
    <w:rsid w:val="00E15B55"/>
    <w:rsid w:val="00E263A5"/>
    <w:rsid w:val="00E30028"/>
    <w:rsid w:val="00E40B0A"/>
    <w:rsid w:val="00E41314"/>
    <w:rsid w:val="00E460C5"/>
    <w:rsid w:val="00E4783C"/>
    <w:rsid w:val="00E5199D"/>
    <w:rsid w:val="00E54643"/>
    <w:rsid w:val="00E5519B"/>
    <w:rsid w:val="00E6178A"/>
    <w:rsid w:val="00E61CA7"/>
    <w:rsid w:val="00E648C7"/>
    <w:rsid w:val="00E651D4"/>
    <w:rsid w:val="00E7712A"/>
    <w:rsid w:val="00E82BDB"/>
    <w:rsid w:val="00E866F4"/>
    <w:rsid w:val="00E95E9E"/>
    <w:rsid w:val="00EA2488"/>
    <w:rsid w:val="00EA65D5"/>
    <w:rsid w:val="00EA73EB"/>
    <w:rsid w:val="00EB16F5"/>
    <w:rsid w:val="00EB6F53"/>
    <w:rsid w:val="00EC1974"/>
    <w:rsid w:val="00EC61A5"/>
    <w:rsid w:val="00EE54A6"/>
    <w:rsid w:val="00EE6946"/>
    <w:rsid w:val="00EE728C"/>
    <w:rsid w:val="00EE72BD"/>
    <w:rsid w:val="00EF150F"/>
    <w:rsid w:val="00EF36A4"/>
    <w:rsid w:val="00EF6481"/>
    <w:rsid w:val="00F12911"/>
    <w:rsid w:val="00F16B65"/>
    <w:rsid w:val="00F200B7"/>
    <w:rsid w:val="00F24720"/>
    <w:rsid w:val="00F46CBE"/>
    <w:rsid w:val="00F51363"/>
    <w:rsid w:val="00F55AE8"/>
    <w:rsid w:val="00F56549"/>
    <w:rsid w:val="00F608BB"/>
    <w:rsid w:val="00F67D04"/>
    <w:rsid w:val="00F71367"/>
    <w:rsid w:val="00F73E22"/>
    <w:rsid w:val="00F77C41"/>
    <w:rsid w:val="00F85E0E"/>
    <w:rsid w:val="00F916BA"/>
    <w:rsid w:val="00FA105A"/>
    <w:rsid w:val="00FA20A1"/>
    <w:rsid w:val="00FA27EF"/>
    <w:rsid w:val="00FA3D2F"/>
    <w:rsid w:val="00FA6303"/>
    <w:rsid w:val="00FA6D3E"/>
    <w:rsid w:val="00FB09E8"/>
    <w:rsid w:val="00FB4608"/>
    <w:rsid w:val="00FB5C65"/>
    <w:rsid w:val="00FB61BB"/>
    <w:rsid w:val="00FC1ED2"/>
    <w:rsid w:val="00FC26B5"/>
    <w:rsid w:val="00FC793D"/>
    <w:rsid w:val="00FD0C0F"/>
    <w:rsid w:val="00FD599B"/>
    <w:rsid w:val="00FD764C"/>
    <w:rsid w:val="00FD7AFF"/>
    <w:rsid w:val="00FE06E7"/>
    <w:rsid w:val="00FE5134"/>
    <w:rsid w:val="013B4808"/>
    <w:rsid w:val="01590523"/>
    <w:rsid w:val="015E1611"/>
    <w:rsid w:val="01605C73"/>
    <w:rsid w:val="01630B54"/>
    <w:rsid w:val="0187489A"/>
    <w:rsid w:val="019A6EAF"/>
    <w:rsid w:val="01AF35D1"/>
    <w:rsid w:val="01E25ABE"/>
    <w:rsid w:val="02135915"/>
    <w:rsid w:val="02182DF8"/>
    <w:rsid w:val="0224131B"/>
    <w:rsid w:val="023B5216"/>
    <w:rsid w:val="02494CE7"/>
    <w:rsid w:val="024D6486"/>
    <w:rsid w:val="025E30E5"/>
    <w:rsid w:val="027F7B77"/>
    <w:rsid w:val="02890D36"/>
    <w:rsid w:val="02987C2B"/>
    <w:rsid w:val="02996A23"/>
    <w:rsid w:val="029C3038"/>
    <w:rsid w:val="02A10B19"/>
    <w:rsid w:val="02A31E0A"/>
    <w:rsid w:val="02EA5F00"/>
    <w:rsid w:val="02F715EE"/>
    <w:rsid w:val="030E240E"/>
    <w:rsid w:val="03401075"/>
    <w:rsid w:val="035A6F59"/>
    <w:rsid w:val="035E5D4E"/>
    <w:rsid w:val="036B18C2"/>
    <w:rsid w:val="03881C49"/>
    <w:rsid w:val="03897681"/>
    <w:rsid w:val="03E37CED"/>
    <w:rsid w:val="041F60D6"/>
    <w:rsid w:val="04270E37"/>
    <w:rsid w:val="044477E2"/>
    <w:rsid w:val="0458249C"/>
    <w:rsid w:val="04722558"/>
    <w:rsid w:val="04780AC6"/>
    <w:rsid w:val="047C49E9"/>
    <w:rsid w:val="04862D7A"/>
    <w:rsid w:val="04A010CF"/>
    <w:rsid w:val="04B270C1"/>
    <w:rsid w:val="04BA07F9"/>
    <w:rsid w:val="04D57352"/>
    <w:rsid w:val="05120D57"/>
    <w:rsid w:val="052D0011"/>
    <w:rsid w:val="052F48F7"/>
    <w:rsid w:val="05344197"/>
    <w:rsid w:val="053A6110"/>
    <w:rsid w:val="05636432"/>
    <w:rsid w:val="056C28DD"/>
    <w:rsid w:val="057E627D"/>
    <w:rsid w:val="05972BB7"/>
    <w:rsid w:val="059B72DE"/>
    <w:rsid w:val="05A44426"/>
    <w:rsid w:val="05AA5556"/>
    <w:rsid w:val="05D25DF9"/>
    <w:rsid w:val="05D5344F"/>
    <w:rsid w:val="05ED467B"/>
    <w:rsid w:val="060A399E"/>
    <w:rsid w:val="061B0347"/>
    <w:rsid w:val="064063AE"/>
    <w:rsid w:val="06555431"/>
    <w:rsid w:val="06997122"/>
    <w:rsid w:val="06CC3A1C"/>
    <w:rsid w:val="06D4063A"/>
    <w:rsid w:val="06DC3341"/>
    <w:rsid w:val="06F253F2"/>
    <w:rsid w:val="07037ED0"/>
    <w:rsid w:val="071E1135"/>
    <w:rsid w:val="07586D2E"/>
    <w:rsid w:val="075F150C"/>
    <w:rsid w:val="07706747"/>
    <w:rsid w:val="077E510C"/>
    <w:rsid w:val="07886BEA"/>
    <w:rsid w:val="07A23CFC"/>
    <w:rsid w:val="07E206FA"/>
    <w:rsid w:val="07E66F62"/>
    <w:rsid w:val="07EA79AE"/>
    <w:rsid w:val="07F6774F"/>
    <w:rsid w:val="08007B97"/>
    <w:rsid w:val="082038E6"/>
    <w:rsid w:val="08360008"/>
    <w:rsid w:val="08363C4D"/>
    <w:rsid w:val="083F7C2E"/>
    <w:rsid w:val="0851082A"/>
    <w:rsid w:val="085F7A9E"/>
    <w:rsid w:val="0866488A"/>
    <w:rsid w:val="086930B0"/>
    <w:rsid w:val="0873429A"/>
    <w:rsid w:val="08972A34"/>
    <w:rsid w:val="08A35132"/>
    <w:rsid w:val="08B31F29"/>
    <w:rsid w:val="08DE2951"/>
    <w:rsid w:val="08EE29AD"/>
    <w:rsid w:val="092215ED"/>
    <w:rsid w:val="09507827"/>
    <w:rsid w:val="098A6C6E"/>
    <w:rsid w:val="09924DAE"/>
    <w:rsid w:val="09A27D61"/>
    <w:rsid w:val="09CF0A9B"/>
    <w:rsid w:val="09E50BB1"/>
    <w:rsid w:val="09ED38C9"/>
    <w:rsid w:val="09EF742D"/>
    <w:rsid w:val="0A1A3D62"/>
    <w:rsid w:val="0A2E25E5"/>
    <w:rsid w:val="0A51102B"/>
    <w:rsid w:val="0A587835"/>
    <w:rsid w:val="0A5A6827"/>
    <w:rsid w:val="0A970504"/>
    <w:rsid w:val="0AA12680"/>
    <w:rsid w:val="0AB35D03"/>
    <w:rsid w:val="0AB4518A"/>
    <w:rsid w:val="0ACB2AE8"/>
    <w:rsid w:val="0AF80CAA"/>
    <w:rsid w:val="0B03733C"/>
    <w:rsid w:val="0B12349A"/>
    <w:rsid w:val="0B253B11"/>
    <w:rsid w:val="0B2C2B92"/>
    <w:rsid w:val="0BB0283D"/>
    <w:rsid w:val="0BCF7583"/>
    <w:rsid w:val="0BF87A53"/>
    <w:rsid w:val="0BFF2621"/>
    <w:rsid w:val="0C1D0EB7"/>
    <w:rsid w:val="0C3C7E06"/>
    <w:rsid w:val="0C5E569E"/>
    <w:rsid w:val="0CB641E8"/>
    <w:rsid w:val="0CB92420"/>
    <w:rsid w:val="0CF12D59"/>
    <w:rsid w:val="0D2A7E0B"/>
    <w:rsid w:val="0D407252"/>
    <w:rsid w:val="0D6E5C1E"/>
    <w:rsid w:val="0D967925"/>
    <w:rsid w:val="0DBB2664"/>
    <w:rsid w:val="0DC40C23"/>
    <w:rsid w:val="0DDA0C68"/>
    <w:rsid w:val="0DE22043"/>
    <w:rsid w:val="0DE7541D"/>
    <w:rsid w:val="0DF14177"/>
    <w:rsid w:val="0E0220CB"/>
    <w:rsid w:val="0E066EFB"/>
    <w:rsid w:val="0E1841B7"/>
    <w:rsid w:val="0E1A2348"/>
    <w:rsid w:val="0E383E20"/>
    <w:rsid w:val="0E523D0A"/>
    <w:rsid w:val="0E7D7FDC"/>
    <w:rsid w:val="0E8536A2"/>
    <w:rsid w:val="0E9E6EC9"/>
    <w:rsid w:val="0EAB1994"/>
    <w:rsid w:val="0EAC2B00"/>
    <w:rsid w:val="0EAE2CAA"/>
    <w:rsid w:val="0EBE46BE"/>
    <w:rsid w:val="0F1613B9"/>
    <w:rsid w:val="0F301B55"/>
    <w:rsid w:val="0F376CE6"/>
    <w:rsid w:val="0F600BE8"/>
    <w:rsid w:val="0F972D2E"/>
    <w:rsid w:val="0FB2565E"/>
    <w:rsid w:val="0FB30B23"/>
    <w:rsid w:val="0FB84F99"/>
    <w:rsid w:val="0FD84E49"/>
    <w:rsid w:val="0FD9288C"/>
    <w:rsid w:val="0FDA088D"/>
    <w:rsid w:val="10206BEF"/>
    <w:rsid w:val="10495C2F"/>
    <w:rsid w:val="10863CAA"/>
    <w:rsid w:val="10D60F13"/>
    <w:rsid w:val="10E44F8D"/>
    <w:rsid w:val="10FD29EF"/>
    <w:rsid w:val="11167533"/>
    <w:rsid w:val="11380742"/>
    <w:rsid w:val="11557F9D"/>
    <w:rsid w:val="116E2E06"/>
    <w:rsid w:val="117B490A"/>
    <w:rsid w:val="119D0D03"/>
    <w:rsid w:val="11B9159B"/>
    <w:rsid w:val="11CE1F8E"/>
    <w:rsid w:val="11CF0D90"/>
    <w:rsid w:val="12085D1F"/>
    <w:rsid w:val="120F118F"/>
    <w:rsid w:val="12405C7C"/>
    <w:rsid w:val="124F3295"/>
    <w:rsid w:val="12532C84"/>
    <w:rsid w:val="125B156B"/>
    <w:rsid w:val="126618E4"/>
    <w:rsid w:val="127025B0"/>
    <w:rsid w:val="128130C2"/>
    <w:rsid w:val="12886908"/>
    <w:rsid w:val="129E546E"/>
    <w:rsid w:val="12D331CA"/>
    <w:rsid w:val="12D51227"/>
    <w:rsid w:val="12F16A19"/>
    <w:rsid w:val="12F47FB1"/>
    <w:rsid w:val="13061E3E"/>
    <w:rsid w:val="13700605"/>
    <w:rsid w:val="13AC7FFC"/>
    <w:rsid w:val="13B06581"/>
    <w:rsid w:val="13C40328"/>
    <w:rsid w:val="13D11824"/>
    <w:rsid w:val="13F076BC"/>
    <w:rsid w:val="14047A91"/>
    <w:rsid w:val="1424069E"/>
    <w:rsid w:val="142E3739"/>
    <w:rsid w:val="14366342"/>
    <w:rsid w:val="14422AFC"/>
    <w:rsid w:val="144863AC"/>
    <w:rsid w:val="144A6A6A"/>
    <w:rsid w:val="14501247"/>
    <w:rsid w:val="14567503"/>
    <w:rsid w:val="14644E55"/>
    <w:rsid w:val="146509BC"/>
    <w:rsid w:val="14C065F5"/>
    <w:rsid w:val="14E911D4"/>
    <w:rsid w:val="14F420DB"/>
    <w:rsid w:val="151646D4"/>
    <w:rsid w:val="152B0B84"/>
    <w:rsid w:val="15417F4A"/>
    <w:rsid w:val="15576A40"/>
    <w:rsid w:val="158459B1"/>
    <w:rsid w:val="15A13374"/>
    <w:rsid w:val="15C71CD3"/>
    <w:rsid w:val="15D375E3"/>
    <w:rsid w:val="15D913CC"/>
    <w:rsid w:val="1618098F"/>
    <w:rsid w:val="162905CB"/>
    <w:rsid w:val="162D32B2"/>
    <w:rsid w:val="162F083E"/>
    <w:rsid w:val="16385CCD"/>
    <w:rsid w:val="164A731D"/>
    <w:rsid w:val="16514203"/>
    <w:rsid w:val="165D2710"/>
    <w:rsid w:val="167C5922"/>
    <w:rsid w:val="16911902"/>
    <w:rsid w:val="16954B65"/>
    <w:rsid w:val="16AB3F08"/>
    <w:rsid w:val="16C14040"/>
    <w:rsid w:val="16C3120C"/>
    <w:rsid w:val="16D91D12"/>
    <w:rsid w:val="16E36D8C"/>
    <w:rsid w:val="16EF6E3B"/>
    <w:rsid w:val="170E51F3"/>
    <w:rsid w:val="1726065C"/>
    <w:rsid w:val="172F6697"/>
    <w:rsid w:val="173E183F"/>
    <w:rsid w:val="17506E19"/>
    <w:rsid w:val="175226C6"/>
    <w:rsid w:val="17551405"/>
    <w:rsid w:val="17572CF0"/>
    <w:rsid w:val="177B45B8"/>
    <w:rsid w:val="17845F0F"/>
    <w:rsid w:val="17946DA7"/>
    <w:rsid w:val="17A343A0"/>
    <w:rsid w:val="17CE6D29"/>
    <w:rsid w:val="17FF53F7"/>
    <w:rsid w:val="18212F0B"/>
    <w:rsid w:val="182A1A72"/>
    <w:rsid w:val="18417661"/>
    <w:rsid w:val="18675DA0"/>
    <w:rsid w:val="186A3C71"/>
    <w:rsid w:val="18797581"/>
    <w:rsid w:val="187F72BD"/>
    <w:rsid w:val="188970BD"/>
    <w:rsid w:val="18911771"/>
    <w:rsid w:val="18A44508"/>
    <w:rsid w:val="18AA7C42"/>
    <w:rsid w:val="18AB1703"/>
    <w:rsid w:val="18C122D8"/>
    <w:rsid w:val="18C12BEC"/>
    <w:rsid w:val="18D35769"/>
    <w:rsid w:val="18E0605D"/>
    <w:rsid w:val="18F4687D"/>
    <w:rsid w:val="19116963"/>
    <w:rsid w:val="191B3C75"/>
    <w:rsid w:val="19266C0E"/>
    <w:rsid w:val="192C0E01"/>
    <w:rsid w:val="195F0D43"/>
    <w:rsid w:val="196547FC"/>
    <w:rsid w:val="19AC2F8D"/>
    <w:rsid w:val="19B00B8A"/>
    <w:rsid w:val="19BD33FC"/>
    <w:rsid w:val="19DF17DC"/>
    <w:rsid w:val="19DF6D7B"/>
    <w:rsid w:val="19F762BF"/>
    <w:rsid w:val="1A0D1B0C"/>
    <w:rsid w:val="1A2E774D"/>
    <w:rsid w:val="1A3D12E2"/>
    <w:rsid w:val="1A4154C9"/>
    <w:rsid w:val="1A4E45C4"/>
    <w:rsid w:val="1A7042B2"/>
    <w:rsid w:val="1A744C37"/>
    <w:rsid w:val="1A935755"/>
    <w:rsid w:val="1AE249B3"/>
    <w:rsid w:val="1AF31234"/>
    <w:rsid w:val="1B0559F3"/>
    <w:rsid w:val="1B2F015A"/>
    <w:rsid w:val="1B4A0A55"/>
    <w:rsid w:val="1B820AAD"/>
    <w:rsid w:val="1B8A2C1C"/>
    <w:rsid w:val="1B8D4AF8"/>
    <w:rsid w:val="1B8F3E12"/>
    <w:rsid w:val="1BAD7475"/>
    <w:rsid w:val="1BC529F1"/>
    <w:rsid w:val="1BF3720F"/>
    <w:rsid w:val="1C083082"/>
    <w:rsid w:val="1C2D6034"/>
    <w:rsid w:val="1C385118"/>
    <w:rsid w:val="1C550FF7"/>
    <w:rsid w:val="1C5E4B30"/>
    <w:rsid w:val="1C9B12FC"/>
    <w:rsid w:val="1CAB61E7"/>
    <w:rsid w:val="1D042183"/>
    <w:rsid w:val="1D1831E1"/>
    <w:rsid w:val="1D2074D6"/>
    <w:rsid w:val="1D2F1BE0"/>
    <w:rsid w:val="1D497F91"/>
    <w:rsid w:val="1D666B3F"/>
    <w:rsid w:val="1D8711B8"/>
    <w:rsid w:val="1D881A4F"/>
    <w:rsid w:val="1D884311"/>
    <w:rsid w:val="1D9C23FE"/>
    <w:rsid w:val="1DB412BB"/>
    <w:rsid w:val="1DE13B91"/>
    <w:rsid w:val="1DFA2B41"/>
    <w:rsid w:val="1E4C0265"/>
    <w:rsid w:val="1E4D4545"/>
    <w:rsid w:val="1E4E1267"/>
    <w:rsid w:val="1E731026"/>
    <w:rsid w:val="1E79088D"/>
    <w:rsid w:val="1E8F4FAF"/>
    <w:rsid w:val="1E993340"/>
    <w:rsid w:val="1ED662F4"/>
    <w:rsid w:val="1EDB762C"/>
    <w:rsid w:val="1EDF3D79"/>
    <w:rsid w:val="1EE559BD"/>
    <w:rsid w:val="1EF0029C"/>
    <w:rsid w:val="1EF93DF3"/>
    <w:rsid w:val="1F136428"/>
    <w:rsid w:val="1F174609"/>
    <w:rsid w:val="1F1C3BAF"/>
    <w:rsid w:val="1F2878C5"/>
    <w:rsid w:val="1F361F45"/>
    <w:rsid w:val="1F486D86"/>
    <w:rsid w:val="1F504922"/>
    <w:rsid w:val="1F9D116C"/>
    <w:rsid w:val="1FCA14B3"/>
    <w:rsid w:val="1FEA4C35"/>
    <w:rsid w:val="1FF55EE9"/>
    <w:rsid w:val="1FF82A1B"/>
    <w:rsid w:val="203E4274"/>
    <w:rsid w:val="205E15BC"/>
    <w:rsid w:val="20826506"/>
    <w:rsid w:val="2098035D"/>
    <w:rsid w:val="20AD65E0"/>
    <w:rsid w:val="20C440D3"/>
    <w:rsid w:val="20FA7627"/>
    <w:rsid w:val="20FD10FC"/>
    <w:rsid w:val="21294361"/>
    <w:rsid w:val="212D1196"/>
    <w:rsid w:val="215327D9"/>
    <w:rsid w:val="21555156"/>
    <w:rsid w:val="21601978"/>
    <w:rsid w:val="219C34CA"/>
    <w:rsid w:val="21B559F4"/>
    <w:rsid w:val="21D50EA5"/>
    <w:rsid w:val="21D76A7D"/>
    <w:rsid w:val="221A7A8F"/>
    <w:rsid w:val="221E7789"/>
    <w:rsid w:val="226A7BC2"/>
    <w:rsid w:val="2279470C"/>
    <w:rsid w:val="22807FAA"/>
    <w:rsid w:val="22F837A5"/>
    <w:rsid w:val="23225D32"/>
    <w:rsid w:val="232C1EE7"/>
    <w:rsid w:val="23497E62"/>
    <w:rsid w:val="2359040B"/>
    <w:rsid w:val="23642FC8"/>
    <w:rsid w:val="23722DFF"/>
    <w:rsid w:val="23737C80"/>
    <w:rsid w:val="23782E58"/>
    <w:rsid w:val="237A63C1"/>
    <w:rsid w:val="23B80D3B"/>
    <w:rsid w:val="23C15FD1"/>
    <w:rsid w:val="23D84D99"/>
    <w:rsid w:val="23D85980"/>
    <w:rsid w:val="24013936"/>
    <w:rsid w:val="240A26A0"/>
    <w:rsid w:val="242877DE"/>
    <w:rsid w:val="249D43AE"/>
    <w:rsid w:val="249D6305"/>
    <w:rsid w:val="24D40F7C"/>
    <w:rsid w:val="24D50BFC"/>
    <w:rsid w:val="24EB0BA1"/>
    <w:rsid w:val="24ED0D81"/>
    <w:rsid w:val="25096161"/>
    <w:rsid w:val="25600BD8"/>
    <w:rsid w:val="25870808"/>
    <w:rsid w:val="25D07840"/>
    <w:rsid w:val="26307BB3"/>
    <w:rsid w:val="265A10B1"/>
    <w:rsid w:val="265E6998"/>
    <w:rsid w:val="26804A23"/>
    <w:rsid w:val="2685663C"/>
    <w:rsid w:val="26A919E5"/>
    <w:rsid w:val="26B0083C"/>
    <w:rsid w:val="26BE6851"/>
    <w:rsid w:val="26D32C40"/>
    <w:rsid w:val="26DE6BE9"/>
    <w:rsid w:val="26E8081A"/>
    <w:rsid w:val="26EB4A31"/>
    <w:rsid w:val="27190C6E"/>
    <w:rsid w:val="272A50E7"/>
    <w:rsid w:val="274176B2"/>
    <w:rsid w:val="27633B59"/>
    <w:rsid w:val="27A0412C"/>
    <w:rsid w:val="27CA7D33"/>
    <w:rsid w:val="27E32A7D"/>
    <w:rsid w:val="282A3C56"/>
    <w:rsid w:val="28411715"/>
    <w:rsid w:val="288E7C27"/>
    <w:rsid w:val="28B41F10"/>
    <w:rsid w:val="28D14C84"/>
    <w:rsid w:val="28D27C5A"/>
    <w:rsid w:val="291B38BE"/>
    <w:rsid w:val="292F5579"/>
    <w:rsid w:val="29680D6E"/>
    <w:rsid w:val="298C4ACA"/>
    <w:rsid w:val="298F453E"/>
    <w:rsid w:val="29A74539"/>
    <w:rsid w:val="29BB7AE6"/>
    <w:rsid w:val="29CA071F"/>
    <w:rsid w:val="2A1D4F82"/>
    <w:rsid w:val="2A1E1976"/>
    <w:rsid w:val="2A375015"/>
    <w:rsid w:val="2A3E40D3"/>
    <w:rsid w:val="2A4F704A"/>
    <w:rsid w:val="2A583745"/>
    <w:rsid w:val="2A7C2864"/>
    <w:rsid w:val="2A8B5511"/>
    <w:rsid w:val="2A994EC5"/>
    <w:rsid w:val="2AA432EA"/>
    <w:rsid w:val="2AA461E1"/>
    <w:rsid w:val="2AB2253E"/>
    <w:rsid w:val="2AB809F2"/>
    <w:rsid w:val="2AC74E4F"/>
    <w:rsid w:val="2B073F98"/>
    <w:rsid w:val="2B09547F"/>
    <w:rsid w:val="2B1376C9"/>
    <w:rsid w:val="2B1753B0"/>
    <w:rsid w:val="2B1B3D9C"/>
    <w:rsid w:val="2B2D485F"/>
    <w:rsid w:val="2B3C59B7"/>
    <w:rsid w:val="2B7319D4"/>
    <w:rsid w:val="2B7809FC"/>
    <w:rsid w:val="2B7E4338"/>
    <w:rsid w:val="2B8B15FD"/>
    <w:rsid w:val="2B911BA2"/>
    <w:rsid w:val="2B951766"/>
    <w:rsid w:val="2BCA15E8"/>
    <w:rsid w:val="2BCD4CB5"/>
    <w:rsid w:val="2BD77AF9"/>
    <w:rsid w:val="2BE31744"/>
    <w:rsid w:val="2BF763A7"/>
    <w:rsid w:val="2BF80053"/>
    <w:rsid w:val="2C0D29F7"/>
    <w:rsid w:val="2C29763F"/>
    <w:rsid w:val="2D0E6C17"/>
    <w:rsid w:val="2D3A1340"/>
    <w:rsid w:val="2D4A3B58"/>
    <w:rsid w:val="2D4C4E14"/>
    <w:rsid w:val="2D5B72F6"/>
    <w:rsid w:val="2D756C59"/>
    <w:rsid w:val="2D9249D7"/>
    <w:rsid w:val="2D936B05"/>
    <w:rsid w:val="2D9F0254"/>
    <w:rsid w:val="2DB9678E"/>
    <w:rsid w:val="2DC37705"/>
    <w:rsid w:val="2DD227B8"/>
    <w:rsid w:val="2E0171AB"/>
    <w:rsid w:val="2E127CD8"/>
    <w:rsid w:val="2E307825"/>
    <w:rsid w:val="2E663BE0"/>
    <w:rsid w:val="2E6D7D63"/>
    <w:rsid w:val="2E731C62"/>
    <w:rsid w:val="2EBE3181"/>
    <w:rsid w:val="2EC164D0"/>
    <w:rsid w:val="2EED1F04"/>
    <w:rsid w:val="2EEE5ECC"/>
    <w:rsid w:val="2EF835C5"/>
    <w:rsid w:val="2F0824F4"/>
    <w:rsid w:val="2F204130"/>
    <w:rsid w:val="2F225018"/>
    <w:rsid w:val="2F2C4BD2"/>
    <w:rsid w:val="2F305A95"/>
    <w:rsid w:val="2F386C07"/>
    <w:rsid w:val="2F3F0C23"/>
    <w:rsid w:val="2F4743D4"/>
    <w:rsid w:val="2F5300EA"/>
    <w:rsid w:val="2F5E26BF"/>
    <w:rsid w:val="2F826BA4"/>
    <w:rsid w:val="2F8421BC"/>
    <w:rsid w:val="2F9A667C"/>
    <w:rsid w:val="2FCA024E"/>
    <w:rsid w:val="2FD33D5F"/>
    <w:rsid w:val="2FF90250"/>
    <w:rsid w:val="2FFB1502"/>
    <w:rsid w:val="2FFE0194"/>
    <w:rsid w:val="300A305D"/>
    <w:rsid w:val="3044642E"/>
    <w:rsid w:val="3071270C"/>
    <w:rsid w:val="308A1DBA"/>
    <w:rsid w:val="30943D13"/>
    <w:rsid w:val="30AE4883"/>
    <w:rsid w:val="30B23010"/>
    <w:rsid w:val="30B67A7F"/>
    <w:rsid w:val="30B83716"/>
    <w:rsid w:val="30C456CA"/>
    <w:rsid w:val="30CA3AEE"/>
    <w:rsid w:val="30D61ED6"/>
    <w:rsid w:val="30EE0D0A"/>
    <w:rsid w:val="30F67E62"/>
    <w:rsid w:val="30FB307E"/>
    <w:rsid w:val="314547B5"/>
    <w:rsid w:val="314C0871"/>
    <w:rsid w:val="315921DB"/>
    <w:rsid w:val="317B533A"/>
    <w:rsid w:val="318978EE"/>
    <w:rsid w:val="31A45400"/>
    <w:rsid w:val="32002ABE"/>
    <w:rsid w:val="321076EA"/>
    <w:rsid w:val="321C5D63"/>
    <w:rsid w:val="32341C9E"/>
    <w:rsid w:val="32503D4D"/>
    <w:rsid w:val="325F503E"/>
    <w:rsid w:val="32815326"/>
    <w:rsid w:val="32AE7537"/>
    <w:rsid w:val="32F23E23"/>
    <w:rsid w:val="32F84AA5"/>
    <w:rsid w:val="332C1541"/>
    <w:rsid w:val="33353370"/>
    <w:rsid w:val="33414438"/>
    <w:rsid w:val="33741DEF"/>
    <w:rsid w:val="33753FB9"/>
    <w:rsid w:val="338F6BDB"/>
    <w:rsid w:val="33BA375E"/>
    <w:rsid w:val="33BF6A9E"/>
    <w:rsid w:val="33C238D2"/>
    <w:rsid w:val="33C30D07"/>
    <w:rsid w:val="33CC3D88"/>
    <w:rsid w:val="33D52B1E"/>
    <w:rsid w:val="33D861F5"/>
    <w:rsid w:val="34120229"/>
    <w:rsid w:val="341C2569"/>
    <w:rsid w:val="342C57C5"/>
    <w:rsid w:val="343D7F1E"/>
    <w:rsid w:val="34476B80"/>
    <w:rsid w:val="345B4D37"/>
    <w:rsid w:val="346377F5"/>
    <w:rsid w:val="348D3100"/>
    <w:rsid w:val="34901A2C"/>
    <w:rsid w:val="349130B5"/>
    <w:rsid w:val="349A1560"/>
    <w:rsid w:val="34B45BAC"/>
    <w:rsid w:val="34B93106"/>
    <w:rsid w:val="34D641D4"/>
    <w:rsid w:val="350C08BE"/>
    <w:rsid w:val="35255ED3"/>
    <w:rsid w:val="352A3B4D"/>
    <w:rsid w:val="352B3045"/>
    <w:rsid w:val="354C0B5F"/>
    <w:rsid w:val="35A04F88"/>
    <w:rsid w:val="35A3254C"/>
    <w:rsid w:val="35A74648"/>
    <w:rsid w:val="35E10ED8"/>
    <w:rsid w:val="35E41A0A"/>
    <w:rsid w:val="360F1920"/>
    <w:rsid w:val="3621205E"/>
    <w:rsid w:val="363C6AA2"/>
    <w:rsid w:val="364828D7"/>
    <w:rsid w:val="364D63A5"/>
    <w:rsid w:val="365C1239"/>
    <w:rsid w:val="368933AC"/>
    <w:rsid w:val="369B4446"/>
    <w:rsid w:val="36D861FF"/>
    <w:rsid w:val="370D309D"/>
    <w:rsid w:val="37403642"/>
    <w:rsid w:val="374E70C8"/>
    <w:rsid w:val="374F5ADD"/>
    <w:rsid w:val="37594205"/>
    <w:rsid w:val="37645B3B"/>
    <w:rsid w:val="379B236D"/>
    <w:rsid w:val="379E428A"/>
    <w:rsid w:val="37B60A7D"/>
    <w:rsid w:val="380A072C"/>
    <w:rsid w:val="380A632D"/>
    <w:rsid w:val="382F2D9B"/>
    <w:rsid w:val="384F76AB"/>
    <w:rsid w:val="38735A73"/>
    <w:rsid w:val="389771E3"/>
    <w:rsid w:val="38A301F5"/>
    <w:rsid w:val="38CC3C52"/>
    <w:rsid w:val="38CE513F"/>
    <w:rsid w:val="38E7328D"/>
    <w:rsid w:val="393F67E7"/>
    <w:rsid w:val="394847BA"/>
    <w:rsid w:val="39915FC6"/>
    <w:rsid w:val="39A06B25"/>
    <w:rsid w:val="39BD1876"/>
    <w:rsid w:val="39FE0F50"/>
    <w:rsid w:val="3A000F6A"/>
    <w:rsid w:val="3A287185"/>
    <w:rsid w:val="3A567A92"/>
    <w:rsid w:val="3A690764"/>
    <w:rsid w:val="3A6E2813"/>
    <w:rsid w:val="3A91748F"/>
    <w:rsid w:val="3A9D3193"/>
    <w:rsid w:val="3A9F1D58"/>
    <w:rsid w:val="3ABD214B"/>
    <w:rsid w:val="3ACA1D74"/>
    <w:rsid w:val="3ACB7183"/>
    <w:rsid w:val="3ACF7481"/>
    <w:rsid w:val="3AEB37EC"/>
    <w:rsid w:val="3B2B4A3C"/>
    <w:rsid w:val="3B3366B6"/>
    <w:rsid w:val="3B4B4FE3"/>
    <w:rsid w:val="3B543CD5"/>
    <w:rsid w:val="3B6A3A24"/>
    <w:rsid w:val="3B6E2210"/>
    <w:rsid w:val="3B7522AE"/>
    <w:rsid w:val="3B7905A1"/>
    <w:rsid w:val="3B7A2197"/>
    <w:rsid w:val="3B844F6B"/>
    <w:rsid w:val="3B95085E"/>
    <w:rsid w:val="3BC24283"/>
    <w:rsid w:val="3BDD7091"/>
    <w:rsid w:val="3BFC52F7"/>
    <w:rsid w:val="3BFF5184"/>
    <w:rsid w:val="3C045C49"/>
    <w:rsid w:val="3C706958"/>
    <w:rsid w:val="3C7D4B6B"/>
    <w:rsid w:val="3C7F2E9F"/>
    <w:rsid w:val="3C7F510A"/>
    <w:rsid w:val="3C824C1B"/>
    <w:rsid w:val="3C872B6A"/>
    <w:rsid w:val="3C8F2F42"/>
    <w:rsid w:val="3C94676F"/>
    <w:rsid w:val="3CC87EC2"/>
    <w:rsid w:val="3CFE20CB"/>
    <w:rsid w:val="3D010598"/>
    <w:rsid w:val="3D0B0CCC"/>
    <w:rsid w:val="3D176D27"/>
    <w:rsid w:val="3D2624FA"/>
    <w:rsid w:val="3D283AB8"/>
    <w:rsid w:val="3D582474"/>
    <w:rsid w:val="3D8C7138"/>
    <w:rsid w:val="3D8D00DA"/>
    <w:rsid w:val="3DAD5E61"/>
    <w:rsid w:val="3DBB035F"/>
    <w:rsid w:val="3DBE70C7"/>
    <w:rsid w:val="3DC0492F"/>
    <w:rsid w:val="3E0A28FE"/>
    <w:rsid w:val="3E0A5849"/>
    <w:rsid w:val="3E1A5315"/>
    <w:rsid w:val="3EA053BD"/>
    <w:rsid w:val="3EAB6A2A"/>
    <w:rsid w:val="3EAD202C"/>
    <w:rsid w:val="3F151330"/>
    <w:rsid w:val="3F1C2C0E"/>
    <w:rsid w:val="3F551B76"/>
    <w:rsid w:val="3F6A10CC"/>
    <w:rsid w:val="3FEE7C8B"/>
    <w:rsid w:val="3FF43728"/>
    <w:rsid w:val="3FF7137F"/>
    <w:rsid w:val="3FF74C02"/>
    <w:rsid w:val="401A39FD"/>
    <w:rsid w:val="402E3A57"/>
    <w:rsid w:val="403338A7"/>
    <w:rsid w:val="403E65AA"/>
    <w:rsid w:val="4059297C"/>
    <w:rsid w:val="409A305F"/>
    <w:rsid w:val="411C6ED9"/>
    <w:rsid w:val="4125452D"/>
    <w:rsid w:val="412F77A1"/>
    <w:rsid w:val="41526B64"/>
    <w:rsid w:val="4178212C"/>
    <w:rsid w:val="4184126A"/>
    <w:rsid w:val="41945889"/>
    <w:rsid w:val="41A01FC6"/>
    <w:rsid w:val="41C15F0E"/>
    <w:rsid w:val="41E52815"/>
    <w:rsid w:val="4205693B"/>
    <w:rsid w:val="422033E7"/>
    <w:rsid w:val="4226679D"/>
    <w:rsid w:val="423D592C"/>
    <w:rsid w:val="42415A41"/>
    <w:rsid w:val="42532F04"/>
    <w:rsid w:val="42554A87"/>
    <w:rsid w:val="42567447"/>
    <w:rsid w:val="42606DF1"/>
    <w:rsid w:val="427E57B6"/>
    <w:rsid w:val="42831D2D"/>
    <w:rsid w:val="429F6575"/>
    <w:rsid w:val="42D0034A"/>
    <w:rsid w:val="42D153F9"/>
    <w:rsid w:val="42FA55A6"/>
    <w:rsid w:val="42FE0563"/>
    <w:rsid w:val="431849D5"/>
    <w:rsid w:val="43251536"/>
    <w:rsid w:val="432E0FBA"/>
    <w:rsid w:val="43376085"/>
    <w:rsid w:val="433E354B"/>
    <w:rsid w:val="43650417"/>
    <w:rsid w:val="43675823"/>
    <w:rsid w:val="437B4AB5"/>
    <w:rsid w:val="438B6B2B"/>
    <w:rsid w:val="43C4162B"/>
    <w:rsid w:val="43FF1C32"/>
    <w:rsid w:val="44081F6D"/>
    <w:rsid w:val="44344557"/>
    <w:rsid w:val="443F00A8"/>
    <w:rsid w:val="44456B9B"/>
    <w:rsid w:val="44A771C7"/>
    <w:rsid w:val="44F857DB"/>
    <w:rsid w:val="44FD053A"/>
    <w:rsid w:val="451851EA"/>
    <w:rsid w:val="45226572"/>
    <w:rsid w:val="45575091"/>
    <w:rsid w:val="45582BF9"/>
    <w:rsid w:val="45647867"/>
    <w:rsid w:val="45A602D1"/>
    <w:rsid w:val="45A94D7A"/>
    <w:rsid w:val="45B63ED9"/>
    <w:rsid w:val="45C4463F"/>
    <w:rsid w:val="45FB4569"/>
    <w:rsid w:val="45FE3BF1"/>
    <w:rsid w:val="462343A8"/>
    <w:rsid w:val="46242B7A"/>
    <w:rsid w:val="4628491E"/>
    <w:rsid w:val="46383E50"/>
    <w:rsid w:val="4647137A"/>
    <w:rsid w:val="46544B5A"/>
    <w:rsid w:val="46926FDF"/>
    <w:rsid w:val="469E4661"/>
    <w:rsid w:val="46A6534D"/>
    <w:rsid w:val="46B13D9A"/>
    <w:rsid w:val="46B30FCF"/>
    <w:rsid w:val="46CC00B3"/>
    <w:rsid w:val="46E07944"/>
    <w:rsid w:val="46E56C89"/>
    <w:rsid w:val="46E73EFB"/>
    <w:rsid w:val="470D0306"/>
    <w:rsid w:val="47280A93"/>
    <w:rsid w:val="472D42FC"/>
    <w:rsid w:val="473F5C7E"/>
    <w:rsid w:val="4759319A"/>
    <w:rsid w:val="478F09F2"/>
    <w:rsid w:val="47997807"/>
    <w:rsid w:val="47A127D4"/>
    <w:rsid w:val="47A53A70"/>
    <w:rsid w:val="47AE3F29"/>
    <w:rsid w:val="47AE6867"/>
    <w:rsid w:val="47C54032"/>
    <w:rsid w:val="47D75889"/>
    <w:rsid w:val="47DA0270"/>
    <w:rsid w:val="47DA4A41"/>
    <w:rsid w:val="4806072E"/>
    <w:rsid w:val="480E6450"/>
    <w:rsid w:val="481263C0"/>
    <w:rsid w:val="48283FFD"/>
    <w:rsid w:val="482D6FE9"/>
    <w:rsid w:val="485C5346"/>
    <w:rsid w:val="48732D02"/>
    <w:rsid w:val="4883388E"/>
    <w:rsid w:val="48F467BF"/>
    <w:rsid w:val="4912221D"/>
    <w:rsid w:val="493E3D53"/>
    <w:rsid w:val="4940589F"/>
    <w:rsid w:val="499F5DBD"/>
    <w:rsid w:val="49A20C62"/>
    <w:rsid w:val="49F05E29"/>
    <w:rsid w:val="49F313D0"/>
    <w:rsid w:val="4A115AB5"/>
    <w:rsid w:val="4A1C659F"/>
    <w:rsid w:val="4A3F32C1"/>
    <w:rsid w:val="4A431740"/>
    <w:rsid w:val="4A713BA9"/>
    <w:rsid w:val="4A7D2483"/>
    <w:rsid w:val="4A7F1D73"/>
    <w:rsid w:val="4ADE3D60"/>
    <w:rsid w:val="4B366851"/>
    <w:rsid w:val="4B7A4D9F"/>
    <w:rsid w:val="4B894B58"/>
    <w:rsid w:val="4BAA5257"/>
    <w:rsid w:val="4BAD4FA3"/>
    <w:rsid w:val="4BB766AA"/>
    <w:rsid w:val="4BD050C1"/>
    <w:rsid w:val="4BDD5DE5"/>
    <w:rsid w:val="4BE26F62"/>
    <w:rsid w:val="4C104758"/>
    <w:rsid w:val="4C2441C0"/>
    <w:rsid w:val="4C303D8F"/>
    <w:rsid w:val="4C46356B"/>
    <w:rsid w:val="4C564508"/>
    <w:rsid w:val="4C796BB4"/>
    <w:rsid w:val="4C964A5A"/>
    <w:rsid w:val="4CAD0D6F"/>
    <w:rsid w:val="4D0642E3"/>
    <w:rsid w:val="4D091396"/>
    <w:rsid w:val="4D0D142D"/>
    <w:rsid w:val="4D155768"/>
    <w:rsid w:val="4D2E0486"/>
    <w:rsid w:val="4D4804A6"/>
    <w:rsid w:val="4D5E2AFB"/>
    <w:rsid w:val="4D5F5D04"/>
    <w:rsid w:val="4D652062"/>
    <w:rsid w:val="4D8A78EA"/>
    <w:rsid w:val="4D8D7DDA"/>
    <w:rsid w:val="4D9508F1"/>
    <w:rsid w:val="4DA954F8"/>
    <w:rsid w:val="4DB2671A"/>
    <w:rsid w:val="4DBD1FB3"/>
    <w:rsid w:val="4DC0189A"/>
    <w:rsid w:val="4DEB0399"/>
    <w:rsid w:val="4DF84169"/>
    <w:rsid w:val="4DF85B50"/>
    <w:rsid w:val="4E0B5409"/>
    <w:rsid w:val="4E106DD7"/>
    <w:rsid w:val="4E163A34"/>
    <w:rsid w:val="4E1D52F4"/>
    <w:rsid w:val="4E1F31D1"/>
    <w:rsid w:val="4E4527FE"/>
    <w:rsid w:val="4E4C0585"/>
    <w:rsid w:val="4E6011B1"/>
    <w:rsid w:val="4E602CF1"/>
    <w:rsid w:val="4E614CA7"/>
    <w:rsid w:val="4E6B778C"/>
    <w:rsid w:val="4E7B4D7D"/>
    <w:rsid w:val="4E930896"/>
    <w:rsid w:val="4EB45A2D"/>
    <w:rsid w:val="4EC977A4"/>
    <w:rsid w:val="4EE6635F"/>
    <w:rsid w:val="4F1D2625"/>
    <w:rsid w:val="4F522EB2"/>
    <w:rsid w:val="4F557982"/>
    <w:rsid w:val="4F7232DE"/>
    <w:rsid w:val="4F7C2E75"/>
    <w:rsid w:val="4F871206"/>
    <w:rsid w:val="4F9B6F28"/>
    <w:rsid w:val="4FD2377E"/>
    <w:rsid w:val="4FE83829"/>
    <w:rsid w:val="500F2202"/>
    <w:rsid w:val="504015A6"/>
    <w:rsid w:val="5058019E"/>
    <w:rsid w:val="506A4DC3"/>
    <w:rsid w:val="50725D40"/>
    <w:rsid w:val="50766910"/>
    <w:rsid w:val="507A5358"/>
    <w:rsid w:val="50856264"/>
    <w:rsid w:val="50EB29D0"/>
    <w:rsid w:val="51123B15"/>
    <w:rsid w:val="5119199D"/>
    <w:rsid w:val="5148393B"/>
    <w:rsid w:val="518F1965"/>
    <w:rsid w:val="51B51E53"/>
    <w:rsid w:val="51C43AFB"/>
    <w:rsid w:val="51CA61D1"/>
    <w:rsid w:val="51D53648"/>
    <w:rsid w:val="51EC0067"/>
    <w:rsid w:val="524F79A8"/>
    <w:rsid w:val="527F6965"/>
    <w:rsid w:val="529B7580"/>
    <w:rsid w:val="52B513BE"/>
    <w:rsid w:val="52B54C41"/>
    <w:rsid w:val="52E323FC"/>
    <w:rsid w:val="52E755D4"/>
    <w:rsid w:val="52EB3A96"/>
    <w:rsid w:val="530B1DCC"/>
    <w:rsid w:val="532A6B6E"/>
    <w:rsid w:val="533C562C"/>
    <w:rsid w:val="53473B4E"/>
    <w:rsid w:val="535569D5"/>
    <w:rsid w:val="53CB17AF"/>
    <w:rsid w:val="53CF3C2A"/>
    <w:rsid w:val="53E57531"/>
    <w:rsid w:val="53F27CF1"/>
    <w:rsid w:val="54027823"/>
    <w:rsid w:val="54035FA5"/>
    <w:rsid w:val="54095BB9"/>
    <w:rsid w:val="543A7B06"/>
    <w:rsid w:val="545C6276"/>
    <w:rsid w:val="547A18AF"/>
    <w:rsid w:val="54941C9D"/>
    <w:rsid w:val="54B92DC2"/>
    <w:rsid w:val="54C82F77"/>
    <w:rsid w:val="54D37CEE"/>
    <w:rsid w:val="54D76170"/>
    <w:rsid w:val="54DB547E"/>
    <w:rsid w:val="54E35255"/>
    <w:rsid w:val="55187A99"/>
    <w:rsid w:val="554B00FD"/>
    <w:rsid w:val="55582729"/>
    <w:rsid w:val="555B73B7"/>
    <w:rsid w:val="5597362D"/>
    <w:rsid w:val="559B6A58"/>
    <w:rsid w:val="55A818A6"/>
    <w:rsid w:val="55DD17F7"/>
    <w:rsid w:val="55F110E4"/>
    <w:rsid w:val="564F72BA"/>
    <w:rsid w:val="56535D68"/>
    <w:rsid w:val="565B7F3A"/>
    <w:rsid w:val="565D60E2"/>
    <w:rsid w:val="56707EE0"/>
    <w:rsid w:val="567B463F"/>
    <w:rsid w:val="56865F91"/>
    <w:rsid w:val="56982E79"/>
    <w:rsid w:val="569A296D"/>
    <w:rsid w:val="56C72D4A"/>
    <w:rsid w:val="57016C0B"/>
    <w:rsid w:val="57072441"/>
    <w:rsid w:val="570D1ED1"/>
    <w:rsid w:val="57261292"/>
    <w:rsid w:val="57325C9D"/>
    <w:rsid w:val="574A505E"/>
    <w:rsid w:val="574E4844"/>
    <w:rsid w:val="576F2BC5"/>
    <w:rsid w:val="57733E62"/>
    <w:rsid w:val="57800140"/>
    <w:rsid w:val="5799656E"/>
    <w:rsid w:val="57A5790F"/>
    <w:rsid w:val="58021570"/>
    <w:rsid w:val="58026908"/>
    <w:rsid w:val="58094120"/>
    <w:rsid w:val="584409F3"/>
    <w:rsid w:val="584B50E8"/>
    <w:rsid w:val="58587C82"/>
    <w:rsid w:val="58837C92"/>
    <w:rsid w:val="58AF298D"/>
    <w:rsid w:val="58C45C87"/>
    <w:rsid w:val="58DA5096"/>
    <w:rsid w:val="58FF7960"/>
    <w:rsid w:val="5903557F"/>
    <w:rsid w:val="5911172D"/>
    <w:rsid w:val="592813D0"/>
    <w:rsid w:val="59473E05"/>
    <w:rsid w:val="59494B73"/>
    <w:rsid w:val="595E009D"/>
    <w:rsid w:val="59605715"/>
    <w:rsid w:val="599B3335"/>
    <w:rsid w:val="59AE151C"/>
    <w:rsid w:val="59AE46AB"/>
    <w:rsid w:val="59BA497C"/>
    <w:rsid w:val="59C161FE"/>
    <w:rsid w:val="59E00B01"/>
    <w:rsid w:val="59E73B33"/>
    <w:rsid w:val="59ED33F8"/>
    <w:rsid w:val="59F304A2"/>
    <w:rsid w:val="59F86F94"/>
    <w:rsid w:val="59FF13AE"/>
    <w:rsid w:val="59FF35B4"/>
    <w:rsid w:val="5A04792C"/>
    <w:rsid w:val="5A053FBA"/>
    <w:rsid w:val="5A0C1770"/>
    <w:rsid w:val="5A3A2B60"/>
    <w:rsid w:val="5A4178A0"/>
    <w:rsid w:val="5A5237BD"/>
    <w:rsid w:val="5A527D90"/>
    <w:rsid w:val="5A5F3BAC"/>
    <w:rsid w:val="5A744695"/>
    <w:rsid w:val="5A7C5663"/>
    <w:rsid w:val="5A804CA9"/>
    <w:rsid w:val="5A814195"/>
    <w:rsid w:val="5A873C05"/>
    <w:rsid w:val="5A970EB1"/>
    <w:rsid w:val="5AA31EC3"/>
    <w:rsid w:val="5ACF2987"/>
    <w:rsid w:val="5AE470AA"/>
    <w:rsid w:val="5AF2047F"/>
    <w:rsid w:val="5B0475A7"/>
    <w:rsid w:val="5B0637C0"/>
    <w:rsid w:val="5B195385"/>
    <w:rsid w:val="5B23490F"/>
    <w:rsid w:val="5B4764CF"/>
    <w:rsid w:val="5B6B1C3C"/>
    <w:rsid w:val="5B845C29"/>
    <w:rsid w:val="5BA0782B"/>
    <w:rsid w:val="5BBD6075"/>
    <w:rsid w:val="5BCC12C5"/>
    <w:rsid w:val="5BE157A2"/>
    <w:rsid w:val="5BEB6532"/>
    <w:rsid w:val="5BF5291B"/>
    <w:rsid w:val="5C243BF5"/>
    <w:rsid w:val="5C343553"/>
    <w:rsid w:val="5C3F5168"/>
    <w:rsid w:val="5C4477A6"/>
    <w:rsid w:val="5C717E23"/>
    <w:rsid w:val="5C804FEA"/>
    <w:rsid w:val="5C84550C"/>
    <w:rsid w:val="5C897599"/>
    <w:rsid w:val="5CB04E76"/>
    <w:rsid w:val="5CBA72C1"/>
    <w:rsid w:val="5CC2508E"/>
    <w:rsid w:val="5CEF0828"/>
    <w:rsid w:val="5D04012A"/>
    <w:rsid w:val="5D0E0CB8"/>
    <w:rsid w:val="5D2E3230"/>
    <w:rsid w:val="5D3D75CC"/>
    <w:rsid w:val="5D4A243F"/>
    <w:rsid w:val="5D6E4542"/>
    <w:rsid w:val="5D7A166C"/>
    <w:rsid w:val="5DC17595"/>
    <w:rsid w:val="5DC60467"/>
    <w:rsid w:val="5DD3493E"/>
    <w:rsid w:val="5DF04B2E"/>
    <w:rsid w:val="5DF73463"/>
    <w:rsid w:val="5DF85F06"/>
    <w:rsid w:val="5DFD4574"/>
    <w:rsid w:val="5E012F51"/>
    <w:rsid w:val="5E1F3054"/>
    <w:rsid w:val="5E277206"/>
    <w:rsid w:val="5E53354E"/>
    <w:rsid w:val="5E686C8F"/>
    <w:rsid w:val="5E74152D"/>
    <w:rsid w:val="5EAD5A9C"/>
    <w:rsid w:val="5EDA0F44"/>
    <w:rsid w:val="5EFD122D"/>
    <w:rsid w:val="5F102B91"/>
    <w:rsid w:val="5F297CF3"/>
    <w:rsid w:val="5F342064"/>
    <w:rsid w:val="5F4D3766"/>
    <w:rsid w:val="5F7311B6"/>
    <w:rsid w:val="5F8E668A"/>
    <w:rsid w:val="5FCE2A07"/>
    <w:rsid w:val="5FDD141B"/>
    <w:rsid w:val="5FE15609"/>
    <w:rsid w:val="5FE30264"/>
    <w:rsid w:val="5FE945CD"/>
    <w:rsid w:val="5FEA24B8"/>
    <w:rsid w:val="5FF479A4"/>
    <w:rsid w:val="603F6A99"/>
    <w:rsid w:val="606664AE"/>
    <w:rsid w:val="60734FAD"/>
    <w:rsid w:val="608B1809"/>
    <w:rsid w:val="60C842D7"/>
    <w:rsid w:val="60CA253B"/>
    <w:rsid w:val="60CD5AEB"/>
    <w:rsid w:val="60D96503"/>
    <w:rsid w:val="60EF368B"/>
    <w:rsid w:val="60FB5FC7"/>
    <w:rsid w:val="612A3548"/>
    <w:rsid w:val="61575F3A"/>
    <w:rsid w:val="61743A0C"/>
    <w:rsid w:val="61967E27"/>
    <w:rsid w:val="619B7ABD"/>
    <w:rsid w:val="61A60026"/>
    <w:rsid w:val="61FC60AF"/>
    <w:rsid w:val="61FE1C2F"/>
    <w:rsid w:val="62080B59"/>
    <w:rsid w:val="62264F52"/>
    <w:rsid w:val="62441245"/>
    <w:rsid w:val="62554DC3"/>
    <w:rsid w:val="626D4695"/>
    <w:rsid w:val="627F5583"/>
    <w:rsid w:val="62A37F63"/>
    <w:rsid w:val="62AA079D"/>
    <w:rsid w:val="62AB0792"/>
    <w:rsid w:val="62BB2638"/>
    <w:rsid w:val="62C545A5"/>
    <w:rsid w:val="62DC26BD"/>
    <w:rsid w:val="62ED0202"/>
    <w:rsid w:val="630935ED"/>
    <w:rsid w:val="63296344"/>
    <w:rsid w:val="635F21B8"/>
    <w:rsid w:val="636A166A"/>
    <w:rsid w:val="637D5FA1"/>
    <w:rsid w:val="6380726E"/>
    <w:rsid w:val="639579CC"/>
    <w:rsid w:val="63E23A6A"/>
    <w:rsid w:val="640B78E1"/>
    <w:rsid w:val="640C0830"/>
    <w:rsid w:val="64192A67"/>
    <w:rsid w:val="64423ED7"/>
    <w:rsid w:val="64525AEC"/>
    <w:rsid w:val="64601415"/>
    <w:rsid w:val="64700DDF"/>
    <w:rsid w:val="64726586"/>
    <w:rsid w:val="64885C29"/>
    <w:rsid w:val="64BA25AB"/>
    <w:rsid w:val="64BB4122"/>
    <w:rsid w:val="64BE4187"/>
    <w:rsid w:val="64E0101A"/>
    <w:rsid w:val="65050162"/>
    <w:rsid w:val="65097A26"/>
    <w:rsid w:val="651A548B"/>
    <w:rsid w:val="655424FF"/>
    <w:rsid w:val="657C54E0"/>
    <w:rsid w:val="657E7A2D"/>
    <w:rsid w:val="658D6F64"/>
    <w:rsid w:val="65A31659"/>
    <w:rsid w:val="65CD58B8"/>
    <w:rsid w:val="65CF6274"/>
    <w:rsid w:val="65D43A20"/>
    <w:rsid w:val="663B06AA"/>
    <w:rsid w:val="663D7A9E"/>
    <w:rsid w:val="664C6B61"/>
    <w:rsid w:val="66763229"/>
    <w:rsid w:val="66763E80"/>
    <w:rsid w:val="66961574"/>
    <w:rsid w:val="669C5B77"/>
    <w:rsid w:val="66A109F6"/>
    <w:rsid w:val="66D45910"/>
    <w:rsid w:val="66F71017"/>
    <w:rsid w:val="671E7E16"/>
    <w:rsid w:val="673614F8"/>
    <w:rsid w:val="6750723F"/>
    <w:rsid w:val="67A7139C"/>
    <w:rsid w:val="67DA613F"/>
    <w:rsid w:val="683F57E5"/>
    <w:rsid w:val="688B4E92"/>
    <w:rsid w:val="689306AB"/>
    <w:rsid w:val="689F57FC"/>
    <w:rsid w:val="68A54D8F"/>
    <w:rsid w:val="68C762A1"/>
    <w:rsid w:val="68D6147B"/>
    <w:rsid w:val="68EE14A0"/>
    <w:rsid w:val="69187F79"/>
    <w:rsid w:val="69273904"/>
    <w:rsid w:val="69435F2F"/>
    <w:rsid w:val="69464AC6"/>
    <w:rsid w:val="694A6F29"/>
    <w:rsid w:val="6967264A"/>
    <w:rsid w:val="69706636"/>
    <w:rsid w:val="697B06CF"/>
    <w:rsid w:val="697F2DCB"/>
    <w:rsid w:val="69A546C4"/>
    <w:rsid w:val="69C07630"/>
    <w:rsid w:val="69C966A7"/>
    <w:rsid w:val="69D43DEE"/>
    <w:rsid w:val="69DF5A00"/>
    <w:rsid w:val="6A144F32"/>
    <w:rsid w:val="6A25343A"/>
    <w:rsid w:val="6A526BA3"/>
    <w:rsid w:val="6A5F17E1"/>
    <w:rsid w:val="6A675089"/>
    <w:rsid w:val="6A6B2749"/>
    <w:rsid w:val="6A7176D8"/>
    <w:rsid w:val="6AB042A5"/>
    <w:rsid w:val="6AC63991"/>
    <w:rsid w:val="6AF41FA3"/>
    <w:rsid w:val="6AF76724"/>
    <w:rsid w:val="6B0D4AF1"/>
    <w:rsid w:val="6B1E487D"/>
    <w:rsid w:val="6B330BCC"/>
    <w:rsid w:val="6B34780A"/>
    <w:rsid w:val="6B555258"/>
    <w:rsid w:val="6B646BAD"/>
    <w:rsid w:val="6B822971"/>
    <w:rsid w:val="6B996D13"/>
    <w:rsid w:val="6BB12E25"/>
    <w:rsid w:val="6BC72835"/>
    <w:rsid w:val="6BCB6A79"/>
    <w:rsid w:val="6BCE4FEF"/>
    <w:rsid w:val="6BCF30E9"/>
    <w:rsid w:val="6BF53FCA"/>
    <w:rsid w:val="6BF63E94"/>
    <w:rsid w:val="6BFF1D55"/>
    <w:rsid w:val="6C460131"/>
    <w:rsid w:val="6C602E08"/>
    <w:rsid w:val="6C681270"/>
    <w:rsid w:val="6C68289C"/>
    <w:rsid w:val="6C896E61"/>
    <w:rsid w:val="6C9425D1"/>
    <w:rsid w:val="6CA9788C"/>
    <w:rsid w:val="6CD64AC8"/>
    <w:rsid w:val="6D01750D"/>
    <w:rsid w:val="6D173BE7"/>
    <w:rsid w:val="6D2C6047"/>
    <w:rsid w:val="6D396EDC"/>
    <w:rsid w:val="6D511F0D"/>
    <w:rsid w:val="6D6A7B68"/>
    <w:rsid w:val="6D841ECF"/>
    <w:rsid w:val="6D8C29C6"/>
    <w:rsid w:val="6D903DC5"/>
    <w:rsid w:val="6D9F0D30"/>
    <w:rsid w:val="6DB55EB1"/>
    <w:rsid w:val="6DF812B7"/>
    <w:rsid w:val="6DF8337A"/>
    <w:rsid w:val="6E0F0AC6"/>
    <w:rsid w:val="6E3000AA"/>
    <w:rsid w:val="6E537BFD"/>
    <w:rsid w:val="6E7363D2"/>
    <w:rsid w:val="6E7B2B34"/>
    <w:rsid w:val="6E845E05"/>
    <w:rsid w:val="6E85099C"/>
    <w:rsid w:val="6E902A00"/>
    <w:rsid w:val="6EB21806"/>
    <w:rsid w:val="6EB755E6"/>
    <w:rsid w:val="6EFC51A7"/>
    <w:rsid w:val="6F2B7368"/>
    <w:rsid w:val="6F3D238D"/>
    <w:rsid w:val="6F5A47AF"/>
    <w:rsid w:val="6F667618"/>
    <w:rsid w:val="6F8D3AF0"/>
    <w:rsid w:val="6FA72F7A"/>
    <w:rsid w:val="6FC66C61"/>
    <w:rsid w:val="6FD67088"/>
    <w:rsid w:val="6FD77139"/>
    <w:rsid w:val="6FE10C9C"/>
    <w:rsid w:val="6FE90543"/>
    <w:rsid w:val="6FF66659"/>
    <w:rsid w:val="70135342"/>
    <w:rsid w:val="70223160"/>
    <w:rsid w:val="702415B5"/>
    <w:rsid w:val="704B5A81"/>
    <w:rsid w:val="706D152A"/>
    <w:rsid w:val="706E33A7"/>
    <w:rsid w:val="70984BC8"/>
    <w:rsid w:val="70995779"/>
    <w:rsid w:val="709C0FD1"/>
    <w:rsid w:val="709C1870"/>
    <w:rsid w:val="70B26326"/>
    <w:rsid w:val="70CF2B23"/>
    <w:rsid w:val="70EC4C15"/>
    <w:rsid w:val="711F5B3F"/>
    <w:rsid w:val="714F22C1"/>
    <w:rsid w:val="715E5761"/>
    <w:rsid w:val="71673F9B"/>
    <w:rsid w:val="716A64D4"/>
    <w:rsid w:val="716B0414"/>
    <w:rsid w:val="719A3A8C"/>
    <w:rsid w:val="71B30597"/>
    <w:rsid w:val="71CE7337"/>
    <w:rsid w:val="71D05031"/>
    <w:rsid w:val="71D310CC"/>
    <w:rsid w:val="71ED3F44"/>
    <w:rsid w:val="72002D7E"/>
    <w:rsid w:val="721C3FD4"/>
    <w:rsid w:val="724A2AEE"/>
    <w:rsid w:val="72565E22"/>
    <w:rsid w:val="726F14DC"/>
    <w:rsid w:val="72911CEF"/>
    <w:rsid w:val="72A47ED5"/>
    <w:rsid w:val="72AC5B50"/>
    <w:rsid w:val="72BE7563"/>
    <w:rsid w:val="72CF323C"/>
    <w:rsid w:val="72F8122F"/>
    <w:rsid w:val="7320374B"/>
    <w:rsid w:val="733A1E0A"/>
    <w:rsid w:val="733B1918"/>
    <w:rsid w:val="733F499F"/>
    <w:rsid w:val="73646553"/>
    <w:rsid w:val="736A2EB0"/>
    <w:rsid w:val="736E616F"/>
    <w:rsid w:val="73744546"/>
    <w:rsid w:val="73996735"/>
    <w:rsid w:val="739D2C3A"/>
    <w:rsid w:val="73AA1D49"/>
    <w:rsid w:val="73AE4625"/>
    <w:rsid w:val="73B3325C"/>
    <w:rsid w:val="73B63F1E"/>
    <w:rsid w:val="73C6380F"/>
    <w:rsid w:val="73C71030"/>
    <w:rsid w:val="73D376E0"/>
    <w:rsid w:val="73F80AB2"/>
    <w:rsid w:val="743E1B33"/>
    <w:rsid w:val="7449297C"/>
    <w:rsid w:val="74742D04"/>
    <w:rsid w:val="747C41E5"/>
    <w:rsid w:val="74876597"/>
    <w:rsid w:val="748D62DC"/>
    <w:rsid w:val="748E2886"/>
    <w:rsid w:val="74964153"/>
    <w:rsid w:val="749B62F7"/>
    <w:rsid w:val="74C818C9"/>
    <w:rsid w:val="74E0309E"/>
    <w:rsid w:val="750557E3"/>
    <w:rsid w:val="752175BA"/>
    <w:rsid w:val="753871DF"/>
    <w:rsid w:val="75456AD6"/>
    <w:rsid w:val="754776C1"/>
    <w:rsid w:val="75484AA8"/>
    <w:rsid w:val="755A69FF"/>
    <w:rsid w:val="75845FDA"/>
    <w:rsid w:val="759444EE"/>
    <w:rsid w:val="759D78BF"/>
    <w:rsid w:val="75BA4B4F"/>
    <w:rsid w:val="75BA4B5C"/>
    <w:rsid w:val="75BC7564"/>
    <w:rsid w:val="75C0068D"/>
    <w:rsid w:val="75CE3B11"/>
    <w:rsid w:val="75CE7506"/>
    <w:rsid w:val="75D9056E"/>
    <w:rsid w:val="75F45D7C"/>
    <w:rsid w:val="760E0450"/>
    <w:rsid w:val="761C1716"/>
    <w:rsid w:val="765A0167"/>
    <w:rsid w:val="766473BF"/>
    <w:rsid w:val="766B5FCA"/>
    <w:rsid w:val="76784F07"/>
    <w:rsid w:val="76A07F2E"/>
    <w:rsid w:val="76BC5D34"/>
    <w:rsid w:val="76BD6A56"/>
    <w:rsid w:val="76E40120"/>
    <w:rsid w:val="76E63FEA"/>
    <w:rsid w:val="76F51983"/>
    <w:rsid w:val="76F55E05"/>
    <w:rsid w:val="770B378F"/>
    <w:rsid w:val="77115728"/>
    <w:rsid w:val="77194CE2"/>
    <w:rsid w:val="77284652"/>
    <w:rsid w:val="7737150F"/>
    <w:rsid w:val="774749DF"/>
    <w:rsid w:val="77524AEB"/>
    <w:rsid w:val="77537B73"/>
    <w:rsid w:val="779649D1"/>
    <w:rsid w:val="779B2E87"/>
    <w:rsid w:val="77A83257"/>
    <w:rsid w:val="77A92B66"/>
    <w:rsid w:val="77E34413"/>
    <w:rsid w:val="77F966B8"/>
    <w:rsid w:val="78124FE2"/>
    <w:rsid w:val="784D7151"/>
    <w:rsid w:val="785173F2"/>
    <w:rsid w:val="785824D6"/>
    <w:rsid w:val="78635920"/>
    <w:rsid w:val="78920120"/>
    <w:rsid w:val="78956CFD"/>
    <w:rsid w:val="7897643A"/>
    <w:rsid w:val="78981177"/>
    <w:rsid w:val="78A31BA7"/>
    <w:rsid w:val="78AA6732"/>
    <w:rsid w:val="78C728B3"/>
    <w:rsid w:val="78D001D9"/>
    <w:rsid w:val="78D244C8"/>
    <w:rsid w:val="78EA0C48"/>
    <w:rsid w:val="78F227FE"/>
    <w:rsid w:val="78F449CB"/>
    <w:rsid w:val="78FB5758"/>
    <w:rsid w:val="790830E5"/>
    <w:rsid w:val="791A4F14"/>
    <w:rsid w:val="79393B8B"/>
    <w:rsid w:val="798968C0"/>
    <w:rsid w:val="799C64CF"/>
    <w:rsid w:val="799D64FD"/>
    <w:rsid w:val="79A43C3D"/>
    <w:rsid w:val="79B5378E"/>
    <w:rsid w:val="79C11BD2"/>
    <w:rsid w:val="79C7676C"/>
    <w:rsid w:val="79D418ED"/>
    <w:rsid w:val="79F95436"/>
    <w:rsid w:val="7A1832C1"/>
    <w:rsid w:val="7A18402D"/>
    <w:rsid w:val="7A1D6D32"/>
    <w:rsid w:val="7A313F34"/>
    <w:rsid w:val="7A385E67"/>
    <w:rsid w:val="7A462B2B"/>
    <w:rsid w:val="7A6D1290"/>
    <w:rsid w:val="7A722795"/>
    <w:rsid w:val="7A747532"/>
    <w:rsid w:val="7A830BC1"/>
    <w:rsid w:val="7A9366DF"/>
    <w:rsid w:val="7B05175B"/>
    <w:rsid w:val="7B3C3331"/>
    <w:rsid w:val="7B5335CF"/>
    <w:rsid w:val="7B5D15F3"/>
    <w:rsid w:val="7B5D4685"/>
    <w:rsid w:val="7B731598"/>
    <w:rsid w:val="7B942DE2"/>
    <w:rsid w:val="7B970E0C"/>
    <w:rsid w:val="7B9C7A64"/>
    <w:rsid w:val="7BA329FF"/>
    <w:rsid w:val="7BA7510C"/>
    <w:rsid w:val="7BB77CFA"/>
    <w:rsid w:val="7BBF0754"/>
    <w:rsid w:val="7BBF3C16"/>
    <w:rsid w:val="7BCA4A34"/>
    <w:rsid w:val="7BCD2F34"/>
    <w:rsid w:val="7C074561"/>
    <w:rsid w:val="7C0E70C1"/>
    <w:rsid w:val="7C1E0BFA"/>
    <w:rsid w:val="7C42096C"/>
    <w:rsid w:val="7C4D6CFD"/>
    <w:rsid w:val="7C5E35A5"/>
    <w:rsid w:val="7C844212"/>
    <w:rsid w:val="7CA73F75"/>
    <w:rsid w:val="7CB867FC"/>
    <w:rsid w:val="7CB9673D"/>
    <w:rsid w:val="7CBE0ED5"/>
    <w:rsid w:val="7CBE14D3"/>
    <w:rsid w:val="7CC00B9F"/>
    <w:rsid w:val="7CFB487F"/>
    <w:rsid w:val="7D090C06"/>
    <w:rsid w:val="7D175B7C"/>
    <w:rsid w:val="7D435CF7"/>
    <w:rsid w:val="7D61648E"/>
    <w:rsid w:val="7D63567F"/>
    <w:rsid w:val="7D7B49C9"/>
    <w:rsid w:val="7DA725E1"/>
    <w:rsid w:val="7DCC62D1"/>
    <w:rsid w:val="7DCD1FBB"/>
    <w:rsid w:val="7DD71617"/>
    <w:rsid w:val="7DE64FC9"/>
    <w:rsid w:val="7E1C6403"/>
    <w:rsid w:val="7E4C68DA"/>
    <w:rsid w:val="7E5F25FD"/>
    <w:rsid w:val="7EA0254C"/>
    <w:rsid w:val="7ECD2214"/>
    <w:rsid w:val="7ED110BF"/>
    <w:rsid w:val="7EE221B9"/>
    <w:rsid w:val="7F180E5F"/>
    <w:rsid w:val="7F264BE7"/>
    <w:rsid w:val="7F531E4A"/>
    <w:rsid w:val="7F5431C9"/>
    <w:rsid w:val="7F700B24"/>
    <w:rsid w:val="7F7A3631"/>
    <w:rsid w:val="7F8A40CA"/>
    <w:rsid w:val="7F9D0243"/>
    <w:rsid w:val="7F9E524D"/>
    <w:rsid w:val="7F9F1F8C"/>
    <w:rsid w:val="7F9F470E"/>
    <w:rsid w:val="7FAB4C85"/>
    <w:rsid w:val="7FAE47C1"/>
    <w:rsid w:val="7FE81C6A"/>
    <w:rsid w:val="7FF17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widowControl/>
      <w:spacing w:before="340" w:after="330" w:line="576" w:lineRule="auto"/>
      <w:jc w:val="left"/>
      <w:outlineLvl w:val="0"/>
    </w:pPr>
    <w:rPr>
      <w:b/>
      <w:bCs/>
      <w:kern w:val="44"/>
      <w:sz w:val="44"/>
      <w:szCs w:val="44"/>
    </w:rPr>
  </w:style>
  <w:style w:type="paragraph" w:styleId="4">
    <w:name w:val="heading 2"/>
    <w:basedOn w:val="5"/>
    <w:next w:val="1"/>
    <w:link w:val="47"/>
    <w:qFormat/>
    <w:uiPriority w:val="0"/>
    <w:pPr>
      <w:keepNext/>
      <w:keepLines/>
      <w:tabs>
        <w:tab w:val="right" w:leader="dot" w:pos="8302"/>
      </w:tabs>
      <w:spacing w:before="260" w:after="260" w:line="415" w:lineRule="auto"/>
      <w:outlineLvl w:val="1"/>
    </w:pPr>
    <w:rPr>
      <w:rFonts w:ascii="Arial" w:hAnsi="Arial" w:eastAsia="黑体"/>
      <w:kern w:val="0"/>
      <w:sz w:val="32"/>
      <w:szCs w:val="32"/>
    </w:rPr>
  </w:style>
  <w:style w:type="paragraph" w:styleId="5">
    <w:name w:val="heading 3"/>
    <w:basedOn w:val="6"/>
    <w:next w:val="1"/>
    <w:link w:val="40"/>
    <w:qFormat/>
    <w:uiPriority w:val="0"/>
    <w:pPr>
      <w:keepNext/>
      <w:keepLines/>
      <w:tabs>
        <w:tab w:val="right" w:leader="dot" w:pos="8302"/>
      </w:tabs>
      <w:spacing w:before="260" w:after="260" w:line="415" w:lineRule="auto"/>
      <w:outlineLvl w:val="2"/>
    </w:pPr>
    <w:rPr>
      <w:b/>
      <w:bCs/>
      <w:kern w:val="0"/>
      <w:sz w:val="32"/>
      <w:szCs w:val="32"/>
    </w:rPr>
  </w:style>
  <w:style w:type="paragraph" w:styleId="7">
    <w:name w:val="heading 4"/>
    <w:basedOn w:val="1"/>
    <w:next w:val="1"/>
    <w:link w:val="5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qFormat/>
    <w:uiPriority w:val="1"/>
    <w:pPr>
      <w:ind w:left="1437"/>
      <w:outlineLvl w:val="5"/>
    </w:pPr>
    <w:rPr>
      <w:rFonts w:ascii="宋体" w:hAnsi="宋体" w:eastAsia="宋体" w:cs="宋体"/>
      <w:b/>
      <w:bCs/>
      <w:sz w:val="24"/>
      <w:szCs w:val="24"/>
      <w:lang w:val="zh-CN" w:eastAsia="zh-CN" w:bidi="zh-CN"/>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7"/>
    <w:qFormat/>
    <w:uiPriority w:val="0"/>
    <w:pPr>
      <w:widowControl/>
      <w:ind w:firstLine="420"/>
      <w:jc w:val="left"/>
    </w:pPr>
    <w:rPr>
      <w:rFonts w:ascii="Calibri" w:hAnsi="Calibri" w:cs="黑体"/>
      <w:szCs w:val="22"/>
    </w:rPr>
  </w:style>
  <w:style w:type="paragraph" w:styleId="6">
    <w:name w:val="toc 3"/>
    <w:basedOn w:val="1"/>
    <w:next w:val="1"/>
    <w:qFormat/>
    <w:uiPriority w:val="39"/>
    <w:pPr>
      <w:tabs>
        <w:tab w:val="right" w:leader="dot" w:pos="8302"/>
      </w:tabs>
      <w:ind w:left="200" w:leftChars="20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Salutation"/>
    <w:basedOn w:val="1"/>
    <w:next w:val="1"/>
    <w:link w:val="52"/>
    <w:qFormat/>
    <w:uiPriority w:val="0"/>
    <w:rPr>
      <w:kern w:val="0"/>
      <w:sz w:val="20"/>
    </w:rPr>
  </w:style>
  <w:style w:type="paragraph" w:styleId="11">
    <w:name w:val="Body Text 3"/>
    <w:basedOn w:val="1"/>
    <w:link w:val="85"/>
    <w:qFormat/>
    <w:uiPriority w:val="0"/>
    <w:pPr>
      <w:spacing w:after="120"/>
    </w:pPr>
    <w:rPr>
      <w:sz w:val="16"/>
      <w:szCs w:val="16"/>
    </w:rPr>
  </w:style>
  <w:style w:type="paragraph" w:styleId="12">
    <w:name w:val="Closing"/>
    <w:basedOn w:val="1"/>
    <w:link w:val="38"/>
    <w:qFormat/>
    <w:uiPriority w:val="0"/>
    <w:pPr>
      <w:ind w:left="100" w:leftChars="2100"/>
    </w:pPr>
    <w:rPr>
      <w:kern w:val="0"/>
      <w:sz w:val="20"/>
    </w:rPr>
  </w:style>
  <w:style w:type="paragraph" w:styleId="13">
    <w:name w:val="Body Text"/>
    <w:basedOn w:val="1"/>
    <w:next w:val="14"/>
    <w:link w:val="55"/>
    <w:qFormat/>
    <w:uiPriority w:val="0"/>
    <w:pPr>
      <w:widowControl/>
      <w:jc w:val="left"/>
    </w:pPr>
    <w:rPr>
      <w:kern w:val="0"/>
      <w:sz w:val="24"/>
      <w:szCs w:val="20"/>
    </w:rPr>
  </w:style>
  <w:style w:type="paragraph" w:styleId="14">
    <w:name w:val="Date"/>
    <w:basedOn w:val="1"/>
    <w:next w:val="1"/>
    <w:link w:val="58"/>
    <w:qFormat/>
    <w:uiPriority w:val="0"/>
    <w:pPr>
      <w:ind w:left="100" w:leftChars="2500"/>
    </w:pPr>
    <w:rPr>
      <w:kern w:val="0"/>
      <w:sz w:val="20"/>
    </w:rPr>
  </w:style>
  <w:style w:type="paragraph" w:styleId="15">
    <w:name w:val="Body Text Indent"/>
    <w:basedOn w:val="1"/>
    <w:link w:val="59"/>
    <w:qFormat/>
    <w:uiPriority w:val="0"/>
    <w:pPr>
      <w:spacing w:after="120"/>
      <w:ind w:left="420" w:leftChars="200"/>
    </w:pPr>
    <w:rPr>
      <w:kern w:val="0"/>
      <w:sz w:val="20"/>
    </w:rPr>
  </w:style>
  <w:style w:type="paragraph" w:styleId="16">
    <w:name w:val="Block Text"/>
    <w:basedOn w:val="1"/>
    <w:qFormat/>
    <w:uiPriority w:val="0"/>
    <w:pPr>
      <w:autoSpaceDE w:val="0"/>
      <w:autoSpaceDN w:val="0"/>
      <w:adjustRightInd w:val="0"/>
      <w:spacing w:line="360" w:lineRule="atLeast"/>
      <w:ind w:left="1418" w:right="1800" w:rightChars="857" w:firstLine="540"/>
    </w:pPr>
    <w:rPr>
      <w:rFonts w:ascii="宋体"/>
      <w:color w:val="000000"/>
      <w:kern w:val="0"/>
      <w:sz w:val="24"/>
    </w:rPr>
  </w:style>
  <w:style w:type="paragraph" w:styleId="17">
    <w:name w:val="Plain Text"/>
    <w:basedOn w:val="1"/>
    <w:link w:val="48"/>
    <w:qFormat/>
    <w:uiPriority w:val="0"/>
    <w:rPr>
      <w:rFonts w:ascii="宋体" w:hAnsi="Courier New"/>
      <w:kern w:val="0"/>
      <w:sz w:val="20"/>
      <w:szCs w:val="20"/>
    </w:rPr>
  </w:style>
  <w:style w:type="paragraph" w:styleId="18">
    <w:name w:val="Body Text Indent 2"/>
    <w:basedOn w:val="1"/>
    <w:link w:val="45"/>
    <w:qFormat/>
    <w:uiPriority w:val="0"/>
    <w:pPr>
      <w:spacing w:line="360" w:lineRule="auto"/>
      <w:ind w:left="839" w:hanging="839" w:hangingChars="355"/>
    </w:pPr>
    <w:rPr>
      <w:b/>
      <w:kern w:val="0"/>
      <w:sz w:val="24"/>
    </w:rPr>
  </w:style>
  <w:style w:type="paragraph" w:styleId="19">
    <w:name w:val="Balloon Text"/>
    <w:basedOn w:val="1"/>
    <w:link w:val="56"/>
    <w:qFormat/>
    <w:uiPriority w:val="0"/>
    <w:rPr>
      <w:kern w:val="0"/>
      <w:sz w:val="18"/>
      <w:szCs w:val="18"/>
    </w:rPr>
  </w:style>
  <w:style w:type="paragraph" w:styleId="20">
    <w:name w:val="footer"/>
    <w:basedOn w:val="1"/>
    <w:link w:val="42"/>
    <w:unhideWhenUsed/>
    <w:qFormat/>
    <w:uiPriority w:val="99"/>
    <w:pPr>
      <w:tabs>
        <w:tab w:val="center" w:pos="4153"/>
        <w:tab w:val="right" w:pos="8306"/>
      </w:tabs>
      <w:snapToGrid w:val="0"/>
      <w:jc w:val="left"/>
    </w:pPr>
    <w:rPr>
      <w:kern w:val="0"/>
      <w:sz w:val="18"/>
      <w:szCs w:val="18"/>
    </w:rPr>
  </w:style>
  <w:style w:type="paragraph" w:styleId="21">
    <w:name w:val="header"/>
    <w:basedOn w:val="1"/>
    <w:link w:val="3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pPr>
      <w:tabs>
        <w:tab w:val="left" w:pos="840"/>
        <w:tab w:val="right" w:leader="dot" w:pos="8210"/>
      </w:tabs>
      <w:jc w:val="left"/>
    </w:pPr>
    <w:rPr>
      <w:rFonts w:ascii="仿宋_GB2312" w:hAnsi="宋体" w:eastAsia="仿宋_GB2312"/>
      <w:b/>
      <w:bCs/>
      <w:caps/>
      <w:sz w:val="32"/>
      <w:szCs w:val="32"/>
    </w:rPr>
  </w:style>
  <w:style w:type="paragraph" w:styleId="23">
    <w:name w:val="table of figures"/>
    <w:basedOn w:val="1"/>
    <w:next w:val="1"/>
    <w:qFormat/>
    <w:uiPriority w:val="0"/>
    <w:pPr>
      <w:adjustRightInd w:val="0"/>
      <w:ind w:left="420" w:hanging="420"/>
      <w:jc w:val="left"/>
      <w:textAlignment w:val="baseline"/>
    </w:pPr>
    <w:rPr>
      <w:rFonts w:eastAsia="楷体_GB2312"/>
      <w:smallCaps/>
      <w:sz w:val="24"/>
      <w:szCs w:val="20"/>
    </w:rPr>
  </w:style>
  <w:style w:type="paragraph" w:styleId="24">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style>
  <w:style w:type="paragraph" w:styleId="27">
    <w:name w:val="Body Text First Indent"/>
    <w:basedOn w:val="13"/>
    <w:next w:val="1"/>
    <w:qFormat/>
    <w:uiPriority w:val="0"/>
    <w:pPr>
      <w:widowControl w:val="0"/>
      <w:spacing w:after="120"/>
      <w:ind w:firstLine="420" w:firstLineChars="100"/>
      <w:jc w:val="both"/>
    </w:pPr>
    <w:rPr>
      <w:kern w:val="2"/>
      <w:sz w:val="21"/>
      <w:szCs w:val="21"/>
      <w:lang w:val="en-US" w:eastAsia="zh-CN"/>
    </w:rPr>
  </w:style>
  <w:style w:type="paragraph" w:styleId="28">
    <w:name w:val="Body Text First Indent 2"/>
    <w:basedOn w:val="15"/>
    <w:qFormat/>
    <w:uiPriority w:val="99"/>
    <w:pPr>
      <w:spacing w:after="0"/>
      <w:ind w:left="0" w:leftChars="0" w:firstLine="200" w:firstLineChars="200"/>
    </w:pPr>
    <w:rPr>
      <w:sz w:val="28"/>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rFonts w:ascii="Verdana" w:hAnsi="Verdana" w:eastAsia="宋体"/>
      <w:b/>
      <w:bCs/>
      <w:sz w:val="28"/>
      <w:szCs w:val="28"/>
      <w:lang w:val="en-US" w:eastAsia="en-US" w:bidi="ar-SA"/>
    </w:rPr>
  </w:style>
  <w:style w:type="character" w:styleId="34">
    <w:name w:val="page number"/>
    <w:basedOn w:val="32"/>
    <w:qFormat/>
    <w:uiPriority w:val="0"/>
  </w:style>
  <w:style w:type="character" w:styleId="35">
    <w:name w:val="Hyperlink"/>
    <w:qFormat/>
    <w:uiPriority w:val="0"/>
    <w:rPr>
      <w:color w:val="0000FF"/>
      <w:u w:val="single"/>
    </w:rPr>
  </w:style>
  <w:style w:type="paragraph" w:customStyle="1" w:styleId="36">
    <w:name w:val="4正文"/>
    <w:basedOn w:val="1"/>
    <w:qFormat/>
    <w:uiPriority w:val="0"/>
    <w:pPr>
      <w:spacing w:line="460" w:lineRule="exact"/>
      <w:ind w:firstLine="880"/>
    </w:pPr>
    <w:rPr>
      <w:rFonts w:ascii="Times New Roman" w:hAnsi="Times New Roman"/>
      <w:color w:val="000000"/>
    </w:rPr>
  </w:style>
  <w:style w:type="paragraph" w:customStyle="1" w:styleId="37">
    <w:name w:val="_Style 2"/>
    <w:basedOn w:val="3"/>
    <w:next w:val="1"/>
    <w:qFormat/>
    <w:uiPriority w:val="39"/>
    <w:pPr>
      <w:tabs>
        <w:tab w:val="left" w:pos="360"/>
      </w:tabs>
      <w:spacing w:before="480" w:after="0" w:line="276" w:lineRule="auto"/>
      <w:outlineLvl w:val="9"/>
    </w:pPr>
    <w:rPr>
      <w:rFonts w:ascii="仿宋" w:hAnsi="仿宋" w:eastAsia="仿宋"/>
      <w:color w:val="000000"/>
      <w:kern w:val="0"/>
      <w:sz w:val="32"/>
      <w:szCs w:val="32"/>
    </w:rPr>
  </w:style>
  <w:style w:type="character" w:customStyle="1" w:styleId="38">
    <w:name w:val="结束语 Char"/>
    <w:link w:val="12"/>
    <w:qFormat/>
    <w:uiPriority w:val="0"/>
    <w:rPr>
      <w:rFonts w:ascii="Times New Roman" w:hAnsi="Times New Roman" w:eastAsia="宋体" w:cs="Times New Roman"/>
      <w:szCs w:val="24"/>
    </w:rPr>
  </w:style>
  <w:style w:type="character" w:customStyle="1" w:styleId="39">
    <w:name w:val="页眉 Char"/>
    <w:link w:val="21"/>
    <w:qFormat/>
    <w:uiPriority w:val="0"/>
    <w:rPr>
      <w:sz w:val="18"/>
      <w:szCs w:val="18"/>
    </w:rPr>
  </w:style>
  <w:style w:type="character" w:customStyle="1" w:styleId="40">
    <w:name w:val="标题 3 Char"/>
    <w:link w:val="5"/>
    <w:qFormat/>
    <w:uiPriority w:val="0"/>
    <w:rPr>
      <w:rFonts w:ascii="Times New Roman" w:hAnsi="Times New Roman" w:eastAsia="宋体" w:cs="Times New Roman"/>
      <w:b/>
      <w:bCs/>
      <w:sz w:val="32"/>
      <w:szCs w:val="32"/>
    </w:rPr>
  </w:style>
  <w:style w:type="character" w:customStyle="1" w:styleId="41">
    <w:name w:val="hei"/>
    <w:basedOn w:val="32"/>
    <w:qFormat/>
    <w:uiPriority w:val="0"/>
  </w:style>
  <w:style w:type="character" w:customStyle="1" w:styleId="42">
    <w:name w:val="页脚 Char"/>
    <w:link w:val="20"/>
    <w:qFormat/>
    <w:uiPriority w:val="99"/>
    <w:rPr>
      <w:sz w:val="18"/>
      <w:szCs w:val="18"/>
    </w:rPr>
  </w:style>
  <w:style w:type="character" w:customStyle="1" w:styleId="43">
    <w:name w:val="p31"/>
    <w:qFormat/>
    <w:uiPriority w:val="0"/>
    <w:rPr>
      <w:sz w:val="20"/>
      <w:szCs w:val="20"/>
    </w:rPr>
  </w:style>
  <w:style w:type="character" w:customStyle="1" w:styleId="44">
    <w:name w:val="HTML 预设格式 Char"/>
    <w:link w:val="24"/>
    <w:qFormat/>
    <w:uiPriority w:val="0"/>
    <w:rPr>
      <w:rFonts w:ascii="宋体" w:hAnsi="宋体" w:eastAsia="宋体" w:cs="宋体"/>
      <w:kern w:val="0"/>
      <w:sz w:val="24"/>
      <w:szCs w:val="24"/>
    </w:rPr>
  </w:style>
  <w:style w:type="character" w:customStyle="1" w:styleId="45">
    <w:name w:val="正文文本缩进 2 Char"/>
    <w:link w:val="18"/>
    <w:qFormat/>
    <w:uiPriority w:val="0"/>
    <w:rPr>
      <w:rFonts w:ascii="Times New Roman" w:hAnsi="Times New Roman" w:eastAsia="宋体" w:cs="Times New Roman"/>
      <w:b/>
      <w:sz w:val="24"/>
      <w:szCs w:val="24"/>
    </w:rPr>
  </w:style>
  <w:style w:type="character" w:customStyle="1" w:styleId="46">
    <w:name w:val="日期 Char1"/>
    <w:semiHidden/>
    <w:qFormat/>
    <w:uiPriority w:val="99"/>
    <w:rPr>
      <w:rFonts w:ascii="Times New Roman" w:hAnsi="Times New Roman" w:eastAsia="宋体" w:cs="Times New Roman"/>
      <w:szCs w:val="24"/>
    </w:rPr>
  </w:style>
  <w:style w:type="character" w:customStyle="1" w:styleId="47">
    <w:name w:val="标题 2 Char"/>
    <w:link w:val="4"/>
    <w:qFormat/>
    <w:uiPriority w:val="0"/>
    <w:rPr>
      <w:rFonts w:ascii="Arial" w:hAnsi="Arial" w:eastAsia="黑体" w:cs="Times New Roman"/>
      <w:b/>
      <w:bCs/>
      <w:sz w:val="32"/>
      <w:szCs w:val="32"/>
    </w:rPr>
  </w:style>
  <w:style w:type="character" w:customStyle="1" w:styleId="48">
    <w:name w:val="纯文本 Char"/>
    <w:link w:val="17"/>
    <w:qFormat/>
    <w:uiPriority w:val="0"/>
    <w:rPr>
      <w:rFonts w:ascii="宋体" w:hAnsi="Courier New"/>
    </w:rPr>
  </w:style>
  <w:style w:type="character" w:customStyle="1" w:styleId="49">
    <w:name w:val="纯文本 Char1"/>
    <w:qFormat/>
    <w:uiPriority w:val="0"/>
    <w:rPr>
      <w:rFonts w:ascii="宋体" w:hAnsi="Courier New" w:eastAsia="宋体" w:cs="Courier New"/>
      <w:szCs w:val="21"/>
    </w:rPr>
  </w:style>
  <w:style w:type="character" w:customStyle="1" w:styleId="50">
    <w:name w:val="正文缩进 Char1"/>
    <w:qFormat/>
    <w:uiPriority w:val="0"/>
    <w:rPr>
      <w:rFonts w:eastAsia="宋体"/>
      <w:kern w:val="2"/>
      <w:sz w:val="21"/>
      <w:szCs w:val="24"/>
      <w:lang w:val="en-US" w:eastAsia="zh-CN" w:bidi="ar-SA"/>
    </w:rPr>
  </w:style>
  <w:style w:type="character" w:customStyle="1" w:styleId="51">
    <w:name w:val="标题 4 Char"/>
    <w:link w:val="7"/>
    <w:qFormat/>
    <w:uiPriority w:val="0"/>
    <w:rPr>
      <w:rFonts w:ascii="Arial" w:hAnsi="Arial" w:eastAsia="黑体" w:cs="Times New Roman"/>
      <w:b/>
      <w:bCs/>
      <w:sz w:val="28"/>
      <w:szCs w:val="28"/>
    </w:rPr>
  </w:style>
  <w:style w:type="character" w:customStyle="1" w:styleId="52">
    <w:name w:val="称呼 Char"/>
    <w:link w:val="10"/>
    <w:qFormat/>
    <w:uiPriority w:val="0"/>
    <w:rPr>
      <w:rFonts w:ascii="Times New Roman" w:hAnsi="Times New Roman" w:eastAsia="宋体" w:cs="Times New Roman"/>
      <w:szCs w:val="24"/>
    </w:rPr>
  </w:style>
  <w:style w:type="character" w:customStyle="1" w:styleId="53">
    <w:name w:val="正文文本缩进 Char1"/>
    <w:semiHidden/>
    <w:qFormat/>
    <w:uiPriority w:val="99"/>
    <w:rPr>
      <w:rFonts w:ascii="Times New Roman" w:hAnsi="Times New Roman" w:eastAsia="宋体" w:cs="Times New Roman"/>
      <w:szCs w:val="24"/>
    </w:rPr>
  </w:style>
  <w:style w:type="character" w:customStyle="1" w:styleId="54">
    <w:name w:val="标题 1 Char"/>
    <w:link w:val="3"/>
    <w:qFormat/>
    <w:uiPriority w:val="0"/>
    <w:rPr>
      <w:rFonts w:ascii="Times New Roman" w:hAnsi="Times New Roman" w:eastAsia="宋体" w:cs="Times New Roman"/>
      <w:b/>
      <w:bCs/>
      <w:kern w:val="44"/>
      <w:sz w:val="44"/>
      <w:szCs w:val="44"/>
    </w:rPr>
  </w:style>
  <w:style w:type="character" w:customStyle="1" w:styleId="55">
    <w:name w:val="正文文本 Char"/>
    <w:link w:val="13"/>
    <w:qFormat/>
    <w:uiPriority w:val="0"/>
    <w:rPr>
      <w:rFonts w:ascii="Times New Roman" w:hAnsi="Times New Roman" w:eastAsia="宋体" w:cs="Times New Roman"/>
      <w:kern w:val="0"/>
      <w:sz w:val="24"/>
      <w:szCs w:val="20"/>
    </w:rPr>
  </w:style>
  <w:style w:type="character" w:customStyle="1" w:styleId="56">
    <w:name w:val="批注框文本 Char"/>
    <w:link w:val="19"/>
    <w:qFormat/>
    <w:uiPriority w:val="0"/>
    <w:rPr>
      <w:rFonts w:ascii="Times New Roman" w:hAnsi="Times New Roman" w:eastAsia="宋体" w:cs="Times New Roman"/>
      <w:sz w:val="18"/>
      <w:szCs w:val="18"/>
    </w:rPr>
  </w:style>
  <w:style w:type="character" w:customStyle="1" w:styleId="57">
    <w:name w:val="正文缩进 Char"/>
    <w:basedOn w:val="32"/>
    <w:link w:val="2"/>
    <w:qFormat/>
    <w:uiPriority w:val="0"/>
  </w:style>
  <w:style w:type="character" w:customStyle="1" w:styleId="58">
    <w:name w:val="日期 Char"/>
    <w:link w:val="14"/>
    <w:qFormat/>
    <w:uiPriority w:val="0"/>
    <w:rPr>
      <w:szCs w:val="24"/>
    </w:rPr>
  </w:style>
  <w:style w:type="character" w:customStyle="1" w:styleId="59">
    <w:name w:val="正文文本缩进 Char"/>
    <w:link w:val="15"/>
    <w:qFormat/>
    <w:uiPriority w:val="0"/>
    <w:rPr>
      <w:szCs w:val="24"/>
    </w:rPr>
  </w:style>
  <w:style w:type="paragraph" w:customStyle="1" w:styleId="60">
    <w:name w:val="列出段落11"/>
    <w:basedOn w:val="1"/>
    <w:qFormat/>
    <w:uiPriority w:val="0"/>
    <w:pPr>
      <w:ind w:firstLine="420" w:firstLineChars="200"/>
    </w:pPr>
    <w:rPr>
      <w:rFonts w:ascii="Calibri" w:hAnsi="Calibri"/>
      <w:szCs w:val="22"/>
    </w:rPr>
  </w:style>
  <w:style w:type="paragraph" w:customStyle="1" w:styleId="6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64">
    <w:name w:val="默认段落字体 Para Char"/>
    <w:basedOn w:val="1"/>
    <w:qFormat/>
    <w:uiPriority w:val="0"/>
    <w:pPr>
      <w:adjustRightInd w:val="0"/>
      <w:spacing w:line="360" w:lineRule="auto"/>
    </w:pPr>
    <w:rPr>
      <w:rFonts w:ascii="宋体" w:hAnsi="宋体" w:cs="宋体"/>
      <w:kern w:val="0"/>
      <w:sz w:val="24"/>
      <w:szCs w:val="20"/>
    </w:rPr>
  </w:style>
  <w:style w:type="paragraph" w:customStyle="1" w:styleId="6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6">
    <w:name w:val="纯文本1"/>
    <w:basedOn w:val="1"/>
    <w:link w:val="83"/>
    <w:qFormat/>
    <w:uiPriority w:val="0"/>
    <w:pPr>
      <w:adjustRightInd w:val="0"/>
      <w:textAlignment w:val="baseline"/>
    </w:pPr>
    <w:rPr>
      <w:rFonts w:ascii="宋体" w:hAnsi="Courier New" w:eastAsia="楷体_GB2312"/>
      <w:sz w:val="26"/>
      <w:szCs w:val="20"/>
    </w:rPr>
  </w:style>
  <w:style w:type="paragraph" w:customStyle="1" w:styleId="67">
    <w:name w:val="0"/>
    <w:basedOn w:val="1"/>
    <w:qFormat/>
    <w:uiPriority w:val="0"/>
    <w:pPr>
      <w:widowControl/>
      <w:snapToGrid w:val="0"/>
    </w:pPr>
    <w:rPr>
      <w:kern w:val="0"/>
      <w:szCs w:val="21"/>
    </w:rPr>
  </w:style>
  <w:style w:type="paragraph" w:customStyle="1" w:styleId="68">
    <w:name w:val="列出段落1"/>
    <w:basedOn w:val="1"/>
    <w:qFormat/>
    <w:uiPriority w:val="34"/>
    <w:pPr>
      <w:ind w:firstLine="420" w:firstLineChars="200"/>
    </w:pPr>
  </w:style>
  <w:style w:type="paragraph" w:customStyle="1" w:styleId="69">
    <w:name w:val="正文无缩进"/>
    <w:basedOn w:val="1"/>
    <w:qFormat/>
    <w:uiPriority w:val="0"/>
    <w:pPr>
      <w:widowControl/>
      <w:autoSpaceDE w:val="0"/>
      <w:autoSpaceDN w:val="0"/>
      <w:spacing w:line="300" w:lineRule="auto"/>
      <w:textAlignment w:val="bottom"/>
    </w:pPr>
    <w:rPr>
      <w:rFonts w:eastAsia="楷体_GB2312"/>
      <w:szCs w:val="20"/>
    </w:rPr>
  </w:style>
  <w:style w:type="paragraph" w:customStyle="1" w:styleId="70">
    <w:name w:val="WPS Plain"/>
    <w:qFormat/>
    <w:uiPriority w:val="0"/>
    <w:rPr>
      <w:rFonts w:ascii="Times New Roman" w:hAnsi="Times New Roman" w:eastAsia="宋体" w:cs="Times New Roman"/>
      <w:lang w:val="en-US" w:eastAsia="zh-CN" w:bidi="ar-SA"/>
    </w:rPr>
  </w:style>
  <w:style w:type="paragraph" w:customStyle="1" w:styleId="71">
    <w:name w:val="纯文本2"/>
    <w:basedOn w:val="1"/>
    <w:qFormat/>
    <w:uiPriority w:val="0"/>
    <w:pPr>
      <w:adjustRightInd w:val="0"/>
      <w:textAlignment w:val="baseline"/>
    </w:pPr>
    <w:rPr>
      <w:rFonts w:ascii="宋体" w:hAnsi="Courier New" w:eastAsia="楷体_GB2312"/>
      <w:sz w:val="26"/>
      <w:szCs w:val="20"/>
    </w:rPr>
  </w:style>
  <w:style w:type="paragraph" w:customStyle="1" w:styleId="72">
    <w:name w:val="xl36"/>
    <w:basedOn w:val="1"/>
    <w:qFormat/>
    <w:uiPriority w:val="0"/>
    <w:pPr>
      <w:widowControl/>
      <w:spacing w:before="100" w:after="100"/>
      <w:jc w:val="center"/>
    </w:pPr>
    <w:rPr>
      <w:rFonts w:ascii="宋体" w:hAnsi="宋体"/>
      <w:kern w:val="0"/>
      <w:sz w:val="24"/>
      <w:szCs w:val="20"/>
    </w:rPr>
  </w:style>
  <w:style w:type="paragraph" w:customStyle="1" w:styleId="73">
    <w:name w:val="列出段落2"/>
    <w:basedOn w:val="1"/>
    <w:qFormat/>
    <w:uiPriority w:val="34"/>
    <w:pPr>
      <w:ind w:firstLine="420" w:firstLineChars="200"/>
    </w:pPr>
  </w:style>
  <w:style w:type="paragraph" w:styleId="74">
    <w:name w:val="List Paragraph"/>
    <w:basedOn w:val="1"/>
    <w:qFormat/>
    <w:uiPriority w:val="34"/>
    <w:pPr>
      <w:ind w:firstLine="420" w:firstLineChars="200"/>
    </w:pPr>
  </w:style>
  <w:style w:type="paragraph" w:customStyle="1" w:styleId="75">
    <w:name w:val="text9"/>
    <w:basedOn w:val="1"/>
    <w:qFormat/>
    <w:uiPriority w:val="0"/>
    <w:pPr>
      <w:widowControl/>
      <w:spacing w:before="100" w:beforeAutospacing="1" w:after="100" w:afterAutospacing="1"/>
      <w:jc w:val="left"/>
    </w:pPr>
    <w:rPr>
      <w:rFonts w:ascii="宋体" w:hAnsi="宋体"/>
      <w:kern w:val="0"/>
      <w:sz w:val="24"/>
    </w:rPr>
  </w:style>
  <w:style w:type="paragraph" w:customStyle="1" w:styleId="7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7">
    <w:name w:val="封面字体3"/>
    <w:basedOn w:val="1"/>
    <w:qFormat/>
    <w:uiPriority w:val="0"/>
    <w:pPr>
      <w:spacing w:line="240" w:lineRule="atLeast"/>
    </w:pPr>
    <w:rPr>
      <w:rFonts w:ascii="黑体" w:hAnsi="华文细黑" w:eastAsia="黑体" w:cs="Arial"/>
      <w:bCs/>
      <w:spacing w:val="100"/>
      <w:kern w:val="0"/>
      <w:sz w:val="44"/>
      <w:szCs w:val="28"/>
    </w:rPr>
  </w:style>
  <w:style w:type="paragraph" w:customStyle="1" w:styleId="7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默认段落字体 Para Char Char Char Char"/>
    <w:basedOn w:val="1"/>
    <w:qFormat/>
    <w:uiPriority w:val="0"/>
  </w:style>
  <w:style w:type="character" w:customStyle="1" w:styleId="81">
    <w:name w:val="采购正文 Char"/>
    <w:link w:val="82"/>
    <w:qFormat/>
    <w:uiPriority w:val="0"/>
    <w:rPr>
      <w:rFonts w:ascii="仿宋" w:hAnsi="仿宋" w:eastAsia="仿宋"/>
      <w:kern w:val="2"/>
      <w:sz w:val="24"/>
      <w:szCs w:val="24"/>
    </w:rPr>
  </w:style>
  <w:style w:type="paragraph" w:customStyle="1" w:styleId="82">
    <w:name w:val="采购正文"/>
    <w:basedOn w:val="1"/>
    <w:link w:val="81"/>
    <w:qFormat/>
    <w:uiPriority w:val="0"/>
    <w:pPr>
      <w:snapToGrid w:val="0"/>
      <w:spacing w:line="560" w:lineRule="exact"/>
      <w:ind w:firstLine="480" w:firstLineChars="200"/>
    </w:pPr>
    <w:rPr>
      <w:rFonts w:ascii="仿宋" w:hAnsi="仿宋" w:eastAsia="仿宋"/>
      <w:sz w:val="24"/>
    </w:rPr>
  </w:style>
  <w:style w:type="character" w:customStyle="1" w:styleId="83">
    <w:name w:val="纯文本 Char New"/>
    <w:link w:val="66"/>
    <w:qFormat/>
    <w:uiPriority w:val="0"/>
    <w:rPr>
      <w:rFonts w:ascii="宋体" w:hAnsi="Courier New" w:eastAsia="楷体_GB2312"/>
      <w:kern w:val="2"/>
      <w:sz w:val="26"/>
    </w:rPr>
  </w:style>
  <w:style w:type="character" w:customStyle="1" w:styleId="84">
    <w:name w:val="正文文本 3 Char"/>
    <w:qFormat/>
    <w:uiPriority w:val="0"/>
    <w:rPr>
      <w:kern w:val="2"/>
      <w:sz w:val="16"/>
      <w:szCs w:val="16"/>
    </w:rPr>
  </w:style>
  <w:style w:type="character" w:customStyle="1" w:styleId="85">
    <w:name w:val="正文文本 3 Char1"/>
    <w:basedOn w:val="32"/>
    <w:link w:val="11"/>
    <w:semiHidden/>
    <w:qFormat/>
    <w:uiPriority w:val="0"/>
    <w:rPr>
      <w:kern w:val="2"/>
      <w:sz w:val="16"/>
      <w:szCs w:val="16"/>
    </w:rPr>
  </w:style>
  <w:style w:type="paragraph" w:customStyle="1" w:styleId="86">
    <w:name w:val="题注4"/>
    <w:basedOn w:val="1"/>
    <w:next w:val="9"/>
    <w:qFormat/>
    <w:uiPriority w:val="0"/>
    <w:pPr>
      <w:ind w:left="-132" w:leftChars="-64" w:right="-105" w:rightChars="-50" w:hanging="2"/>
      <w:jc w:val="center"/>
    </w:pPr>
    <w:rPr>
      <w:rFonts w:ascii="Calibri" w:hAnsi="Calibri"/>
      <w:b/>
      <w:color w:val="FF0000"/>
      <w:szCs w:val="21"/>
      <w:lang w:val="en-GB"/>
    </w:rPr>
  </w:style>
  <w:style w:type="character" w:customStyle="1" w:styleId="87">
    <w:name w:val="采购二级 Char"/>
    <w:link w:val="88"/>
    <w:qFormat/>
    <w:uiPriority w:val="0"/>
    <w:rPr>
      <w:rFonts w:ascii="仿宋" w:hAnsi="仿宋" w:eastAsia="仿宋"/>
      <w:b/>
      <w:kern w:val="2"/>
      <w:sz w:val="24"/>
      <w:szCs w:val="24"/>
    </w:rPr>
  </w:style>
  <w:style w:type="paragraph" w:customStyle="1" w:styleId="88">
    <w:name w:val="采购二级"/>
    <w:basedOn w:val="1"/>
    <w:link w:val="87"/>
    <w:qFormat/>
    <w:uiPriority w:val="0"/>
    <w:pPr>
      <w:snapToGrid w:val="0"/>
      <w:spacing w:line="560" w:lineRule="exact"/>
      <w:ind w:firstLine="480" w:firstLineChars="200"/>
      <w:outlineLvl w:val="1"/>
    </w:pPr>
    <w:rPr>
      <w:rFonts w:ascii="仿宋" w:hAnsi="仿宋" w:eastAsia="仿宋"/>
      <w:b/>
      <w:sz w:val="24"/>
    </w:rPr>
  </w:style>
  <w:style w:type="paragraph" w:customStyle="1" w:styleId="89">
    <w:name w:val="Table Paragraph"/>
    <w:basedOn w:val="1"/>
    <w:qFormat/>
    <w:uiPriority w:val="1"/>
  </w:style>
  <w:style w:type="character" w:customStyle="1" w:styleId="90">
    <w:name w:val="font01"/>
    <w:basedOn w:val="32"/>
    <w:qFormat/>
    <w:uiPriority w:val="0"/>
    <w:rPr>
      <w:rFonts w:ascii="仿宋" w:hAnsi="仿宋" w:eastAsia="仿宋" w:cs="仿宋"/>
      <w:color w:val="000000"/>
      <w:sz w:val="12"/>
      <w:szCs w:val="12"/>
      <w:u w:val="none"/>
    </w:rPr>
  </w:style>
  <w:style w:type="character" w:customStyle="1" w:styleId="91">
    <w:name w:val="font51"/>
    <w:basedOn w:val="32"/>
    <w:qFormat/>
    <w:uiPriority w:val="0"/>
    <w:rPr>
      <w:rFonts w:hint="default" w:ascii="仿宋_GB2312" w:eastAsia="仿宋_GB2312" w:cs="仿宋_GB2312"/>
      <w:color w:val="000000"/>
      <w:sz w:val="12"/>
      <w:szCs w:val="12"/>
      <w:u w:val="none"/>
    </w:rPr>
  </w:style>
  <w:style w:type="character" w:customStyle="1" w:styleId="92">
    <w:name w:val="font81"/>
    <w:basedOn w:val="32"/>
    <w:qFormat/>
    <w:uiPriority w:val="0"/>
    <w:rPr>
      <w:rFonts w:ascii="Arial" w:hAnsi="Arial" w:cs="Arial"/>
      <w:color w:val="000000"/>
      <w:sz w:val="12"/>
      <w:szCs w:val="12"/>
      <w:u w:val="none"/>
    </w:rPr>
  </w:style>
  <w:style w:type="character" w:customStyle="1" w:styleId="93">
    <w:name w:val="font71"/>
    <w:basedOn w:val="32"/>
    <w:qFormat/>
    <w:uiPriority w:val="0"/>
    <w:rPr>
      <w:rFonts w:hint="default" w:ascii="仿宋_GB2312" w:eastAsia="仿宋_GB2312" w:cs="仿宋_GB2312"/>
      <w:color w:val="000000"/>
      <w:sz w:val="12"/>
      <w:szCs w:val="12"/>
      <w:u w:val="none"/>
    </w:rPr>
  </w:style>
  <w:style w:type="character" w:customStyle="1" w:styleId="94">
    <w:name w:val="font141"/>
    <w:basedOn w:val="32"/>
    <w:qFormat/>
    <w:uiPriority w:val="0"/>
    <w:rPr>
      <w:rFonts w:hint="default" w:ascii="Times New Roman" w:hAnsi="Times New Roman" w:cs="Times New Roman"/>
      <w:color w:val="000000"/>
      <w:sz w:val="12"/>
      <w:szCs w:val="12"/>
      <w:u w:val="none"/>
    </w:rPr>
  </w:style>
  <w:style w:type="character" w:customStyle="1" w:styleId="95">
    <w:name w:val="font151"/>
    <w:basedOn w:val="32"/>
    <w:qFormat/>
    <w:uiPriority w:val="0"/>
    <w:rPr>
      <w:rFonts w:hint="default" w:ascii="Arial" w:hAnsi="Arial" w:cs="Arial"/>
      <w:color w:val="000000"/>
      <w:sz w:val="12"/>
      <w:szCs w:val="12"/>
      <w:u w:val="none"/>
    </w:rPr>
  </w:style>
  <w:style w:type="character" w:customStyle="1" w:styleId="96">
    <w:name w:val="font41"/>
    <w:basedOn w:val="32"/>
    <w:qFormat/>
    <w:uiPriority w:val="0"/>
    <w:rPr>
      <w:rFonts w:hint="eastAsia" w:ascii="宋体" w:hAnsi="宋体" w:eastAsia="宋体" w:cs="宋体"/>
      <w:color w:val="000000"/>
      <w:sz w:val="28"/>
      <w:szCs w:val="28"/>
      <w:u w:val="none"/>
    </w:rPr>
  </w:style>
  <w:style w:type="character" w:customStyle="1" w:styleId="97">
    <w:name w:val="font21"/>
    <w:basedOn w:val="32"/>
    <w:qFormat/>
    <w:uiPriority w:val="0"/>
    <w:rPr>
      <w:rFonts w:hint="eastAsia" w:ascii="宋体" w:hAnsi="宋体" w:eastAsia="宋体" w:cs="宋体"/>
      <w:color w:val="000000"/>
      <w:sz w:val="26"/>
      <w:szCs w:val="26"/>
      <w:u w:val="none"/>
    </w:rPr>
  </w:style>
  <w:style w:type="character" w:customStyle="1" w:styleId="98">
    <w:name w:val="font91"/>
    <w:basedOn w:val="32"/>
    <w:qFormat/>
    <w:uiPriority w:val="0"/>
    <w:rPr>
      <w:rFonts w:hint="eastAsia" w:ascii="宋体" w:hAnsi="宋体" w:eastAsia="宋体" w:cs="宋体"/>
      <w:color w:val="000000"/>
      <w:sz w:val="16"/>
      <w:szCs w:val="16"/>
      <w:u w:val="none"/>
    </w:rPr>
  </w:style>
  <w:style w:type="character" w:customStyle="1" w:styleId="99">
    <w:name w:val="font61"/>
    <w:basedOn w:val="32"/>
    <w:qFormat/>
    <w:uiPriority w:val="0"/>
    <w:rPr>
      <w:rFonts w:hint="eastAsia" w:ascii="宋体" w:hAnsi="宋体" w:eastAsia="宋体" w:cs="宋体"/>
      <w:color w:val="000000"/>
      <w:sz w:val="16"/>
      <w:szCs w:val="16"/>
      <w:u w:val="none"/>
    </w:rPr>
  </w:style>
  <w:style w:type="paragraph" w:customStyle="1" w:styleId="100">
    <w:name w:val="WPSOffice手动目录 1"/>
    <w:qFormat/>
    <w:uiPriority w:val="0"/>
    <w:pPr>
      <w:ind w:leftChars="0"/>
    </w:pPr>
    <w:rPr>
      <w:rFonts w:ascii="Calibri" w:hAnsi="Calibri" w:eastAsia="微软雅黑" w:cs="Times New Roman"/>
      <w:sz w:val="20"/>
      <w:szCs w:val="20"/>
    </w:rPr>
  </w:style>
  <w:style w:type="paragraph" w:customStyle="1" w:styleId="101">
    <w:name w:val="列出段落"/>
    <w:basedOn w:val="1"/>
    <w:qFormat/>
    <w:uiPriority w:val="34"/>
    <w:pPr>
      <w:ind w:firstLine="420" w:firstLineChars="200"/>
    </w:pPr>
    <w:rPr>
      <w:rFonts w:ascii="Calibri" w:hAnsi="Calibri"/>
      <w:szCs w:val="22"/>
    </w:rPr>
  </w:style>
  <w:style w:type="paragraph" w:customStyle="1" w:styleId="102">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103">
    <w:name w:val="_Style 4"/>
    <w:basedOn w:val="1"/>
    <w:unhideWhenUsed/>
    <w:qFormat/>
    <w:uiPriority w:val="99"/>
    <w:pPr>
      <w:ind w:firstLine="420" w:firstLineChars="200"/>
    </w:pPr>
    <w:rPr>
      <w:rFonts w:ascii="Calibri" w:hAnsi="Calibri" w:eastAsia="宋体" w:cs="Times New Roman"/>
      <w:szCs w:val="22"/>
    </w:rPr>
  </w:style>
  <w:style w:type="character" w:customStyle="1" w:styleId="104">
    <w:name w:val="font111"/>
    <w:basedOn w:val="32"/>
    <w:qFormat/>
    <w:uiPriority w:val="0"/>
    <w:rPr>
      <w:rFonts w:hint="default" w:ascii="Times New Roman" w:hAnsi="Times New Roman" w:cs="Times New Roman"/>
      <w:color w:val="000000"/>
      <w:sz w:val="20"/>
      <w:szCs w:val="20"/>
      <w:u w:val="none"/>
    </w:rPr>
  </w:style>
  <w:style w:type="character" w:customStyle="1" w:styleId="105">
    <w:name w:val="font122"/>
    <w:basedOn w:val="32"/>
    <w:qFormat/>
    <w:uiPriority w:val="0"/>
    <w:rPr>
      <w:rFonts w:ascii="仿宋" w:hAnsi="仿宋" w:eastAsia="仿宋" w:cs="仿宋"/>
      <w:color w:val="000000"/>
      <w:sz w:val="20"/>
      <w:szCs w:val="20"/>
      <w:u w:val="none"/>
    </w:rPr>
  </w:style>
  <w:style w:type="character" w:customStyle="1" w:styleId="106">
    <w:name w:val="font101"/>
    <w:basedOn w:val="32"/>
    <w:qFormat/>
    <w:uiPriority w:val="0"/>
    <w:rPr>
      <w:rFonts w:ascii="Arial" w:hAnsi="Arial" w:cs="Arial"/>
      <w:color w:val="000000"/>
      <w:sz w:val="20"/>
      <w:szCs w:val="20"/>
      <w:u w:val="none"/>
    </w:rPr>
  </w:style>
  <w:style w:type="character" w:customStyle="1" w:styleId="107">
    <w:name w:val="font112"/>
    <w:basedOn w:val="32"/>
    <w:qFormat/>
    <w:uiPriority w:val="0"/>
    <w:rPr>
      <w:rFonts w:hint="default" w:ascii="Arial" w:hAnsi="Arial" w:cs="Arial"/>
      <w:color w:val="000000"/>
      <w:sz w:val="20"/>
      <w:szCs w:val="20"/>
      <w:u w:val="none"/>
    </w:rPr>
  </w:style>
  <w:style w:type="paragraph" w:customStyle="1" w:styleId="108">
    <w:name w:val="表格标题"/>
    <w:basedOn w:val="1"/>
    <w:qFormat/>
    <w:uiPriority w:val="0"/>
    <w:pPr>
      <w:spacing w:before="0" w:after="0" w:line="220" w:lineRule="exact"/>
    </w:pPr>
    <w:rPr>
      <w:rFonts w:eastAsia="黑体"/>
      <w:color w:val="007CA8"/>
      <w:kern w:val="0"/>
      <w:szCs w:val="13"/>
    </w:rPr>
  </w:style>
  <w:style w:type="table" w:customStyle="1" w:styleId="109">
    <w:name w:val="BTable"/>
    <w:basedOn w:val="29"/>
    <w:qFormat/>
    <w:uiPriority w:val="99"/>
    <w:pPr>
      <w:spacing w:before="80"/>
    </w:pPr>
    <w:rPr>
      <w:rFonts w:ascii="Calibri" w:hAnsi="Calibri"/>
      <w:sz w:val="18"/>
    </w:rPr>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
    <w:tcPr>
      <w:vAlign w:val="center"/>
    </w:tcPr>
    <w:tblStylePr w:type="firstRow">
      <w:tcPr>
        <w:shd w:val="clear" w:color="auto" w:fill="C6DBF7"/>
      </w:tcPr>
    </w:tblStylePr>
  </w:style>
  <w:style w:type="paragraph" w:customStyle="1" w:styleId="110">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1">
    <w:name w:val="font121"/>
    <w:basedOn w:val="32"/>
    <w:qFormat/>
    <w:uiPriority w:val="0"/>
    <w:rPr>
      <w:rFonts w:hint="default" w:ascii="Arial" w:hAnsi="Arial" w:cs="Arial"/>
      <w:color w:val="000000"/>
      <w:sz w:val="20"/>
      <w:szCs w:val="20"/>
      <w:u w:val="none"/>
    </w:rPr>
  </w:style>
  <w:style w:type="character" w:customStyle="1" w:styleId="112">
    <w:name w:val="font11"/>
    <w:basedOn w:val="32"/>
    <w:qFormat/>
    <w:uiPriority w:val="0"/>
    <w:rPr>
      <w:rFonts w:hint="eastAsia" w:ascii="宋体" w:hAnsi="宋体" w:eastAsia="宋体" w:cs="宋体"/>
      <w:color w:val="000000"/>
      <w:sz w:val="20"/>
      <w:szCs w:val="20"/>
      <w:u w:val="none"/>
    </w:rPr>
  </w:style>
  <w:style w:type="character" w:customStyle="1" w:styleId="113">
    <w:name w:val="font3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48531</Words>
  <Characters>53665</Characters>
  <Lines>200</Lines>
  <Paragraphs>56</Paragraphs>
  <TotalTime>21</TotalTime>
  <ScaleCrop>false</ScaleCrop>
  <LinksUpToDate>false</LinksUpToDate>
  <CharactersWithSpaces>54926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2020-10-31T17:01:00Z</dcterms:created>
  <dc:creator>微软用户</dc:creator>
  <cp:lastModifiedBy>WPS_1375748633</cp:lastModifiedBy>
  <cp:lastPrinted>2021-05-20T05:15:00Z</cp:lastPrinted>
  <dcterms:modified xsi:type="dcterms:W3CDTF">2022-06-23T04:49:40Z</dcterms:modified>
  <dc:title>克拉玛依市排水管理处九公里、石化电动设备零配件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ADA0033C495147839607492B59F86F47</vt:lpwstr>
  </property>
</Properties>
</file>