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8D38A">
      <w:pPr>
        <w:pStyle w:val="9"/>
        <w:spacing w:line="360" w:lineRule="auto"/>
        <w:ind w:left="0" w:leftChars="0" w:firstLine="0" w:firstLineChars="0"/>
        <w:jc w:val="center"/>
        <w:rPr>
          <w:rFonts w:hint="eastAsia" w:ascii="宋体" w:hAnsi="宋体" w:eastAsia="宋体" w:cs="宋体"/>
          <w:color w:val="auto"/>
          <w:highlight w:val="none"/>
        </w:rPr>
      </w:pPr>
      <w:bookmarkStart w:id="0" w:name="_Toc20660"/>
    </w:p>
    <w:p w14:paraId="057938DC">
      <w:pPr>
        <w:spacing w:line="360" w:lineRule="auto"/>
        <w:jc w:val="center"/>
        <w:rPr>
          <w:rFonts w:hint="eastAsia" w:ascii="宋体" w:hAnsi="宋体" w:eastAsia="宋体" w:cs="宋体"/>
          <w:b/>
          <w:color w:val="auto"/>
          <w:sz w:val="48"/>
          <w:szCs w:val="48"/>
          <w:highlight w:val="none"/>
        </w:rPr>
      </w:pPr>
    </w:p>
    <w:p w14:paraId="497E6E3E">
      <w:pPr>
        <w:widowControl/>
        <w:spacing w:line="360" w:lineRule="auto"/>
        <w:jc w:val="center"/>
        <w:rPr>
          <w:rFonts w:hint="eastAsia" w:ascii="宋体" w:hAnsi="宋体" w:eastAsia="宋体" w:cs="宋体"/>
          <w:b/>
          <w:color w:val="auto"/>
          <w:kern w:val="0"/>
          <w:sz w:val="52"/>
          <w:szCs w:val="52"/>
          <w:highlight w:val="none"/>
          <w:lang w:bidi="ar"/>
        </w:rPr>
      </w:pPr>
    </w:p>
    <w:p w14:paraId="010F5214">
      <w:pPr>
        <w:widowControl/>
        <w:spacing w:line="360" w:lineRule="auto"/>
        <w:jc w:val="center"/>
        <w:rPr>
          <w:rFonts w:hint="eastAsia" w:ascii="宋体" w:hAnsi="宋体" w:eastAsia="宋体" w:cs="宋体"/>
          <w:b/>
          <w:color w:val="auto"/>
          <w:kern w:val="0"/>
          <w:sz w:val="72"/>
          <w:szCs w:val="72"/>
          <w:highlight w:val="none"/>
          <w:lang w:bidi="ar"/>
        </w:rPr>
      </w:pPr>
      <w:r>
        <w:rPr>
          <w:rFonts w:hint="eastAsia" w:ascii="宋体" w:hAnsi="宋体" w:eastAsia="宋体" w:cs="宋体"/>
          <w:b/>
          <w:color w:val="auto"/>
          <w:kern w:val="0"/>
          <w:sz w:val="56"/>
          <w:szCs w:val="56"/>
          <w:highlight w:val="none"/>
          <w:lang w:val="en-US" w:eastAsia="zh-CN" w:bidi="ar"/>
        </w:rPr>
        <w:t>2025年天山区市政道路附属公共消防设施日常维护项目</w:t>
      </w:r>
    </w:p>
    <w:p w14:paraId="047D5DD2">
      <w:pPr>
        <w:widowControl/>
        <w:jc w:val="center"/>
        <w:rPr>
          <w:rFonts w:hint="eastAsia" w:ascii="宋体" w:hAnsi="宋体" w:eastAsia="宋体" w:cs="宋体"/>
          <w:b/>
          <w:color w:val="auto"/>
          <w:kern w:val="0"/>
          <w:sz w:val="52"/>
          <w:szCs w:val="52"/>
          <w:highlight w:val="none"/>
          <w:lang w:bidi="ar"/>
        </w:rPr>
      </w:pPr>
    </w:p>
    <w:p w14:paraId="2C06B9CF">
      <w:pPr>
        <w:widowControl/>
        <w:jc w:val="center"/>
        <w:rPr>
          <w:rFonts w:hint="eastAsia" w:ascii="宋体" w:hAnsi="宋体" w:eastAsia="宋体" w:cs="宋体"/>
          <w:b/>
          <w:color w:val="auto"/>
          <w:kern w:val="0"/>
          <w:sz w:val="52"/>
          <w:szCs w:val="52"/>
          <w:highlight w:val="none"/>
          <w:lang w:bidi="ar"/>
        </w:rPr>
      </w:pPr>
    </w:p>
    <w:p w14:paraId="7FFBBE47">
      <w:pPr>
        <w:widowControl/>
        <w:jc w:val="center"/>
        <w:rPr>
          <w:rFonts w:hint="eastAsia" w:ascii="宋体" w:hAnsi="宋体" w:eastAsia="宋体" w:cs="宋体"/>
          <w:color w:val="auto"/>
          <w:sz w:val="44"/>
          <w:szCs w:val="44"/>
          <w:highlight w:val="none"/>
        </w:rPr>
      </w:pPr>
      <w:r>
        <w:rPr>
          <w:rFonts w:hint="eastAsia" w:ascii="宋体" w:hAnsi="宋体" w:eastAsia="宋体" w:cs="宋体"/>
          <w:b/>
          <w:color w:val="auto"/>
          <w:kern w:val="0"/>
          <w:sz w:val="44"/>
          <w:szCs w:val="44"/>
          <w:highlight w:val="none"/>
          <w:lang w:eastAsia="zh-CN" w:bidi="ar"/>
        </w:rPr>
        <w:t>竞争性磋商文件</w:t>
      </w:r>
    </w:p>
    <w:p w14:paraId="6CDB4351">
      <w:pPr>
        <w:widowControl/>
        <w:jc w:val="center"/>
        <w:rPr>
          <w:rFonts w:hint="eastAsia" w:ascii="宋体" w:hAnsi="宋体" w:eastAsia="宋体" w:cs="宋体"/>
          <w:color w:val="auto"/>
          <w:sz w:val="28"/>
          <w:szCs w:val="22"/>
          <w:highlight w:val="none"/>
        </w:rPr>
      </w:pPr>
    </w:p>
    <w:p w14:paraId="706CC0F3">
      <w:pPr>
        <w:widowControl/>
        <w:jc w:val="center"/>
        <w:rPr>
          <w:rFonts w:hint="eastAsia" w:ascii="宋体" w:hAnsi="宋体" w:eastAsia="宋体" w:cs="宋体"/>
          <w:b/>
          <w:color w:val="auto"/>
          <w:sz w:val="32"/>
          <w:szCs w:val="22"/>
          <w:highlight w:val="none"/>
          <w:lang w:eastAsia="zh-CN"/>
        </w:rPr>
      </w:pPr>
      <w:r>
        <w:rPr>
          <w:rFonts w:hint="eastAsia" w:ascii="宋体" w:hAnsi="宋体" w:eastAsia="宋体" w:cs="宋体"/>
          <w:b/>
          <w:color w:val="auto"/>
          <w:kern w:val="0"/>
          <w:sz w:val="32"/>
          <w:szCs w:val="22"/>
          <w:highlight w:val="none"/>
          <w:lang w:bidi="ar"/>
        </w:rPr>
        <w:t>项目编号:XJSH-2025-0602</w:t>
      </w:r>
    </w:p>
    <w:p w14:paraId="7EBCE7DA">
      <w:pPr>
        <w:pStyle w:val="14"/>
        <w:ind w:left="0" w:leftChars="0" w:firstLine="0" w:firstLineChars="0"/>
        <w:jc w:val="center"/>
        <w:rPr>
          <w:rFonts w:hint="eastAsia" w:ascii="宋体" w:hAnsi="宋体" w:eastAsia="宋体" w:cs="宋体"/>
          <w:b/>
          <w:color w:val="auto"/>
          <w:sz w:val="36"/>
          <w:szCs w:val="22"/>
          <w:highlight w:val="none"/>
        </w:rPr>
      </w:pPr>
    </w:p>
    <w:p w14:paraId="3DB1FB06">
      <w:pPr>
        <w:jc w:val="center"/>
        <w:rPr>
          <w:rFonts w:hint="eastAsia" w:ascii="宋体" w:hAnsi="宋体" w:eastAsia="宋体" w:cs="宋体"/>
          <w:b/>
          <w:color w:val="auto"/>
          <w:sz w:val="36"/>
          <w:szCs w:val="22"/>
          <w:highlight w:val="none"/>
        </w:rPr>
      </w:pPr>
    </w:p>
    <w:p w14:paraId="7FAB0B91">
      <w:pPr>
        <w:jc w:val="center"/>
        <w:rPr>
          <w:rFonts w:hint="eastAsia" w:ascii="宋体" w:hAnsi="宋体" w:eastAsia="宋体" w:cs="宋体"/>
          <w:b/>
          <w:color w:val="auto"/>
          <w:sz w:val="36"/>
          <w:szCs w:val="22"/>
          <w:highlight w:val="none"/>
        </w:rPr>
      </w:pPr>
    </w:p>
    <w:p w14:paraId="19352D2D">
      <w:pPr>
        <w:jc w:val="center"/>
        <w:rPr>
          <w:rFonts w:hint="eastAsia" w:ascii="宋体" w:hAnsi="宋体" w:eastAsia="宋体" w:cs="宋体"/>
          <w:b/>
          <w:color w:val="auto"/>
          <w:sz w:val="36"/>
          <w:szCs w:val="22"/>
          <w:highlight w:val="none"/>
        </w:rPr>
      </w:pPr>
    </w:p>
    <w:p w14:paraId="74DB943F">
      <w:pPr>
        <w:jc w:val="center"/>
        <w:rPr>
          <w:rFonts w:hint="eastAsia" w:ascii="宋体" w:hAnsi="宋体" w:eastAsia="宋体" w:cs="宋体"/>
          <w:b/>
          <w:color w:val="auto"/>
          <w:sz w:val="36"/>
          <w:szCs w:val="22"/>
          <w:highlight w:val="none"/>
        </w:rPr>
      </w:pPr>
    </w:p>
    <w:p w14:paraId="0ED88F69">
      <w:pPr>
        <w:pStyle w:val="14"/>
        <w:ind w:left="0" w:leftChars="0" w:firstLine="0" w:firstLineChars="0"/>
        <w:jc w:val="center"/>
        <w:rPr>
          <w:rFonts w:hint="eastAsia" w:ascii="宋体" w:hAnsi="宋体" w:eastAsia="宋体" w:cs="宋体"/>
          <w:color w:val="auto"/>
          <w:highlight w:val="none"/>
        </w:rPr>
      </w:pPr>
    </w:p>
    <w:p w14:paraId="4F6C223D">
      <w:pPr>
        <w:widowControl/>
        <w:spacing w:line="360" w:lineRule="auto"/>
        <w:jc w:val="center"/>
        <w:rPr>
          <w:rFonts w:hint="eastAsia" w:ascii="宋体" w:hAnsi="宋体" w:eastAsia="宋体" w:cs="宋体"/>
          <w:b/>
          <w:color w:val="auto"/>
          <w:kern w:val="0"/>
          <w:sz w:val="36"/>
          <w:szCs w:val="22"/>
          <w:highlight w:val="none"/>
          <w:lang w:val="en-US" w:eastAsia="zh-CN" w:bidi="ar"/>
        </w:rPr>
      </w:pPr>
      <w:r>
        <w:rPr>
          <w:rFonts w:hint="eastAsia" w:ascii="宋体" w:hAnsi="宋体" w:eastAsia="宋体" w:cs="宋体"/>
          <w:b/>
          <w:color w:val="auto"/>
          <w:kern w:val="0"/>
          <w:sz w:val="36"/>
          <w:szCs w:val="22"/>
          <w:highlight w:val="none"/>
          <w:lang w:val="en-US" w:eastAsia="zh-CN" w:bidi="ar"/>
        </w:rPr>
        <w:t>乌鲁木齐市天山区城市管理局（乌鲁木齐市天山区城市管理行政执法局）</w:t>
      </w:r>
    </w:p>
    <w:p w14:paraId="05238604">
      <w:pPr>
        <w:widowControl/>
        <w:spacing w:line="360" w:lineRule="auto"/>
        <w:jc w:val="center"/>
        <w:rPr>
          <w:rFonts w:hint="eastAsia" w:ascii="宋体" w:hAnsi="宋体" w:eastAsia="宋体" w:cs="宋体"/>
          <w:b/>
          <w:color w:val="auto"/>
          <w:kern w:val="0"/>
          <w:sz w:val="36"/>
          <w:szCs w:val="22"/>
          <w:highlight w:val="none"/>
          <w:lang w:bidi="ar"/>
        </w:rPr>
      </w:pPr>
      <w:r>
        <w:rPr>
          <w:rFonts w:hint="eastAsia" w:ascii="宋体" w:hAnsi="宋体" w:eastAsia="宋体" w:cs="宋体"/>
          <w:b/>
          <w:color w:val="auto"/>
          <w:kern w:val="0"/>
          <w:sz w:val="36"/>
          <w:szCs w:val="22"/>
          <w:highlight w:val="none"/>
          <w:lang w:bidi="ar"/>
        </w:rPr>
        <w:t>新疆</w:t>
      </w:r>
      <w:r>
        <w:rPr>
          <w:rFonts w:hint="eastAsia" w:ascii="宋体" w:hAnsi="宋体" w:eastAsia="宋体" w:cs="宋体"/>
          <w:b/>
          <w:color w:val="auto"/>
          <w:kern w:val="0"/>
          <w:sz w:val="36"/>
          <w:szCs w:val="22"/>
          <w:highlight w:val="none"/>
          <w:lang w:val="en-US" w:eastAsia="zh-CN" w:bidi="ar"/>
        </w:rPr>
        <w:t>申辉项目管理</w:t>
      </w:r>
      <w:r>
        <w:rPr>
          <w:rFonts w:hint="eastAsia" w:ascii="宋体" w:hAnsi="宋体" w:eastAsia="宋体" w:cs="宋体"/>
          <w:b/>
          <w:color w:val="auto"/>
          <w:kern w:val="0"/>
          <w:sz w:val="36"/>
          <w:szCs w:val="22"/>
          <w:highlight w:val="none"/>
          <w:lang w:bidi="ar"/>
        </w:rPr>
        <w:t>有限公司</w:t>
      </w:r>
      <w:bookmarkStart w:id="1" w:name="_Toc10606"/>
      <w:bookmarkStart w:id="2" w:name="_Toc334"/>
      <w:bookmarkStart w:id="3" w:name="_Toc917"/>
      <w:bookmarkStart w:id="4" w:name="_Toc20608"/>
      <w:bookmarkStart w:id="5" w:name="_Toc9019"/>
      <w:bookmarkStart w:id="6" w:name="_Toc15793"/>
      <w:bookmarkStart w:id="7" w:name="_Toc26274"/>
      <w:bookmarkStart w:id="8" w:name="_Toc28942"/>
      <w:bookmarkStart w:id="9" w:name="_Toc22506"/>
    </w:p>
    <w:p w14:paraId="784BF3D6">
      <w:pPr>
        <w:widowControl/>
        <w:spacing w:line="360" w:lineRule="auto"/>
        <w:jc w:val="center"/>
        <w:rPr>
          <w:rFonts w:hint="eastAsia" w:ascii="宋体" w:hAnsi="宋体" w:eastAsia="宋体" w:cs="宋体"/>
          <w:b/>
          <w:color w:val="auto"/>
          <w:kern w:val="0"/>
          <w:sz w:val="36"/>
          <w:szCs w:val="22"/>
          <w:highlight w:val="none"/>
          <w:lang w:bidi="ar"/>
        </w:rPr>
      </w:pPr>
    </w:p>
    <w:p w14:paraId="4C0E4FFF">
      <w:pPr>
        <w:widowControl/>
        <w:spacing w:line="360" w:lineRule="auto"/>
        <w:jc w:val="center"/>
        <w:rPr>
          <w:rFonts w:hint="eastAsia" w:ascii="宋体" w:hAnsi="宋体" w:eastAsia="宋体" w:cs="宋体"/>
          <w:b/>
          <w:color w:val="auto"/>
          <w:kern w:val="0"/>
          <w:sz w:val="36"/>
          <w:szCs w:val="22"/>
          <w:highlight w:val="none"/>
          <w:lang w:bidi="ar"/>
        </w:rPr>
      </w:pPr>
      <w:r>
        <w:rPr>
          <w:rFonts w:hint="eastAsia" w:ascii="宋体" w:hAnsi="宋体" w:eastAsia="宋体" w:cs="宋体"/>
          <w:b/>
          <w:color w:val="auto"/>
          <w:kern w:val="0"/>
          <w:sz w:val="36"/>
          <w:szCs w:val="22"/>
          <w:highlight w:val="none"/>
          <w:lang w:bidi="ar"/>
        </w:rPr>
        <w:t>202</w:t>
      </w:r>
      <w:r>
        <w:rPr>
          <w:rFonts w:hint="eastAsia" w:ascii="宋体" w:hAnsi="宋体" w:eastAsia="宋体" w:cs="宋体"/>
          <w:b/>
          <w:color w:val="auto"/>
          <w:kern w:val="0"/>
          <w:sz w:val="36"/>
          <w:szCs w:val="22"/>
          <w:highlight w:val="none"/>
          <w:lang w:val="en-US" w:eastAsia="zh-CN" w:bidi="ar"/>
        </w:rPr>
        <w:t>5</w:t>
      </w:r>
      <w:r>
        <w:rPr>
          <w:rFonts w:hint="eastAsia" w:ascii="宋体" w:hAnsi="宋体" w:eastAsia="宋体" w:cs="宋体"/>
          <w:b/>
          <w:color w:val="auto"/>
          <w:kern w:val="0"/>
          <w:sz w:val="36"/>
          <w:szCs w:val="22"/>
          <w:highlight w:val="none"/>
          <w:lang w:bidi="ar"/>
        </w:rPr>
        <w:t>年</w:t>
      </w:r>
      <w:r>
        <w:rPr>
          <w:rFonts w:hint="eastAsia" w:ascii="宋体" w:hAnsi="宋体" w:eastAsia="宋体" w:cs="宋体"/>
          <w:b/>
          <w:color w:val="auto"/>
          <w:kern w:val="0"/>
          <w:sz w:val="36"/>
          <w:szCs w:val="22"/>
          <w:highlight w:val="none"/>
          <w:lang w:val="en-US" w:eastAsia="zh-CN" w:bidi="ar"/>
        </w:rPr>
        <w:t>6</w:t>
      </w:r>
      <w:r>
        <w:rPr>
          <w:rFonts w:hint="eastAsia" w:ascii="宋体" w:hAnsi="宋体" w:eastAsia="宋体" w:cs="宋体"/>
          <w:b/>
          <w:color w:val="auto"/>
          <w:kern w:val="0"/>
          <w:sz w:val="36"/>
          <w:szCs w:val="22"/>
          <w:highlight w:val="none"/>
          <w:lang w:bidi="ar"/>
        </w:rPr>
        <w:t>月</w:t>
      </w:r>
      <w:bookmarkEnd w:id="1"/>
      <w:bookmarkEnd w:id="2"/>
      <w:bookmarkEnd w:id="3"/>
      <w:bookmarkEnd w:id="4"/>
      <w:bookmarkEnd w:id="5"/>
      <w:bookmarkEnd w:id="6"/>
      <w:bookmarkEnd w:id="7"/>
      <w:bookmarkEnd w:id="8"/>
      <w:bookmarkEnd w:id="9"/>
    </w:p>
    <w:bookmarkEnd w:id="0"/>
    <w:p w14:paraId="111B24C3">
      <w:pPr>
        <w:pageBreakBefore w:val="0"/>
        <w:wordWrap/>
        <w:bidi w:val="0"/>
        <w:spacing w:line="480" w:lineRule="auto"/>
        <w:ind w:left="0" w:leftChars="0" w:right="0"/>
        <w:rPr>
          <w:rFonts w:hint="eastAsia" w:ascii="宋体" w:hAnsi="宋体" w:eastAsia="宋体" w:cs="宋体"/>
          <w:b/>
          <w:bCs/>
          <w:color w:val="auto"/>
          <w:sz w:val="32"/>
          <w:szCs w:val="22"/>
          <w:highlight w:val="none"/>
        </w:rPr>
      </w:pPr>
      <w:r>
        <w:rPr>
          <w:rFonts w:hint="eastAsia" w:ascii="宋体" w:hAnsi="宋体" w:eastAsia="宋体" w:cs="宋体"/>
          <w:b/>
          <w:bCs/>
          <w:color w:val="auto"/>
          <w:sz w:val="32"/>
          <w:szCs w:val="22"/>
          <w:highlight w:val="none"/>
        </w:rPr>
        <w:br w:type="page"/>
      </w:r>
    </w:p>
    <w:sdt>
      <w:sdtPr>
        <w:rPr>
          <w:rFonts w:hint="eastAsia" w:ascii="宋体" w:hAnsi="宋体" w:eastAsia="宋体" w:cs="宋体"/>
          <w:color w:val="auto"/>
          <w:kern w:val="2"/>
          <w:sz w:val="21"/>
          <w:highlight w:val="none"/>
          <w:lang w:val="en-US" w:eastAsia="zh-CN" w:bidi="ar-SA"/>
        </w:rPr>
        <w:id w:val="147451673"/>
        <w15:color w:val="DBDBDB"/>
        <w:docPartObj>
          <w:docPartGallery w:val="Table of Contents"/>
          <w:docPartUnique/>
        </w:docPartObj>
      </w:sdtPr>
      <w:sdtEndPr>
        <w:rPr>
          <w:rFonts w:hint="eastAsia" w:ascii="宋体" w:hAnsi="宋体" w:eastAsia="宋体" w:cs="宋体"/>
          <w:color w:val="auto"/>
          <w:kern w:val="2"/>
          <w:sz w:val="21"/>
          <w:highlight w:val="none"/>
          <w:lang w:val="en-US" w:eastAsia="zh-CN" w:bidi="ar-SA"/>
        </w:rPr>
      </w:sdtEndPr>
      <w:sdtContent>
        <w:p w14:paraId="6FC0ED46">
          <w:pPr>
            <w:pageBreakBefore w:val="0"/>
            <w:wordWrap/>
            <w:bidi w:val="0"/>
            <w:spacing w:line="480" w:lineRule="auto"/>
            <w:ind w:left="0" w:leftChars="0" w:right="0" w:rightChars="0" w:firstLine="0" w:firstLineChars="0"/>
            <w:jc w:val="center"/>
            <w:rPr>
              <w:rFonts w:hint="eastAsia" w:ascii="宋体" w:hAnsi="宋体" w:eastAsia="宋体" w:cs="宋体"/>
              <w:b/>
              <w:bCs/>
              <w:color w:val="auto"/>
              <w:sz w:val="32"/>
              <w:szCs w:val="28"/>
              <w:highlight w:val="none"/>
            </w:rPr>
          </w:pPr>
          <w:bookmarkStart w:id="10" w:name="_Toc6870"/>
          <w:r>
            <w:rPr>
              <w:rFonts w:hint="eastAsia" w:ascii="宋体" w:hAnsi="宋体" w:eastAsia="宋体" w:cs="宋体"/>
              <w:b/>
              <w:bCs/>
              <w:color w:val="auto"/>
              <w:sz w:val="32"/>
              <w:szCs w:val="28"/>
              <w:highlight w:val="none"/>
            </w:rPr>
            <w:t>目录</w:t>
          </w:r>
        </w:p>
        <w:p w14:paraId="24EE2E89">
          <w:pPr>
            <w:pStyle w:val="41"/>
            <w:pageBreakBefore w:val="0"/>
            <w:tabs>
              <w:tab w:val="right" w:leader="dot" w:pos="8504"/>
            </w:tabs>
            <w:wordWrap/>
            <w:bidi w:val="0"/>
            <w:spacing w:line="480" w:lineRule="auto"/>
            <w:ind w:left="0" w:leftChars="0" w:right="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p>
        <w:p w14:paraId="0F288541">
          <w:pPr>
            <w:pStyle w:val="41"/>
            <w:pageBreakBefore w:val="0"/>
            <w:tabs>
              <w:tab w:val="right" w:leader="dot" w:pos="8504"/>
            </w:tabs>
            <w:wordWrap/>
            <w:bidi w:val="0"/>
            <w:spacing w:line="480" w:lineRule="auto"/>
            <w:ind w:left="0" w:leftChars="0" w:right="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_Toc32506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44"/>
              <w:highlight w:val="none"/>
            </w:rPr>
            <w:t xml:space="preserve">第一部分 </w:t>
          </w:r>
          <w:r>
            <w:rPr>
              <w:rFonts w:hint="eastAsia" w:ascii="宋体" w:hAnsi="宋体" w:eastAsia="宋体" w:cs="宋体"/>
              <w:b/>
              <w:bCs/>
              <w:color w:val="auto"/>
              <w:sz w:val="28"/>
              <w:szCs w:val="44"/>
              <w:highlight w:val="none"/>
              <w:lang w:val="en-US" w:eastAsia="zh-CN"/>
            </w:rPr>
            <w:t xml:space="preserve"> </w:t>
          </w:r>
          <w:r>
            <w:rPr>
              <w:rFonts w:hint="eastAsia" w:ascii="宋体" w:hAnsi="宋体" w:eastAsia="宋体" w:cs="宋体"/>
              <w:b/>
              <w:bCs/>
              <w:color w:val="auto"/>
              <w:sz w:val="28"/>
              <w:szCs w:val="44"/>
              <w:highlight w:val="none"/>
            </w:rPr>
            <w:t>磋商公告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_Toc32506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2DBC361">
          <w:pPr>
            <w:pStyle w:val="41"/>
            <w:pageBreakBefore w:val="0"/>
            <w:tabs>
              <w:tab w:val="right" w:leader="dot" w:pos="8504"/>
            </w:tabs>
            <w:wordWrap/>
            <w:bidi w:val="0"/>
            <w:spacing w:line="480" w:lineRule="auto"/>
            <w:ind w:left="0" w:leftChars="0" w:right="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_Toc20067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44"/>
              <w:highlight w:val="none"/>
              <w:lang w:val="en-US" w:eastAsia="zh-CN"/>
            </w:rPr>
            <w:t>第二部分  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fldChar w:fldCharType="end"/>
          </w:r>
        </w:p>
        <w:p w14:paraId="1BAA11CC">
          <w:pPr>
            <w:pStyle w:val="41"/>
            <w:pageBreakBefore w:val="0"/>
            <w:tabs>
              <w:tab w:val="right" w:leader="dot" w:pos="8504"/>
            </w:tabs>
            <w:wordWrap/>
            <w:bidi w:val="0"/>
            <w:spacing w:line="480" w:lineRule="auto"/>
            <w:ind w:left="0" w:leftChars="0" w:right="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_Toc31549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44"/>
              <w:highlight w:val="none"/>
            </w:rPr>
            <w:t>第三部分  合同范本</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_Toc31549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1DCC6BD">
          <w:pPr>
            <w:pStyle w:val="41"/>
            <w:pageBreakBefore w:val="0"/>
            <w:tabs>
              <w:tab w:val="right" w:leader="dot" w:pos="8504"/>
            </w:tabs>
            <w:wordWrap/>
            <w:bidi w:val="0"/>
            <w:spacing w:line="480" w:lineRule="auto"/>
            <w:ind w:left="0" w:leftChars="0" w:right="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_Toc28337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44"/>
              <w:highlight w:val="none"/>
            </w:rPr>
            <w:t>第四部分</w:t>
          </w:r>
          <w:r>
            <w:rPr>
              <w:rFonts w:hint="eastAsia" w:ascii="宋体" w:hAnsi="宋体" w:eastAsia="宋体" w:cs="宋体"/>
              <w:b/>
              <w:bCs/>
              <w:color w:val="auto"/>
              <w:sz w:val="28"/>
              <w:szCs w:val="44"/>
              <w:highlight w:val="none"/>
              <w:lang w:val="en-US" w:eastAsia="zh-CN"/>
            </w:rPr>
            <w:t xml:space="preserve">  技术要求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_Toc28337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71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48A5062">
          <w:pPr>
            <w:pStyle w:val="41"/>
            <w:pageBreakBefore w:val="0"/>
            <w:tabs>
              <w:tab w:val="right" w:leader="dot" w:pos="8504"/>
            </w:tabs>
            <w:wordWrap/>
            <w:bidi w:val="0"/>
            <w:spacing w:line="480" w:lineRule="auto"/>
            <w:ind w:left="0" w:leftChars="0" w:right="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_Toc15820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44"/>
              <w:highlight w:val="none"/>
            </w:rPr>
            <w:t xml:space="preserve">第五部分 </w:t>
          </w:r>
          <w:r>
            <w:rPr>
              <w:rFonts w:hint="eastAsia" w:ascii="宋体" w:hAnsi="宋体" w:eastAsia="宋体" w:cs="宋体"/>
              <w:b/>
              <w:bCs/>
              <w:color w:val="auto"/>
              <w:sz w:val="28"/>
              <w:szCs w:val="44"/>
              <w:highlight w:val="none"/>
              <w:lang w:val="en-US" w:eastAsia="zh-CN"/>
            </w:rPr>
            <w:t xml:space="preserve"> </w:t>
          </w:r>
          <w:r>
            <w:rPr>
              <w:rFonts w:hint="eastAsia" w:ascii="宋体" w:hAnsi="宋体" w:eastAsia="宋体" w:cs="宋体"/>
              <w:b/>
              <w:bCs/>
              <w:color w:val="auto"/>
              <w:sz w:val="28"/>
              <w:szCs w:val="44"/>
              <w:highlight w:val="none"/>
            </w:rPr>
            <w:t>范本格式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lang w:val="en-US" w:eastAsia="zh-CN"/>
            </w:rPr>
            <w:t>2</w:t>
          </w:r>
        </w:p>
        <w:p w14:paraId="7AA5278E">
          <w:pPr>
            <w:pStyle w:val="41"/>
            <w:pageBreakBefore w:val="0"/>
            <w:tabs>
              <w:tab w:val="right" w:leader="dot" w:pos="8504"/>
            </w:tabs>
            <w:wordWrap/>
            <w:bidi w:val="0"/>
            <w:spacing w:line="480" w:lineRule="auto"/>
            <w:ind w:left="0" w:leftChars="0" w:right="0"/>
            <w:rPr>
              <w:rFonts w:hint="eastAsia" w:ascii="宋体" w:hAnsi="宋体" w:eastAsia="宋体" w:cs="宋体"/>
              <w:b/>
              <w:bCs/>
              <w:color w:val="auto"/>
              <w:sz w:val="28"/>
              <w:szCs w:val="28"/>
              <w:highlight w:val="none"/>
            </w:rPr>
          </w:pPr>
        </w:p>
        <w:p w14:paraId="5F135EFC">
          <w:pPr>
            <w:pageBreakBefore w:val="0"/>
            <w:wordWrap/>
            <w:bidi w:val="0"/>
            <w:spacing w:line="480" w:lineRule="auto"/>
            <w:ind w:left="0" w:leftChars="0" w:right="0"/>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fldChar w:fldCharType="end"/>
          </w:r>
        </w:p>
      </w:sdtContent>
    </w:sdt>
    <w:p w14:paraId="5DC9CAB1">
      <w:pPr>
        <w:pageBreakBefore w:val="0"/>
        <w:wordWrap/>
        <w:bidi w:val="0"/>
        <w:spacing w:line="480" w:lineRule="auto"/>
        <w:ind w:left="0" w:leftChars="0" w:right="0"/>
        <w:jc w:val="center"/>
        <w:outlineLvl w:val="0"/>
        <w:rPr>
          <w:rFonts w:hint="eastAsia" w:ascii="宋体" w:hAnsi="宋体" w:eastAsia="宋体" w:cs="宋体"/>
          <w:b/>
          <w:bCs/>
          <w:color w:val="auto"/>
          <w:sz w:val="32"/>
          <w:szCs w:val="28"/>
          <w:highlight w:val="none"/>
        </w:rPr>
        <w:sectPr>
          <w:headerReference r:id="rId3" w:type="default"/>
          <w:pgSz w:w="11906" w:h="16838"/>
          <w:pgMar w:top="1134" w:right="1701" w:bottom="1134" w:left="1701" w:header="851" w:footer="851" w:gutter="0"/>
          <w:pgNumType w:fmt="decimal" w:start="1"/>
          <w:cols w:space="720" w:num="1"/>
          <w:docGrid w:type="lines" w:linePitch="312" w:charSpace="0"/>
        </w:sectPr>
      </w:pPr>
      <w:bookmarkStart w:id="11" w:name="_Toc32506"/>
    </w:p>
    <w:p w14:paraId="0F7C0DF1">
      <w:pPr>
        <w:pageBreakBefore w:val="0"/>
        <w:wordWrap/>
        <w:bidi w:val="0"/>
        <w:spacing w:line="460" w:lineRule="exact"/>
        <w:ind w:left="0" w:leftChars="0" w:right="0"/>
        <w:jc w:val="center"/>
        <w:outlineLvl w:val="0"/>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第一部分 磋商公告</w:t>
      </w:r>
      <w:bookmarkEnd w:id="10"/>
      <w:bookmarkEnd w:id="11"/>
    </w:p>
    <w:p w14:paraId="37A05DD7">
      <w:pPr>
        <w:pageBreakBefore w:val="0"/>
        <w:pBdr>
          <w:top w:val="single" w:color="auto" w:sz="4" w:space="1"/>
          <w:left w:val="single" w:color="auto" w:sz="4" w:space="4"/>
          <w:bottom w:val="single" w:color="auto" w:sz="4" w:space="1"/>
          <w:right w:val="single" w:color="auto" w:sz="4" w:space="4"/>
        </w:pBdr>
        <w:kinsoku/>
        <w:wordWrap/>
        <w:overflowPunct w:val="0"/>
        <w:topLinePunct w:val="0"/>
        <w:autoSpaceDE w:val="0"/>
        <w:autoSpaceDN w:val="0"/>
        <w:bidi w:val="0"/>
        <w:spacing w:beforeAutospacing="0" w:afterAutospacing="0" w:line="460" w:lineRule="exact"/>
        <w:ind w:left="0" w:leftChars="0" w:right="0"/>
        <w:rPr>
          <w:rFonts w:hint="eastAsia" w:ascii="宋体" w:hAnsi="宋体" w:eastAsia="宋体" w:cs="宋体"/>
          <w:color w:val="auto"/>
          <w:kern w:val="0"/>
          <w:sz w:val="24"/>
          <w:szCs w:val="24"/>
          <w:highlight w:val="none"/>
        </w:rPr>
      </w:pPr>
      <w:bookmarkStart w:id="12" w:name="OLE_LINK3"/>
      <w:r>
        <w:rPr>
          <w:rFonts w:hint="eastAsia" w:ascii="宋体" w:hAnsi="宋体" w:eastAsia="宋体" w:cs="宋体"/>
          <w:color w:val="auto"/>
          <w:kern w:val="0"/>
          <w:sz w:val="24"/>
          <w:szCs w:val="24"/>
          <w:highlight w:val="none"/>
        </w:rPr>
        <w:t>项目概况</w:t>
      </w:r>
    </w:p>
    <w:p w14:paraId="581758D3">
      <w:pPr>
        <w:pageBreakBefore w:val="0"/>
        <w:pBdr>
          <w:top w:val="single" w:color="auto" w:sz="4" w:space="1"/>
          <w:left w:val="single" w:color="auto" w:sz="4" w:space="4"/>
          <w:bottom w:val="single" w:color="auto" w:sz="4" w:space="1"/>
          <w:right w:val="single" w:color="auto" w:sz="4" w:space="4"/>
        </w:pBdr>
        <w:kinsoku/>
        <w:wordWrap/>
        <w:overflowPunct w:val="0"/>
        <w:topLinePunct w:val="0"/>
        <w:autoSpaceDE w:val="0"/>
        <w:autoSpaceDN w:val="0"/>
        <w:bidi w:val="0"/>
        <w:spacing w:beforeAutospacing="0" w:afterAutospacing="0" w:line="460" w:lineRule="exact"/>
        <w:ind w:left="0" w:leftChars="0" w:righ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2025年天山区市政道路附属公共消防设施日常维护项目的潜在供应</w:t>
      </w:r>
      <w:r>
        <w:rPr>
          <w:rFonts w:hint="eastAsia" w:ascii="宋体" w:hAnsi="宋体" w:eastAsia="宋体" w:cs="宋体"/>
          <w:color w:val="auto"/>
          <w:kern w:val="0"/>
          <w:sz w:val="24"/>
          <w:szCs w:val="24"/>
          <w:highlight w:val="none"/>
        </w:rPr>
        <w:t>商应在政采云平台https://www.zcygov.cn/获取采购文件，并于</w:t>
      </w:r>
      <w:r>
        <w:rPr>
          <w:rFonts w:hint="eastAsia" w:ascii="宋体" w:hAnsi="宋体" w:eastAsia="宋体" w:cs="宋体"/>
          <w:b w:val="0"/>
          <w:bCs w:val="0"/>
          <w:color w:val="auto"/>
          <w:spacing w:val="0"/>
          <w:kern w:val="0"/>
          <w:sz w:val="24"/>
          <w:szCs w:val="24"/>
          <w:highlight w:val="none"/>
          <w:lang w:val="en-US" w:eastAsia="zh-CN" w:bidi="ar-SA"/>
        </w:rPr>
        <w:t>2025年06月30日11:00</w:t>
      </w:r>
      <w:r>
        <w:rPr>
          <w:rFonts w:hint="eastAsia" w:ascii="宋体" w:hAnsi="宋体" w:eastAsia="宋体" w:cs="宋体"/>
          <w:bCs/>
          <w:color w:val="auto"/>
          <w:kern w:val="0"/>
          <w:sz w:val="24"/>
          <w:szCs w:val="24"/>
          <w:highlight w:val="none"/>
          <w:lang w:val="en-US" w:eastAsia="zh-CN"/>
        </w:rPr>
        <w:t>（北京时间）</w:t>
      </w:r>
      <w:r>
        <w:rPr>
          <w:rFonts w:hint="eastAsia" w:ascii="宋体" w:hAnsi="宋体" w:eastAsia="宋体" w:cs="宋体"/>
          <w:color w:val="auto"/>
          <w:kern w:val="0"/>
          <w:sz w:val="24"/>
          <w:szCs w:val="24"/>
          <w:highlight w:val="none"/>
        </w:rPr>
        <w:t>前提交响应文件。</w:t>
      </w:r>
    </w:p>
    <w:bookmarkEnd w:id="12"/>
    <w:p w14:paraId="3BF758AB">
      <w:pPr>
        <w:pageBreakBefore w:val="0"/>
        <w:kinsoku/>
        <w:wordWrap/>
        <w:topLinePunct w:val="0"/>
        <w:bidi w:val="0"/>
        <w:spacing w:beforeAutospacing="0" w:afterAutospacing="0" w:line="460" w:lineRule="exact"/>
        <w:ind w:left="0" w:leftChars="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14:paraId="3F2F478C">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项目编号：</w:t>
      </w:r>
      <w:r>
        <w:rPr>
          <w:rFonts w:hint="eastAsia" w:ascii="宋体" w:hAnsi="宋体" w:eastAsia="宋体" w:cs="宋体"/>
          <w:bCs/>
          <w:color w:val="auto"/>
          <w:kern w:val="0"/>
          <w:sz w:val="24"/>
          <w:szCs w:val="24"/>
          <w:highlight w:val="none"/>
          <w:lang w:eastAsia="zh-CN"/>
        </w:rPr>
        <w:t>XJSH-2025-0602</w:t>
      </w:r>
    </w:p>
    <w:p w14:paraId="5392FC03">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项目名称：</w:t>
      </w:r>
      <w:r>
        <w:rPr>
          <w:rFonts w:hint="eastAsia" w:ascii="宋体" w:hAnsi="宋体" w:eastAsia="宋体" w:cs="宋体"/>
          <w:bCs/>
          <w:color w:val="auto"/>
          <w:kern w:val="0"/>
          <w:sz w:val="24"/>
          <w:szCs w:val="24"/>
          <w:highlight w:val="none"/>
          <w:lang w:eastAsia="zh-CN"/>
        </w:rPr>
        <w:t>2025年天山区市政道路附属公共消防设施日常维护项目</w:t>
      </w:r>
    </w:p>
    <w:p w14:paraId="2391C73A">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采购方式：竞争性磋商</w:t>
      </w:r>
    </w:p>
    <w:p w14:paraId="4BC615E1">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预算金额：</w:t>
      </w:r>
      <w:r>
        <w:rPr>
          <w:rFonts w:hint="eastAsia" w:ascii="宋体" w:hAnsi="宋体" w:eastAsia="宋体" w:cs="宋体"/>
          <w:bCs/>
          <w:color w:val="auto"/>
          <w:kern w:val="0"/>
          <w:sz w:val="24"/>
          <w:szCs w:val="24"/>
          <w:highlight w:val="none"/>
          <w:lang w:val="en-US" w:eastAsia="zh-CN"/>
        </w:rPr>
        <w:t>680000.00元</w:t>
      </w:r>
    </w:p>
    <w:p w14:paraId="45EE9B5E">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val="en-US"/>
        </w:rPr>
      </w:pPr>
      <w:r>
        <w:rPr>
          <w:rFonts w:hint="eastAsia" w:ascii="宋体" w:hAnsi="宋体" w:eastAsia="宋体" w:cs="宋体"/>
          <w:bCs/>
          <w:color w:val="auto"/>
          <w:kern w:val="0"/>
          <w:sz w:val="24"/>
          <w:szCs w:val="24"/>
          <w:highlight w:val="none"/>
          <w:lang w:val="en-US" w:eastAsia="zh-CN"/>
        </w:rPr>
        <w:t>最高限价</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23233.69元</w:t>
      </w:r>
    </w:p>
    <w:p w14:paraId="31B49CB3">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采购需求：</w:t>
      </w:r>
      <w:r>
        <w:rPr>
          <w:rFonts w:hint="eastAsia" w:ascii="宋体" w:hAnsi="宋体" w:cs="宋体"/>
          <w:bCs/>
          <w:color w:val="auto"/>
          <w:kern w:val="0"/>
          <w:sz w:val="24"/>
          <w:szCs w:val="24"/>
          <w:highlight w:val="none"/>
          <w:lang w:eastAsia="zh-CN"/>
        </w:rPr>
        <w:t>重点对辖区内29座消防水鹤、468座消火栓及后续移交市政道路的消防设施实施维修维护工作，包括更换零部件、维修消防设施、抽排消火栓井积水、清掏杂物与除锈等日常维护工作。</w:t>
      </w:r>
    </w:p>
    <w:p w14:paraId="3CE71A0A">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合同履行期限（工期）：一年</w:t>
      </w:r>
    </w:p>
    <w:p w14:paraId="2A45D132">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本项目不接受联合体。</w:t>
      </w:r>
    </w:p>
    <w:p w14:paraId="598E7E38">
      <w:pPr>
        <w:pageBreakBefore w:val="0"/>
        <w:kinsoku/>
        <w:wordWrap/>
        <w:topLinePunct w:val="0"/>
        <w:bidi w:val="0"/>
        <w:spacing w:beforeAutospacing="0" w:afterAutospacing="0" w:line="460" w:lineRule="exact"/>
        <w:ind w:left="0" w:leftChars="0" w:right="0"/>
        <w:rPr>
          <w:rFonts w:hint="eastAsia" w:ascii="宋体" w:hAnsi="宋体" w:eastAsia="宋体" w:cs="宋体"/>
          <w:color w:val="auto"/>
          <w:highlight w:val="none"/>
        </w:rPr>
      </w:pPr>
      <w:bookmarkStart w:id="13" w:name="_Toc28359013"/>
      <w:bookmarkStart w:id="14" w:name="_Toc35393799"/>
      <w:bookmarkStart w:id="15" w:name="_Toc35393630"/>
      <w:bookmarkStart w:id="16" w:name="_Toc28359090"/>
      <w:r>
        <w:rPr>
          <w:rFonts w:hint="eastAsia" w:ascii="宋体" w:hAnsi="宋体" w:eastAsia="宋体" w:cs="宋体"/>
          <w:b/>
          <w:bCs/>
          <w:color w:val="auto"/>
          <w:kern w:val="0"/>
          <w:sz w:val="24"/>
          <w:szCs w:val="24"/>
          <w:highlight w:val="none"/>
        </w:rPr>
        <w:t>二、申请人的资格要求：</w:t>
      </w:r>
      <w:bookmarkEnd w:id="13"/>
      <w:bookmarkEnd w:id="14"/>
      <w:bookmarkEnd w:id="15"/>
      <w:bookmarkEnd w:id="16"/>
    </w:p>
    <w:p w14:paraId="720484ED">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eastAsia="zh-CN"/>
        </w:rPr>
      </w:pPr>
      <w:bookmarkStart w:id="17" w:name="OLE_LINK5"/>
      <w:bookmarkStart w:id="18" w:name="_Toc28359014"/>
      <w:bookmarkStart w:id="19" w:name="_Toc35393800"/>
      <w:bookmarkStart w:id="20" w:name="_Toc35393631"/>
      <w:bookmarkStart w:id="21" w:name="_Toc28359091"/>
      <w:r>
        <w:rPr>
          <w:rFonts w:hint="eastAsia" w:ascii="宋体" w:hAnsi="宋体" w:eastAsia="宋体" w:cs="宋体"/>
          <w:bCs/>
          <w:color w:val="auto"/>
          <w:kern w:val="0"/>
          <w:sz w:val="24"/>
          <w:szCs w:val="24"/>
          <w:highlight w:val="none"/>
          <w:lang w:eastAsia="zh-CN"/>
        </w:rPr>
        <w:t>1.满足《中华人民共和国政府采购法》第二十二条规定；</w:t>
      </w:r>
    </w:p>
    <w:p w14:paraId="2F41839A">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2.落实政府采购政策需满足的资格要求：本项目专门面向小微企业采购。</w:t>
      </w:r>
    </w:p>
    <w:p w14:paraId="53D4E848">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3.本项目的特定资格要求：</w:t>
      </w:r>
    </w:p>
    <w:p w14:paraId="5B284AD3">
      <w:pPr>
        <w:pageBreakBefore w:val="0"/>
        <w:numPr>
          <w:ilvl w:val="0"/>
          <w:numId w:val="0"/>
        </w:numPr>
        <w:kinsoku/>
        <w:wordWrap/>
        <w:topLinePunct w:val="0"/>
        <w:bidi w:val="0"/>
        <w:spacing w:beforeAutospacing="0" w:afterAutospacing="0" w:line="460" w:lineRule="exact"/>
        <w:ind w:left="0" w:leftChars="0" w:right="0" w:rightChars="0"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3.1供应商应具备消防设施工程专业承包二级及以上资质，具备有效的安全生产许可证；</w:t>
      </w:r>
    </w:p>
    <w:p w14:paraId="3000F11A">
      <w:pPr>
        <w:pageBreakBefore w:val="0"/>
        <w:numPr>
          <w:ilvl w:val="0"/>
          <w:numId w:val="0"/>
        </w:numPr>
        <w:kinsoku/>
        <w:wordWrap/>
        <w:topLinePunct w:val="0"/>
        <w:bidi w:val="0"/>
        <w:spacing w:beforeAutospacing="0" w:afterAutospacing="0" w:line="460" w:lineRule="exact"/>
        <w:ind w:left="0" w:leftChars="0" w:right="0" w:righ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3.2项目负责人具有机电工程专业二级及以上注册建造师，具备有效的安全生产考核合格证书（B类）。</w:t>
      </w:r>
    </w:p>
    <w:p w14:paraId="12F49FBA">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eastAsia="zh-CN"/>
        </w:rPr>
        <w:t>本项目不接受联合体投标。</w:t>
      </w:r>
    </w:p>
    <w:bookmarkEnd w:id="17"/>
    <w:p w14:paraId="52022DD0">
      <w:pPr>
        <w:pageBreakBefore w:val="0"/>
        <w:kinsoku/>
        <w:wordWrap/>
        <w:topLinePunct w:val="0"/>
        <w:bidi w:val="0"/>
        <w:spacing w:beforeAutospacing="0" w:afterAutospacing="0" w:line="460" w:lineRule="exact"/>
        <w:ind w:left="0" w:leftChars="0" w:right="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三、获取采购文件</w:t>
      </w:r>
      <w:bookmarkEnd w:id="18"/>
      <w:bookmarkEnd w:id="19"/>
      <w:bookmarkEnd w:id="20"/>
      <w:bookmarkEnd w:id="21"/>
    </w:p>
    <w:p w14:paraId="630FE514">
      <w:pPr>
        <w:pStyle w:val="23"/>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bCs/>
          <w:color w:val="auto"/>
          <w:kern w:val="0"/>
          <w:sz w:val="24"/>
          <w:szCs w:val="24"/>
          <w:highlight w:val="none"/>
          <w:lang w:val="en-US" w:eastAsia="zh-CN" w:bidi="ar-SA"/>
        </w:rPr>
      </w:pPr>
      <w:bookmarkStart w:id="22" w:name="_Toc35393801"/>
      <w:bookmarkStart w:id="23" w:name="_Toc28359092"/>
      <w:bookmarkStart w:id="24" w:name="_Toc28359015"/>
      <w:bookmarkStart w:id="25" w:name="_Toc35393632"/>
      <w:r>
        <w:rPr>
          <w:rFonts w:hint="eastAsia" w:ascii="宋体" w:hAnsi="宋体" w:eastAsia="宋体" w:cs="宋体"/>
          <w:bCs/>
          <w:color w:val="auto"/>
          <w:kern w:val="0"/>
          <w:sz w:val="24"/>
          <w:szCs w:val="24"/>
          <w:highlight w:val="none"/>
          <w:lang w:val="en-US" w:eastAsia="zh-CN" w:bidi="ar-SA"/>
        </w:rPr>
        <w:t>时间：2025年06月1</w:t>
      </w:r>
      <w:r>
        <w:rPr>
          <w:rFonts w:hint="eastAsia" w:cs="宋体"/>
          <w:bCs/>
          <w:color w:val="auto"/>
          <w:kern w:val="0"/>
          <w:sz w:val="24"/>
          <w:szCs w:val="24"/>
          <w:highlight w:val="none"/>
          <w:lang w:val="en-US" w:eastAsia="zh-CN" w:bidi="ar-SA"/>
        </w:rPr>
        <w:t>7</w:t>
      </w:r>
      <w:r>
        <w:rPr>
          <w:rFonts w:hint="eastAsia" w:ascii="宋体" w:hAnsi="宋体" w:eastAsia="宋体" w:cs="宋体"/>
          <w:bCs/>
          <w:color w:val="auto"/>
          <w:kern w:val="0"/>
          <w:sz w:val="24"/>
          <w:szCs w:val="24"/>
          <w:highlight w:val="none"/>
          <w:lang w:val="en-US" w:eastAsia="zh-CN" w:bidi="ar-SA"/>
        </w:rPr>
        <w:t>日至2025年06月</w:t>
      </w:r>
      <w:r>
        <w:rPr>
          <w:rFonts w:hint="eastAsia" w:cs="宋体"/>
          <w:bCs/>
          <w:color w:val="auto"/>
          <w:kern w:val="0"/>
          <w:sz w:val="24"/>
          <w:szCs w:val="24"/>
          <w:highlight w:val="none"/>
          <w:lang w:val="en-US" w:eastAsia="zh-CN" w:bidi="ar-SA"/>
        </w:rPr>
        <w:t>24</w:t>
      </w:r>
      <w:r>
        <w:rPr>
          <w:rFonts w:hint="eastAsia" w:ascii="宋体" w:hAnsi="宋体" w:eastAsia="宋体" w:cs="宋体"/>
          <w:bCs/>
          <w:color w:val="auto"/>
          <w:kern w:val="0"/>
          <w:sz w:val="24"/>
          <w:szCs w:val="24"/>
          <w:highlight w:val="none"/>
          <w:lang w:val="en-US" w:eastAsia="zh-CN" w:bidi="ar-SA"/>
        </w:rPr>
        <w:t>日，每天上午00:00至12:00，下午12:00至23:59（北京时间，法定节假日除外）</w:t>
      </w:r>
    </w:p>
    <w:p w14:paraId="76130868">
      <w:pPr>
        <w:pStyle w:val="23"/>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地点：政采云平台线上</w:t>
      </w:r>
    </w:p>
    <w:p w14:paraId="7511DF34">
      <w:pPr>
        <w:pStyle w:val="23"/>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方式：投标人登录政采云平台https://www.zcygov.cn/，进入“项目采购-开标评标-右边选择对应项目点击“进入项目”进入开标大厅。</w:t>
      </w:r>
    </w:p>
    <w:p w14:paraId="630A0CAF">
      <w:pPr>
        <w:pStyle w:val="23"/>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售价（元）：0</w:t>
      </w:r>
    </w:p>
    <w:p w14:paraId="65F47A17">
      <w:pPr>
        <w:pageBreakBefore w:val="0"/>
        <w:kinsoku/>
        <w:wordWrap/>
        <w:topLinePunct w:val="0"/>
        <w:bidi w:val="0"/>
        <w:spacing w:beforeAutospacing="0" w:afterAutospacing="0" w:line="460" w:lineRule="exact"/>
        <w:ind w:left="0" w:leftChars="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四、响应文件提交</w:t>
      </w:r>
      <w:bookmarkEnd w:id="22"/>
      <w:bookmarkEnd w:id="23"/>
      <w:bookmarkEnd w:id="24"/>
      <w:bookmarkEnd w:id="25"/>
    </w:p>
    <w:p w14:paraId="6E444EE9">
      <w:pPr>
        <w:pageBreakBefore w:val="0"/>
        <w:kinsoku/>
        <w:wordWrap/>
        <w:topLinePunct w:val="0"/>
        <w:bidi w:val="0"/>
        <w:spacing w:beforeAutospacing="0" w:afterAutospacing="0" w:line="460" w:lineRule="exact"/>
        <w:ind w:left="0" w:leftChars="0" w:right="0" w:firstLine="480" w:firstLineChars="200"/>
        <w:jc w:val="left"/>
        <w:rPr>
          <w:rFonts w:hint="eastAsia" w:ascii="宋体" w:hAnsi="宋体" w:eastAsia="宋体" w:cs="宋体"/>
          <w:bCs/>
          <w:color w:val="auto"/>
          <w:kern w:val="0"/>
          <w:sz w:val="24"/>
          <w:szCs w:val="24"/>
          <w:highlight w:val="none"/>
        </w:rPr>
      </w:pPr>
      <w:bookmarkStart w:id="26" w:name="_Toc28359093"/>
      <w:bookmarkStart w:id="27" w:name="_Toc28359016"/>
      <w:bookmarkStart w:id="28" w:name="_Toc35393633"/>
      <w:bookmarkStart w:id="29" w:name="_Toc35393802"/>
      <w:r>
        <w:rPr>
          <w:rFonts w:hint="eastAsia" w:ascii="宋体" w:hAnsi="宋体" w:eastAsia="宋体" w:cs="宋体"/>
          <w:bCs/>
          <w:color w:val="auto"/>
          <w:kern w:val="0"/>
          <w:sz w:val="24"/>
          <w:szCs w:val="24"/>
          <w:highlight w:val="none"/>
        </w:rPr>
        <w:t>提交响应文件截止时间：</w:t>
      </w:r>
      <w:r>
        <w:rPr>
          <w:rFonts w:hint="eastAsia" w:ascii="宋体" w:hAnsi="宋体" w:eastAsia="宋体" w:cs="宋体"/>
          <w:bCs/>
          <w:color w:val="auto"/>
          <w:kern w:val="0"/>
          <w:sz w:val="24"/>
          <w:szCs w:val="24"/>
          <w:highlight w:val="none"/>
          <w:lang w:eastAsia="zh-CN"/>
        </w:rPr>
        <w:t>2025年06月30日</w:t>
      </w: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：00分（北京时间）</w:t>
      </w:r>
    </w:p>
    <w:p w14:paraId="5719039A">
      <w:pPr>
        <w:pageBreakBefore w:val="0"/>
        <w:kinsoku/>
        <w:wordWrap/>
        <w:topLinePunct w:val="0"/>
        <w:bidi w:val="0"/>
        <w:spacing w:beforeAutospacing="0" w:afterAutospacing="0" w:line="460" w:lineRule="exact"/>
        <w:ind w:left="0" w:leftChars="0" w:right="0"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地点：供应商应在此之前将加密的响应文件上传至政采云https://www.zcygov.cn/ (本项目采用不见面开标，加密的电子响应文件在磋商时间前通过CA在政采云平台上传，逾期未上传的或不符合规定的响应文件将被拒绝接收）。</w:t>
      </w:r>
      <w:bookmarkStart w:id="994" w:name="_GoBack"/>
      <w:bookmarkEnd w:id="994"/>
    </w:p>
    <w:p w14:paraId="590AA2B0">
      <w:pPr>
        <w:pageBreakBefore w:val="0"/>
        <w:kinsoku/>
        <w:wordWrap/>
        <w:topLinePunct w:val="0"/>
        <w:bidi w:val="0"/>
        <w:spacing w:beforeAutospacing="0" w:afterAutospacing="0" w:line="460" w:lineRule="exact"/>
        <w:ind w:left="0" w:leftChars="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五、开启</w:t>
      </w:r>
      <w:bookmarkEnd w:id="26"/>
      <w:bookmarkEnd w:id="27"/>
      <w:bookmarkEnd w:id="28"/>
      <w:bookmarkEnd w:id="29"/>
    </w:p>
    <w:p w14:paraId="2AA68DF8">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时间：</w:t>
      </w:r>
      <w:r>
        <w:rPr>
          <w:rFonts w:hint="eastAsia" w:ascii="宋体" w:hAnsi="宋体" w:eastAsia="宋体" w:cs="宋体"/>
          <w:bCs/>
          <w:color w:val="auto"/>
          <w:kern w:val="0"/>
          <w:sz w:val="24"/>
          <w:szCs w:val="24"/>
          <w:highlight w:val="none"/>
          <w:lang w:eastAsia="zh-CN"/>
        </w:rPr>
        <w:t>2025年06月30日</w:t>
      </w: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：00分（北京时间）</w:t>
      </w:r>
    </w:p>
    <w:p w14:paraId="380680FD">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地点：政采云平台https：//www.zcygov.cn/ （本项目采用不见面开标，加密的电子响应文件在开标时间前通过CA在政采云平台上传）。</w:t>
      </w:r>
    </w:p>
    <w:p w14:paraId="00A63EC9">
      <w:pPr>
        <w:pageBreakBefore w:val="0"/>
        <w:kinsoku/>
        <w:wordWrap/>
        <w:topLinePunct w:val="0"/>
        <w:bidi w:val="0"/>
        <w:spacing w:beforeAutospacing="0" w:afterAutospacing="0" w:line="460" w:lineRule="exact"/>
        <w:ind w:left="0" w:leftChars="0" w:right="0"/>
        <w:rPr>
          <w:rFonts w:hint="eastAsia" w:ascii="宋体" w:hAnsi="宋体" w:eastAsia="宋体" w:cs="宋体"/>
          <w:b/>
          <w:bCs/>
          <w:color w:val="auto"/>
          <w:kern w:val="0"/>
          <w:sz w:val="24"/>
          <w:szCs w:val="24"/>
          <w:highlight w:val="none"/>
        </w:rPr>
      </w:pPr>
      <w:bookmarkStart w:id="30" w:name="_Toc28359094"/>
      <w:bookmarkStart w:id="31" w:name="_Toc28359017"/>
      <w:bookmarkStart w:id="32" w:name="_Toc35393634"/>
      <w:bookmarkStart w:id="33" w:name="_Toc35393803"/>
      <w:r>
        <w:rPr>
          <w:rFonts w:hint="eastAsia" w:ascii="宋体" w:hAnsi="宋体" w:eastAsia="宋体" w:cs="宋体"/>
          <w:b/>
          <w:bCs/>
          <w:color w:val="auto"/>
          <w:kern w:val="0"/>
          <w:sz w:val="24"/>
          <w:szCs w:val="24"/>
          <w:highlight w:val="none"/>
        </w:rPr>
        <w:t>六、公告期限</w:t>
      </w:r>
      <w:bookmarkEnd w:id="30"/>
      <w:bookmarkEnd w:id="31"/>
      <w:bookmarkEnd w:id="32"/>
      <w:bookmarkEnd w:id="33"/>
    </w:p>
    <w:p w14:paraId="7F317E48">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自本公告发布之日起5个工作日。</w:t>
      </w:r>
    </w:p>
    <w:p w14:paraId="3B80BA95">
      <w:pPr>
        <w:pageBreakBefore w:val="0"/>
        <w:numPr>
          <w:ilvl w:val="0"/>
          <w:numId w:val="1"/>
        </w:numPr>
        <w:kinsoku/>
        <w:wordWrap/>
        <w:topLinePunct w:val="0"/>
        <w:bidi w:val="0"/>
        <w:spacing w:beforeAutospacing="0" w:afterAutospacing="0" w:line="460" w:lineRule="exact"/>
        <w:ind w:left="0" w:leftChars="0" w:right="0"/>
        <w:rPr>
          <w:rFonts w:hint="eastAsia" w:ascii="宋体" w:hAnsi="宋体" w:eastAsia="宋体" w:cs="宋体"/>
          <w:b/>
          <w:bCs/>
          <w:color w:val="auto"/>
          <w:kern w:val="0"/>
          <w:sz w:val="24"/>
          <w:szCs w:val="24"/>
          <w:highlight w:val="none"/>
          <w:lang w:val="en-US" w:eastAsia="zh-CN"/>
        </w:rPr>
      </w:pPr>
      <w:bookmarkStart w:id="34" w:name="_Toc35393635"/>
      <w:bookmarkStart w:id="35" w:name="_Toc35393804"/>
      <w:r>
        <w:rPr>
          <w:rFonts w:hint="eastAsia" w:ascii="宋体" w:hAnsi="宋体" w:eastAsia="宋体" w:cs="宋体"/>
          <w:b/>
          <w:bCs/>
          <w:color w:val="auto"/>
          <w:kern w:val="0"/>
          <w:sz w:val="24"/>
          <w:szCs w:val="24"/>
          <w:highlight w:val="none"/>
        </w:rPr>
        <w:t>其他补充事宜</w:t>
      </w:r>
      <w:bookmarkEnd w:id="34"/>
      <w:bookmarkEnd w:id="35"/>
      <w:r>
        <w:rPr>
          <w:rFonts w:hint="eastAsia" w:ascii="宋体" w:hAnsi="宋体" w:eastAsia="宋体" w:cs="宋体"/>
          <w:b/>
          <w:bCs/>
          <w:color w:val="auto"/>
          <w:kern w:val="0"/>
          <w:sz w:val="24"/>
          <w:szCs w:val="24"/>
          <w:highlight w:val="none"/>
          <w:lang w:val="en-US" w:eastAsia="zh-CN"/>
        </w:rPr>
        <w:t xml:space="preserve"> </w:t>
      </w:r>
    </w:p>
    <w:p w14:paraId="5BC105F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宋体" w:hAnsi="宋体" w:eastAsia="宋体" w:cs="宋体"/>
          <w:bCs/>
          <w:color w:val="auto"/>
          <w:kern w:val="0"/>
          <w:sz w:val="24"/>
          <w:szCs w:val="24"/>
          <w:highlight w:val="none"/>
          <w:lang w:val="en-US" w:eastAsia="zh-CN"/>
        </w:rPr>
      </w:pPr>
      <w:bookmarkStart w:id="36" w:name="_Toc35393805"/>
      <w:bookmarkStart w:id="37" w:name="_Toc28359018"/>
      <w:bookmarkStart w:id="38" w:name="_Toc28359095"/>
      <w:bookmarkStart w:id="39" w:name="_Toc35393636"/>
      <w:r>
        <w:rPr>
          <w:rFonts w:hint="eastAsia" w:ascii="宋体" w:hAnsi="宋体" w:eastAsia="宋体" w:cs="宋体"/>
          <w:bCs/>
          <w:color w:val="auto"/>
          <w:kern w:val="0"/>
          <w:sz w:val="24"/>
          <w:szCs w:val="24"/>
          <w:highlight w:val="none"/>
          <w:lang w:val="en-US" w:eastAsia="zh-CN"/>
        </w:rPr>
        <w:t>1.本公告在新疆政府采购网发布。</w:t>
      </w:r>
    </w:p>
    <w:p w14:paraId="27CC1B4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2.请各供应商随时关注本项目的变更、答疑、澄清文件。</w:t>
      </w:r>
    </w:p>
    <w:p w14:paraId="16FDC0C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3.本项目实行电子招投标，供应商须登录政采云平台申请获取磋商文件，并通过政采云电子投标客户端制作响应文件，同时自行承担与投标有关的一切费用。</w:t>
      </w:r>
    </w:p>
    <w:p w14:paraId="71698C8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2A269F5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51F8BC8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6.本项目采用不见面开标，供应商须在投标截止时间前通过CA在政采云平台上传加密的电子响应文件。</w:t>
      </w:r>
    </w:p>
    <w:p w14:paraId="487F8CB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7DC00CA6">
      <w:pPr>
        <w:pageBreakBefore w:val="0"/>
        <w:kinsoku/>
        <w:wordWrap/>
        <w:topLinePunct w:val="0"/>
        <w:bidi w:val="0"/>
        <w:spacing w:beforeAutospacing="0" w:afterAutospacing="0" w:line="460" w:lineRule="exact"/>
        <w:ind w:left="0" w:leftChars="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八、凡对本次采购提出询问，请按以下方式联系。</w:t>
      </w:r>
      <w:bookmarkEnd w:id="36"/>
      <w:bookmarkEnd w:id="37"/>
      <w:bookmarkEnd w:id="38"/>
      <w:bookmarkEnd w:id="39"/>
    </w:p>
    <w:p w14:paraId="006A3D2C">
      <w:pPr>
        <w:pageBreakBefore w:val="0"/>
        <w:kinsoku/>
        <w:wordWrap/>
        <w:topLinePunct w:val="0"/>
        <w:autoSpaceDE w:val="0"/>
        <w:autoSpaceDN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1.采购人信息</w:t>
      </w:r>
    </w:p>
    <w:p w14:paraId="70231323">
      <w:pPr>
        <w:pageBreakBefore w:val="0"/>
        <w:kinsoku/>
        <w:wordWrap/>
        <w:topLinePunct w:val="0"/>
        <w:autoSpaceDE w:val="0"/>
        <w:autoSpaceDN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采购人：</w:t>
      </w:r>
      <w:r>
        <w:rPr>
          <w:rFonts w:hint="eastAsia" w:ascii="宋体" w:hAnsi="宋体" w:eastAsia="宋体" w:cs="宋体"/>
          <w:bCs/>
          <w:color w:val="auto"/>
          <w:kern w:val="0"/>
          <w:sz w:val="24"/>
          <w:szCs w:val="24"/>
          <w:highlight w:val="none"/>
          <w:lang w:eastAsia="zh-CN"/>
        </w:rPr>
        <w:t>乌鲁木齐市天山区城市管理局（乌鲁木齐市天山区城市管理行政执法局）</w:t>
      </w:r>
    </w:p>
    <w:p w14:paraId="4DC7CF53">
      <w:pPr>
        <w:pageBreakBefore w:val="0"/>
        <w:kinsoku/>
        <w:wordWrap/>
        <w:topLinePunct w:val="0"/>
        <w:autoSpaceDE w:val="0"/>
        <w:autoSpaceDN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地　址：</w:t>
      </w:r>
      <w:r>
        <w:rPr>
          <w:rFonts w:hint="eastAsia" w:ascii="宋体" w:hAnsi="宋体" w:eastAsia="宋体" w:cs="宋体"/>
          <w:bCs/>
          <w:color w:val="auto"/>
          <w:kern w:val="0"/>
          <w:sz w:val="24"/>
          <w:szCs w:val="24"/>
          <w:highlight w:val="none"/>
          <w:lang w:eastAsia="zh-CN"/>
        </w:rPr>
        <w:t>乌鲁木齐市天山区东泉路1399号</w:t>
      </w:r>
    </w:p>
    <w:p w14:paraId="5DFD6517">
      <w:pPr>
        <w:pageBreakBefore w:val="0"/>
        <w:kinsoku/>
        <w:wordWrap/>
        <w:topLinePunct w:val="0"/>
        <w:autoSpaceDE w:val="0"/>
        <w:autoSpaceDN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联系电话：</w:t>
      </w:r>
      <w:r>
        <w:rPr>
          <w:rFonts w:hint="eastAsia" w:ascii="宋体" w:hAnsi="宋体" w:eastAsia="宋体" w:cs="宋体"/>
          <w:bCs/>
          <w:color w:val="auto"/>
          <w:kern w:val="0"/>
          <w:sz w:val="24"/>
          <w:szCs w:val="24"/>
          <w:highlight w:val="none"/>
          <w:lang w:eastAsia="zh-CN"/>
        </w:rPr>
        <w:t>0991-2610689</w:t>
      </w:r>
    </w:p>
    <w:p w14:paraId="51C7878F">
      <w:pPr>
        <w:pageBreakBefore w:val="0"/>
        <w:kinsoku/>
        <w:wordWrap/>
        <w:topLinePunct w:val="0"/>
        <w:autoSpaceDE w:val="0"/>
        <w:autoSpaceDN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2.采购代理机构信息</w:t>
      </w:r>
    </w:p>
    <w:p w14:paraId="5563DA7E">
      <w:pPr>
        <w:pageBreakBefore w:val="0"/>
        <w:kinsoku/>
        <w:wordWrap/>
        <w:topLinePunct w:val="0"/>
        <w:autoSpaceDE w:val="0"/>
        <w:autoSpaceDN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名 称：</w:t>
      </w:r>
      <w:r>
        <w:rPr>
          <w:rFonts w:hint="eastAsia" w:ascii="宋体" w:hAnsi="宋体" w:eastAsia="宋体" w:cs="宋体"/>
          <w:bCs/>
          <w:color w:val="auto"/>
          <w:kern w:val="0"/>
          <w:sz w:val="24"/>
          <w:szCs w:val="24"/>
          <w:highlight w:val="none"/>
          <w:lang w:eastAsia="zh-CN"/>
        </w:rPr>
        <w:t>新疆申辉项目管理有限公司</w:t>
      </w:r>
    </w:p>
    <w:p w14:paraId="0918D2B8">
      <w:pPr>
        <w:pageBreakBefore w:val="0"/>
        <w:kinsoku/>
        <w:wordWrap/>
        <w:topLinePunct w:val="0"/>
        <w:autoSpaceDE w:val="0"/>
        <w:autoSpaceDN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　址：</w:t>
      </w:r>
      <w:r>
        <w:rPr>
          <w:rFonts w:hint="eastAsia" w:ascii="宋体" w:hAnsi="宋体" w:eastAsia="宋体" w:cs="宋体"/>
          <w:bCs/>
          <w:color w:val="auto"/>
          <w:kern w:val="0"/>
          <w:sz w:val="24"/>
          <w:szCs w:val="24"/>
          <w:highlight w:val="none"/>
          <w:lang w:eastAsia="zh-CN"/>
        </w:rPr>
        <w:t>新疆乌鲁木齐市天山区光明路125号</w:t>
      </w:r>
    </w:p>
    <w:p w14:paraId="0BE6D1D0">
      <w:pPr>
        <w:pageBreakBefore w:val="0"/>
        <w:kinsoku/>
        <w:wordWrap/>
        <w:topLinePunct w:val="0"/>
        <w:autoSpaceDE w:val="0"/>
        <w:autoSpaceDN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联系人：</w:t>
      </w:r>
      <w:r>
        <w:rPr>
          <w:rFonts w:hint="eastAsia" w:ascii="宋体" w:hAnsi="宋体" w:eastAsia="宋体" w:cs="宋体"/>
          <w:bCs/>
          <w:color w:val="auto"/>
          <w:kern w:val="0"/>
          <w:sz w:val="24"/>
          <w:szCs w:val="24"/>
          <w:highlight w:val="none"/>
          <w:lang w:eastAsia="zh-CN"/>
        </w:rPr>
        <w:t>秦工</w:t>
      </w:r>
    </w:p>
    <w:p w14:paraId="6924C84A">
      <w:pPr>
        <w:pageBreakBefore w:val="0"/>
        <w:kinsoku/>
        <w:wordWrap/>
        <w:topLinePunct w:val="0"/>
        <w:autoSpaceDE w:val="0"/>
        <w:autoSpaceDN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联系方式</w:t>
      </w:r>
      <w:r>
        <w:rPr>
          <w:rFonts w:hint="eastAsia" w:ascii="宋体" w:hAnsi="宋体" w:eastAsia="宋体" w:cs="宋体"/>
          <w:bCs/>
          <w:color w:val="auto"/>
          <w:kern w:val="0"/>
          <w:sz w:val="24"/>
          <w:szCs w:val="24"/>
          <w:highlight w:val="none"/>
          <w:lang w:eastAsia="zh-CN"/>
        </w:rPr>
        <w:t>：18129457692</w:t>
      </w:r>
    </w:p>
    <w:p w14:paraId="70FD4442">
      <w:pPr>
        <w:pageBreakBefore w:val="0"/>
        <w:kinsoku/>
        <w:wordWrap/>
        <w:topLinePunct w:val="0"/>
        <w:autoSpaceDE w:val="0"/>
        <w:autoSpaceDN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3.项目联系方式</w:t>
      </w:r>
    </w:p>
    <w:p w14:paraId="415E458A">
      <w:pPr>
        <w:pageBreakBefore w:val="0"/>
        <w:kinsoku/>
        <w:wordWrap/>
        <w:topLinePunct w:val="0"/>
        <w:autoSpaceDE w:val="0"/>
        <w:autoSpaceDN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项目联系人：</w:t>
      </w:r>
      <w:r>
        <w:rPr>
          <w:rFonts w:hint="eastAsia" w:ascii="宋体" w:hAnsi="宋体" w:eastAsia="宋体" w:cs="宋体"/>
          <w:bCs/>
          <w:color w:val="auto"/>
          <w:kern w:val="0"/>
          <w:sz w:val="24"/>
          <w:szCs w:val="24"/>
          <w:highlight w:val="none"/>
          <w:lang w:eastAsia="zh-CN"/>
        </w:rPr>
        <w:t>秦工</w:t>
      </w:r>
    </w:p>
    <w:p w14:paraId="1DFE6BE6">
      <w:pPr>
        <w:pageBreakBefore w:val="0"/>
        <w:kinsoku/>
        <w:wordWrap/>
        <w:topLinePunct w:val="0"/>
        <w:autoSpaceDE w:val="0"/>
        <w:autoSpaceDN w:val="0"/>
        <w:bidi w:val="0"/>
        <w:spacing w:beforeAutospacing="0" w:afterAutospacing="0" w:line="460" w:lineRule="exact"/>
        <w:ind w:left="0" w:leftChars="0" w:right="0" w:firstLine="480" w:firstLineChars="200"/>
        <w:rPr>
          <w:rFonts w:hint="eastAsia" w:ascii="宋体" w:hAnsi="宋体" w:eastAsia="宋体" w:cs="宋体"/>
          <w:bCs/>
          <w:color w:val="auto"/>
          <w:kern w:val="0"/>
          <w:sz w:val="24"/>
          <w:szCs w:val="24"/>
          <w:highlight w:val="none"/>
        </w:rPr>
        <w:sectPr>
          <w:footerReference r:id="rId4" w:type="default"/>
          <w:pgSz w:w="11906" w:h="16838"/>
          <w:pgMar w:top="1134" w:right="1701" w:bottom="1134" w:left="1701" w:header="851" w:footer="851" w:gutter="0"/>
          <w:pgNumType w:fmt="decimal" w:start="1"/>
          <w:cols w:space="720" w:num="1"/>
          <w:docGrid w:type="lines" w:linePitch="312" w:charSpace="0"/>
        </w:sectPr>
      </w:pPr>
      <w:r>
        <w:rPr>
          <w:rFonts w:hint="eastAsia" w:ascii="宋体" w:hAnsi="宋体" w:eastAsia="宋体" w:cs="宋体"/>
          <w:bCs/>
          <w:color w:val="auto"/>
          <w:kern w:val="0"/>
          <w:sz w:val="24"/>
          <w:szCs w:val="24"/>
          <w:highlight w:val="none"/>
        </w:rPr>
        <w:t>电　话：</w:t>
      </w:r>
      <w:r>
        <w:rPr>
          <w:rFonts w:hint="eastAsia" w:ascii="宋体" w:hAnsi="宋体" w:eastAsia="宋体" w:cs="宋体"/>
          <w:bCs/>
          <w:color w:val="auto"/>
          <w:kern w:val="0"/>
          <w:sz w:val="24"/>
          <w:szCs w:val="24"/>
          <w:highlight w:val="none"/>
          <w:lang w:eastAsia="zh-CN"/>
        </w:rPr>
        <w:t>18129457692</w:t>
      </w:r>
    </w:p>
    <w:p w14:paraId="437DA231">
      <w:pPr>
        <w:pageBreakBefore w:val="0"/>
        <w:wordWrap/>
        <w:bidi w:val="0"/>
        <w:spacing w:line="460" w:lineRule="exact"/>
        <w:ind w:left="0" w:leftChars="0" w:right="0"/>
        <w:jc w:val="center"/>
        <w:outlineLvl w:val="0"/>
        <w:rPr>
          <w:rFonts w:hint="eastAsia" w:ascii="宋体" w:hAnsi="宋体" w:eastAsia="宋体" w:cs="宋体"/>
          <w:b/>
          <w:bCs/>
          <w:color w:val="auto"/>
          <w:sz w:val="32"/>
          <w:szCs w:val="28"/>
          <w:highlight w:val="none"/>
          <w:lang w:val="en-US" w:eastAsia="zh-CN"/>
        </w:rPr>
      </w:pPr>
      <w:bookmarkStart w:id="40" w:name="_Toc1444"/>
      <w:bookmarkStart w:id="41" w:name="_Toc20067"/>
      <w:bookmarkStart w:id="42" w:name="_Toc8516"/>
      <w:r>
        <w:rPr>
          <w:rFonts w:hint="eastAsia" w:ascii="宋体" w:hAnsi="宋体" w:eastAsia="宋体" w:cs="宋体"/>
          <w:b/>
          <w:bCs/>
          <w:color w:val="auto"/>
          <w:sz w:val="32"/>
          <w:szCs w:val="28"/>
          <w:highlight w:val="none"/>
          <w:lang w:val="en-US" w:eastAsia="zh-CN"/>
        </w:rPr>
        <w:t>第二部分  供应商须知</w:t>
      </w:r>
      <w:bookmarkEnd w:id="40"/>
      <w:bookmarkEnd w:id="41"/>
      <w:bookmarkEnd w:id="42"/>
    </w:p>
    <w:p w14:paraId="562E1E9F">
      <w:pPr>
        <w:pStyle w:val="5"/>
        <w:keepNext/>
        <w:keepLines w:val="0"/>
        <w:pageBreakBefore w:val="0"/>
        <w:widowControl w:val="0"/>
        <w:tabs>
          <w:tab w:val="left" w:pos="360"/>
        </w:tabs>
        <w:kinsoku/>
        <w:wordWrap/>
        <w:overflowPunct/>
        <w:topLinePunct w:val="0"/>
        <w:autoSpaceDE/>
        <w:autoSpaceDN/>
        <w:bidi w:val="0"/>
        <w:adjustRightInd/>
        <w:snapToGrid/>
        <w:spacing w:before="0" w:beforeAutospacing="0" w:after="0" w:afterAutospacing="0" w:line="460" w:lineRule="exact"/>
        <w:ind w:left="0" w:leftChars="0" w:right="0" w:firstLine="0"/>
        <w:jc w:val="center"/>
        <w:textAlignment w:val="auto"/>
        <w:outlineLvl w:val="1"/>
        <w:rPr>
          <w:rFonts w:hint="eastAsia" w:ascii="宋体" w:hAnsi="宋体" w:eastAsia="宋体" w:cs="宋体"/>
          <w:color w:val="auto"/>
          <w:sz w:val="24"/>
          <w:szCs w:val="24"/>
          <w:highlight w:val="none"/>
        </w:rPr>
      </w:pPr>
      <w:bookmarkStart w:id="43" w:name="_Toc468707217"/>
      <w:r>
        <w:rPr>
          <w:rFonts w:hint="eastAsia" w:ascii="宋体" w:hAnsi="宋体" w:eastAsia="宋体" w:cs="宋体"/>
          <w:color w:val="auto"/>
          <w:sz w:val="24"/>
          <w:szCs w:val="24"/>
          <w:highlight w:val="none"/>
        </w:rPr>
        <w:t>供应商须知附表</w:t>
      </w:r>
      <w:bookmarkEnd w:id="43"/>
    </w:p>
    <w:tbl>
      <w:tblPr>
        <w:tblStyle w:val="25"/>
        <w:tblW w:w="89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8246"/>
      </w:tblGrid>
      <w:tr w14:paraId="60DBD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7B2238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246" w:type="dxa"/>
            <w:tcBorders>
              <w:top w:val="single" w:color="auto" w:sz="4" w:space="0"/>
              <w:left w:val="single" w:color="auto" w:sz="4" w:space="0"/>
              <w:bottom w:val="single" w:color="auto" w:sz="4" w:space="0"/>
              <w:right w:val="single" w:color="auto" w:sz="4" w:space="0"/>
            </w:tcBorders>
            <w:vAlign w:val="center"/>
          </w:tcPr>
          <w:p w14:paraId="1EDF102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1A406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55" w:type="dxa"/>
            <w:gridSpan w:val="2"/>
            <w:tcBorders>
              <w:top w:val="single" w:color="auto" w:sz="4" w:space="0"/>
              <w:left w:val="single" w:color="auto" w:sz="4" w:space="0"/>
              <w:bottom w:val="single" w:color="auto" w:sz="4" w:space="0"/>
              <w:right w:val="single" w:color="auto" w:sz="4" w:space="0"/>
            </w:tcBorders>
            <w:vAlign w:val="center"/>
          </w:tcPr>
          <w:p w14:paraId="66026CC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          明</w:t>
            </w:r>
          </w:p>
        </w:tc>
      </w:tr>
      <w:tr w14:paraId="703AC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003208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46" w:type="dxa"/>
            <w:tcBorders>
              <w:top w:val="single" w:color="auto" w:sz="4" w:space="0"/>
              <w:left w:val="single" w:color="auto" w:sz="4" w:space="0"/>
              <w:bottom w:val="single" w:color="auto" w:sz="4" w:space="0"/>
              <w:right w:val="single" w:color="auto" w:sz="4" w:space="0"/>
            </w:tcBorders>
            <w:vAlign w:val="center"/>
          </w:tcPr>
          <w:p w14:paraId="0E97209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2025年天山区市政道路附属公共消防设施日常维护项目</w:t>
            </w:r>
          </w:p>
          <w:p w14:paraId="65FF718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kern w:val="0"/>
                <w:sz w:val="24"/>
                <w:szCs w:val="24"/>
                <w:highlight w:val="none"/>
                <w:lang w:eastAsia="zh-CN"/>
              </w:rPr>
              <w:t>XJSH-2025-0602</w:t>
            </w:r>
          </w:p>
          <w:p w14:paraId="1A087F31">
            <w:pPr>
              <w:pageBreakBefore w:val="0"/>
              <w:widowControl w:val="0"/>
              <w:kinsoku/>
              <w:wordWrap/>
              <w:topLinePunct w:val="0"/>
              <w:autoSpaceDE/>
              <w:autoSpaceDN/>
              <w:bidi w:val="0"/>
              <w:adjustRightInd/>
              <w:snapToGrid/>
              <w:spacing w:beforeAutospacing="0" w:afterAutospacing="0" w:line="400" w:lineRule="exact"/>
              <w:ind w:left="0" w:leftChars="0" w:right="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预算金额：</w:t>
            </w:r>
            <w:r>
              <w:rPr>
                <w:rFonts w:hint="eastAsia" w:ascii="宋体" w:hAnsi="宋体" w:eastAsia="宋体" w:cs="宋体"/>
                <w:bCs/>
                <w:color w:val="auto"/>
                <w:kern w:val="0"/>
                <w:sz w:val="24"/>
                <w:szCs w:val="24"/>
                <w:highlight w:val="none"/>
                <w:lang w:val="en-US" w:eastAsia="zh-CN"/>
              </w:rPr>
              <w:t>680000.00元</w:t>
            </w:r>
          </w:p>
          <w:p w14:paraId="2ABDBE40">
            <w:pPr>
              <w:pageBreakBefore w:val="0"/>
              <w:widowControl w:val="0"/>
              <w:kinsoku/>
              <w:wordWrap/>
              <w:topLinePunct w:val="0"/>
              <w:autoSpaceDE/>
              <w:autoSpaceDN/>
              <w:bidi w:val="0"/>
              <w:adjustRightInd/>
              <w:snapToGrid/>
              <w:spacing w:beforeAutospacing="0" w:afterAutospacing="0"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最高限价</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23233.69元（单价合计金额）</w:t>
            </w:r>
          </w:p>
        </w:tc>
      </w:tr>
      <w:tr w14:paraId="07D31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A40B05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246" w:type="dxa"/>
            <w:tcBorders>
              <w:top w:val="single" w:color="auto" w:sz="4" w:space="0"/>
              <w:left w:val="single" w:color="auto" w:sz="4" w:space="0"/>
              <w:bottom w:val="single" w:color="auto" w:sz="4" w:space="0"/>
              <w:right w:val="single" w:color="auto" w:sz="4" w:space="0"/>
            </w:tcBorders>
            <w:vAlign w:val="center"/>
          </w:tcPr>
          <w:p w14:paraId="05F69E2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pacing w:val="8"/>
                <w:sz w:val="24"/>
                <w:szCs w:val="24"/>
                <w:highlight w:val="none"/>
                <w:lang w:eastAsia="zh-CN"/>
              </w:rPr>
              <w:t>乌鲁木齐市天山区城市管理局（乌鲁木齐市天山区城市管理行政执法局）</w:t>
            </w:r>
          </w:p>
          <w:p w14:paraId="4C259EE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单位地址：</w:t>
            </w:r>
            <w:r>
              <w:rPr>
                <w:rFonts w:hint="eastAsia" w:ascii="宋体" w:hAnsi="宋体" w:eastAsia="宋体" w:cs="宋体"/>
                <w:color w:val="auto"/>
                <w:spacing w:val="8"/>
                <w:sz w:val="24"/>
                <w:szCs w:val="24"/>
                <w:highlight w:val="none"/>
                <w:lang w:eastAsia="zh-CN"/>
              </w:rPr>
              <w:t>乌鲁木齐市天山区东泉路1399号</w:t>
            </w:r>
          </w:p>
          <w:p w14:paraId="2E29972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联系人：</w:t>
            </w:r>
            <w:r>
              <w:rPr>
                <w:rFonts w:hint="eastAsia" w:ascii="宋体" w:hAnsi="宋体" w:eastAsia="宋体" w:cs="宋体"/>
                <w:color w:val="auto"/>
                <w:spacing w:val="8"/>
                <w:sz w:val="24"/>
                <w:szCs w:val="24"/>
                <w:highlight w:val="none"/>
                <w:lang w:eastAsia="zh-CN"/>
              </w:rPr>
              <w:t>张健、吕籽乐</w:t>
            </w:r>
          </w:p>
          <w:p w14:paraId="297A1A7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电话：</w:t>
            </w:r>
            <w:r>
              <w:rPr>
                <w:rStyle w:val="28"/>
                <w:rFonts w:hint="eastAsia" w:ascii="宋体" w:hAnsi="宋体" w:eastAsia="宋体" w:cs="宋体"/>
                <w:b w:val="0"/>
                <w:bCs w:val="0"/>
                <w:color w:val="auto"/>
                <w:sz w:val="24"/>
                <w:szCs w:val="24"/>
                <w:highlight w:val="none"/>
                <w:lang w:eastAsia="zh-CN"/>
              </w:rPr>
              <w:t>0991-2610689</w:t>
            </w:r>
          </w:p>
        </w:tc>
      </w:tr>
      <w:tr w14:paraId="3B8F5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7F1DCE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246" w:type="dxa"/>
            <w:tcBorders>
              <w:top w:val="single" w:color="auto" w:sz="4" w:space="0"/>
              <w:left w:val="single" w:color="auto" w:sz="4" w:space="0"/>
              <w:bottom w:val="single" w:color="auto" w:sz="4" w:space="0"/>
              <w:right w:val="single" w:color="auto" w:sz="4" w:space="0"/>
            </w:tcBorders>
            <w:vAlign w:val="center"/>
          </w:tcPr>
          <w:p w14:paraId="6CEFCC0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采购</w:t>
            </w:r>
            <w:r>
              <w:rPr>
                <w:rFonts w:hint="eastAsia" w:ascii="宋体" w:hAnsi="宋体" w:eastAsia="宋体" w:cs="宋体"/>
                <w:color w:val="auto"/>
                <w:spacing w:val="8"/>
                <w:sz w:val="24"/>
                <w:szCs w:val="24"/>
                <w:highlight w:val="none"/>
              </w:rPr>
              <w:t>代理机构名称：</w:t>
            </w:r>
            <w:r>
              <w:rPr>
                <w:rFonts w:hint="eastAsia" w:ascii="宋体" w:hAnsi="宋体" w:eastAsia="宋体" w:cs="宋体"/>
                <w:color w:val="auto"/>
                <w:spacing w:val="8"/>
                <w:sz w:val="24"/>
                <w:szCs w:val="24"/>
                <w:highlight w:val="none"/>
                <w:lang w:eastAsia="zh-CN"/>
              </w:rPr>
              <w:t>新疆申辉项目管理有限公司</w:t>
            </w:r>
          </w:p>
          <w:p w14:paraId="5467009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pacing w:val="8"/>
                <w:sz w:val="24"/>
                <w:szCs w:val="24"/>
                <w:highlight w:val="none"/>
                <w:lang w:eastAsia="zh-CN"/>
              </w:rPr>
            </w:pPr>
            <w:bookmarkStart w:id="44" w:name="OLE_LINK6"/>
            <w:r>
              <w:rPr>
                <w:rFonts w:hint="eastAsia" w:ascii="宋体" w:hAnsi="宋体" w:eastAsia="宋体" w:cs="宋体"/>
                <w:color w:val="auto"/>
                <w:spacing w:val="8"/>
                <w:sz w:val="24"/>
                <w:szCs w:val="24"/>
                <w:highlight w:val="none"/>
              </w:rPr>
              <w:t>单位地址：</w:t>
            </w:r>
            <w:r>
              <w:rPr>
                <w:rFonts w:hint="eastAsia" w:ascii="宋体" w:hAnsi="宋体" w:eastAsia="宋体" w:cs="宋体"/>
                <w:color w:val="auto"/>
                <w:spacing w:val="8"/>
                <w:sz w:val="24"/>
                <w:szCs w:val="24"/>
                <w:highlight w:val="none"/>
                <w:lang w:eastAsia="zh-CN"/>
              </w:rPr>
              <w:t>新疆乌鲁木齐市天山区光明路125号</w:t>
            </w:r>
          </w:p>
          <w:p w14:paraId="369FEE9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联系人：</w:t>
            </w:r>
            <w:r>
              <w:rPr>
                <w:rFonts w:hint="eastAsia" w:ascii="宋体" w:hAnsi="宋体" w:eastAsia="宋体" w:cs="宋体"/>
                <w:color w:val="auto"/>
                <w:spacing w:val="8"/>
                <w:sz w:val="24"/>
                <w:szCs w:val="24"/>
                <w:highlight w:val="none"/>
                <w:lang w:eastAsia="zh-CN"/>
              </w:rPr>
              <w:t>秦工</w:t>
            </w:r>
          </w:p>
          <w:p w14:paraId="34502D4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电话：</w:t>
            </w:r>
            <w:r>
              <w:rPr>
                <w:rStyle w:val="28"/>
                <w:rFonts w:hint="eastAsia" w:ascii="宋体" w:hAnsi="宋体" w:eastAsia="宋体" w:cs="宋体"/>
                <w:b w:val="0"/>
                <w:bCs w:val="0"/>
                <w:color w:val="auto"/>
                <w:sz w:val="24"/>
                <w:szCs w:val="24"/>
                <w:highlight w:val="none"/>
                <w:lang w:eastAsia="zh-CN"/>
              </w:rPr>
              <w:t>18129457692</w:t>
            </w:r>
            <w:bookmarkEnd w:id="44"/>
          </w:p>
        </w:tc>
      </w:tr>
      <w:tr w14:paraId="4EE39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5223E5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4</w:t>
            </w:r>
          </w:p>
        </w:tc>
        <w:tc>
          <w:tcPr>
            <w:tcW w:w="8246" w:type="dxa"/>
            <w:tcBorders>
              <w:top w:val="single" w:color="auto" w:sz="4" w:space="0"/>
              <w:left w:val="single" w:color="auto" w:sz="4" w:space="0"/>
              <w:bottom w:val="single" w:color="auto" w:sz="4" w:space="0"/>
              <w:right w:val="single" w:color="auto" w:sz="4" w:space="0"/>
            </w:tcBorders>
            <w:vAlign w:val="center"/>
          </w:tcPr>
          <w:p w14:paraId="20EE7D7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项目地点：乌鲁木齐天山区辖区内</w:t>
            </w:r>
          </w:p>
        </w:tc>
      </w:tr>
      <w:tr w14:paraId="55EA9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B36171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5</w:t>
            </w:r>
          </w:p>
        </w:tc>
        <w:tc>
          <w:tcPr>
            <w:tcW w:w="8246" w:type="dxa"/>
            <w:tcBorders>
              <w:top w:val="single" w:color="auto" w:sz="4" w:space="0"/>
              <w:left w:val="single" w:color="auto" w:sz="4" w:space="0"/>
              <w:bottom w:val="single" w:color="auto" w:sz="4" w:space="0"/>
              <w:right w:val="single" w:color="auto" w:sz="4" w:space="0"/>
            </w:tcBorders>
            <w:vAlign w:val="center"/>
          </w:tcPr>
          <w:p w14:paraId="6702A82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资金来源及比例：财政资金100%</w:t>
            </w:r>
          </w:p>
        </w:tc>
      </w:tr>
      <w:tr w14:paraId="26551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97A6D9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6</w:t>
            </w:r>
          </w:p>
        </w:tc>
        <w:tc>
          <w:tcPr>
            <w:tcW w:w="8246" w:type="dxa"/>
            <w:tcBorders>
              <w:top w:val="single" w:color="auto" w:sz="4" w:space="0"/>
              <w:left w:val="single" w:color="auto" w:sz="4" w:space="0"/>
              <w:bottom w:val="single" w:color="auto" w:sz="4" w:space="0"/>
              <w:right w:val="single" w:color="auto" w:sz="4" w:space="0"/>
            </w:tcBorders>
            <w:vAlign w:val="center"/>
          </w:tcPr>
          <w:p w14:paraId="43215D4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资金落实情况：已落实</w:t>
            </w:r>
          </w:p>
        </w:tc>
      </w:tr>
      <w:tr w14:paraId="2FDE1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CAA20D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7</w:t>
            </w:r>
          </w:p>
        </w:tc>
        <w:tc>
          <w:tcPr>
            <w:tcW w:w="8246" w:type="dxa"/>
            <w:tcBorders>
              <w:top w:val="single" w:color="auto" w:sz="4" w:space="0"/>
              <w:left w:val="single" w:color="auto" w:sz="4" w:space="0"/>
              <w:bottom w:val="single" w:color="auto" w:sz="4" w:space="0"/>
              <w:right w:val="single" w:color="auto" w:sz="4" w:space="0"/>
            </w:tcBorders>
            <w:vAlign w:val="center"/>
          </w:tcPr>
          <w:p w14:paraId="7221A10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采购需求：</w:t>
            </w:r>
            <w:r>
              <w:rPr>
                <w:rFonts w:hint="eastAsia" w:ascii="宋体" w:hAnsi="宋体" w:cs="宋体"/>
                <w:color w:val="auto"/>
                <w:spacing w:val="8"/>
                <w:sz w:val="24"/>
                <w:szCs w:val="24"/>
                <w:highlight w:val="none"/>
                <w:lang w:eastAsia="zh-CN"/>
              </w:rPr>
              <w:t>重点对辖区内29座消防水鹤、468座消火栓及后续移交市政道路的消防设施实施维修维护工作，包括更换零部件、维修消防设施、抽排消火栓井积水、清掏杂物与除锈等日常维护工作。</w:t>
            </w:r>
          </w:p>
        </w:tc>
      </w:tr>
      <w:tr w14:paraId="7FA4D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ED56035">
            <w:pPr>
              <w:keepNext w:val="0"/>
              <w:keepLines w:val="0"/>
              <w:pageBreakBefore w:val="0"/>
              <w:widowControl w:val="0"/>
              <w:kinsoku/>
              <w:wordWrap/>
              <w:overflowPunct w:val="0"/>
              <w:topLinePunct w:val="0"/>
              <w:autoSpaceDE/>
              <w:autoSpaceDN/>
              <w:bidi w:val="0"/>
              <w:adjustRightInd/>
              <w:snapToGrid/>
              <w:spacing w:line="400" w:lineRule="exact"/>
              <w:ind w:left="0" w:leftChars="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8246" w:type="dxa"/>
            <w:tcBorders>
              <w:top w:val="single" w:color="auto" w:sz="4" w:space="0"/>
              <w:left w:val="single" w:color="auto" w:sz="4" w:space="0"/>
              <w:bottom w:val="single" w:color="auto" w:sz="4" w:space="0"/>
              <w:right w:val="single" w:color="auto" w:sz="4" w:space="0"/>
            </w:tcBorders>
            <w:vAlign w:val="center"/>
          </w:tcPr>
          <w:p w14:paraId="5DF71158">
            <w:pPr>
              <w:pageBreakBefore w:val="0"/>
              <w:widowControl w:val="0"/>
              <w:numPr>
                <w:ilvl w:val="0"/>
                <w:numId w:val="0"/>
              </w:numPr>
              <w:kinsoku/>
              <w:wordWrap/>
              <w:topLinePunct w:val="0"/>
              <w:autoSpaceDE/>
              <w:autoSpaceDN/>
              <w:bidi w:val="0"/>
              <w:adjustRightInd/>
              <w:snapToGrid/>
              <w:spacing w:beforeAutospacing="0" w:afterAutospacing="0" w:line="400" w:lineRule="exact"/>
              <w:ind w:left="0" w:leftChars="0" w:right="0" w:right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质量要求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合格</w:t>
            </w:r>
          </w:p>
        </w:tc>
      </w:tr>
      <w:tr w14:paraId="6F56D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DB4B5BD">
            <w:pPr>
              <w:keepNext w:val="0"/>
              <w:keepLines w:val="0"/>
              <w:pageBreakBefore w:val="0"/>
              <w:widowControl w:val="0"/>
              <w:kinsoku/>
              <w:wordWrap/>
              <w:overflowPunct w:val="0"/>
              <w:topLinePunct w:val="0"/>
              <w:autoSpaceDE/>
              <w:autoSpaceDN/>
              <w:bidi w:val="0"/>
              <w:adjustRightInd/>
              <w:snapToGrid/>
              <w:spacing w:line="400" w:lineRule="exact"/>
              <w:ind w:left="0" w:leftChars="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8246" w:type="dxa"/>
            <w:tcBorders>
              <w:top w:val="single" w:color="auto" w:sz="4" w:space="0"/>
              <w:left w:val="single" w:color="auto" w:sz="4" w:space="0"/>
              <w:bottom w:val="single" w:color="auto" w:sz="4" w:space="0"/>
              <w:right w:val="single" w:color="auto" w:sz="4" w:space="0"/>
            </w:tcBorders>
            <w:vAlign w:val="center"/>
          </w:tcPr>
          <w:p w14:paraId="3FCACF5F">
            <w:pPr>
              <w:pageBreakBefore w:val="0"/>
              <w:widowControl w:val="0"/>
              <w:kinsoku/>
              <w:wordWrap/>
              <w:topLinePunct w:val="0"/>
              <w:autoSpaceDE/>
              <w:autoSpaceDN/>
              <w:bidi w:val="0"/>
              <w:adjustRightInd/>
              <w:snapToGrid/>
              <w:spacing w:beforeAutospacing="0" w:afterAutospacing="0" w:line="400" w:lineRule="exact"/>
              <w:ind w:left="0" w:leftChars="0" w:right="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合同履行期限：</w:t>
            </w:r>
            <w:r>
              <w:rPr>
                <w:rFonts w:hint="eastAsia" w:ascii="宋体" w:hAnsi="宋体" w:eastAsia="宋体" w:cs="宋体"/>
                <w:b w:val="0"/>
                <w:bCs w:val="0"/>
                <w:color w:val="auto"/>
                <w:kern w:val="0"/>
                <w:sz w:val="24"/>
                <w:szCs w:val="24"/>
                <w:highlight w:val="none"/>
                <w:lang w:val="en-US" w:eastAsia="zh-CN"/>
              </w:rPr>
              <w:t>一年</w:t>
            </w:r>
          </w:p>
        </w:tc>
      </w:tr>
      <w:tr w14:paraId="78E48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9D29B94">
            <w:pPr>
              <w:keepNext w:val="0"/>
              <w:keepLines w:val="0"/>
              <w:pageBreakBefore w:val="0"/>
              <w:widowControl w:val="0"/>
              <w:kinsoku/>
              <w:wordWrap/>
              <w:overflowPunct w:val="0"/>
              <w:topLinePunct w:val="0"/>
              <w:autoSpaceDE/>
              <w:autoSpaceDN/>
              <w:bidi w:val="0"/>
              <w:adjustRightInd/>
              <w:snapToGrid/>
              <w:spacing w:line="400" w:lineRule="exact"/>
              <w:ind w:left="0" w:leftChars="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8246" w:type="dxa"/>
            <w:tcBorders>
              <w:top w:val="single" w:color="auto" w:sz="4" w:space="0"/>
              <w:left w:val="single" w:color="auto" w:sz="4" w:space="0"/>
              <w:bottom w:val="single" w:color="auto" w:sz="4" w:space="0"/>
              <w:right w:val="single" w:color="auto" w:sz="4" w:space="0"/>
            </w:tcBorders>
            <w:vAlign w:val="center"/>
          </w:tcPr>
          <w:p w14:paraId="7E4FAC35">
            <w:pPr>
              <w:keepNext w:val="0"/>
              <w:keepLines w:val="0"/>
              <w:pageBreakBefore w:val="0"/>
              <w:widowControl w:val="0"/>
              <w:kinsoku/>
              <w:wordWrap/>
              <w:overflowPunct w:val="0"/>
              <w:topLinePunct w:val="0"/>
              <w:autoSpaceDE/>
              <w:autoSpaceDN/>
              <w:bidi w:val="0"/>
              <w:adjustRightInd/>
              <w:snapToGrid/>
              <w:spacing w:line="400" w:lineRule="exact"/>
              <w:ind w:left="0" w:leftChars="0" w:right="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工程保修期：1年</w:t>
            </w:r>
          </w:p>
        </w:tc>
      </w:tr>
      <w:tr w14:paraId="28F86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AFA6342">
            <w:pPr>
              <w:keepNext w:val="0"/>
              <w:keepLines w:val="0"/>
              <w:pageBreakBefore w:val="0"/>
              <w:widowControl w:val="0"/>
              <w:kinsoku/>
              <w:wordWrap/>
              <w:overflowPunct w:val="0"/>
              <w:topLinePunct w:val="0"/>
              <w:autoSpaceDE/>
              <w:autoSpaceDN/>
              <w:bidi w:val="0"/>
              <w:adjustRightInd/>
              <w:snapToGrid/>
              <w:spacing w:line="400" w:lineRule="exact"/>
              <w:ind w:left="0" w:leftChars="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8246" w:type="dxa"/>
            <w:tcBorders>
              <w:top w:val="single" w:color="auto" w:sz="4" w:space="0"/>
              <w:left w:val="single" w:color="auto" w:sz="4" w:space="0"/>
              <w:bottom w:val="single" w:color="auto" w:sz="4" w:space="0"/>
              <w:right w:val="single" w:color="auto" w:sz="4" w:space="0"/>
            </w:tcBorders>
            <w:vAlign w:val="center"/>
          </w:tcPr>
          <w:p w14:paraId="74A9006B">
            <w:pPr>
              <w:pageBreakBefore w:val="0"/>
              <w:widowControl w:val="0"/>
              <w:numPr>
                <w:ilvl w:val="0"/>
                <w:numId w:val="0"/>
              </w:numPr>
              <w:kinsoku/>
              <w:wordWrap/>
              <w:autoSpaceDE/>
              <w:autoSpaceDN/>
              <w:bidi w:val="0"/>
              <w:adjustRightInd/>
              <w:snapToGrid/>
              <w:spacing w:line="400" w:lineRule="exact"/>
              <w:ind w:left="0" w:leftChars="0" w:right="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kern w:val="0"/>
                <w:sz w:val="24"/>
                <w:szCs w:val="24"/>
                <w:highlight w:val="none"/>
                <w:lang w:eastAsia="zh-CN"/>
              </w:rPr>
              <w:t>付款方式</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eastAsia="zh-CN"/>
              </w:rPr>
              <w:t>合同签订后，甲方支付合同价款的30%工程预付款，工程开工后，发包人依照经审定的统计报表，当工程进度（或发生金额）达到工程总量70%，乙方有权向甲方申请支付工程进度款，甲方支付乙方工程进度款比例不超过合同价款的50%；待工程竣工验收合格后支付至合同价款的80%，工程经审计机构审定后支付至审计价的97% ，工程价款的3%作为工程质量保修金，保修期满后付清。</w:t>
            </w:r>
          </w:p>
        </w:tc>
      </w:tr>
      <w:tr w14:paraId="67FBA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D661C28">
            <w:pPr>
              <w:keepNext w:val="0"/>
              <w:keepLines w:val="0"/>
              <w:pageBreakBefore w:val="0"/>
              <w:widowControl w:val="0"/>
              <w:kinsoku/>
              <w:wordWrap/>
              <w:overflowPunct w:val="0"/>
              <w:topLinePunct w:val="0"/>
              <w:autoSpaceDE/>
              <w:autoSpaceDN/>
              <w:bidi w:val="0"/>
              <w:adjustRightInd/>
              <w:snapToGrid/>
              <w:spacing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8246" w:type="dxa"/>
            <w:tcBorders>
              <w:top w:val="single" w:color="auto" w:sz="4" w:space="0"/>
              <w:left w:val="single" w:color="auto" w:sz="4" w:space="0"/>
              <w:bottom w:val="single" w:color="auto" w:sz="4" w:space="0"/>
              <w:right w:val="single" w:color="auto" w:sz="4" w:space="0"/>
            </w:tcBorders>
            <w:vAlign w:val="center"/>
          </w:tcPr>
          <w:p w14:paraId="49B513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rPr>
              <w:t>评标委员会构成：成员人数为 三 人（含）以上单数，其中专家库随机抽取专家不少于成员总数的三分之二</w:t>
            </w:r>
            <w:r>
              <w:rPr>
                <w:rFonts w:hint="eastAsia" w:ascii="宋体" w:hAnsi="宋体" w:eastAsia="宋体" w:cs="宋体"/>
                <w:bCs/>
                <w:color w:val="auto"/>
                <w:kern w:val="0"/>
                <w:sz w:val="24"/>
                <w:szCs w:val="24"/>
                <w:highlight w:val="none"/>
                <w:lang w:val="en-US" w:eastAsia="zh-CN"/>
              </w:rPr>
              <w:t>；</w:t>
            </w:r>
          </w:p>
          <w:p w14:paraId="2FDD572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kern w:val="0"/>
                <w:sz w:val="24"/>
                <w:szCs w:val="24"/>
                <w:highlight w:val="none"/>
              </w:rPr>
              <w:t>评标专家确定方式：在新疆政府采购网-政府采购云平台上专家库中随机抽取</w:t>
            </w:r>
          </w:p>
        </w:tc>
      </w:tr>
      <w:tr w14:paraId="5B528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1B58F35">
            <w:pPr>
              <w:keepNext w:val="0"/>
              <w:keepLines w:val="0"/>
              <w:pageBreakBefore w:val="0"/>
              <w:widowControl w:val="0"/>
              <w:kinsoku/>
              <w:wordWrap/>
              <w:overflowPunct w:val="0"/>
              <w:topLinePunct w:val="0"/>
              <w:autoSpaceDE/>
              <w:autoSpaceDN/>
              <w:bidi w:val="0"/>
              <w:adjustRightInd/>
              <w:snapToGrid/>
              <w:spacing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8246" w:type="dxa"/>
            <w:tcBorders>
              <w:top w:val="single" w:color="auto" w:sz="4" w:space="0"/>
              <w:left w:val="single" w:color="auto" w:sz="4" w:space="0"/>
              <w:bottom w:val="single" w:color="auto" w:sz="4" w:space="0"/>
              <w:right w:val="single" w:color="auto" w:sz="4" w:space="0"/>
            </w:tcBorders>
            <w:vAlign w:val="center"/>
          </w:tcPr>
          <w:p w14:paraId="014CD57A">
            <w:pPr>
              <w:keepNext w:val="0"/>
              <w:keepLines w:val="0"/>
              <w:pageBreakBefore w:val="0"/>
              <w:widowControl w:val="0"/>
              <w:kinsoku/>
              <w:wordWrap/>
              <w:overflowPunct w:val="0"/>
              <w:topLinePunct w:val="0"/>
              <w:autoSpaceDE/>
              <w:autoSpaceDN/>
              <w:bidi w:val="0"/>
              <w:adjustRightInd/>
              <w:snapToGrid/>
              <w:spacing w:line="400" w:lineRule="exact"/>
              <w:ind w:left="0" w:leftChars="0" w:right="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资格要求：</w:t>
            </w:r>
          </w:p>
          <w:p w14:paraId="35B87437">
            <w:pPr>
              <w:pageBreakBefore w:val="0"/>
              <w:widowControl w:val="0"/>
              <w:kinsoku/>
              <w:wordWrap/>
              <w:topLinePunct w:val="0"/>
              <w:autoSpaceDE/>
              <w:autoSpaceDN/>
              <w:bidi w:val="0"/>
              <w:adjustRightInd/>
              <w:snapToGrid/>
              <w:spacing w:beforeAutospacing="0" w:afterAutospacing="0" w:line="400" w:lineRule="exact"/>
              <w:ind w:left="0" w:leftChars="0" w:right="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1.满足《中华人民共和国政府采购法》第二十二条规定；</w:t>
            </w:r>
          </w:p>
          <w:p w14:paraId="159BF8C2">
            <w:pPr>
              <w:pageBreakBefore w:val="0"/>
              <w:widowControl w:val="0"/>
              <w:kinsoku/>
              <w:wordWrap/>
              <w:topLinePunct w:val="0"/>
              <w:autoSpaceDE/>
              <w:autoSpaceDN/>
              <w:bidi w:val="0"/>
              <w:adjustRightInd/>
              <w:snapToGrid/>
              <w:spacing w:beforeAutospacing="0" w:afterAutospacing="0" w:line="400" w:lineRule="exact"/>
              <w:ind w:left="0" w:leftChars="0" w:right="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2.落实政府采购政策需满足的资格要求：本项目专门面向小微企业采购。</w:t>
            </w:r>
          </w:p>
          <w:p w14:paraId="3CC4A04A">
            <w:pPr>
              <w:pageBreakBefore w:val="0"/>
              <w:widowControl w:val="0"/>
              <w:kinsoku/>
              <w:wordWrap/>
              <w:topLinePunct w:val="0"/>
              <w:autoSpaceDE/>
              <w:autoSpaceDN/>
              <w:bidi w:val="0"/>
              <w:adjustRightInd/>
              <w:snapToGrid/>
              <w:spacing w:beforeAutospacing="0" w:afterAutospacing="0" w:line="400" w:lineRule="exact"/>
              <w:ind w:left="0" w:leftChars="0" w:right="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3.本项目的特定资格要求：</w:t>
            </w:r>
          </w:p>
          <w:p w14:paraId="6407D33E">
            <w:pPr>
              <w:pageBreakBefore w:val="0"/>
              <w:widowControl w:val="0"/>
              <w:kinsoku/>
              <w:wordWrap/>
              <w:topLinePunct w:val="0"/>
              <w:autoSpaceDE/>
              <w:autoSpaceDN/>
              <w:bidi w:val="0"/>
              <w:adjustRightInd/>
              <w:snapToGrid/>
              <w:spacing w:beforeAutospacing="0" w:afterAutospacing="0" w:line="400" w:lineRule="exact"/>
              <w:ind w:left="0" w:leftChars="0" w:right="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3.1供应商应具备消防设施工程专业承包二级及以上资质，具备有效的安全生产许可证；</w:t>
            </w:r>
          </w:p>
          <w:p w14:paraId="4B13185B">
            <w:pPr>
              <w:pageBreakBefore w:val="0"/>
              <w:widowControl w:val="0"/>
              <w:kinsoku/>
              <w:wordWrap/>
              <w:topLinePunct w:val="0"/>
              <w:autoSpaceDE/>
              <w:autoSpaceDN/>
              <w:bidi w:val="0"/>
              <w:adjustRightInd/>
              <w:snapToGrid/>
              <w:spacing w:beforeAutospacing="0" w:afterAutospacing="0" w:line="400" w:lineRule="exact"/>
              <w:ind w:left="0" w:leftChars="0" w:right="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3.2项目负责人具有机电工程专业二级及以上注册建造师，具备有效的安全生产考核合格证书（B类）。</w:t>
            </w:r>
          </w:p>
          <w:p w14:paraId="306AA3E1">
            <w:pPr>
              <w:pageBreakBefore w:val="0"/>
              <w:widowControl w:val="0"/>
              <w:kinsoku/>
              <w:wordWrap/>
              <w:topLinePunct w:val="0"/>
              <w:autoSpaceDE/>
              <w:autoSpaceDN/>
              <w:bidi w:val="0"/>
              <w:adjustRightInd/>
              <w:snapToGrid/>
              <w:spacing w:beforeAutospacing="0" w:afterAutospacing="0" w:line="400" w:lineRule="exact"/>
              <w:ind w:left="0" w:leftChars="0" w:right="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4.本项目不接受联合体投标。</w:t>
            </w:r>
          </w:p>
        </w:tc>
      </w:tr>
      <w:tr w14:paraId="755F5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FDCD9C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246" w:type="dxa"/>
            <w:tcBorders>
              <w:top w:val="single" w:color="auto" w:sz="4" w:space="0"/>
              <w:left w:val="single" w:color="auto" w:sz="4" w:space="0"/>
              <w:bottom w:val="single" w:color="auto" w:sz="4" w:space="0"/>
              <w:right w:val="single" w:color="auto" w:sz="4" w:space="0"/>
            </w:tcBorders>
            <w:vAlign w:val="center"/>
          </w:tcPr>
          <w:p w14:paraId="7B51976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磋商响应保证金金额：</w:t>
            </w:r>
            <w:r>
              <w:rPr>
                <w:rFonts w:hint="eastAsia" w:ascii="宋体" w:hAnsi="宋体" w:eastAsia="宋体" w:cs="宋体"/>
                <w:b/>
                <w:bCs/>
                <w:color w:val="auto"/>
                <w:sz w:val="24"/>
                <w:szCs w:val="24"/>
                <w:highlight w:val="none"/>
                <w:lang w:val="en-US" w:eastAsia="zh-CN"/>
              </w:rPr>
              <w:t>6800.00元（大写：陆仟捌佰元整）</w:t>
            </w:r>
          </w:p>
          <w:p w14:paraId="6EE9288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保证金收款人：新疆申辉项目管理有限公司</w:t>
            </w:r>
          </w:p>
          <w:p w14:paraId="2FFE0CB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保证金收款账号：107002714561</w:t>
            </w:r>
          </w:p>
          <w:p w14:paraId="0E81E63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保证收款银行:中国银行乌鲁木齐市光明路支行</w:t>
            </w:r>
          </w:p>
          <w:p w14:paraId="246E319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磋商响应保证金缴纳形式：</w:t>
            </w:r>
            <w:r>
              <w:rPr>
                <w:rFonts w:hint="eastAsia" w:ascii="宋体" w:hAnsi="宋体" w:eastAsia="宋体" w:cs="宋体"/>
                <w:color w:val="auto"/>
                <w:sz w:val="24"/>
                <w:szCs w:val="24"/>
                <w:highlight w:val="none"/>
                <w:lang w:val="zh-CN" w:eastAsia="zh-CN"/>
              </w:rPr>
              <w:t>保证金于投标截止时间之前缴纳，保证金应当以支票、汇票、本票、银行电汇、电子汇兑或者金融机构、担保机构出具的保函等非现金形式提交（选择其中一种方式缴纳），必须由供应商的基本账户转出。供应商未按照文件要求提交投标保证金的，投标无效，将被拒绝评审，供应商提交投标保证金应充分考虑资金在途时间。</w:t>
            </w:r>
          </w:p>
          <w:p w14:paraId="5128A69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注：以银行保函形式提交磋商响应保证金的，保函有效期应覆盖磋商响应有效期。保函原件应在响应文件中提供保函彩色扫描件。</w:t>
            </w:r>
          </w:p>
        </w:tc>
      </w:tr>
      <w:tr w14:paraId="25370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E06590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8246" w:type="dxa"/>
            <w:tcBorders>
              <w:top w:val="single" w:color="auto" w:sz="4" w:space="0"/>
              <w:left w:val="single" w:color="auto" w:sz="4" w:space="0"/>
              <w:bottom w:val="single" w:color="auto" w:sz="4" w:space="0"/>
              <w:right w:val="single" w:color="auto" w:sz="4" w:space="0"/>
            </w:tcBorders>
            <w:vAlign w:val="center"/>
          </w:tcPr>
          <w:p w14:paraId="7393FC9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磋商响应语言：中文</w:t>
            </w:r>
          </w:p>
        </w:tc>
      </w:tr>
      <w:tr w14:paraId="6A2A9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B60540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8246" w:type="dxa"/>
            <w:tcBorders>
              <w:top w:val="single" w:color="auto" w:sz="4" w:space="0"/>
              <w:left w:val="single" w:color="auto" w:sz="4" w:space="0"/>
              <w:bottom w:val="single" w:color="auto" w:sz="4" w:space="0"/>
              <w:right w:val="single" w:color="auto" w:sz="4" w:space="0"/>
            </w:tcBorders>
            <w:vAlign w:val="center"/>
          </w:tcPr>
          <w:p w14:paraId="44C2F05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磋商响应有效期：</w:t>
            </w:r>
            <w:r>
              <w:rPr>
                <w:rFonts w:hint="eastAsia" w:ascii="宋体" w:hAnsi="宋体" w:eastAsia="宋体" w:cs="宋体"/>
                <w:b/>
                <w:color w:val="auto"/>
                <w:sz w:val="24"/>
                <w:szCs w:val="24"/>
                <w:highlight w:val="none"/>
                <w:u w:val="single"/>
              </w:rPr>
              <w:t>60天</w:t>
            </w:r>
            <w:r>
              <w:rPr>
                <w:rFonts w:hint="eastAsia" w:ascii="宋体" w:hAnsi="宋体" w:eastAsia="宋体" w:cs="宋体"/>
                <w:b/>
                <w:color w:val="auto"/>
                <w:sz w:val="24"/>
                <w:szCs w:val="24"/>
                <w:highlight w:val="none"/>
              </w:rPr>
              <w:t>（如不满足将导致废标）。</w:t>
            </w:r>
          </w:p>
        </w:tc>
      </w:tr>
      <w:tr w14:paraId="51855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A88CF5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8246" w:type="dxa"/>
            <w:tcBorders>
              <w:top w:val="single" w:color="auto" w:sz="4" w:space="0"/>
              <w:left w:val="single" w:color="auto" w:sz="4" w:space="0"/>
              <w:bottom w:val="single" w:color="auto" w:sz="4" w:space="0"/>
              <w:right w:val="single" w:color="auto" w:sz="4" w:space="0"/>
            </w:tcBorders>
            <w:vAlign w:val="center"/>
          </w:tcPr>
          <w:p w14:paraId="1B4285F5">
            <w:pPr>
              <w:keepNext w:val="0"/>
              <w:keepLines w:val="0"/>
              <w:pageBreakBefore w:val="0"/>
              <w:widowControl w:val="0"/>
              <w:kinsoku/>
              <w:wordWrap/>
              <w:topLinePunct w:val="0"/>
              <w:autoSpaceDE/>
              <w:autoSpaceDN/>
              <w:bidi w:val="0"/>
              <w:adjustRightInd/>
              <w:snapToGrid/>
              <w:spacing w:line="400" w:lineRule="exact"/>
              <w:ind w:left="0" w:leftChars="0" w:right="0"/>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评审方法：</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pacing w:val="0"/>
                <w:sz w:val="24"/>
                <w:szCs w:val="24"/>
                <w:highlight w:val="none"/>
                <w:lang w:val="en-US" w:eastAsia="zh-CN"/>
              </w:rPr>
              <w:t xml:space="preserve">资格后审        </w:t>
            </w:r>
            <w:r>
              <w:rPr>
                <w:rFonts w:hint="eastAsia" w:ascii="宋体" w:hAnsi="宋体" w:eastAsia="宋体" w:cs="宋体"/>
                <w:color w:val="auto"/>
                <w:sz w:val="24"/>
                <w:szCs w:val="24"/>
                <w:highlight w:val="none"/>
                <w:lang w:val="en-US" w:eastAsia="zh-CN"/>
              </w:rPr>
              <w:sym w:font="Wingdings" w:char="00A8"/>
            </w:r>
            <w:r>
              <w:rPr>
                <w:rFonts w:hint="eastAsia" w:ascii="宋体" w:hAnsi="宋体" w:eastAsia="宋体" w:cs="宋体"/>
                <w:color w:val="auto"/>
                <w:spacing w:val="0"/>
                <w:sz w:val="24"/>
                <w:szCs w:val="24"/>
                <w:highlight w:val="none"/>
                <w:lang w:val="en-US" w:eastAsia="zh-CN"/>
              </w:rPr>
              <w:t>资格预审</w:t>
            </w:r>
          </w:p>
          <w:p w14:paraId="0534C6A5">
            <w:pPr>
              <w:keepNext w:val="0"/>
              <w:keepLines w:val="0"/>
              <w:pageBreakBefore w:val="0"/>
              <w:widowControl w:val="0"/>
              <w:kinsoku/>
              <w:wordWrap/>
              <w:topLinePunct w:val="0"/>
              <w:autoSpaceDE/>
              <w:autoSpaceDN/>
              <w:bidi w:val="0"/>
              <w:adjustRightInd/>
              <w:snapToGrid/>
              <w:spacing w:line="400" w:lineRule="exact"/>
              <w:ind w:right="0" w:firstLine="1200" w:firstLineChars="500"/>
              <w:jc w:val="left"/>
              <w:textAlignment w:val="auto"/>
              <w:rPr>
                <w:rFonts w:hint="eastAsia" w:ascii="宋体" w:hAnsi="宋体" w:eastAsia="宋体" w:cs="宋体"/>
                <w:color w:val="auto"/>
                <w:spacing w:val="0"/>
                <w:sz w:val="24"/>
                <w:szCs w:val="24"/>
                <w:highlight w:val="none"/>
                <w:lang w:val="en-US" w:eastAsia="zh-CN"/>
              </w:rPr>
            </w:pPr>
            <w:bookmarkStart w:id="45" w:name="EB5c39ed08c4e342aeacec8cbe6387f2ef"/>
            <w:bookmarkEnd w:id="45"/>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pacing w:val="0"/>
                <w:sz w:val="24"/>
                <w:szCs w:val="24"/>
                <w:highlight w:val="none"/>
                <w:lang w:val="en-US" w:eastAsia="zh-CN"/>
              </w:rPr>
              <w:t xml:space="preserve">综合评分法      </w:t>
            </w:r>
            <w:r>
              <w:rPr>
                <w:rFonts w:hint="eastAsia" w:ascii="宋体" w:hAnsi="宋体" w:eastAsia="宋体" w:cs="宋体"/>
                <w:color w:val="auto"/>
                <w:sz w:val="24"/>
                <w:szCs w:val="24"/>
                <w:highlight w:val="none"/>
                <w:lang w:val="en-US" w:eastAsia="zh-CN"/>
              </w:rPr>
              <w:sym w:font="Wingdings" w:char="00A8"/>
            </w:r>
            <w:r>
              <w:rPr>
                <w:rFonts w:hint="eastAsia" w:ascii="宋体" w:hAnsi="宋体" w:eastAsia="宋体" w:cs="宋体"/>
                <w:color w:val="auto"/>
                <w:spacing w:val="0"/>
                <w:sz w:val="24"/>
                <w:szCs w:val="24"/>
                <w:highlight w:val="none"/>
                <w:lang w:val="en-US" w:eastAsia="zh-CN"/>
              </w:rPr>
              <w:t>最低评标价法</w:t>
            </w:r>
          </w:p>
          <w:p w14:paraId="44C1EAC3">
            <w:pPr>
              <w:keepNext w:val="0"/>
              <w:keepLines w:val="0"/>
              <w:pageBreakBefore w:val="0"/>
              <w:widowControl w:val="0"/>
              <w:kinsoku/>
              <w:wordWrap/>
              <w:topLinePunct w:val="0"/>
              <w:autoSpaceDE/>
              <w:autoSpaceDN/>
              <w:bidi w:val="0"/>
              <w:adjustRightInd/>
              <w:snapToGrid/>
              <w:spacing w:line="400" w:lineRule="exact"/>
              <w:ind w:left="0" w:leftChars="0" w:right="0"/>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注：</w:t>
            </w:r>
          </w:p>
          <w:p w14:paraId="3D7C226B">
            <w:pPr>
              <w:keepNext w:val="0"/>
              <w:keepLines w:val="0"/>
              <w:pageBreakBefore w:val="0"/>
              <w:widowControl w:val="0"/>
              <w:kinsoku/>
              <w:wordWrap/>
              <w:topLinePunct w:val="0"/>
              <w:autoSpaceDE/>
              <w:autoSpaceDN/>
              <w:bidi w:val="0"/>
              <w:adjustRightInd/>
              <w:snapToGrid/>
              <w:spacing w:line="400" w:lineRule="exact"/>
              <w:ind w:left="0" w:leftChars="0" w:right="0"/>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最低评标价法，是指以价格为主要因素确定中标供应商的评标方法，即在全部满足磋商文件实质性要求前提下，依据统一的价格要素评定最低报价，以提出最低报价的供应商作为中标候选供应商或者中标供应商的评标方法。投标报价相同的，按技术指标优劣顺序排列，技术指标较优的一方为第一成交候选人。</w:t>
            </w:r>
          </w:p>
          <w:p w14:paraId="516ECF78">
            <w:pPr>
              <w:pStyle w:val="35"/>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0"/>
                <w:sz w:val="24"/>
                <w:szCs w:val="24"/>
                <w:highlight w:val="none"/>
                <w:lang w:val="en-US" w:eastAsia="zh-CN"/>
              </w:rPr>
              <w:t>2、综合评分法是指在最大限度地满足磋商文件实质性要求前提下，按照磋商文件中规定的评分细则评审后，以评标最终最高得分的供应商作为第一成交候选人的评标方法。每一供应商的最终得分为所有评委评分的算术平均值。得分相同的，报价较低的一方为第一成交候选人。得分且投标报价相同的，技术指标较优的一方为第一成交候选人。</w:t>
            </w:r>
          </w:p>
        </w:tc>
      </w:tr>
      <w:tr w14:paraId="010E9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7D2154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8246" w:type="dxa"/>
            <w:tcBorders>
              <w:top w:val="single" w:color="auto" w:sz="4" w:space="0"/>
              <w:left w:val="single" w:color="auto" w:sz="4" w:space="0"/>
              <w:bottom w:val="single" w:color="auto" w:sz="4" w:space="0"/>
              <w:right w:val="single" w:color="auto" w:sz="4" w:space="0"/>
            </w:tcBorders>
            <w:vAlign w:val="center"/>
          </w:tcPr>
          <w:p w14:paraId="690A4499">
            <w:pPr>
              <w:pageBreakBefore w:val="0"/>
              <w:widowControl w:val="0"/>
              <w:kinsoku/>
              <w:wordWrap/>
              <w:autoSpaceDE/>
              <w:autoSpaceDN/>
              <w:bidi w:val="0"/>
              <w:adjustRightInd/>
              <w:snapToGrid/>
              <w:spacing w:line="400" w:lineRule="exact"/>
              <w:textAlignment w:val="auto"/>
              <w:rPr>
                <w:rFonts w:hint="eastAsia" w:ascii="宋体" w:hAnsi="宋体" w:eastAsia="宋体" w:cs="宋体"/>
                <w:color w:val="auto"/>
                <w:spacing w:val="0"/>
                <w:kern w:val="0"/>
                <w:sz w:val="24"/>
                <w:szCs w:val="24"/>
                <w:highlight w:val="none"/>
                <w:lang w:val="en-US" w:eastAsia="zh-CN" w:bidi="ar-SA"/>
              </w:rPr>
            </w:pPr>
            <w:bookmarkStart w:id="46" w:name="_Toc520393826"/>
            <w:r>
              <w:rPr>
                <w:rFonts w:hint="eastAsia" w:ascii="宋体" w:hAnsi="宋体" w:eastAsia="宋体" w:cs="宋体"/>
                <w:b/>
                <w:bCs/>
                <w:color w:val="auto"/>
                <w:spacing w:val="0"/>
                <w:kern w:val="0"/>
                <w:sz w:val="24"/>
                <w:szCs w:val="24"/>
                <w:highlight w:val="none"/>
                <w:lang w:val="en-US" w:eastAsia="zh-CN" w:bidi="ar-SA"/>
              </w:rPr>
              <w:t>供应商如中标，须提交纸质响应文件的份数</w:t>
            </w:r>
            <w:bookmarkEnd w:id="46"/>
            <w:r>
              <w:rPr>
                <w:rFonts w:hint="eastAsia" w:ascii="宋体" w:hAnsi="宋体" w:eastAsia="宋体" w:cs="宋体"/>
                <w:b/>
                <w:bCs/>
                <w:color w:val="auto"/>
                <w:spacing w:val="0"/>
                <w:kern w:val="0"/>
                <w:sz w:val="24"/>
                <w:szCs w:val="24"/>
                <w:highlight w:val="none"/>
                <w:lang w:val="en-US" w:eastAsia="zh-CN" w:bidi="ar-SA"/>
              </w:rPr>
              <w:t>要求如下（商务标、技术标、经济标分开胶装）：</w:t>
            </w:r>
            <w:r>
              <w:rPr>
                <w:rFonts w:hint="eastAsia" w:ascii="宋体" w:hAnsi="宋体" w:eastAsia="宋体" w:cs="宋体"/>
                <w:color w:val="auto"/>
                <w:spacing w:val="0"/>
                <w:kern w:val="0"/>
                <w:sz w:val="24"/>
                <w:szCs w:val="24"/>
                <w:highlight w:val="none"/>
                <w:lang w:val="en-US" w:eastAsia="zh-CN" w:bidi="ar-SA"/>
              </w:rPr>
              <w:t>正本：1份；副本：2份（建议双面打印）</w:t>
            </w:r>
          </w:p>
          <w:p w14:paraId="147197E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bidi="ar-SA"/>
              </w:rPr>
              <w:t>（注：装订形式：不得采用活页、拉杆等方式，必须采用胶装）</w:t>
            </w:r>
          </w:p>
        </w:tc>
      </w:tr>
      <w:tr w14:paraId="18589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F56FFB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w:t>
            </w:r>
          </w:p>
        </w:tc>
        <w:tc>
          <w:tcPr>
            <w:tcW w:w="8246" w:type="dxa"/>
            <w:tcBorders>
              <w:top w:val="single" w:color="auto" w:sz="4" w:space="0"/>
              <w:left w:val="single" w:color="auto" w:sz="4" w:space="0"/>
              <w:bottom w:val="single" w:color="auto" w:sz="4" w:space="0"/>
              <w:right w:val="single" w:color="auto" w:sz="4" w:space="0"/>
            </w:tcBorders>
            <w:vAlign w:val="center"/>
          </w:tcPr>
          <w:p w14:paraId="127AC1AD">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 w:val="0"/>
                <w:bCs w:val="0"/>
                <w:color w:val="auto"/>
                <w:spacing w:val="0"/>
                <w:kern w:val="0"/>
                <w:sz w:val="24"/>
                <w:szCs w:val="24"/>
                <w:highlight w:val="none"/>
                <w:lang w:val="en-US" w:eastAsia="zh-CN" w:bidi="ar-SA"/>
              </w:rPr>
            </w:pPr>
            <w:r>
              <w:rPr>
                <w:rFonts w:hint="eastAsia" w:ascii="宋体" w:hAnsi="宋体" w:eastAsia="宋体" w:cs="宋体"/>
                <w:b w:val="0"/>
                <w:bCs w:val="0"/>
                <w:color w:val="auto"/>
                <w:spacing w:val="0"/>
                <w:kern w:val="0"/>
                <w:sz w:val="24"/>
                <w:szCs w:val="24"/>
                <w:highlight w:val="none"/>
                <w:lang w:val="en-US" w:eastAsia="zh-CN" w:bidi="ar-SA"/>
              </w:rPr>
              <w:t>投标要求：</w:t>
            </w:r>
          </w:p>
          <w:p w14:paraId="03AEEBBD">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 w:val="0"/>
                <w:bCs w:val="0"/>
                <w:color w:val="auto"/>
                <w:spacing w:val="0"/>
                <w:kern w:val="0"/>
                <w:sz w:val="24"/>
                <w:szCs w:val="24"/>
                <w:highlight w:val="none"/>
                <w:lang w:val="en-US" w:eastAsia="zh-CN" w:bidi="ar-SA"/>
              </w:rPr>
            </w:pPr>
            <w:r>
              <w:rPr>
                <w:rFonts w:hint="eastAsia" w:ascii="宋体" w:hAnsi="宋体" w:eastAsia="宋体" w:cs="宋体"/>
                <w:b w:val="0"/>
                <w:bCs w:val="0"/>
                <w:color w:val="auto"/>
                <w:spacing w:val="0"/>
                <w:kern w:val="0"/>
                <w:sz w:val="24"/>
                <w:szCs w:val="24"/>
                <w:highlight w:val="none"/>
                <w:lang w:val="en-US" w:eastAsia="zh-CN" w:bidi="ar-SA"/>
              </w:rPr>
              <w:t>☑采用不见面开标：</w:t>
            </w:r>
          </w:p>
          <w:p w14:paraId="1EACB991">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 w:val="0"/>
                <w:bCs w:val="0"/>
                <w:color w:val="auto"/>
                <w:spacing w:val="0"/>
                <w:kern w:val="0"/>
                <w:sz w:val="24"/>
                <w:szCs w:val="24"/>
                <w:highlight w:val="none"/>
                <w:lang w:val="en-US" w:eastAsia="zh-CN" w:bidi="ar-SA"/>
              </w:rPr>
            </w:pPr>
            <w:r>
              <w:rPr>
                <w:rFonts w:hint="eastAsia" w:ascii="宋体" w:hAnsi="宋体" w:eastAsia="宋体" w:cs="宋体"/>
                <w:b w:val="0"/>
                <w:bCs w:val="0"/>
                <w:color w:val="auto"/>
                <w:spacing w:val="0"/>
                <w:kern w:val="0"/>
                <w:sz w:val="24"/>
                <w:szCs w:val="24"/>
                <w:highlight w:val="none"/>
                <w:lang w:val="en-US" w:eastAsia="zh-CN" w:bidi="ar-SA"/>
              </w:rPr>
              <w:t>1．本项目采用不见面开标、供应商需要递交电子响应文件，电子响应文件按系统要求在投标截止时间前通过政采云（https://www.zcygov.cn/）上传到指定位置。</w:t>
            </w:r>
          </w:p>
          <w:p w14:paraId="6D640A1F">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 w:val="0"/>
                <w:bCs w:val="0"/>
                <w:color w:val="auto"/>
                <w:spacing w:val="0"/>
                <w:kern w:val="0"/>
                <w:sz w:val="24"/>
                <w:szCs w:val="24"/>
                <w:highlight w:val="none"/>
                <w:lang w:val="en-US" w:eastAsia="zh-CN" w:bidi="ar-SA"/>
              </w:rPr>
            </w:pPr>
            <w:r>
              <w:rPr>
                <w:rFonts w:hint="eastAsia" w:ascii="宋体" w:hAnsi="宋体" w:eastAsia="宋体" w:cs="宋体"/>
                <w:b w:val="0"/>
                <w:bCs w:val="0"/>
                <w:color w:val="auto"/>
                <w:spacing w:val="0"/>
                <w:kern w:val="0"/>
                <w:sz w:val="24"/>
                <w:szCs w:val="24"/>
                <w:highlight w:val="none"/>
                <w:lang w:val="en-US" w:eastAsia="zh-CN" w:bidi="ar-SA"/>
              </w:rPr>
              <w:t>2.本项目采用远程不见面交易的模式。开标当日，供应商无需到达开标现场，仅需在任意地点通过政采云（https://www.zcygov.cn/）平台完成远程解密、提疑澄清、开标唱标、结果公布等交互环节。供应商必须使用能正确解密响应文件的解密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w:t>
            </w:r>
          </w:p>
          <w:p w14:paraId="38847452">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 w:val="0"/>
                <w:bCs w:val="0"/>
                <w:color w:val="auto"/>
                <w:spacing w:val="0"/>
                <w:kern w:val="0"/>
                <w:sz w:val="24"/>
                <w:szCs w:val="24"/>
                <w:highlight w:val="none"/>
                <w:lang w:val="en-US" w:eastAsia="zh-CN" w:bidi="ar-SA"/>
              </w:rPr>
            </w:pPr>
            <w:r>
              <w:rPr>
                <w:rFonts w:hint="eastAsia" w:ascii="宋体" w:hAnsi="宋体" w:eastAsia="宋体" w:cs="宋体"/>
                <w:b w:val="0"/>
                <w:bCs w:val="0"/>
                <w:color w:val="auto"/>
                <w:spacing w:val="0"/>
                <w:kern w:val="0"/>
                <w:sz w:val="24"/>
                <w:szCs w:val="24"/>
                <w:highlight w:val="none"/>
                <w:lang w:val="en-US" w:eastAsia="zh-CN" w:bidi="ar-SA"/>
              </w:rPr>
              <w:t>（友情提示：若供应商已领取副锁（含多把副锁）请注意正副锁的使用差别，务必使用生成投标文件的那把锁解密）。</w:t>
            </w:r>
          </w:p>
          <w:p w14:paraId="02AFDA3E">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bidi="ar-SA"/>
              </w:rPr>
              <w:t>3.远程开标前，供应商务必在政采云（https://www.zcygov.cn/）将响应文件上传模块中使用“模拟解密”功能，验证本机远程自助解密环境。</w:t>
            </w:r>
          </w:p>
        </w:tc>
      </w:tr>
      <w:tr w14:paraId="61887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ACAD47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8246" w:type="dxa"/>
            <w:tcBorders>
              <w:top w:val="single" w:color="auto" w:sz="4" w:space="0"/>
              <w:left w:val="single" w:color="auto" w:sz="4" w:space="0"/>
              <w:bottom w:val="single" w:color="auto" w:sz="4" w:space="0"/>
              <w:right w:val="single" w:color="auto" w:sz="4" w:space="0"/>
            </w:tcBorders>
            <w:vAlign w:val="center"/>
          </w:tcPr>
          <w:p w14:paraId="24C3818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成交结果公告</w:t>
            </w:r>
            <w:r>
              <w:rPr>
                <w:rFonts w:hint="eastAsia" w:ascii="宋体" w:hAnsi="宋体" w:eastAsia="宋体" w:cs="宋体"/>
                <w:color w:val="auto"/>
                <w:sz w:val="24"/>
                <w:szCs w:val="24"/>
                <w:highlight w:val="none"/>
              </w:rPr>
              <w:t>公示媒介：新疆政府采购网</w:t>
            </w:r>
          </w:p>
          <w:p w14:paraId="7C73D19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成交结果公告</w:t>
            </w:r>
            <w:r>
              <w:rPr>
                <w:rFonts w:hint="eastAsia" w:ascii="宋体" w:hAnsi="宋体" w:eastAsia="宋体" w:cs="宋体"/>
                <w:color w:val="auto"/>
                <w:sz w:val="24"/>
                <w:szCs w:val="24"/>
                <w:highlight w:val="none"/>
              </w:rPr>
              <w:t>公示期限：1个工作日</w:t>
            </w:r>
          </w:p>
        </w:tc>
      </w:tr>
      <w:tr w14:paraId="771C9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5885AC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8246" w:type="dxa"/>
            <w:tcBorders>
              <w:top w:val="single" w:color="auto" w:sz="4" w:space="0"/>
              <w:left w:val="single" w:color="auto" w:sz="4" w:space="0"/>
              <w:bottom w:val="single" w:color="auto" w:sz="4" w:space="0"/>
              <w:right w:val="single" w:color="auto" w:sz="4" w:space="0"/>
            </w:tcBorders>
            <w:vAlign w:val="center"/>
          </w:tcPr>
          <w:p w14:paraId="7D661DF4">
            <w:pPr>
              <w:pageBreakBefore w:val="0"/>
              <w:widowControl w:val="0"/>
              <w:kinsoku/>
              <w:wordWrap/>
              <w:topLinePunct w:val="0"/>
              <w:autoSpaceDE/>
              <w:autoSpaceDN/>
              <w:bidi w:val="0"/>
              <w:adjustRightInd/>
              <w:snapToGrid/>
              <w:spacing w:beforeAutospacing="0" w:afterAutospacing="0" w:line="400" w:lineRule="exact"/>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提交响应文件截止时间：</w:t>
            </w:r>
            <w:r>
              <w:rPr>
                <w:rFonts w:hint="eastAsia" w:ascii="宋体" w:hAnsi="宋体" w:eastAsia="宋体" w:cs="宋体"/>
                <w:b w:val="0"/>
                <w:bCs w:val="0"/>
                <w:color w:val="auto"/>
                <w:spacing w:val="0"/>
                <w:kern w:val="0"/>
                <w:sz w:val="24"/>
                <w:szCs w:val="24"/>
                <w:highlight w:val="none"/>
                <w:lang w:val="en-US" w:eastAsia="zh-CN" w:bidi="ar-SA"/>
              </w:rPr>
              <w:t>2025年06月30日11:00（北京时间）</w:t>
            </w:r>
          </w:p>
          <w:p w14:paraId="5EA36BE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bCs/>
                <w:color w:val="auto"/>
                <w:kern w:val="0"/>
                <w:sz w:val="24"/>
                <w:szCs w:val="24"/>
                <w:highlight w:val="none"/>
              </w:rPr>
              <w:t>政采云平台https：//www.zcygov.cn/ （本项目采用不见面开标，加密的电子响应文件在磋商时间前通过CA在政采云平台上传）。</w:t>
            </w:r>
          </w:p>
        </w:tc>
      </w:tr>
      <w:tr w14:paraId="71262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E78C7C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8246" w:type="dxa"/>
            <w:tcBorders>
              <w:top w:val="single" w:color="auto" w:sz="4" w:space="0"/>
              <w:left w:val="single" w:color="auto" w:sz="4" w:space="0"/>
              <w:bottom w:val="single" w:color="auto" w:sz="4" w:space="0"/>
              <w:right w:val="single" w:color="auto" w:sz="4" w:space="0"/>
            </w:tcBorders>
            <w:vAlign w:val="center"/>
          </w:tcPr>
          <w:p w14:paraId="7EC4D4BE">
            <w:pPr>
              <w:pageBreakBefore w:val="0"/>
              <w:widowControl w:val="0"/>
              <w:kinsoku/>
              <w:wordWrap/>
              <w:topLinePunct w:val="0"/>
              <w:autoSpaceDE/>
              <w:autoSpaceDN/>
              <w:bidi w:val="0"/>
              <w:adjustRightInd/>
              <w:snapToGrid/>
              <w:spacing w:beforeAutospacing="0" w:afterAutospacing="0" w:line="400" w:lineRule="exact"/>
              <w:ind w:left="0" w:leftChars="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响应文件开启时间：</w:t>
            </w:r>
            <w:r>
              <w:rPr>
                <w:rFonts w:hint="eastAsia" w:ascii="宋体" w:hAnsi="宋体" w:eastAsia="宋体" w:cs="宋体"/>
                <w:b w:val="0"/>
                <w:bCs w:val="0"/>
                <w:color w:val="auto"/>
                <w:spacing w:val="0"/>
                <w:kern w:val="0"/>
                <w:sz w:val="24"/>
                <w:szCs w:val="24"/>
                <w:highlight w:val="none"/>
                <w:lang w:val="en-US" w:eastAsia="zh-CN" w:bidi="ar-SA"/>
              </w:rPr>
              <w:t>2025年06月30日11:00（北京时间）</w:t>
            </w:r>
          </w:p>
          <w:p w14:paraId="5E36489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rPr>
              <w:t>政采云平台https：//www.zcygov.cn/ （本项目采用不见面开标，加密的电子响应文件在磋商时间前通过CA在政采云平台上传 ）。</w:t>
            </w:r>
          </w:p>
        </w:tc>
      </w:tr>
      <w:tr w14:paraId="08591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A5B6FA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8246" w:type="dxa"/>
            <w:tcBorders>
              <w:top w:val="single" w:color="auto" w:sz="4" w:space="0"/>
              <w:left w:val="single" w:color="auto" w:sz="4" w:space="0"/>
              <w:bottom w:val="single" w:color="auto" w:sz="4" w:space="0"/>
              <w:right w:val="single" w:color="auto" w:sz="4" w:space="0"/>
            </w:tcBorders>
            <w:vAlign w:val="center"/>
          </w:tcPr>
          <w:p w14:paraId="081C427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政府采购政策</w:t>
            </w:r>
            <w:r>
              <w:rPr>
                <w:rFonts w:hint="eastAsia" w:ascii="宋体" w:hAnsi="宋体" w:eastAsia="宋体" w:cs="宋体"/>
                <w:bCs/>
                <w:color w:val="auto"/>
                <w:kern w:val="0"/>
                <w:sz w:val="24"/>
                <w:szCs w:val="24"/>
                <w:highlight w:val="none"/>
                <w:lang w:val="en-US" w:eastAsia="zh-CN"/>
              </w:rPr>
              <w:t>:</w:t>
            </w:r>
          </w:p>
          <w:p w14:paraId="00271F0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本项目标的所属行业：</w:t>
            </w:r>
            <w:r>
              <w:rPr>
                <w:rFonts w:hint="eastAsia" w:ascii="宋体" w:hAnsi="宋体" w:eastAsia="宋体" w:cs="宋体"/>
                <w:b/>
                <w:bCs/>
                <w:color w:val="auto"/>
                <w:sz w:val="24"/>
                <w:szCs w:val="24"/>
                <w:highlight w:val="none"/>
                <w:u w:val="single"/>
                <w:lang w:val="en-US" w:eastAsia="zh-CN"/>
              </w:rPr>
              <w:t xml:space="preserve"> 建筑业</w:t>
            </w:r>
            <w:r>
              <w:rPr>
                <w:rFonts w:hint="eastAsia" w:ascii="宋体" w:hAnsi="宋体" w:eastAsia="宋体" w:cs="宋体"/>
                <w:b/>
                <w:bCs/>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根</w:t>
            </w:r>
            <w:r>
              <w:rPr>
                <w:rFonts w:hint="eastAsia" w:ascii="宋体" w:hAnsi="宋体" w:eastAsia="宋体" w:cs="宋体"/>
                <w:color w:val="auto"/>
                <w:sz w:val="24"/>
                <w:szCs w:val="24"/>
                <w:highlight w:val="none"/>
              </w:rPr>
              <w:t>据《关于印发中小企业划型标准规定的通知》工信部联企业〔2011〕300号的规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322C7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2：中小企业政策</w:t>
            </w:r>
          </w:p>
          <w:p w14:paraId="542EFB4F">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□本项目非专门面向中小企业预留采购份额。</w:t>
            </w:r>
            <w:r>
              <w:rPr>
                <w:rFonts w:hint="eastAsia" w:ascii="宋体" w:hAnsi="宋体" w:eastAsia="宋体" w:cs="宋体"/>
                <w:b w:val="0"/>
                <w:bCs w:val="0"/>
                <w:color w:val="auto"/>
                <w:kern w:val="0"/>
                <w:sz w:val="24"/>
                <w:highlight w:val="none"/>
                <w:lang w:val="en-US" w:eastAsia="zh-CN" w:bidi="ar"/>
              </w:rPr>
              <w:t>对符合规定的小微企业报价给予10%的扣除，用扣除后的价格参加评审。</w:t>
            </w:r>
          </w:p>
          <w:p w14:paraId="6E78AECA">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☑本项目专门面向</w:t>
            </w:r>
            <w:r>
              <w:rPr>
                <w:rFonts w:hint="eastAsia" w:ascii="宋体" w:hAnsi="宋体" w:eastAsia="宋体" w:cs="宋体"/>
                <w:b/>
                <w:bCs/>
                <w:color w:val="auto"/>
                <w:kern w:val="0"/>
                <w:sz w:val="24"/>
                <w:highlight w:val="none"/>
                <w:lang w:val="en-US" w:eastAsia="zh-CN" w:bidi="ar"/>
              </w:rPr>
              <w:t>□中小☑小微企业</w:t>
            </w:r>
            <w:r>
              <w:rPr>
                <w:rFonts w:hint="eastAsia" w:ascii="宋体" w:hAnsi="宋体" w:eastAsia="宋体" w:cs="宋体"/>
                <w:color w:val="auto"/>
                <w:kern w:val="0"/>
                <w:sz w:val="24"/>
                <w:highlight w:val="none"/>
                <w:lang w:val="en-US" w:eastAsia="zh-CN" w:bidi="ar"/>
              </w:rPr>
              <w:t>采购。即:提供的货物</w:t>
            </w:r>
            <w:bookmarkStart w:id="47" w:name="OLE_LINK18"/>
            <w:bookmarkStart w:id="48" w:name="OLE_LINK2"/>
            <w:r>
              <w:rPr>
                <w:rFonts w:hint="eastAsia" w:ascii="宋体" w:hAnsi="宋体" w:eastAsia="宋体" w:cs="宋体"/>
                <w:color w:val="auto"/>
                <w:kern w:val="0"/>
                <w:sz w:val="24"/>
                <w:highlight w:val="none"/>
                <w:lang w:val="en-US" w:eastAsia="zh-CN" w:bidi="ar"/>
              </w:rPr>
              <w:t>或承建（承接）</w:t>
            </w:r>
            <w:bookmarkEnd w:id="47"/>
            <w:r>
              <w:rPr>
                <w:rFonts w:hint="eastAsia" w:ascii="宋体" w:hAnsi="宋体" w:eastAsia="宋体" w:cs="宋体"/>
                <w:color w:val="auto"/>
                <w:kern w:val="0"/>
                <w:sz w:val="24"/>
                <w:highlight w:val="none"/>
                <w:lang w:val="en-US" w:eastAsia="zh-CN" w:bidi="ar"/>
              </w:rPr>
              <w:t>企业</w:t>
            </w:r>
            <w:bookmarkEnd w:id="48"/>
            <w:r>
              <w:rPr>
                <w:rFonts w:hint="eastAsia" w:ascii="宋体" w:hAnsi="宋体" w:eastAsia="宋体" w:cs="宋体"/>
                <w:color w:val="auto"/>
                <w:kern w:val="0"/>
                <w:sz w:val="24"/>
                <w:highlight w:val="none"/>
                <w:lang w:val="en-US" w:eastAsia="zh-CN" w:bidi="ar"/>
              </w:rPr>
              <w:t>全部由符合政策要求的</w:t>
            </w:r>
            <w:r>
              <w:rPr>
                <w:rFonts w:hint="eastAsia" w:ascii="宋体" w:hAnsi="宋体" w:eastAsia="宋体" w:cs="宋体"/>
                <w:b/>
                <w:bCs/>
                <w:color w:val="auto"/>
                <w:kern w:val="0"/>
                <w:sz w:val="24"/>
                <w:highlight w:val="none"/>
                <w:lang w:val="en-US" w:eastAsia="zh-CN" w:bidi="ar"/>
              </w:rPr>
              <w:t>□中小</w:t>
            </w:r>
            <w:r>
              <w:rPr>
                <w:rFonts w:hint="eastAsia" w:ascii="宋体" w:hAnsi="宋体" w:cs="宋体"/>
                <w:b/>
                <w:bCs/>
                <w:color w:val="auto"/>
                <w:kern w:val="0"/>
                <w:sz w:val="24"/>
                <w:highlight w:val="none"/>
                <w:lang w:val="en-US" w:eastAsia="zh-CN" w:bidi="ar"/>
              </w:rPr>
              <w:t>☑</w:t>
            </w:r>
            <w:r>
              <w:rPr>
                <w:rFonts w:hint="eastAsia" w:ascii="宋体" w:hAnsi="宋体" w:eastAsia="宋体" w:cs="宋体"/>
                <w:b/>
                <w:bCs/>
                <w:color w:val="auto"/>
                <w:kern w:val="0"/>
                <w:sz w:val="24"/>
                <w:highlight w:val="none"/>
                <w:lang w:val="en-US" w:eastAsia="zh-CN" w:bidi="ar"/>
              </w:rPr>
              <w:t>小微</w:t>
            </w:r>
            <w:r>
              <w:rPr>
                <w:rFonts w:hint="eastAsia" w:ascii="宋体" w:hAnsi="宋体" w:eastAsia="宋体" w:cs="宋体"/>
                <w:color w:val="auto"/>
                <w:kern w:val="0"/>
                <w:sz w:val="24"/>
                <w:highlight w:val="none"/>
                <w:lang w:val="en-US" w:eastAsia="zh-CN" w:bidi="ar"/>
              </w:rPr>
              <w:t>企业制造或承建（承接）。</w:t>
            </w:r>
          </w:p>
          <w:p w14:paraId="07AC9F1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eastAsia="zh-CN" w:bidi="ar"/>
              </w:rPr>
              <w:t>□本项目预留部分采购项目预算专门面向中小企业采购。对于预留份额，提供的货物或承建（承接）企业由符合政策要求的中小企业制造或承建（承接）。预留份额通过以下措施进行:</w:t>
            </w:r>
            <w:r>
              <w:rPr>
                <w:rFonts w:hint="eastAsia" w:ascii="宋体" w:hAnsi="宋体" w:eastAsia="宋体" w:cs="宋体"/>
                <w:b w:val="0"/>
                <w:bCs w:val="0"/>
                <w:color w:val="auto"/>
                <w:kern w:val="0"/>
                <w:sz w:val="24"/>
                <w:highlight w:val="none"/>
                <w:lang w:val="en-US" w:eastAsia="zh-CN" w:bidi="ar"/>
              </w:rPr>
              <w:t>要求获得采购合同的投标人将本采购包金额的至少30%分包给一家或者多家中小企业，这其中预留给小微企业的比例至少60%，须提供《拟分包情况说明》，监狱和戒毒企业、残疾人福利性单位视同小型、微型企业（格式详见招标文件）。</w:t>
            </w:r>
          </w:p>
        </w:tc>
      </w:tr>
      <w:tr w14:paraId="457A7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0A156F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8246" w:type="dxa"/>
            <w:tcBorders>
              <w:top w:val="single" w:color="auto" w:sz="4" w:space="0"/>
              <w:left w:val="single" w:color="auto" w:sz="4" w:space="0"/>
              <w:bottom w:val="single" w:color="auto" w:sz="4" w:space="0"/>
              <w:right w:val="single" w:color="auto" w:sz="4" w:space="0"/>
            </w:tcBorders>
            <w:vAlign w:val="center"/>
          </w:tcPr>
          <w:p w14:paraId="2934FD7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交纳时间：中标通知书发出时</w:t>
            </w:r>
          </w:p>
          <w:p w14:paraId="6CABF1B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：收费标准参照国家发展计划委员会文件计价格[2002]1980号文和发改办价格[2003]857号文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向中标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单位收取代理服务费。</w:t>
            </w:r>
          </w:p>
        </w:tc>
      </w:tr>
      <w:tr w14:paraId="4C1AC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8ADA8AF">
            <w:pPr>
              <w:pageBreakBefore w:val="0"/>
              <w:widowControl w:val="0"/>
              <w:kinsoku/>
              <w:wordWrap/>
              <w:autoSpaceDE/>
              <w:autoSpaceDN/>
              <w:bidi w:val="0"/>
              <w:adjustRightInd/>
              <w:snapToGrid/>
              <w:spacing w:line="400" w:lineRule="exact"/>
              <w:ind w:left="0" w:leftChars="0" w:right="0"/>
              <w:jc w:val="center"/>
              <w:textAlignment w:val="auto"/>
              <w:rPr>
                <w:rFonts w:hint="eastAsia" w:ascii="宋体" w:hAnsi="宋体" w:eastAsia="宋体" w:cs="宋体"/>
                <w:b w:val="0"/>
                <w:bCs w:val="0"/>
                <w:color w:val="auto"/>
                <w:spacing w:val="0"/>
                <w:kern w:val="0"/>
                <w:sz w:val="24"/>
                <w:szCs w:val="24"/>
                <w:highlight w:val="none"/>
                <w:lang w:val="en-US" w:eastAsia="zh-CN" w:bidi="ar-SA"/>
              </w:rPr>
            </w:pPr>
            <w:r>
              <w:rPr>
                <w:rFonts w:hint="eastAsia" w:ascii="宋体" w:hAnsi="宋体" w:eastAsia="宋体" w:cs="宋体"/>
                <w:b w:val="0"/>
                <w:bCs w:val="0"/>
                <w:color w:val="auto"/>
                <w:spacing w:val="0"/>
                <w:kern w:val="0"/>
                <w:sz w:val="24"/>
                <w:szCs w:val="24"/>
                <w:highlight w:val="none"/>
                <w:lang w:val="en-US" w:eastAsia="zh-CN" w:bidi="ar-SA"/>
              </w:rPr>
              <w:t>25</w:t>
            </w:r>
          </w:p>
        </w:tc>
        <w:tc>
          <w:tcPr>
            <w:tcW w:w="8246" w:type="dxa"/>
            <w:tcBorders>
              <w:top w:val="single" w:color="auto" w:sz="4" w:space="0"/>
              <w:left w:val="single" w:color="auto" w:sz="4" w:space="0"/>
              <w:bottom w:val="single" w:color="auto" w:sz="4" w:space="0"/>
              <w:right w:val="single" w:color="auto" w:sz="4" w:space="0"/>
            </w:tcBorders>
            <w:vAlign w:val="center"/>
          </w:tcPr>
          <w:p w14:paraId="71EBA4BE">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 w:val="0"/>
                <w:bCs w:val="0"/>
                <w:color w:val="auto"/>
                <w:spacing w:val="0"/>
                <w:kern w:val="0"/>
                <w:sz w:val="24"/>
                <w:szCs w:val="24"/>
                <w:highlight w:val="none"/>
                <w:lang w:val="en-US" w:eastAsia="zh-CN" w:bidi="ar-SA"/>
              </w:rPr>
            </w:pPr>
            <w:r>
              <w:rPr>
                <w:rFonts w:hint="eastAsia" w:ascii="宋体" w:hAnsi="宋体" w:eastAsia="宋体" w:cs="宋体"/>
                <w:b w:val="0"/>
                <w:bCs w:val="0"/>
                <w:color w:val="auto"/>
                <w:spacing w:val="0"/>
                <w:kern w:val="0"/>
                <w:sz w:val="24"/>
                <w:szCs w:val="24"/>
                <w:highlight w:val="none"/>
                <w:lang w:val="zh-CN" w:eastAsia="zh-CN" w:bidi="ar-SA"/>
              </w:rPr>
              <w:t>磋商小组推荐成交候选供应商家数：</w:t>
            </w:r>
            <w:r>
              <w:rPr>
                <w:rFonts w:hint="eastAsia" w:ascii="宋体" w:hAnsi="宋体" w:eastAsia="宋体" w:cs="宋体"/>
                <w:b w:val="0"/>
                <w:bCs w:val="0"/>
                <w:color w:val="auto"/>
                <w:spacing w:val="0"/>
                <w:kern w:val="0"/>
                <w:sz w:val="24"/>
                <w:szCs w:val="24"/>
                <w:highlight w:val="none"/>
                <w:lang w:val="en-US" w:eastAsia="zh-CN" w:bidi="ar-SA"/>
              </w:rPr>
              <w:t>3家</w:t>
            </w:r>
          </w:p>
        </w:tc>
      </w:tr>
      <w:tr w14:paraId="14ADA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64AC845">
            <w:pPr>
              <w:pageBreakBefore w:val="0"/>
              <w:widowControl w:val="0"/>
              <w:kinsoku/>
              <w:wordWrap/>
              <w:autoSpaceDE/>
              <w:autoSpaceDN/>
              <w:bidi w:val="0"/>
              <w:adjustRightInd/>
              <w:snapToGrid/>
              <w:spacing w:line="400" w:lineRule="exact"/>
              <w:ind w:left="0" w:leftChars="0" w:right="0"/>
              <w:jc w:val="center"/>
              <w:textAlignment w:val="auto"/>
              <w:rPr>
                <w:rFonts w:hint="eastAsia" w:ascii="宋体" w:hAnsi="宋体" w:eastAsia="宋体" w:cs="宋体"/>
                <w:b w:val="0"/>
                <w:bCs w:val="0"/>
                <w:color w:val="auto"/>
                <w:spacing w:val="0"/>
                <w:kern w:val="0"/>
                <w:sz w:val="24"/>
                <w:szCs w:val="24"/>
                <w:highlight w:val="none"/>
                <w:lang w:val="en-US" w:eastAsia="zh-CN" w:bidi="ar-SA"/>
              </w:rPr>
            </w:pPr>
            <w:r>
              <w:rPr>
                <w:rFonts w:hint="eastAsia" w:ascii="宋体" w:hAnsi="宋体" w:eastAsia="宋体" w:cs="宋体"/>
                <w:b w:val="0"/>
                <w:bCs w:val="0"/>
                <w:color w:val="auto"/>
                <w:spacing w:val="0"/>
                <w:kern w:val="0"/>
                <w:sz w:val="24"/>
                <w:szCs w:val="24"/>
                <w:highlight w:val="none"/>
                <w:lang w:val="en-US" w:eastAsia="zh-CN" w:bidi="ar-SA"/>
              </w:rPr>
              <w:t>26</w:t>
            </w:r>
          </w:p>
        </w:tc>
        <w:tc>
          <w:tcPr>
            <w:tcW w:w="8246" w:type="dxa"/>
            <w:tcBorders>
              <w:top w:val="single" w:color="auto" w:sz="4" w:space="0"/>
              <w:left w:val="single" w:color="auto" w:sz="4" w:space="0"/>
              <w:bottom w:val="single" w:color="auto" w:sz="4" w:space="0"/>
              <w:right w:val="single" w:color="auto" w:sz="4" w:space="0"/>
            </w:tcBorders>
            <w:vAlign w:val="center"/>
          </w:tcPr>
          <w:p w14:paraId="68904915">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 w:val="0"/>
                <w:bCs w:val="0"/>
                <w:color w:val="auto"/>
                <w:spacing w:val="0"/>
                <w:kern w:val="0"/>
                <w:sz w:val="24"/>
                <w:szCs w:val="24"/>
                <w:highlight w:val="none"/>
                <w:lang w:val="en-US" w:eastAsia="zh-CN" w:bidi="ar-SA"/>
              </w:rPr>
            </w:pPr>
            <w:r>
              <w:rPr>
                <w:rFonts w:hint="eastAsia" w:ascii="宋体" w:hAnsi="宋体" w:eastAsia="宋体" w:cs="宋体"/>
                <w:b w:val="0"/>
                <w:bCs w:val="0"/>
                <w:color w:val="auto"/>
                <w:spacing w:val="0"/>
                <w:kern w:val="0"/>
                <w:sz w:val="24"/>
                <w:szCs w:val="24"/>
                <w:highlight w:val="none"/>
                <w:lang w:val="zh-CN" w:eastAsia="zh-CN" w:bidi="ar-SA"/>
              </w:rPr>
              <w:t>是否授权磋商小组确定成交供应商：☑是</w:t>
            </w:r>
            <w:r>
              <w:rPr>
                <w:rFonts w:hint="eastAsia" w:ascii="宋体" w:hAnsi="宋体" w:eastAsia="宋体" w:cs="宋体"/>
                <w:b w:val="0"/>
                <w:bCs w:val="0"/>
                <w:color w:val="auto"/>
                <w:spacing w:val="0"/>
                <w:kern w:val="0"/>
                <w:sz w:val="24"/>
                <w:szCs w:val="24"/>
                <w:highlight w:val="none"/>
                <w:lang w:val="en-US" w:eastAsia="zh-CN" w:bidi="ar-SA"/>
              </w:rPr>
              <w:t xml:space="preserve">     </w:t>
            </w:r>
            <w:r>
              <w:rPr>
                <w:rFonts w:hint="eastAsia" w:ascii="宋体" w:hAnsi="宋体" w:eastAsia="宋体" w:cs="宋体"/>
                <w:b w:val="0"/>
                <w:bCs w:val="0"/>
                <w:color w:val="auto"/>
                <w:spacing w:val="0"/>
                <w:kern w:val="0"/>
                <w:sz w:val="24"/>
                <w:szCs w:val="24"/>
                <w:highlight w:val="none"/>
                <w:lang w:val="zh-CN" w:eastAsia="zh-CN" w:bidi="ar-SA"/>
              </w:rPr>
              <w:t>□否</w:t>
            </w:r>
          </w:p>
        </w:tc>
      </w:tr>
      <w:tr w14:paraId="1F181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811E6D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8246" w:type="dxa"/>
            <w:tcBorders>
              <w:top w:val="single" w:color="auto" w:sz="4" w:space="0"/>
              <w:left w:val="single" w:color="auto" w:sz="4" w:space="0"/>
              <w:bottom w:val="single" w:color="auto" w:sz="4" w:space="0"/>
              <w:right w:val="single" w:color="auto" w:sz="4" w:space="0"/>
            </w:tcBorders>
            <w:vAlign w:val="center"/>
          </w:tcPr>
          <w:p w14:paraId="7E528A1B">
            <w:pPr>
              <w:pStyle w:val="12"/>
              <w:pageBreakBefore w:val="0"/>
              <w:widowControl w:val="0"/>
              <w:kinsoku/>
              <w:wordWrap/>
              <w:topLinePunct/>
              <w:autoSpaceDE/>
              <w:autoSpaceDN/>
              <w:bidi w:val="0"/>
              <w:adjustRightInd/>
              <w:snapToGrid/>
              <w:spacing w:line="400" w:lineRule="exact"/>
              <w:ind w:left="0" w:leftChars="0" w:right="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预备会：</w:t>
            </w:r>
          </w:p>
          <w:p w14:paraId="20B6A669">
            <w:pPr>
              <w:pStyle w:val="12"/>
              <w:pageBreakBefore w:val="0"/>
              <w:widowControl w:val="0"/>
              <w:kinsoku/>
              <w:wordWrap/>
              <w:topLinePunct/>
              <w:autoSpaceDE/>
              <w:autoSpaceDN/>
              <w:bidi w:val="0"/>
              <w:adjustRightInd/>
              <w:snapToGrid/>
              <w:spacing w:line="400" w:lineRule="exact"/>
              <w:ind w:left="0" w:leftChars="0" w:right="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☑不召开</w:t>
            </w:r>
          </w:p>
          <w:p w14:paraId="206E887C">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□召开，召开时间：</w:t>
            </w:r>
          </w:p>
          <w:p w14:paraId="1979BE18">
            <w:pPr>
              <w:pageBreakBefore w:val="0"/>
              <w:widowControl w:val="0"/>
              <w:kinsoku/>
              <w:wordWrap/>
              <w:autoSpaceDE/>
              <w:autoSpaceDN/>
              <w:bidi w:val="0"/>
              <w:adjustRightInd/>
              <w:snapToGrid/>
              <w:spacing w:line="4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bidi="ar-SA"/>
              </w:rPr>
              <w:t xml:space="preserve">    召开地点：</w:t>
            </w:r>
          </w:p>
        </w:tc>
      </w:tr>
      <w:tr w14:paraId="351D9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34F111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8246" w:type="dxa"/>
            <w:tcBorders>
              <w:top w:val="single" w:color="auto" w:sz="4" w:space="0"/>
              <w:left w:val="single" w:color="auto" w:sz="4" w:space="0"/>
              <w:bottom w:val="single" w:color="auto" w:sz="4" w:space="0"/>
              <w:right w:val="single" w:color="auto" w:sz="4" w:space="0"/>
            </w:tcBorders>
            <w:vAlign w:val="center"/>
          </w:tcPr>
          <w:p w14:paraId="451EAC6F">
            <w:pPr>
              <w:pStyle w:val="12"/>
              <w:pageBreakBefore w:val="0"/>
              <w:widowControl w:val="0"/>
              <w:kinsoku/>
              <w:wordWrap/>
              <w:topLinePunct/>
              <w:autoSpaceDE/>
              <w:autoSpaceDN/>
              <w:bidi w:val="0"/>
              <w:adjustRightInd/>
              <w:snapToGrid/>
              <w:spacing w:line="400" w:lineRule="exact"/>
              <w:ind w:left="0" w:leftChars="0" w:right="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踏勘现场：</w:t>
            </w:r>
          </w:p>
          <w:p w14:paraId="62380739">
            <w:pPr>
              <w:pStyle w:val="12"/>
              <w:pageBreakBefore w:val="0"/>
              <w:widowControl w:val="0"/>
              <w:kinsoku/>
              <w:wordWrap/>
              <w:topLinePunct/>
              <w:autoSpaceDE/>
              <w:autoSpaceDN/>
              <w:bidi w:val="0"/>
              <w:adjustRightInd/>
              <w:snapToGrid/>
              <w:spacing w:line="400" w:lineRule="exact"/>
              <w:ind w:left="0" w:leftChars="0" w:right="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☑不组织</w:t>
            </w:r>
          </w:p>
          <w:p w14:paraId="28AE377B">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□组织，踏勘时间：</w:t>
            </w:r>
          </w:p>
          <w:p w14:paraId="75959309">
            <w:pPr>
              <w:pageBreakBefore w:val="0"/>
              <w:widowControl w:val="0"/>
              <w:kinsoku/>
              <w:wordWrap/>
              <w:autoSpaceDE/>
              <w:autoSpaceDN/>
              <w:bidi w:val="0"/>
              <w:adjustRightInd/>
              <w:snapToGrid/>
              <w:spacing w:line="400" w:lineRule="exact"/>
              <w:ind w:left="0" w:leftChars="0" w:right="0" w:firstLine="480" w:firstLineChars="200"/>
              <w:textAlignment w:val="auto"/>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    踏勘集中地点：</w:t>
            </w:r>
          </w:p>
        </w:tc>
      </w:tr>
      <w:tr w14:paraId="0CB00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35222D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8246" w:type="dxa"/>
            <w:tcBorders>
              <w:top w:val="single" w:color="auto" w:sz="4" w:space="0"/>
              <w:left w:val="single" w:color="auto" w:sz="4" w:space="0"/>
              <w:bottom w:val="single" w:color="auto" w:sz="4" w:space="0"/>
              <w:right w:val="single" w:color="auto" w:sz="4" w:space="0"/>
            </w:tcBorders>
            <w:vAlign w:val="center"/>
          </w:tcPr>
          <w:p w14:paraId="19D4090D">
            <w:pPr>
              <w:pStyle w:val="12"/>
              <w:pageBreakBefore w:val="0"/>
              <w:widowControl w:val="0"/>
              <w:kinsoku/>
              <w:wordWrap/>
              <w:topLinePunct/>
              <w:autoSpaceDE/>
              <w:autoSpaceDN/>
              <w:bidi w:val="0"/>
              <w:adjustRightInd/>
              <w:snapToGrid/>
              <w:spacing w:line="400" w:lineRule="exact"/>
              <w:ind w:left="0" w:leftChars="0" w:right="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偏离：</w:t>
            </w:r>
          </w:p>
          <w:p w14:paraId="22514610">
            <w:pPr>
              <w:pStyle w:val="12"/>
              <w:pageBreakBefore w:val="0"/>
              <w:widowControl w:val="0"/>
              <w:kinsoku/>
              <w:wordWrap/>
              <w:topLinePunct/>
              <w:autoSpaceDE/>
              <w:autoSpaceDN/>
              <w:bidi w:val="0"/>
              <w:adjustRightInd/>
              <w:snapToGrid/>
              <w:spacing w:line="400" w:lineRule="exact"/>
              <w:ind w:left="0" w:leftChars="0" w:right="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☑不允许</w:t>
            </w:r>
          </w:p>
          <w:p w14:paraId="360CE5DD">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□允许</w:t>
            </w:r>
          </w:p>
        </w:tc>
      </w:tr>
      <w:tr w14:paraId="2291A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1A9A64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8246" w:type="dxa"/>
            <w:tcBorders>
              <w:top w:val="single" w:color="auto" w:sz="4" w:space="0"/>
              <w:left w:val="single" w:color="auto" w:sz="4" w:space="0"/>
              <w:bottom w:val="single" w:color="auto" w:sz="4" w:space="0"/>
              <w:right w:val="single" w:color="auto" w:sz="4" w:space="0"/>
            </w:tcBorders>
            <w:vAlign w:val="center"/>
          </w:tcPr>
          <w:p w14:paraId="3125A94C">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 w:val="0"/>
                <w:bCs w:val="0"/>
                <w:color w:val="auto"/>
                <w:spacing w:val="0"/>
                <w:kern w:val="0"/>
                <w:sz w:val="24"/>
                <w:szCs w:val="24"/>
                <w:highlight w:val="none"/>
                <w:lang w:val="zh-CN" w:eastAsia="zh-CN" w:bidi="ar-SA"/>
              </w:rPr>
            </w:pPr>
            <w:r>
              <w:rPr>
                <w:rFonts w:hint="eastAsia" w:ascii="宋体" w:hAnsi="宋体" w:eastAsia="宋体" w:cs="宋体"/>
                <w:b w:val="0"/>
                <w:bCs w:val="0"/>
                <w:color w:val="auto"/>
                <w:spacing w:val="0"/>
                <w:kern w:val="0"/>
                <w:sz w:val="24"/>
                <w:szCs w:val="24"/>
                <w:highlight w:val="none"/>
                <w:lang w:val="zh-CN" w:eastAsia="zh-CN" w:bidi="ar-SA"/>
              </w:rPr>
              <w:t>竞争性磋商文件澄清：</w:t>
            </w:r>
          </w:p>
          <w:p w14:paraId="0C043D98">
            <w:pPr>
              <w:pageBreakBefore w:val="0"/>
              <w:widowControl w:val="0"/>
              <w:kinsoku/>
              <w:wordWrap/>
              <w:autoSpaceDE/>
              <w:autoSpaceDN/>
              <w:bidi w:val="0"/>
              <w:adjustRightInd/>
              <w:snapToGrid/>
              <w:spacing w:line="400" w:lineRule="exact"/>
              <w:ind w:left="0" w:leftChars="0" w:right="0"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 w:val="0"/>
                <w:bCs w:val="0"/>
                <w:color w:val="auto"/>
                <w:spacing w:val="0"/>
                <w:kern w:val="0"/>
                <w:sz w:val="24"/>
                <w:szCs w:val="24"/>
                <w:highlight w:val="none"/>
                <w:lang w:val="zh-CN" w:eastAsia="zh-CN" w:bidi="ar-S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tc>
      </w:tr>
      <w:tr w14:paraId="6DA3E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5F7C9C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8246" w:type="dxa"/>
            <w:tcBorders>
              <w:top w:val="single" w:color="auto" w:sz="4" w:space="0"/>
              <w:left w:val="single" w:color="auto" w:sz="4" w:space="0"/>
              <w:bottom w:val="single" w:color="auto" w:sz="4" w:space="0"/>
              <w:right w:val="single" w:color="auto" w:sz="4" w:space="0"/>
            </w:tcBorders>
            <w:vAlign w:val="center"/>
          </w:tcPr>
          <w:p w14:paraId="30B52223">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针对同一采购程序环节的质疑次数：</w:t>
            </w:r>
          </w:p>
          <w:p w14:paraId="1651EEB2">
            <w:pPr>
              <w:pageBreakBefore w:val="0"/>
              <w:widowControl w:val="0"/>
              <w:kinsoku/>
              <w:wordWrap/>
              <w:autoSpaceDE/>
              <w:autoSpaceDN/>
              <w:bidi w:val="0"/>
              <w:adjustRightInd/>
              <w:snapToGrid/>
              <w:spacing w:line="400" w:lineRule="exact"/>
              <w:ind w:left="0" w:leftChars="0" w:right="0" w:firstLine="480" w:firstLineChars="200"/>
              <w:textAlignment w:val="auto"/>
              <w:rPr>
                <w:rFonts w:hint="eastAsia" w:ascii="宋体" w:hAnsi="宋体" w:eastAsia="宋体" w:cs="宋体"/>
                <w:b w:val="0"/>
                <w:bCs w:val="0"/>
                <w:color w:val="auto"/>
                <w:spacing w:val="0"/>
                <w:kern w:val="0"/>
                <w:sz w:val="24"/>
                <w:szCs w:val="24"/>
                <w:highlight w:val="none"/>
                <w:lang w:val="zh-CN" w:eastAsia="zh-CN" w:bidi="ar-SA"/>
              </w:rPr>
            </w:pPr>
            <w:r>
              <w:rPr>
                <w:rFonts w:hint="eastAsia" w:ascii="宋体" w:hAnsi="宋体" w:eastAsia="宋体" w:cs="宋体"/>
                <w:color w:val="auto"/>
                <w:kern w:val="0"/>
                <w:sz w:val="24"/>
                <w:highlight w:val="none"/>
                <w:lang w:bidi="ar"/>
              </w:rPr>
              <w:sym w:font="Wingdings 2" w:char="0052"/>
            </w:r>
            <w:r>
              <w:rPr>
                <w:rFonts w:hint="eastAsia" w:ascii="宋体" w:hAnsi="宋体" w:eastAsia="宋体" w:cs="宋体"/>
                <w:color w:val="auto"/>
                <w:kern w:val="0"/>
                <w:sz w:val="24"/>
                <w:highlight w:val="none"/>
                <w:lang w:bidi="ar"/>
              </w:rPr>
              <w:t>一次性提出</w:t>
            </w:r>
            <w:r>
              <w:rPr>
                <w:rFonts w:hint="eastAsia" w:ascii="宋体" w:hAnsi="宋体" w:eastAsia="宋体" w:cs="宋体"/>
                <w:color w:val="auto"/>
                <w:kern w:val="0"/>
                <w:sz w:val="24"/>
                <w:highlight w:val="none"/>
                <w:lang w:bidi="ar"/>
              </w:rPr>
              <w:sym w:font="Wingdings 2" w:char="00A3"/>
            </w:r>
            <w:r>
              <w:rPr>
                <w:rFonts w:hint="eastAsia" w:ascii="宋体" w:hAnsi="宋体" w:eastAsia="宋体" w:cs="宋体"/>
                <w:color w:val="auto"/>
                <w:kern w:val="0"/>
                <w:sz w:val="24"/>
                <w:highlight w:val="none"/>
                <w:lang w:bidi="ar"/>
              </w:rPr>
              <w:t>多次提出</w:t>
            </w:r>
          </w:p>
        </w:tc>
      </w:tr>
      <w:tr w14:paraId="6C00A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74D01F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8246" w:type="dxa"/>
            <w:tcBorders>
              <w:top w:val="single" w:color="auto" w:sz="4" w:space="0"/>
              <w:left w:val="single" w:color="auto" w:sz="4" w:space="0"/>
              <w:bottom w:val="single" w:color="auto" w:sz="4" w:space="0"/>
              <w:right w:val="single" w:color="auto" w:sz="4" w:space="0"/>
            </w:tcBorders>
            <w:vAlign w:val="center"/>
          </w:tcPr>
          <w:p w14:paraId="47B7C270">
            <w:pPr>
              <w:pageBreakBefore w:val="0"/>
              <w:widowControl w:val="0"/>
              <w:kinsoku/>
              <w:wordWrap/>
              <w:autoSpaceDE/>
              <w:autoSpaceDN/>
              <w:bidi w:val="0"/>
              <w:adjustRightInd/>
              <w:snapToGrid/>
              <w:spacing w:line="400" w:lineRule="exact"/>
              <w:ind w:right="0"/>
              <w:textAlignment w:val="auto"/>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项目属性：</w:t>
            </w:r>
            <w:r>
              <w:rPr>
                <w:rFonts w:hint="eastAsia" w:ascii="宋体" w:hAnsi="宋体" w:eastAsia="宋体" w:cs="宋体"/>
                <w:b/>
                <w:bCs/>
                <w:color w:val="auto"/>
                <w:kern w:val="0"/>
                <w:sz w:val="24"/>
                <w:highlight w:val="none"/>
                <w:lang w:eastAsia="zh-CN" w:bidi="ar"/>
              </w:rPr>
              <w:t>服务</w:t>
            </w:r>
          </w:p>
        </w:tc>
      </w:tr>
      <w:tr w14:paraId="1C68C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48A5CF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8246" w:type="dxa"/>
            <w:tcBorders>
              <w:top w:val="single" w:color="auto" w:sz="4" w:space="0"/>
              <w:left w:val="single" w:color="auto" w:sz="4" w:space="0"/>
              <w:bottom w:val="single" w:color="auto" w:sz="4" w:space="0"/>
              <w:right w:val="single" w:color="auto" w:sz="4" w:space="0"/>
            </w:tcBorders>
            <w:vAlign w:val="center"/>
          </w:tcPr>
          <w:p w14:paraId="6526581B">
            <w:pPr>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b w:val="0"/>
                <w:bCs w:val="0"/>
                <w:color w:val="auto"/>
                <w:spacing w:val="0"/>
                <w:kern w:val="0"/>
                <w:sz w:val="24"/>
                <w:szCs w:val="24"/>
                <w:highlight w:val="none"/>
                <w:lang w:val="en-US" w:eastAsia="zh-CN" w:bidi="ar-SA"/>
              </w:rPr>
            </w:pPr>
            <w:r>
              <w:rPr>
                <w:rFonts w:hint="eastAsia" w:ascii="宋体" w:hAnsi="宋体" w:eastAsia="宋体" w:cs="宋体"/>
                <w:b w:val="0"/>
                <w:bCs w:val="0"/>
                <w:color w:val="auto"/>
                <w:spacing w:val="0"/>
                <w:kern w:val="0"/>
                <w:sz w:val="24"/>
                <w:szCs w:val="24"/>
                <w:highlight w:val="none"/>
                <w:lang w:val="en-US" w:eastAsia="zh-CN" w:bidi="ar-SA"/>
              </w:rPr>
              <w:t>报价要求：</w:t>
            </w:r>
          </w:p>
          <w:p w14:paraId="36B3F18C">
            <w:pPr>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b/>
                <w:bCs/>
                <w:i/>
                <w:iCs/>
                <w:color w:val="auto"/>
                <w:sz w:val="24"/>
                <w:szCs w:val="24"/>
                <w:highlight w:val="none"/>
                <w:u w:val="single"/>
                <w:lang w:val="en-US"/>
              </w:rPr>
            </w:pPr>
            <w:r>
              <w:rPr>
                <w:rFonts w:hint="eastAsia" w:ascii="宋体" w:hAnsi="宋体" w:eastAsia="宋体" w:cs="宋体"/>
                <w:b/>
                <w:bCs/>
                <w:i/>
                <w:iCs/>
                <w:color w:val="auto"/>
                <w:sz w:val="24"/>
                <w:szCs w:val="24"/>
                <w:highlight w:val="none"/>
                <w:u w:val="single"/>
                <w:lang w:val="en-US"/>
              </w:rPr>
              <w:t>工程的</w:t>
            </w:r>
            <w:r>
              <w:rPr>
                <w:rFonts w:hint="eastAsia" w:ascii="宋体" w:hAnsi="宋体" w:eastAsia="宋体" w:cs="宋体"/>
                <w:b/>
                <w:bCs/>
                <w:i/>
                <w:iCs/>
                <w:color w:val="auto"/>
                <w:sz w:val="24"/>
                <w:szCs w:val="24"/>
                <w:highlight w:val="none"/>
                <w:u w:val="single"/>
                <w:lang w:val="en-US" w:eastAsia="zh-CN"/>
              </w:rPr>
              <w:t>响应</w:t>
            </w:r>
            <w:r>
              <w:rPr>
                <w:rFonts w:hint="eastAsia" w:ascii="宋体" w:hAnsi="宋体" w:eastAsia="宋体" w:cs="宋体"/>
                <w:b/>
                <w:bCs/>
                <w:i/>
                <w:iCs/>
                <w:color w:val="auto"/>
                <w:sz w:val="24"/>
                <w:szCs w:val="24"/>
                <w:highlight w:val="none"/>
                <w:u w:val="single"/>
                <w:lang w:val="en-US"/>
              </w:rPr>
              <w:t>报价采用总价方式进行报价。</w:t>
            </w:r>
          </w:p>
          <w:p w14:paraId="1A082AF3">
            <w:pPr>
              <w:pStyle w:val="10"/>
              <w:pageBreakBefore w:val="0"/>
              <w:widowControl w:val="0"/>
              <w:kinsoku/>
              <w:wordWrap/>
              <w:overflowPunct/>
              <w:topLinePunct w:val="0"/>
              <w:autoSpaceDE/>
              <w:autoSpaceDN/>
              <w:bidi w:val="0"/>
              <w:adjustRightInd/>
              <w:snapToGrid/>
              <w:spacing w:before="0" w:line="400" w:lineRule="exact"/>
              <w:ind w:left="0" w:leftChars="0" w:right="0"/>
              <w:textAlignment w:val="auto"/>
              <w:rPr>
                <w:rFonts w:hint="eastAsia" w:ascii="宋体" w:hAnsi="宋体" w:eastAsia="宋体" w:cs="宋体"/>
                <w:b/>
                <w:bCs/>
                <w:i/>
                <w:iCs/>
                <w:color w:val="auto"/>
                <w:sz w:val="24"/>
                <w:szCs w:val="24"/>
                <w:highlight w:val="none"/>
                <w:u w:val="single"/>
                <w:lang w:val="en-US"/>
              </w:rPr>
            </w:pPr>
            <w:r>
              <w:rPr>
                <w:rFonts w:hint="eastAsia" w:ascii="宋体" w:hAnsi="宋体" w:eastAsia="宋体" w:cs="宋体"/>
                <w:b/>
                <w:bCs/>
                <w:i/>
                <w:iCs/>
                <w:color w:val="auto"/>
                <w:sz w:val="24"/>
                <w:szCs w:val="24"/>
                <w:highlight w:val="none"/>
                <w:u w:val="single"/>
              </w:rPr>
              <w:t>报价（含首次报价或最后报价）超出本项目</w:t>
            </w:r>
            <w:r>
              <w:rPr>
                <w:rFonts w:hint="eastAsia" w:ascii="宋体" w:hAnsi="宋体" w:eastAsia="宋体" w:cs="宋体"/>
                <w:b/>
                <w:bCs/>
                <w:i/>
                <w:iCs/>
                <w:color w:val="auto"/>
                <w:sz w:val="24"/>
                <w:szCs w:val="24"/>
                <w:highlight w:val="none"/>
                <w:u w:val="single"/>
                <w:lang w:val="en-US"/>
              </w:rPr>
              <w:t>最高限价(控制价）</w:t>
            </w:r>
            <w:r>
              <w:rPr>
                <w:rFonts w:hint="eastAsia" w:ascii="宋体" w:hAnsi="宋体" w:eastAsia="宋体" w:cs="宋体"/>
                <w:b/>
                <w:bCs/>
                <w:i/>
                <w:iCs/>
                <w:color w:val="auto"/>
                <w:sz w:val="24"/>
                <w:szCs w:val="24"/>
                <w:highlight w:val="none"/>
                <w:u w:val="single"/>
              </w:rPr>
              <w:t>的为无效报价，其响应文件将被认定为无效响应。</w:t>
            </w:r>
            <w:r>
              <w:rPr>
                <w:rFonts w:hint="eastAsia" w:ascii="宋体" w:hAnsi="宋体" w:eastAsia="宋体" w:cs="宋体"/>
                <w:b/>
                <w:bCs/>
                <w:i/>
                <w:iCs/>
                <w:color w:val="auto"/>
                <w:sz w:val="24"/>
                <w:szCs w:val="24"/>
                <w:highlight w:val="none"/>
                <w:u w:val="single"/>
                <w:lang w:val="en-US"/>
              </w:rPr>
              <w:t>供应商最后报价下浮金额，视为总价让利</w:t>
            </w:r>
            <w:r>
              <w:rPr>
                <w:rFonts w:hint="eastAsia" w:ascii="宋体" w:hAnsi="宋体" w:eastAsia="宋体" w:cs="宋体"/>
                <w:b/>
                <w:bCs/>
                <w:i/>
                <w:iCs/>
                <w:color w:val="auto"/>
                <w:sz w:val="24"/>
                <w:szCs w:val="24"/>
                <w:highlight w:val="none"/>
                <w:u w:val="single"/>
                <w:lang w:val="en-US" w:eastAsia="zh-CN"/>
              </w:rPr>
              <w:t>（有关法律、法规、建设行政主管部门颁发的文件规定的不可竞争费用，如规费、税金和暂列金等内容不得调整)</w:t>
            </w:r>
          </w:p>
          <w:p w14:paraId="34F77C55">
            <w:pPr>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1、本项目的报价和结算支付均以人民币为货币单位。</w:t>
            </w:r>
          </w:p>
          <w:p w14:paraId="5DB17C3E">
            <w:pPr>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2、供应商报价应包括设计、采购、运输、安装、相关部门验收及保修期内的维护保养等所有含税费用，以及供应商认为必要的其他货物、材料、工程、服务。</w:t>
            </w:r>
          </w:p>
          <w:p w14:paraId="226BD5AB">
            <w:pPr>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3、如出现任何遗漏内容需产生额外费用，均由成交供应商自行承担，采购人将不再另支付任何费用。</w:t>
            </w:r>
          </w:p>
          <w:p w14:paraId="0974710C">
            <w:pPr>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4、供应商的报价文件应包括单价和总价，总价是对采购的所有内容所计算的总价，为合同总价；其填报的明细单价则应是供应商对本采购项目所包含的具体的服务进行详细列示的计算单价。</w:t>
            </w:r>
          </w:p>
          <w:p w14:paraId="1044A2B2">
            <w:pPr>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5、供应商应被认为在填报报价之前，已经仔细阅读了本</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文件的所有有关章节以及审查了所有相关资料，已确保本次</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的所有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范围内的各种价格风险均已包含在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的报价内。</w:t>
            </w:r>
          </w:p>
          <w:p w14:paraId="79E2E73A">
            <w:pPr>
              <w:pStyle w:val="5"/>
              <w:keepNext/>
              <w:keepLines/>
              <w:pageBreakBefore w:val="0"/>
              <w:widowControl w:val="0"/>
              <w:kinsoku/>
              <w:wordWrap/>
              <w:overflowPunct/>
              <w:topLinePunct w:val="0"/>
              <w:autoSpaceDE/>
              <w:autoSpaceDN/>
              <w:bidi w:val="0"/>
              <w:adjustRightInd/>
              <w:snapToGrid/>
              <w:spacing w:before="0" w:after="0" w:line="400" w:lineRule="exact"/>
              <w:ind w:left="0" w:leftChars="0" w:right="0"/>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6、最终工程量清单综合单价按照磋商最终报价下浮率等比例下浮。</w:t>
            </w:r>
          </w:p>
          <w:p w14:paraId="70BC0704">
            <w:pPr>
              <w:pStyle w:val="30"/>
              <w:ind w:left="0" w:leftChars="0" w:firstLine="0" w:firstLineChars="0"/>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lang w:val="en-US" w:eastAsia="zh-CN" w:bidi="zh-CN"/>
              </w:rPr>
              <w:t>7、</w:t>
            </w:r>
            <w:r>
              <w:rPr>
                <w:rFonts w:hint="eastAsia" w:ascii="宋体" w:hAnsi="宋体" w:eastAsia="宋体" w:cs="宋体"/>
                <w:b/>
                <w:bCs/>
                <w:color w:val="auto"/>
                <w:kern w:val="0"/>
                <w:sz w:val="24"/>
                <w:highlight w:val="none"/>
                <w:lang w:val="en-US" w:eastAsia="zh-CN" w:bidi="ar"/>
              </w:rPr>
              <w:t>特别说明：本项目采用全费用综合单价为招标控制价，投标报价时所有投标单价均不得超出招标控制价中规定的全费用综合单价，超出控制价的投标单位将予以废标，工程量清单最终结算以实际工程量为准。（未采用该报价模式的视为不响应招标文件的无效投标）</w:t>
            </w:r>
          </w:p>
        </w:tc>
      </w:tr>
      <w:tr w14:paraId="0D890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55" w:type="dxa"/>
            <w:gridSpan w:val="2"/>
            <w:tcBorders>
              <w:top w:val="single" w:color="auto" w:sz="4" w:space="0"/>
              <w:left w:val="single" w:color="auto" w:sz="4" w:space="0"/>
              <w:bottom w:val="single" w:color="auto" w:sz="4" w:space="0"/>
              <w:right w:val="single" w:color="auto" w:sz="4" w:space="0"/>
            </w:tcBorders>
            <w:vAlign w:val="center"/>
          </w:tcPr>
          <w:p w14:paraId="1874030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特别说明：</w:t>
            </w:r>
          </w:p>
          <w:p w14:paraId="2408100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1.采购人若发现成交或中标候选供应商在投标过程中提供虚假证明文件，故意隐瞒公司不良信誉和财务状况，以及其他可能对合同圆满履行造成风险的因素等，则按规定取消其成交资格，监管部门依法进行处理。</w:t>
            </w:r>
          </w:p>
          <w:p w14:paraId="490D4C6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2.其它：</w:t>
            </w:r>
          </w:p>
          <w:p w14:paraId="1E473A0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（1）投标企业严格遵守国家的法律法规及招标纪律，无违法违纪及商业贿赂行为。</w:t>
            </w:r>
          </w:p>
          <w:p w14:paraId="55924FB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（2）不管投标结果如何，供应商均应自行承担投标所需一切费用。</w:t>
            </w:r>
          </w:p>
          <w:p w14:paraId="5DB9C0E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（3）供应商应以书面形式保证中标后由本公司组织实施，不得以任何理由将项目转包给其他机构。</w:t>
            </w:r>
          </w:p>
          <w:p w14:paraId="169BF2F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磋商文件中如出现前后不一致情况，均以前附表内容为准。</w:t>
            </w:r>
          </w:p>
        </w:tc>
      </w:tr>
      <w:tr w14:paraId="782D6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55" w:type="dxa"/>
            <w:gridSpan w:val="2"/>
            <w:tcBorders>
              <w:top w:val="single" w:color="auto" w:sz="4" w:space="0"/>
              <w:left w:val="single" w:color="auto" w:sz="4" w:space="0"/>
              <w:bottom w:val="single" w:color="auto" w:sz="4" w:space="0"/>
              <w:right w:val="single" w:color="auto" w:sz="4" w:space="0"/>
            </w:tcBorders>
            <w:vAlign w:val="center"/>
          </w:tcPr>
          <w:p w14:paraId="7821194D">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
                <w:bCs/>
                <w:color w:val="auto"/>
                <w:spacing w:val="0"/>
                <w:kern w:val="0"/>
                <w:sz w:val="24"/>
                <w:szCs w:val="24"/>
                <w:highlight w:val="none"/>
                <w:lang w:val="zh-CN" w:eastAsia="zh-CN" w:bidi="ar-SA"/>
              </w:rPr>
            </w:pPr>
            <w:r>
              <w:rPr>
                <w:rFonts w:hint="eastAsia" w:ascii="宋体" w:hAnsi="宋体" w:eastAsia="宋体" w:cs="宋体"/>
                <w:b/>
                <w:bCs/>
                <w:color w:val="auto"/>
                <w:spacing w:val="0"/>
                <w:kern w:val="0"/>
                <w:sz w:val="24"/>
                <w:szCs w:val="24"/>
                <w:highlight w:val="none"/>
                <w:lang w:val="zh-CN" w:eastAsia="zh-CN" w:bidi="ar-SA"/>
              </w:rPr>
              <w:t>注意事项：</w:t>
            </w:r>
          </w:p>
          <w:p w14:paraId="7EE1102F">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 w:val="0"/>
                <w:bCs w:val="0"/>
                <w:color w:val="auto"/>
                <w:spacing w:val="0"/>
                <w:kern w:val="0"/>
                <w:sz w:val="24"/>
                <w:szCs w:val="24"/>
                <w:highlight w:val="none"/>
                <w:lang w:val="zh-CN" w:eastAsia="zh-CN" w:bidi="ar-SA"/>
              </w:rPr>
            </w:pPr>
            <w:r>
              <w:rPr>
                <w:rFonts w:hint="eastAsia" w:ascii="宋体" w:hAnsi="宋体" w:eastAsia="宋体" w:cs="宋体"/>
                <w:b w:val="0"/>
                <w:bCs w:val="0"/>
                <w:color w:val="auto"/>
                <w:spacing w:val="0"/>
                <w:kern w:val="0"/>
                <w:sz w:val="24"/>
                <w:szCs w:val="24"/>
                <w:highlight w:val="none"/>
                <w:lang w:val="zh-CN" w:eastAsia="zh-CN" w:bidi="ar-SA"/>
              </w:rPr>
              <w:t>（1）本项目采用远程不见面电子标的方式开标。</w:t>
            </w:r>
          </w:p>
          <w:p w14:paraId="5EA7570B">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 w:val="0"/>
                <w:bCs w:val="0"/>
                <w:color w:val="auto"/>
                <w:spacing w:val="0"/>
                <w:kern w:val="0"/>
                <w:sz w:val="24"/>
                <w:szCs w:val="24"/>
                <w:highlight w:val="none"/>
                <w:lang w:val="zh-CN" w:eastAsia="zh-CN" w:bidi="ar-SA"/>
              </w:rPr>
            </w:pPr>
            <w:r>
              <w:rPr>
                <w:rFonts w:hint="eastAsia" w:ascii="宋体" w:hAnsi="宋体" w:eastAsia="宋体" w:cs="宋体"/>
                <w:b w:val="0"/>
                <w:bCs w:val="0"/>
                <w:color w:val="auto"/>
                <w:spacing w:val="0"/>
                <w:kern w:val="0"/>
                <w:sz w:val="24"/>
                <w:szCs w:val="24"/>
                <w:highlight w:val="none"/>
                <w:lang w:val="zh-CN" w:eastAsia="zh-CN" w:bidi="ar-SA"/>
              </w:rPr>
              <w:t>（2）潜在供应商领取文件须提前完成注册、CA证书和电子签部分申领和绑定、下载投标客户端。因未注册入库、未办理CA数字证书、CA证书故障、操作不当等原因造成无法投标或投标失败等后果由供应商自行承担。CA证书办理可通过在线APP理新疆政务通”或新疆CA网点办理CA数字证书和电子签部分；若单位已经办理过新疆CA证书且证书符合国产密码算法要求，可直接联系发证机构，申请增加“政采云”招投标电子签部分，无需重新办理。</w:t>
            </w:r>
          </w:p>
          <w:p w14:paraId="15699E96">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b w:val="0"/>
                <w:bCs w:val="0"/>
                <w:color w:val="auto"/>
                <w:spacing w:val="0"/>
                <w:kern w:val="0"/>
                <w:sz w:val="24"/>
                <w:szCs w:val="24"/>
                <w:highlight w:val="none"/>
                <w:lang w:val="zh-CN" w:eastAsia="zh-CN" w:bidi="ar-SA"/>
              </w:rPr>
            </w:pPr>
            <w:r>
              <w:rPr>
                <w:rFonts w:hint="eastAsia" w:ascii="宋体" w:hAnsi="宋体" w:eastAsia="宋体" w:cs="宋体"/>
                <w:b w:val="0"/>
                <w:bCs w:val="0"/>
                <w:color w:val="auto"/>
                <w:spacing w:val="0"/>
                <w:kern w:val="0"/>
                <w:sz w:val="24"/>
                <w:szCs w:val="24"/>
                <w:highlight w:val="none"/>
                <w:lang w:val="zh-CN" w:eastAsia="zh-CN" w:bidi="ar-SA"/>
              </w:rPr>
              <w:t>（3）供应商操作指南详见政府采购网办事指南、操作指南</w:t>
            </w:r>
          </w:p>
          <w:p w14:paraId="1DA99323">
            <w:pPr>
              <w:pageBreakBefore w:val="0"/>
              <w:widowControl w:val="0"/>
              <w:kinsoku/>
              <w:wordWrap/>
              <w:autoSpaceDE/>
              <w:autoSpaceDN/>
              <w:bidi w:val="0"/>
              <w:adjustRightInd/>
              <w:snapToGrid/>
              <w:spacing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zh-CN" w:eastAsia="zh-CN" w:bidi="ar-SA"/>
              </w:rPr>
              <w:t>（4）系统操作问题请咨询技术支持电话95763，CA办理问题请咨询新疆CA服务电话0991-2819290。</w:t>
            </w:r>
          </w:p>
        </w:tc>
      </w:tr>
    </w:tbl>
    <w:p w14:paraId="2FA6459E">
      <w:pPr>
        <w:pageBreakBefore w:val="0"/>
        <w:wordWrap/>
        <w:bidi w:val="0"/>
        <w:spacing w:line="460" w:lineRule="exact"/>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61385C8">
      <w:pPr>
        <w:pageBreakBefore w:val="0"/>
        <w:widowControl w:val="0"/>
        <w:kinsoku/>
        <w:wordWrap/>
        <w:topLinePunct w:val="0"/>
        <w:autoSpaceDE/>
        <w:autoSpaceDN/>
        <w:bidi w:val="0"/>
        <w:adjustRightInd/>
        <w:snapToGrid/>
        <w:spacing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49" w:name="_Toc246996175"/>
      <w:bookmarkStart w:id="50" w:name="_Toc152045529"/>
      <w:bookmarkStart w:id="51" w:name="_Toc247085689"/>
      <w:bookmarkStart w:id="52" w:name="_Toc63357952"/>
      <w:bookmarkStart w:id="53" w:name="_Toc246996918"/>
      <w:bookmarkStart w:id="54" w:name="_Toc179632546"/>
      <w:bookmarkStart w:id="55" w:name="_Toc144974497"/>
      <w:bookmarkStart w:id="56" w:name="_Toc152042305"/>
      <w:r>
        <w:rPr>
          <w:rFonts w:hint="eastAsia" w:ascii="宋体" w:hAnsi="宋体" w:eastAsia="宋体" w:cs="宋体"/>
          <w:b/>
          <w:bCs w:val="0"/>
          <w:color w:val="auto"/>
          <w:kern w:val="2"/>
          <w:sz w:val="24"/>
          <w:szCs w:val="24"/>
          <w:highlight w:val="none"/>
          <w:lang w:val="en-US" w:eastAsia="zh-CN" w:bidi="ar-SA"/>
        </w:rPr>
        <w:t>1. 总则</w:t>
      </w:r>
      <w:bookmarkEnd w:id="49"/>
      <w:bookmarkEnd w:id="50"/>
      <w:bookmarkEnd w:id="51"/>
      <w:bookmarkEnd w:id="52"/>
      <w:bookmarkEnd w:id="53"/>
      <w:bookmarkEnd w:id="54"/>
      <w:bookmarkEnd w:id="55"/>
      <w:bookmarkEnd w:id="56"/>
      <w:bookmarkStart w:id="57" w:name="_Toc247085690"/>
      <w:bookmarkStart w:id="58" w:name="_Toc246996176"/>
      <w:bookmarkStart w:id="59" w:name="_Toc152042306"/>
      <w:bookmarkStart w:id="60" w:name="_Toc63353716"/>
      <w:bookmarkStart w:id="61" w:name="_Toc144974498"/>
      <w:bookmarkStart w:id="62" w:name="_Toc63357953"/>
      <w:bookmarkStart w:id="63" w:name="_Toc296602421"/>
      <w:bookmarkStart w:id="64" w:name="_Toc179632547"/>
      <w:bookmarkStart w:id="65" w:name="_Toc246996919"/>
      <w:bookmarkStart w:id="66" w:name="_Toc152045530"/>
    </w:p>
    <w:p w14:paraId="44A0CCB7">
      <w:pPr>
        <w:pStyle w:val="5"/>
        <w:pageBreakBefore w:val="0"/>
        <w:widowControl w:val="0"/>
        <w:kinsoku/>
        <w:wordWrap/>
        <w:topLinePunct w:val="0"/>
        <w:autoSpaceDE/>
        <w:autoSpaceDN/>
        <w:bidi w:val="0"/>
        <w:adjustRightInd/>
        <w:snapToGrid/>
        <w:spacing w:before="0" w:after="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1.1 项目概况</w:t>
      </w:r>
      <w:bookmarkEnd w:id="57"/>
      <w:bookmarkEnd w:id="58"/>
      <w:bookmarkEnd w:id="59"/>
      <w:bookmarkEnd w:id="60"/>
      <w:bookmarkEnd w:id="61"/>
      <w:bookmarkEnd w:id="62"/>
      <w:bookmarkEnd w:id="63"/>
      <w:bookmarkEnd w:id="64"/>
      <w:bookmarkEnd w:id="65"/>
      <w:bookmarkEnd w:id="66"/>
    </w:p>
    <w:p w14:paraId="33ABF172">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1.1.1根据《中华人民共和国</w:t>
      </w:r>
      <w:r>
        <w:rPr>
          <w:rFonts w:hint="eastAsia" w:ascii="宋体" w:hAnsi="宋体" w:eastAsia="宋体" w:cs="宋体"/>
          <w:color w:val="auto"/>
          <w:sz w:val="24"/>
          <w:szCs w:val="24"/>
          <w:highlight w:val="none"/>
          <w:lang w:val="en-US" w:eastAsia="zh-CN"/>
        </w:rPr>
        <w:t>政府采购</w:t>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w:t>
      </w:r>
      <w:r>
        <w:rPr>
          <w:rFonts w:hint="eastAsia" w:ascii="宋体" w:hAnsi="宋体" w:eastAsia="宋体" w:cs="宋体"/>
          <w:color w:val="auto"/>
          <w:sz w:val="24"/>
          <w:szCs w:val="24"/>
          <w:highlight w:val="none"/>
          <w:lang w:val="en-US" w:eastAsia="zh-CN"/>
        </w:rPr>
        <w:t>政府采购</w:t>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实施条例</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、《政府采购非</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采购方式管理办法》</w:t>
      </w:r>
      <w:r>
        <w:rPr>
          <w:rFonts w:hint="eastAsia" w:ascii="宋体" w:hAnsi="宋体" w:eastAsia="宋体" w:cs="宋体"/>
          <w:color w:val="auto"/>
          <w:sz w:val="24"/>
          <w:szCs w:val="24"/>
          <w:highlight w:val="none"/>
        </w:rPr>
        <w:t>等有关法律、法规和规</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的规定，本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项目已具备</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条件，现对本项目施工进行</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w:t>
      </w:r>
    </w:p>
    <w:p w14:paraId="5B12B55D">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1061A555">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1C3BF7E3">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F651961">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项目建设地点：见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3FA5990">
      <w:pPr>
        <w:pStyle w:val="6"/>
        <w:pageBreakBefore w:val="0"/>
        <w:widowControl w:val="0"/>
        <w:kinsoku/>
        <w:wordWrap/>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67" w:name="_Toc152045531"/>
      <w:bookmarkStart w:id="68" w:name="_Toc63357954"/>
      <w:bookmarkStart w:id="69" w:name="_Toc152042307"/>
      <w:bookmarkStart w:id="70" w:name="_Toc179632548"/>
      <w:bookmarkStart w:id="71" w:name="_Toc246996177"/>
      <w:bookmarkStart w:id="72" w:name="_Toc296602422"/>
      <w:bookmarkStart w:id="73" w:name="_Toc63353717"/>
      <w:bookmarkStart w:id="74" w:name="_Toc144974499"/>
      <w:bookmarkStart w:id="75" w:name="_Toc246996920"/>
      <w:bookmarkStart w:id="76" w:name="_Toc247085691"/>
      <w:r>
        <w:rPr>
          <w:rFonts w:hint="eastAsia" w:ascii="宋体" w:hAnsi="宋体" w:eastAsia="宋体" w:cs="宋体"/>
          <w:b/>
          <w:bCs w:val="0"/>
          <w:color w:val="auto"/>
          <w:kern w:val="2"/>
          <w:sz w:val="24"/>
          <w:szCs w:val="24"/>
          <w:highlight w:val="none"/>
          <w:lang w:val="en-US" w:eastAsia="zh-CN" w:bidi="ar-SA"/>
        </w:rPr>
        <w:t>1.2 资金来源和落实情况</w:t>
      </w:r>
      <w:bookmarkEnd w:id="67"/>
      <w:bookmarkEnd w:id="68"/>
      <w:bookmarkEnd w:id="69"/>
      <w:bookmarkEnd w:id="70"/>
      <w:bookmarkEnd w:id="71"/>
      <w:bookmarkEnd w:id="72"/>
      <w:bookmarkEnd w:id="73"/>
      <w:bookmarkEnd w:id="74"/>
      <w:bookmarkEnd w:id="75"/>
      <w:bookmarkEnd w:id="76"/>
    </w:p>
    <w:p w14:paraId="2F32BACC">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项目的资金来源及出资比例：见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12038D23">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项目的资金落实情况：见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FB96077">
      <w:pPr>
        <w:pStyle w:val="6"/>
        <w:pageBreakBefore w:val="0"/>
        <w:widowControl w:val="0"/>
        <w:kinsoku/>
        <w:wordWrap/>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77" w:name="_Toc247085692"/>
      <w:bookmarkStart w:id="78" w:name="_Toc63353718"/>
      <w:bookmarkStart w:id="79" w:name="_Toc152045532"/>
      <w:bookmarkStart w:id="80" w:name="_Toc246996921"/>
      <w:bookmarkStart w:id="81" w:name="_Toc144974500"/>
      <w:bookmarkStart w:id="82" w:name="_Toc246996178"/>
      <w:bookmarkStart w:id="83" w:name="_Toc179632549"/>
      <w:bookmarkStart w:id="84" w:name="_Toc63357955"/>
      <w:bookmarkStart w:id="85" w:name="_Toc296602423"/>
      <w:bookmarkStart w:id="86" w:name="_Toc152042308"/>
      <w:r>
        <w:rPr>
          <w:rFonts w:hint="eastAsia" w:ascii="宋体" w:hAnsi="宋体" w:eastAsia="宋体" w:cs="宋体"/>
          <w:b/>
          <w:bCs w:val="0"/>
          <w:color w:val="auto"/>
          <w:kern w:val="2"/>
          <w:sz w:val="24"/>
          <w:szCs w:val="24"/>
          <w:highlight w:val="none"/>
          <w:lang w:val="en-US" w:eastAsia="zh-CN" w:bidi="ar-SA"/>
        </w:rPr>
        <w:t>1.3 采购需求、合同履行期限、质量要求</w:t>
      </w:r>
      <w:bookmarkEnd w:id="77"/>
      <w:bookmarkEnd w:id="78"/>
      <w:bookmarkEnd w:id="79"/>
      <w:bookmarkEnd w:id="80"/>
      <w:bookmarkEnd w:id="81"/>
      <w:bookmarkEnd w:id="82"/>
      <w:bookmarkEnd w:id="83"/>
      <w:bookmarkEnd w:id="84"/>
      <w:bookmarkEnd w:id="85"/>
      <w:bookmarkEnd w:id="86"/>
    </w:p>
    <w:p w14:paraId="14500ECD">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本次采购需求：见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6ED884E">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项目的合同履行期限：见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75DB6BC6">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项目的质量要求：见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651E952">
      <w:pPr>
        <w:pStyle w:val="6"/>
        <w:pageBreakBefore w:val="0"/>
        <w:widowControl w:val="0"/>
        <w:kinsoku/>
        <w:wordWrap/>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87" w:name="_Toc246996179"/>
      <w:bookmarkStart w:id="88" w:name="_Toc179632551"/>
      <w:bookmarkStart w:id="89" w:name="_Toc63353719"/>
      <w:bookmarkStart w:id="90" w:name="_Toc247085693"/>
      <w:bookmarkStart w:id="91" w:name="_Toc152045534"/>
      <w:bookmarkStart w:id="92" w:name="_Toc246996922"/>
      <w:bookmarkStart w:id="93" w:name="_Toc296602424"/>
      <w:bookmarkStart w:id="94" w:name="_Toc144974502"/>
      <w:bookmarkStart w:id="95" w:name="_Toc152042310"/>
      <w:bookmarkStart w:id="96" w:name="_Toc63357956"/>
      <w:r>
        <w:rPr>
          <w:rFonts w:hint="eastAsia" w:ascii="宋体" w:hAnsi="宋体" w:eastAsia="宋体" w:cs="宋体"/>
          <w:b/>
          <w:bCs w:val="0"/>
          <w:color w:val="auto"/>
          <w:kern w:val="2"/>
          <w:sz w:val="24"/>
          <w:szCs w:val="24"/>
          <w:highlight w:val="none"/>
          <w:lang w:val="en-US" w:eastAsia="zh-CN" w:bidi="ar-SA"/>
        </w:rPr>
        <w:t>1.4 供应商资格要求</w:t>
      </w:r>
      <w:bookmarkEnd w:id="87"/>
      <w:bookmarkEnd w:id="88"/>
      <w:bookmarkEnd w:id="89"/>
      <w:bookmarkEnd w:id="90"/>
      <w:bookmarkEnd w:id="91"/>
      <w:bookmarkEnd w:id="92"/>
      <w:bookmarkEnd w:id="93"/>
      <w:bookmarkEnd w:id="94"/>
      <w:bookmarkEnd w:id="95"/>
      <w:bookmarkEnd w:id="96"/>
    </w:p>
    <w:p w14:paraId="050A9EEF">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应具备承担本采购项目资质条件、能力：见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12BD7196">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1.4.2项目落实的财政政策：见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D12990C">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须知前附表规定接受联合体投标的，联合体除应符合本</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第 1.4.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项和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须知前附表的要求外，还应遵守以下规定：</w:t>
      </w:r>
    </w:p>
    <w:p w14:paraId="4C5883CE">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提供的格式签订联合体协议书，明确联合体牵头人和各方权 利义务，并承诺就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p>
    <w:p w14:paraId="120B2FE1">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（2）联合体中有同类资质的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按照联合体分工承担相同工作的，应当按照资质等级较低的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确定资质等级；</w:t>
      </w:r>
    </w:p>
    <w:p w14:paraId="1BD41E86">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（3）以联合体形式参加政府采购活动的，联合体各方不得再单独参加或者与其他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另外组成联合体参加同一合同项下的政府采购活动。</w:t>
      </w:r>
    </w:p>
    <w:p w14:paraId="72E6150B">
      <w:pPr>
        <w:pageBreakBefore w:val="0"/>
        <w:widowControl w:val="0"/>
        <w:kinsoku/>
        <w:wordWrap/>
        <w:topLinePunct w:val="0"/>
        <w:autoSpaceDE/>
        <w:autoSpaceDN/>
        <w:bidi w:val="0"/>
        <w:adjustRightInd/>
        <w:snapToGrid/>
        <w:spacing w:line="46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不得存在下列情形之一：</w:t>
      </w:r>
    </w:p>
    <w:p w14:paraId="2FBCB7A4">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（1）单位负责人为同一人或者存在直接控股、管理关系的不同供应商，不得参加同一合同项下的政府采购活动；</w:t>
      </w:r>
    </w:p>
    <w:p w14:paraId="4C82236D">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（2）为采购项目提供整体设计、规范编制或者项目管理、监理、检测等服务的供应商，不得再参加该采购项目的其他采购活动；</w:t>
      </w:r>
    </w:p>
    <w:p w14:paraId="430BFB40">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（3）被最高人民法院在“信用中国”网站（www.creditchina.gov.cn）列入失信被执行人名单、重大税收违法案件当事人名单；</w:t>
      </w:r>
    </w:p>
    <w:p w14:paraId="40FA8B1A">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（4）被“中国政府采购网”（www.ccgp.gov.cn）列入严重违法失信行为记录名单（且在限制</w:t>
      </w:r>
      <w:r>
        <w:rPr>
          <w:rFonts w:hint="eastAsia" w:ascii="宋体" w:hAnsi="宋体" w:eastAsia="宋体" w:cs="宋体"/>
          <w:color w:val="auto"/>
          <w:sz w:val="24"/>
          <w:szCs w:val="24"/>
          <w:highlight w:val="none"/>
          <w:lang w:val="en-US" w:eastAsia="zh-CN"/>
        </w:rPr>
        <w:t>参加政府采购活动</w:t>
      </w:r>
      <w:r>
        <w:rPr>
          <w:rFonts w:hint="eastAsia" w:ascii="宋体" w:hAnsi="宋体" w:eastAsia="宋体" w:cs="宋体"/>
          <w:color w:val="auto"/>
          <w:sz w:val="24"/>
          <w:szCs w:val="24"/>
          <w:highlight w:val="none"/>
          <w:lang w:eastAsia="zh-CN"/>
        </w:rPr>
        <w:t>处罚期内的）；</w:t>
      </w:r>
    </w:p>
    <w:p w14:paraId="0FD2A74A">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）法律法规规定的其他不得存在的情形。</w:t>
      </w:r>
    </w:p>
    <w:p w14:paraId="7A2A4611">
      <w:pPr>
        <w:pStyle w:val="6"/>
        <w:pageBreakBefore w:val="0"/>
        <w:widowControl w:val="0"/>
        <w:kinsoku/>
        <w:wordWrap/>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97" w:name="_Toc144974503"/>
      <w:bookmarkStart w:id="98" w:name="_Toc63357957"/>
      <w:bookmarkStart w:id="99" w:name="_Toc246996180"/>
      <w:bookmarkStart w:id="100" w:name="_Toc152042311"/>
      <w:bookmarkStart w:id="101" w:name="_Toc152045535"/>
      <w:bookmarkStart w:id="102" w:name="_Toc179632552"/>
      <w:bookmarkStart w:id="103" w:name="_Toc296602425"/>
      <w:bookmarkStart w:id="104" w:name="_Toc247085694"/>
      <w:bookmarkStart w:id="105" w:name="_Toc63353720"/>
      <w:bookmarkStart w:id="106" w:name="_Toc246996923"/>
      <w:r>
        <w:rPr>
          <w:rFonts w:hint="eastAsia" w:ascii="宋体" w:hAnsi="宋体" w:eastAsia="宋体" w:cs="宋体"/>
          <w:b/>
          <w:bCs w:val="0"/>
          <w:color w:val="auto"/>
          <w:kern w:val="2"/>
          <w:sz w:val="24"/>
          <w:szCs w:val="24"/>
          <w:highlight w:val="none"/>
          <w:lang w:val="en-US" w:eastAsia="zh-CN" w:bidi="ar-SA"/>
        </w:rPr>
        <w:t>1.5 费用承担</w:t>
      </w:r>
      <w:bookmarkEnd w:id="97"/>
      <w:bookmarkEnd w:id="98"/>
      <w:bookmarkEnd w:id="99"/>
      <w:bookmarkEnd w:id="100"/>
      <w:bookmarkEnd w:id="101"/>
      <w:bookmarkEnd w:id="102"/>
      <w:bookmarkEnd w:id="103"/>
      <w:bookmarkEnd w:id="104"/>
      <w:bookmarkEnd w:id="105"/>
      <w:bookmarkEnd w:id="106"/>
    </w:p>
    <w:p w14:paraId="1B15E709">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准备和参加</w:t>
      </w:r>
      <w:r>
        <w:rPr>
          <w:rFonts w:hint="eastAsia" w:ascii="宋体" w:hAnsi="宋体" w:eastAsia="宋体" w:cs="宋体"/>
          <w:color w:val="auto"/>
          <w:sz w:val="24"/>
          <w:szCs w:val="24"/>
          <w:highlight w:val="none"/>
          <w:lang w:val="en-US" w:eastAsia="zh-CN"/>
        </w:rPr>
        <w:t>政府采购</w:t>
      </w:r>
      <w:r>
        <w:rPr>
          <w:rFonts w:hint="eastAsia" w:ascii="宋体" w:hAnsi="宋体" w:eastAsia="宋体" w:cs="宋体"/>
          <w:color w:val="auto"/>
          <w:sz w:val="24"/>
          <w:szCs w:val="24"/>
          <w:highlight w:val="none"/>
        </w:rPr>
        <w:t>活动发生的费用自理。</w:t>
      </w:r>
    </w:p>
    <w:p w14:paraId="70F1AF63">
      <w:pPr>
        <w:pStyle w:val="6"/>
        <w:pageBreakBefore w:val="0"/>
        <w:widowControl w:val="0"/>
        <w:kinsoku/>
        <w:wordWrap/>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07" w:name="_Toc152045536"/>
      <w:bookmarkStart w:id="108" w:name="_Toc296602426"/>
      <w:bookmarkStart w:id="109" w:name="_Toc63357958"/>
      <w:bookmarkStart w:id="110" w:name="_Toc246996924"/>
      <w:bookmarkStart w:id="111" w:name="_Toc247085695"/>
      <w:bookmarkStart w:id="112" w:name="_Toc179632553"/>
      <w:bookmarkStart w:id="113" w:name="_Toc152042312"/>
      <w:bookmarkStart w:id="114" w:name="_Toc63353721"/>
      <w:bookmarkStart w:id="115" w:name="_Toc246996181"/>
      <w:bookmarkStart w:id="116" w:name="_Toc144974504"/>
      <w:r>
        <w:rPr>
          <w:rFonts w:hint="eastAsia" w:ascii="宋体" w:hAnsi="宋体" w:eastAsia="宋体" w:cs="宋体"/>
          <w:b/>
          <w:bCs w:val="0"/>
          <w:color w:val="auto"/>
          <w:kern w:val="2"/>
          <w:sz w:val="24"/>
          <w:szCs w:val="24"/>
          <w:highlight w:val="none"/>
          <w:lang w:val="en-US" w:eastAsia="zh-CN" w:bidi="ar-SA"/>
        </w:rPr>
        <w:t>1.6 保密</w:t>
      </w:r>
      <w:bookmarkEnd w:id="107"/>
      <w:bookmarkEnd w:id="108"/>
      <w:bookmarkEnd w:id="109"/>
      <w:bookmarkEnd w:id="110"/>
      <w:bookmarkEnd w:id="111"/>
      <w:bookmarkEnd w:id="112"/>
      <w:bookmarkEnd w:id="113"/>
      <w:bookmarkEnd w:id="114"/>
      <w:bookmarkEnd w:id="115"/>
      <w:bookmarkEnd w:id="116"/>
    </w:p>
    <w:p w14:paraId="6298E877">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val="en-US" w:eastAsia="zh-CN"/>
        </w:rPr>
        <w:t>政府采购活动</w:t>
      </w:r>
      <w:r>
        <w:rPr>
          <w:rFonts w:hint="eastAsia" w:ascii="宋体" w:hAnsi="宋体" w:eastAsia="宋体" w:cs="宋体"/>
          <w:color w:val="auto"/>
          <w:sz w:val="24"/>
          <w:szCs w:val="24"/>
          <w:highlight w:val="none"/>
        </w:rPr>
        <w:t>的各方应对</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中的商业和技术等秘密保密，违者应对由此造成的后果承担法律责任。 </w:t>
      </w:r>
    </w:p>
    <w:p w14:paraId="0EF46147">
      <w:pPr>
        <w:pStyle w:val="6"/>
        <w:pageBreakBefore w:val="0"/>
        <w:widowControl w:val="0"/>
        <w:kinsoku/>
        <w:wordWrap/>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17" w:name="_Toc144974505"/>
      <w:bookmarkStart w:id="118" w:name="_Toc152045537"/>
      <w:bookmarkStart w:id="119" w:name="_Toc63357959"/>
      <w:bookmarkStart w:id="120" w:name="_Toc296602427"/>
      <w:bookmarkStart w:id="121" w:name="_Toc63353722"/>
      <w:bookmarkStart w:id="122" w:name="_Toc179632554"/>
      <w:bookmarkStart w:id="123" w:name="_Toc247085696"/>
      <w:bookmarkStart w:id="124" w:name="_Toc152042313"/>
      <w:bookmarkStart w:id="125" w:name="_Toc246996925"/>
      <w:bookmarkStart w:id="126" w:name="_Toc246996182"/>
      <w:r>
        <w:rPr>
          <w:rFonts w:hint="eastAsia" w:ascii="宋体" w:hAnsi="宋体" w:eastAsia="宋体" w:cs="宋体"/>
          <w:b/>
          <w:bCs w:val="0"/>
          <w:color w:val="auto"/>
          <w:kern w:val="2"/>
          <w:sz w:val="24"/>
          <w:szCs w:val="24"/>
          <w:highlight w:val="none"/>
          <w:lang w:val="en-US" w:eastAsia="zh-CN" w:bidi="ar-SA"/>
        </w:rPr>
        <w:t>1.7 语言</w:t>
      </w:r>
      <w:bookmarkEnd w:id="117"/>
      <w:r>
        <w:rPr>
          <w:rFonts w:hint="eastAsia" w:ascii="宋体" w:hAnsi="宋体" w:eastAsia="宋体" w:cs="宋体"/>
          <w:b/>
          <w:bCs w:val="0"/>
          <w:color w:val="auto"/>
          <w:kern w:val="2"/>
          <w:sz w:val="24"/>
          <w:szCs w:val="24"/>
          <w:highlight w:val="none"/>
          <w:lang w:val="en-US" w:eastAsia="zh-CN" w:bidi="ar-SA"/>
        </w:rPr>
        <w:t>文字</w:t>
      </w:r>
      <w:bookmarkEnd w:id="118"/>
      <w:bookmarkEnd w:id="119"/>
      <w:bookmarkEnd w:id="120"/>
      <w:bookmarkEnd w:id="121"/>
      <w:bookmarkEnd w:id="122"/>
      <w:bookmarkEnd w:id="123"/>
      <w:bookmarkEnd w:id="124"/>
      <w:bookmarkEnd w:id="125"/>
      <w:bookmarkEnd w:id="126"/>
    </w:p>
    <w:p w14:paraId="7B41BF8A">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bookmarkStart w:id="127" w:name="_Toc152042314"/>
      <w:bookmarkStart w:id="128" w:name="_Toc144974506"/>
      <w:bookmarkStart w:id="129" w:name="_Toc246996926"/>
      <w:bookmarkStart w:id="130" w:name="_Toc246996183"/>
      <w:bookmarkStart w:id="131" w:name="_Toc247085697"/>
      <w:bookmarkStart w:id="132" w:name="_Toc179632555"/>
      <w:bookmarkStart w:id="133" w:name="_Toc152045538"/>
      <w:r>
        <w:rPr>
          <w:rFonts w:hint="eastAsia" w:ascii="宋体" w:hAnsi="宋体" w:eastAsia="宋体" w:cs="宋体"/>
          <w:color w:val="auto"/>
          <w:sz w:val="24"/>
          <w:szCs w:val="24"/>
          <w:highlight w:val="none"/>
          <w:lang w:eastAsia="zh-CN"/>
        </w:rPr>
        <w:t>采购响应文件</w:t>
      </w:r>
      <w:r>
        <w:rPr>
          <w:rFonts w:hint="eastAsia" w:ascii="宋体" w:hAnsi="宋体" w:eastAsia="宋体" w:cs="宋体"/>
          <w:color w:val="auto"/>
          <w:sz w:val="24"/>
          <w:szCs w:val="24"/>
          <w:highlight w:val="none"/>
        </w:rPr>
        <w:t>使用的语言文字为中文。专用术语使用外文的，应附有中文注释。</w:t>
      </w:r>
    </w:p>
    <w:p w14:paraId="520DCF83">
      <w:pPr>
        <w:pStyle w:val="6"/>
        <w:pageBreakBefore w:val="0"/>
        <w:widowControl w:val="0"/>
        <w:kinsoku/>
        <w:wordWrap/>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34" w:name="_Toc63353723"/>
      <w:bookmarkStart w:id="135" w:name="_Toc296602428"/>
      <w:bookmarkStart w:id="136" w:name="_Toc63357960"/>
      <w:r>
        <w:rPr>
          <w:rFonts w:hint="eastAsia" w:ascii="宋体" w:hAnsi="宋体" w:eastAsia="宋体" w:cs="宋体"/>
          <w:b/>
          <w:bCs w:val="0"/>
          <w:color w:val="auto"/>
          <w:kern w:val="2"/>
          <w:sz w:val="24"/>
          <w:szCs w:val="24"/>
          <w:highlight w:val="none"/>
          <w:lang w:val="en-US" w:eastAsia="zh-CN" w:bidi="ar-SA"/>
        </w:rPr>
        <w:t>1.8 计量单位</w:t>
      </w:r>
      <w:bookmarkEnd w:id="127"/>
      <w:bookmarkEnd w:id="128"/>
      <w:bookmarkEnd w:id="129"/>
      <w:bookmarkEnd w:id="130"/>
      <w:bookmarkEnd w:id="131"/>
      <w:bookmarkEnd w:id="132"/>
      <w:bookmarkEnd w:id="133"/>
      <w:bookmarkEnd w:id="134"/>
      <w:bookmarkEnd w:id="135"/>
      <w:bookmarkEnd w:id="136"/>
    </w:p>
    <w:p w14:paraId="3A16D7B8">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72338FA9">
      <w:pPr>
        <w:pStyle w:val="6"/>
        <w:pageBreakBefore w:val="0"/>
        <w:widowControl w:val="0"/>
        <w:kinsoku/>
        <w:wordWrap/>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37" w:name="_Toc247527563"/>
      <w:bookmarkStart w:id="138" w:name="_Toc152045539"/>
      <w:bookmarkStart w:id="139" w:name="_Toc296602429"/>
      <w:bookmarkStart w:id="140" w:name="_Toc63353724"/>
      <w:bookmarkStart w:id="141" w:name="_Toc144974507"/>
      <w:bookmarkStart w:id="142" w:name="_Toc63357961"/>
      <w:bookmarkStart w:id="143" w:name="_Toc247513962"/>
      <w:bookmarkStart w:id="144" w:name="_Toc152042315"/>
      <w:bookmarkStart w:id="145" w:name="_Toc247592876"/>
      <w:r>
        <w:rPr>
          <w:rFonts w:hint="eastAsia" w:ascii="宋体" w:hAnsi="宋体" w:eastAsia="宋体" w:cs="宋体"/>
          <w:b/>
          <w:bCs w:val="0"/>
          <w:color w:val="auto"/>
          <w:kern w:val="2"/>
          <w:sz w:val="24"/>
          <w:szCs w:val="24"/>
          <w:highlight w:val="none"/>
          <w:lang w:val="en-US" w:eastAsia="zh-CN" w:bidi="ar-SA"/>
        </w:rPr>
        <w:t>1.9 踏勘现场</w:t>
      </w:r>
      <w:bookmarkEnd w:id="137"/>
      <w:bookmarkEnd w:id="138"/>
      <w:bookmarkEnd w:id="139"/>
      <w:bookmarkEnd w:id="140"/>
      <w:bookmarkEnd w:id="141"/>
      <w:bookmarkEnd w:id="142"/>
      <w:bookmarkEnd w:id="143"/>
      <w:bookmarkEnd w:id="144"/>
      <w:bookmarkEnd w:id="145"/>
    </w:p>
    <w:p w14:paraId="5EAF6937">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须知前附表规定组织踏勘现场的，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须知前附表规定的时间、地点组织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踏勘项目现场。 </w:t>
      </w:r>
    </w:p>
    <w:p w14:paraId="46A390D5">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踏勘现场发生的费用自理。</w:t>
      </w:r>
    </w:p>
    <w:p w14:paraId="5BCE7B0F">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的原因外，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自行负责在踏勘现场中所发生的人员伤亡和财产损失。</w:t>
      </w:r>
    </w:p>
    <w:p w14:paraId="1D07C7EA">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1.9.4 </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在踏勘现场中介绍的工程场地和相关的周边环境情况，供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在编制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时参考，</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据此作出的判断和决策负责。</w:t>
      </w:r>
    </w:p>
    <w:p w14:paraId="5F86B03A">
      <w:pPr>
        <w:pStyle w:val="6"/>
        <w:pageBreakBefore w:val="0"/>
        <w:widowControl w:val="0"/>
        <w:kinsoku/>
        <w:wordWrap/>
        <w:overflowPunct w:val="0"/>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46" w:name="_Toc152045540"/>
      <w:bookmarkStart w:id="147" w:name="_Toc144974508"/>
      <w:bookmarkStart w:id="148" w:name="_Toc247513963"/>
      <w:bookmarkStart w:id="149" w:name="_Toc63353725"/>
      <w:bookmarkStart w:id="150" w:name="_Toc247527564"/>
      <w:bookmarkStart w:id="151" w:name="_Toc63357962"/>
      <w:bookmarkStart w:id="152" w:name="_Toc247592877"/>
      <w:bookmarkStart w:id="153" w:name="_Toc152042316"/>
      <w:bookmarkStart w:id="154" w:name="_Toc296602430"/>
      <w:r>
        <w:rPr>
          <w:rFonts w:hint="eastAsia" w:ascii="宋体" w:hAnsi="宋体" w:eastAsia="宋体" w:cs="宋体"/>
          <w:b/>
          <w:bCs w:val="0"/>
          <w:color w:val="auto"/>
          <w:kern w:val="2"/>
          <w:sz w:val="24"/>
          <w:szCs w:val="24"/>
          <w:highlight w:val="none"/>
          <w:lang w:val="en-US" w:eastAsia="zh-CN" w:bidi="ar-SA"/>
        </w:rPr>
        <w:t xml:space="preserve">1.10 </w:t>
      </w:r>
      <w:bookmarkEnd w:id="146"/>
      <w:bookmarkEnd w:id="147"/>
      <w:bookmarkEnd w:id="148"/>
      <w:bookmarkEnd w:id="149"/>
      <w:bookmarkEnd w:id="150"/>
      <w:bookmarkEnd w:id="151"/>
      <w:bookmarkEnd w:id="152"/>
      <w:bookmarkEnd w:id="153"/>
      <w:bookmarkEnd w:id="154"/>
      <w:r>
        <w:rPr>
          <w:rFonts w:hint="eastAsia" w:ascii="宋体" w:hAnsi="宋体" w:eastAsia="宋体" w:cs="宋体"/>
          <w:b/>
          <w:bCs w:val="0"/>
          <w:color w:val="auto"/>
          <w:kern w:val="2"/>
          <w:sz w:val="24"/>
          <w:szCs w:val="24"/>
          <w:highlight w:val="none"/>
          <w:lang w:val="en-US" w:eastAsia="zh-CN" w:bidi="ar-SA"/>
        </w:rPr>
        <w:t>预备会</w:t>
      </w:r>
    </w:p>
    <w:p w14:paraId="74E81BF6">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须知前附表规定召开</w:t>
      </w:r>
      <w:r>
        <w:rPr>
          <w:rFonts w:hint="eastAsia" w:ascii="宋体" w:hAnsi="宋体" w:eastAsia="宋体" w:cs="宋体"/>
          <w:color w:val="auto"/>
          <w:sz w:val="24"/>
          <w:szCs w:val="24"/>
          <w:highlight w:val="none"/>
          <w:lang w:eastAsia="zh-CN"/>
        </w:rPr>
        <w:t>预备会</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须知前附表规定的时间和地点召开</w:t>
      </w:r>
      <w:r>
        <w:rPr>
          <w:rFonts w:hint="eastAsia" w:ascii="宋体" w:hAnsi="宋体" w:eastAsia="宋体" w:cs="宋体"/>
          <w:color w:val="auto"/>
          <w:sz w:val="24"/>
          <w:szCs w:val="24"/>
          <w:highlight w:val="none"/>
          <w:lang w:eastAsia="zh-CN"/>
        </w:rPr>
        <w:t>预备会</w:t>
      </w:r>
      <w:r>
        <w:rPr>
          <w:rFonts w:hint="eastAsia" w:ascii="宋体" w:hAnsi="宋体" w:eastAsia="宋体" w:cs="宋体"/>
          <w:color w:val="auto"/>
          <w:sz w:val="24"/>
          <w:szCs w:val="24"/>
          <w:highlight w:val="none"/>
        </w:rPr>
        <w:t>，澄清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提出的问题。</w:t>
      </w:r>
    </w:p>
    <w:p w14:paraId="15F6C2AA">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须知前附表规定的时间前，以书面形式将提出的问题送达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在会议期间澄清。</w:t>
      </w:r>
    </w:p>
    <w:p w14:paraId="056299A3">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1.10.3 </w:t>
      </w:r>
      <w:r>
        <w:rPr>
          <w:rFonts w:hint="eastAsia" w:ascii="宋体" w:hAnsi="宋体" w:eastAsia="宋体" w:cs="宋体"/>
          <w:color w:val="auto"/>
          <w:sz w:val="24"/>
          <w:szCs w:val="24"/>
          <w:highlight w:val="none"/>
          <w:lang w:eastAsia="zh-CN"/>
        </w:rPr>
        <w:t>预备会</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须知前附表规定的时间内，将对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所提问题的澄清，以书面形式通知所有购买</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。该澄清内容为</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的组成部分。</w:t>
      </w:r>
    </w:p>
    <w:p w14:paraId="374E7BA2">
      <w:pPr>
        <w:pStyle w:val="6"/>
        <w:pageBreakBefore w:val="0"/>
        <w:widowControl w:val="0"/>
        <w:kinsoku/>
        <w:wordWrap/>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55" w:name="_Toc63357963"/>
      <w:bookmarkStart w:id="156" w:name="_Toc296602431"/>
      <w:bookmarkStart w:id="157" w:name="_Toc63353726"/>
      <w:r>
        <w:rPr>
          <w:rFonts w:hint="eastAsia" w:ascii="宋体" w:hAnsi="宋体" w:eastAsia="宋体" w:cs="宋体"/>
          <w:b/>
          <w:bCs w:val="0"/>
          <w:color w:val="auto"/>
          <w:kern w:val="2"/>
          <w:sz w:val="24"/>
          <w:szCs w:val="24"/>
          <w:highlight w:val="none"/>
          <w:lang w:val="en-US" w:eastAsia="zh-CN" w:bidi="ar-SA"/>
        </w:rPr>
        <w:t>1.11 偏离</w:t>
      </w:r>
      <w:bookmarkEnd w:id="155"/>
      <w:bookmarkEnd w:id="156"/>
      <w:bookmarkEnd w:id="157"/>
    </w:p>
    <w:p w14:paraId="044D5EB4">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某些要求的，偏离应当符合</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规定的偏离范围和幅度。</w:t>
      </w:r>
    </w:p>
    <w:p w14:paraId="57143051">
      <w:pPr>
        <w:pStyle w:val="5"/>
        <w:pageBreakBefore w:val="0"/>
        <w:widowControl w:val="0"/>
        <w:kinsoku/>
        <w:wordWrap/>
        <w:topLinePunct w:val="0"/>
        <w:autoSpaceDE/>
        <w:autoSpaceDN/>
        <w:bidi w:val="0"/>
        <w:adjustRightInd/>
        <w:snapToGrid/>
        <w:spacing w:before="0" w:after="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58" w:name="_Toc246996187"/>
      <w:bookmarkStart w:id="159" w:name="_Toc63357964"/>
      <w:bookmarkStart w:id="160" w:name="_Toc144974510"/>
      <w:bookmarkStart w:id="161" w:name="_Toc152042318"/>
      <w:bookmarkStart w:id="162" w:name="_Toc247085701"/>
      <w:bookmarkStart w:id="163" w:name="_Toc179632560"/>
      <w:bookmarkStart w:id="164" w:name="_Toc152045542"/>
      <w:bookmarkStart w:id="165" w:name="_Toc246996930"/>
      <w:bookmarkStart w:id="166" w:name="_Toc179632564"/>
      <w:bookmarkStart w:id="167" w:name="_Toc246996934"/>
      <w:bookmarkStart w:id="168" w:name="_Toc63357968"/>
      <w:bookmarkStart w:id="169" w:name="_Toc247085705"/>
      <w:bookmarkStart w:id="170" w:name="_Toc152045546"/>
      <w:bookmarkStart w:id="171" w:name="_Toc144974514"/>
      <w:bookmarkStart w:id="172" w:name="_Toc152042322"/>
      <w:bookmarkStart w:id="173" w:name="_Toc246996191"/>
      <w:r>
        <w:rPr>
          <w:rFonts w:hint="eastAsia" w:ascii="宋体" w:hAnsi="宋体" w:eastAsia="宋体" w:cs="宋体"/>
          <w:b/>
          <w:bCs w:val="0"/>
          <w:color w:val="auto"/>
          <w:kern w:val="2"/>
          <w:sz w:val="24"/>
          <w:szCs w:val="24"/>
          <w:highlight w:val="none"/>
          <w:lang w:val="en-US" w:eastAsia="zh-CN" w:bidi="ar-SA"/>
        </w:rPr>
        <w:t xml:space="preserve">2. </w:t>
      </w:r>
      <w:bookmarkEnd w:id="158"/>
      <w:bookmarkEnd w:id="159"/>
      <w:bookmarkEnd w:id="160"/>
      <w:bookmarkEnd w:id="161"/>
      <w:bookmarkEnd w:id="162"/>
      <w:bookmarkEnd w:id="163"/>
      <w:bookmarkEnd w:id="164"/>
      <w:bookmarkEnd w:id="165"/>
      <w:r>
        <w:rPr>
          <w:rFonts w:hint="eastAsia" w:ascii="宋体" w:hAnsi="宋体" w:eastAsia="宋体" w:cs="宋体"/>
          <w:b/>
          <w:bCs w:val="0"/>
          <w:color w:val="auto"/>
          <w:kern w:val="2"/>
          <w:sz w:val="24"/>
          <w:szCs w:val="24"/>
          <w:highlight w:val="none"/>
          <w:lang w:val="en-US" w:eastAsia="zh-CN" w:bidi="ar-SA"/>
        </w:rPr>
        <w:t>竞争性磋商文件</w:t>
      </w:r>
    </w:p>
    <w:p w14:paraId="7F6AB6AB">
      <w:pPr>
        <w:pStyle w:val="6"/>
        <w:pageBreakBefore w:val="0"/>
        <w:widowControl w:val="0"/>
        <w:kinsoku/>
        <w:wordWrap/>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74" w:name="_Toc152045543"/>
      <w:bookmarkStart w:id="175" w:name="_Toc63353728"/>
      <w:bookmarkStart w:id="176" w:name="_Toc246996188"/>
      <w:bookmarkStart w:id="177" w:name="_Toc246996931"/>
      <w:bookmarkStart w:id="178" w:name="_Toc296602433"/>
      <w:bookmarkStart w:id="179" w:name="_Toc152042319"/>
      <w:bookmarkStart w:id="180" w:name="_Toc144974511"/>
      <w:bookmarkStart w:id="181" w:name="_Toc247085702"/>
      <w:bookmarkStart w:id="182" w:name="_Toc63357965"/>
      <w:bookmarkStart w:id="183" w:name="_Toc179632561"/>
      <w:r>
        <w:rPr>
          <w:rFonts w:hint="eastAsia" w:ascii="宋体" w:hAnsi="宋体" w:eastAsia="宋体" w:cs="宋体"/>
          <w:b/>
          <w:bCs w:val="0"/>
          <w:color w:val="auto"/>
          <w:kern w:val="2"/>
          <w:sz w:val="24"/>
          <w:szCs w:val="24"/>
          <w:highlight w:val="none"/>
          <w:lang w:val="en-US" w:eastAsia="zh-CN" w:bidi="ar-SA"/>
        </w:rPr>
        <w:t>2.1 竞争性磋商文件的组成</w:t>
      </w:r>
      <w:bookmarkEnd w:id="174"/>
      <w:bookmarkEnd w:id="175"/>
      <w:bookmarkEnd w:id="176"/>
      <w:bookmarkEnd w:id="177"/>
      <w:bookmarkEnd w:id="178"/>
      <w:bookmarkEnd w:id="179"/>
      <w:bookmarkEnd w:id="180"/>
      <w:bookmarkEnd w:id="181"/>
      <w:bookmarkEnd w:id="182"/>
      <w:bookmarkEnd w:id="183"/>
    </w:p>
    <w:p w14:paraId="1D85589F">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磋商公告；</w:t>
      </w:r>
    </w:p>
    <w:p w14:paraId="291E6A0E">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w:t>
      </w:r>
    </w:p>
    <w:p w14:paraId="7B5809B5">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合同条款；</w:t>
      </w:r>
    </w:p>
    <w:p w14:paraId="30EA1C86">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范本格式</w:t>
      </w:r>
      <w:r>
        <w:rPr>
          <w:rFonts w:hint="eastAsia" w:ascii="宋体" w:hAnsi="宋体" w:eastAsia="宋体" w:cs="宋体"/>
          <w:color w:val="auto"/>
          <w:sz w:val="24"/>
          <w:szCs w:val="24"/>
          <w:highlight w:val="none"/>
          <w:lang w:eastAsia="zh-CN"/>
        </w:rPr>
        <w:t>；</w:t>
      </w:r>
    </w:p>
    <w:p w14:paraId="15BF725D">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）清单工程量。</w:t>
      </w:r>
    </w:p>
    <w:p w14:paraId="2BDFDB25">
      <w:pPr>
        <w:pStyle w:val="6"/>
        <w:pageBreakBefore w:val="0"/>
        <w:widowControl w:val="0"/>
        <w:kinsoku/>
        <w:wordWrap/>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84" w:name="_Toc144974512"/>
      <w:bookmarkStart w:id="185" w:name="_Toc246996932"/>
      <w:bookmarkStart w:id="186" w:name="_Toc246996189"/>
      <w:bookmarkStart w:id="187" w:name="_Toc63357966"/>
      <w:bookmarkStart w:id="188" w:name="_Toc247085703"/>
      <w:bookmarkStart w:id="189" w:name="_Toc179632562"/>
      <w:bookmarkStart w:id="190" w:name="_Toc152042320"/>
      <w:bookmarkStart w:id="191" w:name="_Toc296602434"/>
      <w:bookmarkStart w:id="192" w:name="_Toc152045544"/>
      <w:bookmarkStart w:id="193" w:name="_Toc63353729"/>
      <w:r>
        <w:rPr>
          <w:rFonts w:hint="eastAsia" w:ascii="宋体" w:hAnsi="宋体" w:eastAsia="宋体" w:cs="宋体"/>
          <w:b/>
          <w:bCs w:val="0"/>
          <w:color w:val="auto"/>
          <w:kern w:val="2"/>
          <w:sz w:val="24"/>
          <w:szCs w:val="24"/>
          <w:highlight w:val="none"/>
          <w:lang w:val="en-US" w:eastAsia="zh-CN" w:bidi="ar-SA"/>
        </w:rPr>
        <w:t>2.2 竞争性磋商文件的澄清</w:t>
      </w:r>
      <w:bookmarkEnd w:id="184"/>
      <w:bookmarkEnd w:id="185"/>
      <w:bookmarkEnd w:id="186"/>
      <w:bookmarkEnd w:id="187"/>
      <w:bookmarkEnd w:id="188"/>
      <w:bookmarkEnd w:id="189"/>
      <w:bookmarkEnd w:id="190"/>
      <w:bookmarkEnd w:id="191"/>
      <w:bookmarkEnd w:id="192"/>
      <w:bookmarkEnd w:id="193"/>
      <w:r>
        <w:rPr>
          <w:rFonts w:hint="eastAsia" w:ascii="宋体" w:hAnsi="宋体" w:eastAsia="宋体" w:cs="宋体"/>
          <w:b/>
          <w:bCs w:val="0"/>
          <w:color w:val="auto"/>
          <w:kern w:val="2"/>
          <w:sz w:val="24"/>
          <w:szCs w:val="24"/>
          <w:highlight w:val="none"/>
          <w:lang w:val="en-US" w:eastAsia="zh-CN" w:bidi="ar-SA"/>
        </w:rPr>
        <w:t xml:space="preserve"> </w:t>
      </w:r>
    </w:p>
    <w:p w14:paraId="37913F54">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2.2.1供应商对磋商文件有疑问的，可以向招标代理机构提出询问，招标代理机构将及时做出答复；</w:t>
      </w:r>
    </w:p>
    <w:p w14:paraId="3D0366DD">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2.2.2</w:t>
      </w:r>
      <w:r>
        <w:rPr>
          <w:rFonts w:hint="eastAsia" w:ascii="宋体" w:hAnsi="宋体" w:eastAsia="宋体" w:cs="宋体"/>
          <w:color w:val="auto"/>
          <w:sz w:val="24"/>
          <w:szCs w:val="24"/>
          <w:highlight w:val="none"/>
        </w:rPr>
        <w:t>供应商对磋商文件有质疑，须在磋商响应文件递交截止时间5日以前，以书面形式向招标机构提出质疑；招标机构在收到书面质疑后尽快做出答复，并以书面形式通知质疑供应商。</w:t>
      </w:r>
    </w:p>
    <w:p w14:paraId="1A99C351">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在收到澄清后，应在</w:t>
      </w:r>
      <w:r>
        <w:rPr>
          <w:rFonts w:hint="eastAsia" w:ascii="宋体" w:hAnsi="宋体" w:eastAsia="宋体" w:cs="宋体"/>
          <w:color w:val="auto"/>
          <w:sz w:val="24"/>
          <w:szCs w:val="24"/>
          <w:highlight w:val="none"/>
          <w:lang w:val="en-US" w:eastAsia="zh-CN"/>
        </w:rPr>
        <w:t>24小时</w:t>
      </w:r>
      <w:r>
        <w:rPr>
          <w:rFonts w:hint="eastAsia" w:ascii="宋体" w:hAnsi="宋体" w:eastAsia="宋体" w:cs="宋体"/>
          <w:color w:val="auto"/>
          <w:sz w:val="24"/>
          <w:szCs w:val="24"/>
          <w:highlight w:val="none"/>
        </w:rPr>
        <w:t>内以书面形式通知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，确认已收到该澄清。</w:t>
      </w:r>
    </w:p>
    <w:p w14:paraId="58FE9A14">
      <w:pPr>
        <w:pStyle w:val="6"/>
        <w:pageBreakBefore w:val="0"/>
        <w:widowControl w:val="0"/>
        <w:kinsoku/>
        <w:wordWrap/>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94" w:name="_Toc152045545"/>
      <w:bookmarkStart w:id="195" w:name="_Toc144974513"/>
      <w:bookmarkStart w:id="196" w:name="_Toc63353730"/>
      <w:bookmarkStart w:id="197" w:name="_Toc247085704"/>
      <w:bookmarkStart w:id="198" w:name="_Toc63357967"/>
      <w:bookmarkStart w:id="199" w:name="_Toc152042321"/>
      <w:bookmarkStart w:id="200" w:name="_Toc296602435"/>
      <w:bookmarkStart w:id="201" w:name="_Toc246996933"/>
      <w:bookmarkStart w:id="202" w:name="_Toc246996190"/>
      <w:bookmarkStart w:id="203" w:name="_Toc179632563"/>
      <w:r>
        <w:rPr>
          <w:rFonts w:hint="eastAsia" w:ascii="宋体" w:hAnsi="宋体" w:eastAsia="宋体" w:cs="宋体"/>
          <w:b/>
          <w:bCs w:val="0"/>
          <w:color w:val="auto"/>
          <w:kern w:val="2"/>
          <w:sz w:val="24"/>
          <w:szCs w:val="24"/>
          <w:highlight w:val="none"/>
          <w:lang w:val="en-US" w:eastAsia="zh-CN" w:bidi="ar-SA"/>
        </w:rPr>
        <w:t>2.3 竞争性磋商文件的修改</w:t>
      </w:r>
      <w:bookmarkEnd w:id="194"/>
      <w:bookmarkEnd w:id="195"/>
      <w:bookmarkEnd w:id="196"/>
      <w:bookmarkEnd w:id="197"/>
      <w:bookmarkEnd w:id="198"/>
      <w:bookmarkEnd w:id="199"/>
      <w:bookmarkEnd w:id="200"/>
      <w:bookmarkEnd w:id="201"/>
      <w:bookmarkEnd w:id="202"/>
      <w:bookmarkEnd w:id="203"/>
    </w:p>
    <w:p w14:paraId="19BDAE14">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eastAsia="zh-CN"/>
        </w:rPr>
        <w:t>对磋商文件进行必要的修改，招标代理机构将在投标截止时间2日前以书面形式通知所有购买磋商文件的供应商。该修改的内容为磋商文件的组成部分；</w:t>
      </w:r>
    </w:p>
    <w:p w14:paraId="350822F4">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2.3.2</w:t>
      </w:r>
      <w:r>
        <w:rPr>
          <w:rFonts w:hint="eastAsia" w:ascii="宋体" w:hAnsi="宋体" w:eastAsia="宋体" w:cs="宋体"/>
          <w:color w:val="auto"/>
          <w:sz w:val="24"/>
          <w:szCs w:val="24"/>
          <w:highlight w:val="none"/>
          <w:lang w:eastAsia="zh-CN"/>
        </w:rPr>
        <w:t>供应商在规定的时间内未对磋商文件提出澄清要求的，招标代理机构将视其为同意。</w:t>
      </w:r>
    </w:p>
    <w:p w14:paraId="021E60FD">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2.3.3</w:t>
      </w:r>
      <w:r>
        <w:rPr>
          <w:rFonts w:hint="eastAsia" w:ascii="宋体" w:hAnsi="宋体" w:eastAsia="宋体" w:cs="宋体"/>
          <w:color w:val="auto"/>
          <w:sz w:val="24"/>
          <w:szCs w:val="24"/>
          <w:highlight w:val="none"/>
          <w:lang w:eastAsia="zh-CN"/>
        </w:rPr>
        <w:t>在投标截止时间前，招标机构可视具体情况延长磋商截止时间，并将变更时间书面通知所有购买磋商文件的供应商。</w:t>
      </w:r>
    </w:p>
    <w:p w14:paraId="636DD1ED">
      <w:pPr>
        <w:pStyle w:val="5"/>
        <w:pageBreakBefore w:val="0"/>
        <w:widowControl w:val="0"/>
        <w:kinsoku/>
        <w:wordWrap/>
        <w:topLinePunct w:val="0"/>
        <w:autoSpaceDE/>
        <w:autoSpaceDN/>
        <w:bidi w:val="0"/>
        <w:adjustRightInd/>
        <w:snapToGrid/>
        <w:spacing w:before="0" w:after="0" w:line="460" w:lineRule="exact"/>
        <w:ind w:left="0" w:leftChars="0" w:right="0" w:firstLine="442" w:firstLineChars="200"/>
        <w:textAlignment w:val="auto"/>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 xml:space="preserve">3. </w:t>
      </w:r>
      <w:bookmarkEnd w:id="166"/>
      <w:bookmarkEnd w:id="167"/>
      <w:bookmarkEnd w:id="168"/>
      <w:bookmarkEnd w:id="169"/>
      <w:bookmarkEnd w:id="170"/>
      <w:bookmarkEnd w:id="171"/>
      <w:bookmarkEnd w:id="172"/>
      <w:bookmarkEnd w:id="173"/>
      <w:r>
        <w:rPr>
          <w:rFonts w:hint="eastAsia" w:ascii="宋体" w:hAnsi="宋体" w:eastAsia="宋体" w:cs="宋体"/>
          <w:color w:val="auto"/>
          <w:sz w:val="24"/>
          <w:szCs w:val="24"/>
          <w:highlight w:val="none"/>
        </w:rPr>
        <w:t>磋商响应文件的编写</w:t>
      </w:r>
    </w:p>
    <w:p w14:paraId="42731300">
      <w:pPr>
        <w:pageBreakBefore w:val="0"/>
        <w:widowControl w:val="0"/>
        <w:kinsoku/>
        <w:wordWrap/>
        <w:topLinePunct w:val="0"/>
        <w:autoSpaceDE/>
        <w:autoSpaceDN/>
        <w:bidi w:val="0"/>
        <w:adjustRightInd/>
        <w:snapToGrid/>
        <w:spacing w:beforeAutospacing="0" w:afterAutospacing="0" w:line="460" w:lineRule="exact"/>
        <w:ind w:left="0" w:leftChars="0" w:right="0" w:firstLine="482" w:firstLineChars="200"/>
        <w:textAlignment w:val="auto"/>
        <w:rPr>
          <w:rFonts w:hint="eastAsia" w:ascii="宋体" w:hAnsi="宋体" w:eastAsia="宋体" w:cs="宋体"/>
          <w:color w:val="auto"/>
          <w:sz w:val="24"/>
          <w:szCs w:val="24"/>
          <w:highlight w:val="none"/>
        </w:rPr>
      </w:pPr>
      <w:bookmarkStart w:id="204" w:name="_Toc247085706"/>
      <w:bookmarkStart w:id="205" w:name="_Toc246996192"/>
      <w:bookmarkStart w:id="206" w:name="_Toc63353732"/>
      <w:bookmarkStart w:id="207" w:name="_Toc296602437"/>
      <w:bookmarkStart w:id="208" w:name="_Toc63357969"/>
      <w:bookmarkStart w:id="209" w:name="_Toc179632565"/>
      <w:bookmarkStart w:id="210" w:name="_Toc246996935"/>
      <w:bookmarkStart w:id="211" w:name="_Toc152045547"/>
      <w:bookmarkStart w:id="212" w:name="_Toc152042323"/>
      <w:bookmarkStart w:id="213" w:name="_Toc144974515"/>
      <w:r>
        <w:rPr>
          <w:rFonts w:hint="eastAsia" w:ascii="宋体" w:hAnsi="宋体" w:eastAsia="宋体" w:cs="宋体"/>
          <w:b/>
          <w:bCs w:val="0"/>
          <w:color w:val="auto"/>
          <w:kern w:val="2"/>
          <w:sz w:val="24"/>
          <w:szCs w:val="24"/>
          <w:highlight w:val="none"/>
          <w:lang w:val="en-US" w:eastAsia="zh-CN" w:bidi="ar-SA"/>
        </w:rPr>
        <w:t xml:space="preserve">3.1 </w:t>
      </w:r>
      <w:r>
        <w:rPr>
          <w:rFonts w:hint="eastAsia" w:ascii="宋体" w:hAnsi="宋体" w:eastAsia="宋体" w:cs="宋体"/>
          <w:color w:val="auto"/>
          <w:sz w:val="24"/>
          <w:szCs w:val="24"/>
          <w:highlight w:val="none"/>
        </w:rPr>
        <w:t>要求</w:t>
      </w:r>
    </w:p>
    <w:p w14:paraId="0FC6A9CD">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w:t>
      </w:r>
      <w:r>
        <w:rPr>
          <w:rFonts w:hint="eastAsia" w:ascii="宋体" w:hAnsi="宋体" w:eastAsia="宋体" w:cs="宋体"/>
          <w:color w:val="auto"/>
          <w:sz w:val="24"/>
          <w:szCs w:val="24"/>
          <w:highlight w:val="none"/>
        </w:rPr>
        <w:t>供应商应仔细阅读磋商文件的所有内容，按磋商文件的要求提供磋商响应文件，并保证所提供的全部资料的真实性，以使其磋商响应对磋商文件作出实质性响应。</w:t>
      </w:r>
    </w:p>
    <w:p w14:paraId="28BE1ABB">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磋商语言</w:t>
      </w:r>
    </w:p>
    <w:p w14:paraId="5D6D91AB">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3.2.1</w:t>
      </w:r>
      <w:r>
        <w:rPr>
          <w:rFonts w:hint="eastAsia" w:ascii="宋体" w:hAnsi="宋体" w:eastAsia="宋体" w:cs="宋体"/>
          <w:color w:val="auto"/>
          <w:sz w:val="24"/>
          <w:szCs w:val="24"/>
          <w:highlight w:val="none"/>
        </w:rPr>
        <w:t>磋商响应文件及供应商与招标代理机构就磋商交换的文件和来往信件，应以中文书写（磋商供应商提交的支持文件和印刷的文献可以使用别的语言，但其相应内容必须附有中文翻译文本，在解释竞争性磋商响应文件时以翻译文本为主）。</w:t>
      </w:r>
    </w:p>
    <w:p w14:paraId="5B1AF4BE">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磋商响应文件的</w:t>
      </w:r>
      <w:r>
        <w:rPr>
          <w:rFonts w:hint="eastAsia" w:ascii="宋体" w:hAnsi="宋体" w:eastAsia="宋体" w:cs="宋体"/>
          <w:color w:val="auto"/>
          <w:sz w:val="24"/>
          <w:szCs w:val="24"/>
          <w:highlight w:val="none"/>
          <w:lang w:eastAsia="zh-CN"/>
        </w:rPr>
        <w:t>组成</w:t>
      </w:r>
    </w:p>
    <w:bookmarkEnd w:id="204"/>
    <w:bookmarkEnd w:id="205"/>
    <w:bookmarkEnd w:id="206"/>
    <w:bookmarkEnd w:id="207"/>
    <w:bookmarkEnd w:id="208"/>
    <w:bookmarkEnd w:id="209"/>
    <w:bookmarkEnd w:id="210"/>
    <w:bookmarkEnd w:id="211"/>
    <w:bookmarkEnd w:id="212"/>
    <w:bookmarkEnd w:id="213"/>
    <w:p w14:paraId="4C8708F6">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3.3.1</w:t>
      </w:r>
      <w:r>
        <w:rPr>
          <w:rFonts w:hint="eastAsia" w:ascii="宋体" w:hAnsi="宋体" w:eastAsia="宋体" w:cs="宋体"/>
          <w:color w:val="auto"/>
          <w:sz w:val="24"/>
          <w:szCs w:val="24"/>
          <w:highlight w:val="none"/>
        </w:rPr>
        <w:t>响应文件应包括但不限于下列内容：</w:t>
      </w:r>
      <w:r>
        <w:rPr>
          <w:rFonts w:hint="eastAsia" w:ascii="宋体" w:hAnsi="宋体" w:eastAsia="宋体" w:cs="宋体"/>
          <w:color w:val="auto"/>
          <w:sz w:val="24"/>
          <w:szCs w:val="24"/>
          <w:highlight w:val="none"/>
          <w:lang w:eastAsia="zh-CN"/>
        </w:rPr>
        <w:t>具体详见磋商文件第五部分，格式范本</w:t>
      </w:r>
    </w:p>
    <w:p w14:paraId="60CC55B0">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供应商应将磋商响应文件按照11.1项顺序装订成册，并填写文件资料清单。</w:t>
      </w:r>
    </w:p>
    <w:p w14:paraId="03C58691">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磋商响应文件格式</w:t>
      </w:r>
    </w:p>
    <w:p w14:paraId="35B342CE">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w:t>
      </w:r>
      <w:r>
        <w:rPr>
          <w:rFonts w:hint="eastAsia" w:ascii="宋体" w:hAnsi="宋体" w:eastAsia="宋体" w:cs="宋体"/>
          <w:color w:val="auto"/>
          <w:sz w:val="24"/>
          <w:szCs w:val="24"/>
          <w:highlight w:val="none"/>
        </w:rPr>
        <w:t>供应商应按磋商文件的范本格式中提供的文件格式填写磋商书、磋商报价表、磋商报价分项表。</w:t>
      </w:r>
    </w:p>
    <w:p w14:paraId="6821E781">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3.5.2</w:t>
      </w:r>
      <w:r>
        <w:rPr>
          <w:rFonts w:hint="eastAsia" w:ascii="宋体" w:hAnsi="宋体" w:eastAsia="宋体" w:cs="宋体"/>
          <w:color w:val="auto"/>
          <w:sz w:val="24"/>
          <w:szCs w:val="24"/>
          <w:highlight w:val="none"/>
        </w:rPr>
        <w:t>对于响应文件中含义不明确、同类问题表述不一致或者有明显文字和计算错误的内容，评标委员会应当以书面形式要求投标人作出必要的澄清、说明或者补正。投标人的澄清、说明或者补正应当采用书面形式，并加盖</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，或者由法定代表人或其授权的代表签字。投标人的澄清、说明或者补正不得超出响应文件的范围或者改变响应文件的实质性内容。</w:t>
      </w:r>
    </w:p>
    <w:p w14:paraId="6B68CBAE">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磋商报价</w:t>
      </w:r>
    </w:p>
    <w:p w14:paraId="40F17BB6">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w:t>
      </w:r>
      <w:r>
        <w:rPr>
          <w:rFonts w:hint="eastAsia" w:ascii="宋体" w:hAnsi="宋体" w:eastAsia="宋体" w:cs="宋体"/>
          <w:color w:val="auto"/>
          <w:sz w:val="24"/>
          <w:szCs w:val="24"/>
          <w:highlight w:val="none"/>
          <w:lang w:eastAsia="zh-CN"/>
        </w:rPr>
        <w:t>六部分</w:t>
      </w:r>
      <w:r>
        <w:rPr>
          <w:rFonts w:hint="eastAsia" w:ascii="宋体" w:hAnsi="宋体" w:eastAsia="宋体" w:cs="宋体"/>
          <w:color w:val="auto"/>
          <w:sz w:val="24"/>
          <w:szCs w:val="24"/>
          <w:highlight w:val="none"/>
        </w:rPr>
        <w:t>“工程量清单”的要求填写相应表格。</w:t>
      </w:r>
    </w:p>
    <w:p w14:paraId="5CAABFA8">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磋商截止时间</w:t>
      </w:r>
      <w:r>
        <w:rPr>
          <w:rFonts w:hint="eastAsia" w:ascii="宋体" w:hAnsi="宋体" w:eastAsia="宋体" w:cs="宋体"/>
          <w:color w:val="auto"/>
          <w:sz w:val="24"/>
          <w:szCs w:val="24"/>
          <w:highlight w:val="none"/>
        </w:rPr>
        <w:t>前修改</w:t>
      </w:r>
      <w:r>
        <w:rPr>
          <w:rFonts w:hint="eastAsia" w:ascii="宋体" w:hAnsi="宋体" w:eastAsia="宋体" w:cs="宋体"/>
          <w:color w:val="auto"/>
          <w:sz w:val="24"/>
          <w:szCs w:val="24"/>
          <w:highlight w:val="none"/>
          <w:lang w:eastAsia="zh-CN"/>
        </w:rPr>
        <w:t>响应函</w:t>
      </w:r>
      <w:r>
        <w:rPr>
          <w:rFonts w:hint="eastAsia" w:ascii="宋体" w:hAnsi="宋体" w:eastAsia="宋体" w:cs="宋体"/>
          <w:color w:val="auto"/>
          <w:sz w:val="24"/>
          <w:szCs w:val="24"/>
          <w:highlight w:val="none"/>
        </w:rPr>
        <w:t>中的</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总额，应同时修改“已标价工程量清单”中的相应报价，</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总额为各分项金额之和。</w:t>
      </w:r>
    </w:p>
    <w:p w14:paraId="20A9133D">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3.6.3</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设有项目控制价的，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不得超过项目控制价，项目控制价在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02BBA104">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算术性修正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算术性修正是指对磋商响应文件的报价明细进行校核，并对其算术上和运算上的差错给予修正。修正的原则如下：</w:t>
      </w:r>
    </w:p>
    <w:p w14:paraId="36494D4C">
      <w:pPr>
        <w:pageBreakBefore w:val="0"/>
        <w:widowControl w:val="0"/>
        <w:kinsoku/>
        <w:wordWrap/>
        <w:topLinePunct w:val="0"/>
        <w:autoSpaceDE/>
        <w:autoSpaceDN/>
        <w:bidi w:val="0"/>
        <w:adjustRightInd/>
        <w:snapToGrid/>
        <w:spacing w:beforeAutospacing="0" w:afterAutospacing="0" w:line="460" w:lineRule="exact"/>
        <w:ind w:left="72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当以数字表示的金额与文字表示的金额有差异时，以文字表示的金额为准；</w:t>
      </w:r>
    </w:p>
    <w:p w14:paraId="3CDCB901">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（2）大写金额和小写金额不一致的，以大写金额为准；</w:t>
      </w:r>
    </w:p>
    <w:p w14:paraId="1B82F55E">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当单价与数量相乘不等于合价时，以单价计算为准。如果单价有明显的小数点位置差错，应以标出的合价为准，同时对单价予以修正；</w:t>
      </w:r>
    </w:p>
    <w:p w14:paraId="0CBBD032">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当各明细部分的价格累计不等于合价时，应以各明细的累计计数为准，修正合价。</w:t>
      </w:r>
    </w:p>
    <w:p w14:paraId="55ABBFE4">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按以上原则对算术性差错修正，应取得供应商的同意，并确认修正后最终磋商报价。如果供应商拒绝确认，则其磋商响应文件将不予以评审并按废标处理，没收其投标担保。</w:t>
      </w:r>
    </w:p>
    <w:p w14:paraId="786999CA">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投标货币</w:t>
      </w:r>
    </w:p>
    <w:p w14:paraId="2AF071C3">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3.8.1</w:t>
      </w:r>
      <w:r>
        <w:rPr>
          <w:rFonts w:hint="eastAsia" w:ascii="宋体" w:hAnsi="宋体" w:eastAsia="宋体" w:cs="宋体"/>
          <w:color w:val="auto"/>
          <w:sz w:val="24"/>
          <w:szCs w:val="24"/>
          <w:highlight w:val="none"/>
        </w:rPr>
        <w:t>人民币报价。</w:t>
      </w:r>
    </w:p>
    <w:p w14:paraId="01DDB827">
      <w:pPr>
        <w:pStyle w:val="6"/>
        <w:pageBreakBefore w:val="0"/>
        <w:widowControl w:val="0"/>
        <w:kinsoku/>
        <w:wordWrap/>
        <w:topLinePunct w:val="0"/>
        <w:autoSpaceDE/>
        <w:autoSpaceDN/>
        <w:bidi w:val="0"/>
        <w:adjustRightInd/>
        <w:snapToGrid/>
        <w:spacing w:before="0" w:beforeLines="0" w:after="0" w:afterLines="0"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214" w:name="_Toc63353734"/>
      <w:bookmarkStart w:id="215" w:name="_Toc247085708"/>
      <w:bookmarkStart w:id="216" w:name="_Toc246996937"/>
      <w:bookmarkStart w:id="217" w:name="_Toc63357971"/>
      <w:bookmarkStart w:id="218" w:name="_Toc246996194"/>
      <w:bookmarkStart w:id="219" w:name="_Toc296602439"/>
      <w:r>
        <w:rPr>
          <w:rFonts w:hint="eastAsia" w:ascii="宋体" w:hAnsi="宋体" w:eastAsia="宋体" w:cs="宋体"/>
          <w:b/>
          <w:bCs w:val="0"/>
          <w:color w:val="auto"/>
          <w:kern w:val="2"/>
          <w:sz w:val="24"/>
          <w:szCs w:val="24"/>
          <w:highlight w:val="none"/>
          <w:lang w:val="en-US" w:eastAsia="zh-CN" w:bidi="ar-SA"/>
        </w:rPr>
        <w:t>3.</w:t>
      </w:r>
      <w:bookmarkEnd w:id="214"/>
      <w:bookmarkEnd w:id="215"/>
      <w:bookmarkEnd w:id="216"/>
      <w:bookmarkEnd w:id="217"/>
      <w:bookmarkEnd w:id="218"/>
      <w:bookmarkEnd w:id="219"/>
      <w:r>
        <w:rPr>
          <w:rFonts w:hint="eastAsia" w:ascii="宋体" w:hAnsi="宋体" w:eastAsia="宋体" w:cs="宋体"/>
          <w:b/>
          <w:bCs w:val="0"/>
          <w:color w:val="auto"/>
          <w:kern w:val="2"/>
          <w:sz w:val="24"/>
          <w:szCs w:val="24"/>
          <w:highlight w:val="none"/>
          <w:lang w:val="en-US" w:eastAsia="zh-CN" w:bidi="ar-SA"/>
        </w:rPr>
        <w:t>9响应有效期</w:t>
      </w:r>
    </w:p>
    <w:p w14:paraId="245132A9">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3.9.1</w:t>
      </w: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响应有效期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天。</w:t>
      </w:r>
    </w:p>
    <w:p w14:paraId="0146699E">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3.9.2</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响应有效期</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撤销或修改其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的，应承担</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和法律规定的责任。</w:t>
      </w:r>
    </w:p>
    <w:p w14:paraId="23237438">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3.9.3</w:t>
      </w:r>
      <w:r>
        <w:rPr>
          <w:rFonts w:hint="eastAsia" w:ascii="宋体" w:hAnsi="宋体" w:eastAsia="宋体" w:cs="宋体"/>
          <w:color w:val="auto"/>
          <w:sz w:val="24"/>
          <w:szCs w:val="24"/>
          <w:highlight w:val="none"/>
        </w:rPr>
        <w:t>出现特殊情况需要延长</w:t>
      </w:r>
      <w:r>
        <w:rPr>
          <w:rFonts w:hint="eastAsia" w:ascii="宋体" w:hAnsi="宋体" w:eastAsia="宋体" w:cs="宋体"/>
          <w:color w:val="auto"/>
          <w:sz w:val="24"/>
          <w:szCs w:val="24"/>
          <w:highlight w:val="none"/>
          <w:lang w:eastAsia="zh-CN"/>
        </w:rPr>
        <w:t>响应有效期</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以书面形式通知所有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延长</w:t>
      </w:r>
      <w:r>
        <w:rPr>
          <w:rFonts w:hint="eastAsia" w:ascii="宋体" w:hAnsi="宋体" w:eastAsia="宋体" w:cs="宋体"/>
          <w:color w:val="auto"/>
          <w:sz w:val="24"/>
          <w:szCs w:val="24"/>
          <w:highlight w:val="none"/>
          <w:lang w:eastAsia="zh-CN"/>
        </w:rPr>
        <w:t>响应有效期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同意延长的，应相应延长其</w:t>
      </w:r>
      <w:r>
        <w:rPr>
          <w:rFonts w:hint="eastAsia" w:ascii="宋体" w:hAnsi="宋体" w:eastAsia="宋体" w:cs="宋体"/>
          <w:color w:val="auto"/>
          <w:sz w:val="24"/>
          <w:szCs w:val="24"/>
          <w:highlight w:val="none"/>
          <w:lang w:eastAsia="zh-CN"/>
        </w:rPr>
        <w:t>响应保证金</w:t>
      </w:r>
      <w:r>
        <w:rPr>
          <w:rFonts w:hint="eastAsia" w:ascii="宋体" w:hAnsi="宋体" w:eastAsia="宋体" w:cs="宋体"/>
          <w:color w:val="auto"/>
          <w:sz w:val="24"/>
          <w:szCs w:val="24"/>
          <w:highlight w:val="none"/>
        </w:rPr>
        <w:t>的有效期，但不得要求或被允许修改或撤销其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拒绝延长的，其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失效，但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有权收回其</w:t>
      </w:r>
      <w:r>
        <w:rPr>
          <w:rFonts w:hint="eastAsia" w:ascii="宋体" w:hAnsi="宋体" w:eastAsia="宋体" w:cs="宋体"/>
          <w:color w:val="auto"/>
          <w:sz w:val="24"/>
          <w:szCs w:val="24"/>
          <w:highlight w:val="none"/>
          <w:lang w:eastAsia="zh-CN"/>
        </w:rPr>
        <w:t>响应保证金</w:t>
      </w:r>
      <w:r>
        <w:rPr>
          <w:rFonts w:hint="eastAsia" w:ascii="宋体" w:hAnsi="宋体" w:eastAsia="宋体" w:cs="宋体"/>
          <w:color w:val="auto"/>
          <w:sz w:val="24"/>
          <w:szCs w:val="24"/>
          <w:highlight w:val="none"/>
        </w:rPr>
        <w:t>。</w:t>
      </w:r>
    </w:p>
    <w:p w14:paraId="280A3B40">
      <w:pPr>
        <w:pageBreakBefore w:val="0"/>
        <w:widowControl w:val="0"/>
        <w:kinsoku/>
        <w:wordWrap/>
        <w:topLinePunct w:val="0"/>
        <w:autoSpaceDE/>
        <w:autoSpaceDN/>
        <w:bidi w:val="0"/>
        <w:adjustRightInd/>
        <w:snapToGrid/>
        <w:spacing w:line="460" w:lineRule="exact"/>
        <w:ind w:left="0" w:leftChars="0" w:right="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220" w:name="_Toc152042326"/>
      <w:bookmarkStart w:id="221" w:name="_Toc247085709"/>
      <w:bookmarkStart w:id="222" w:name="_Toc63357972"/>
      <w:bookmarkStart w:id="223" w:name="_Toc144974518"/>
      <w:bookmarkStart w:id="224" w:name="_Toc179632568"/>
      <w:bookmarkStart w:id="225" w:name="_Toc246996938"/>
      <w:bookmarkStart w:id="226" w:name="_Toc246996195"/>
      <w:bookmarkStart w:id="227" w:name="_Toc63353735"/>
      <w:bookmarkStart w:id="228" w:name="_Toc296602440"/>
      <w:bookmarkStart w:id="229" w:name="_Toc152045550"/>
      <w:r>
        <w:rPr>
          <w:rFonts w:hint="eastAsia" w:ascii="宋体" w:hAnsi="宋体" w:eastAsia="宋体" w:cs="宋体"/>
          <w:b/>
          <w:bCs w:val="0"/>
          <w:color w:val="auto"/>
          <w:kern w:val="2"/>
          <w:sz w:val="24"/>
          <w:szCs w:val="24"/>
          <w:highlight w:val="none"/>
          <w:lang w:val="en-US" w:eastAsia="zh-CN" w:bidi="ar-SA"/>
        </w:rPr>
        <w:t>3.</w:t>
      </w:r>
      <w:bookmarkEnd w:id="220"/>
      <w:bookmarkEnd w:id="221"/>
      <w:bookmarkEnd w:id="222"/>
      <w:bookmarkEnd w:id="223"/>
      <w:bookmarkEnd w:id="224"/>
      <w:bookmarkEnd w:id="225"/>
      <w:bookmarkEnd w:id="226"/>
      <w:bookmarkEnd w:id="227"/>
      <w:bookmarkEnd w:id="228"/>
      <w:bookmarkEnd w:id="229"/>
      <w:r>
        <w:rPr>
          <w:rFonts w:hint="eastAsia" w:ascii="宋体" w:hAnsi="宋体" w:eastAsia="宋体" w:cs="宋体"/>
          <w:b/>
          <w:bCs w:val="0"/>
          <w:color w:val="auto"/>
          <w:kern w:val="2"/>
          <w:sz w:val="24"/>
          <w:szCs w:val="24"/>
          <w:highlight w:val="none"/>
          <w:lang w:val="en-US" w:eastAsia="zh-CN" w:bidi="ar-SA"/>
        </w:rPr>
        <w:t>10响应保证金</w:t>
      </w:r>
    </w:p>
    <w:p w14:paraId="1767DE54">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须知前附表规定递交</w:t>
      </w:r>
      <w:r>
        <w:rPr>
          <w:rFonts w:hint="eastAsia" w:ascii="宋体" w:hAnsi="宋体" w:eastAsia="宋体" w:cs="宋体"/>
          <w:color w:val="auto"/>
          <w:sz w:val="24"/>
          <w:szCs w:val="24"/>
          <w:highlight w:val="none"/>
          <w:lang w:eastAsia="zh-CN"/>
        </w:rPr>
        <w:t>响应保证金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的同时，应按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须知前附表规定的金额、形式递交</w:t>
      </w:r>
      <w:r>
        <w:rPr>
          <w:rFonts w:hint="eastAsia" w:ascii="宋体" w:hAnsi="宋体" w:eastAsia="宋体" w:cs="宋体"/>
          <w:color w:val="auto"/>
          <w:sz w:val="24"/>
          <w:szCs w:val="24"/>
          <w:highlight w:val="none"/>
          <w:lang w:eastAsia="zh-CN"/>
        </w:rPr>
        <w:t>响应保证金</w:t>
      </w:r>
      <w:r>
        <w:rPr>
          <w:rFonts w:hint="eastAsia" w:ascii="宋体" w:hAnsi="宋体" w:eastAsia="宋体" w:cs="宋体"/>
          <w:color w:val="auto"/>
          <w:sz w:val="24"/>
          <w:szCs w:val="24"/>
          <w:highlight w:val="none"/>
        </w:rPr>
        <w:t>，并作为其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的组成部分。</w:t>
      </w:r>
    </w:p>
    <w:p w14:paraId="0EFDEB37">
      <w:pPr>
        <w:pageBreakBefore w:val="0"/>
        <w:widowControl w:val="0"/>
        <w:kinsoku/>
        <w:wordWrap/>
        <w:topLinePunct w:val="0"/>
        <w:autoSpaceDE/>
        <w:autoSpaceDN/>
        <w:bidi w:val="0"/>
        <w:adjustRightInd/>
        <w:snapToGrid/>
        <w:spacing w:line="46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3.10.2</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供应商应按照供应商须知附表缴纳磋商响应保证金</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否则磋商小组</w:t>
      </w:r>
      <w:r>
        <w:rPr>
          <w:rFonts w:hint="eastAsia" w:ascii="宋体" w:hAnsi="宋体" w:eastAsia="宋体" w:cs="宋体"/>
          <w:b/>
          <w:bCs/>
          <w:color w:val="auto"/>
          <w:sz w:val="24"/>
          <w:szCs w:val="24"/>
          <w:highlight w:val="none"/>
        </w:rPr>
        <w:t>将</w:t>
      </w:r>
      <w:r>
        <w:rPr>
          <w:rFonts w:hint="eastAsia" w:ascii="宋体" w:hAnsi="宋体" w:eastAsia="宋体" w:cs="宋体"/>
          <w:b/>
          <w:bCs/>
          <w:color w:val="auto"/>
          <w:sz w:val="24"/>
          <w:szCs w:val="24"/>
          <w:highlight w:val="none"/>
          <w:lang w:val="en-US" w:eastAsia="zh-CN"/>
        </w:rPr>
        <w:t>视为其响应无效</w:t>
      </w:r>
      <w:r>
        <w:rPr>
          <w:rFonts w:hint="eastAsia" w:ascii="宋体" w:hAnsi="宋体" w:eastAsia="宋体" w:cs="宋体"/>
          <w:b/>
          <w:bCs/>
          <w:color w:val="auto"/>
          <w:sz w:val="24"/>
          <w:szCs w:val="24"/>
          <w:highlight w:val="none"/>
        </w:rPr>
        <w:t>。</w:t>
      </w:r>
    </w:p>
    <w:p w14:paraId="09BF00A2">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3.10.3</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通知书发出之日起5个工作日内，退还未</w:t>
      </w:r>
      <w:r>
        <w:rPr>
          <w:rFonts w:hint="eastAsia" w:ascii="宋体" w:hAnsi="宋体" w:eastAsia="宋体" w:cs="宋体"/>
          <w:color w:val="auto"/>
          <w:sz w:val="24"/>
          <w:szCs w:val="24"/>
          <w:highlight w:val="none"/>
          <w:lang w:eastAsia="zh-CN"/>
        </w:rPr>
        <w:t>成交人响应保证金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签订合同后5个工作日内，向</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退还</w:t>
      </w:r>
      <w:r>
        <w:rPr>
          <w:rFonts w:hint="eastAsia" w:ascii="宋体" w:hAnsi="宋体" w:eastAsia="宋体" w:cs="宋体"/>
          <w:color w:val="auto"/>
          <w:sz w:val="24"/>
          <w:szCs w:val="24"/>
          <w:highlight w:val="none"/>
          <w:lang w:eastAsia="zh-CN"/>
        </w:rPr>
        <w:t>响应保证金</w:t>
      </w:r>
      <w:r>
        <w:rPr>
          <w:rFonts w:hint="eastAsia" w:ascii="宋体" w:hAnsi="宋体" w:eastAsia="宋体" w:cs="宋体"/>
          <w:color w:val="auto"/>
          <w:sz w:val="24"/>
          <w:szCs w:val="24"/>
          <w:highlight w:val="none"/>
        </w:rPr>
        <w:t>。</w:t>
      </w:r>
    </w:p>
    <w:p w14:paraId="335E7EEB">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3.10.4</w:t>
      </w:r>
      <w:r>
        <w:rPr>
          <w:rFonts w:hint="eastAsia" w:ascii="宋体" w:hAnsi="宋体" w:eastAsia="宋体" w:cs="宋体"/>
          <w:color w:val="auto"/>
          <w:sz w:val="24"/>
          <w:szCs w:val="24"/>
          <w:highlight w:val="none"/>
        </w:rPr>
        <w:t>下列任何情况发生时，磋商保证金将被没收：</w:t>
      </w:r>
    </w:p>
    <w:p w14:paraId="49D93C29">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（1）供应商在提交响应文件截止时间后撤回响应文件的；</w:t>
      </w:r>
    </w:p>
    <w:p w14:paraId="1D1378AD">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（2）供应商在响应文件中提供虚假材料的；</w:t>
      </w:r>
    </w:p>
    <w:p w14:paraId="5A64C431">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（3）成交人在收到成交通知书后，无正当理由不与采购人订立合同，在签订合同时向采购人提出附加条件，或者不按照竞争性磋商文件要求递交履约保证金的；</w:t>
      </w:r>
    </w:p>
    <w:p w14:paraId="1B4D6A45">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（4）供应商与采购人、其他供应商或者采购代理机构恶意串通的。</w:t>
      </w:r>
    </w:p>
    <w:p w14:paraId="312E0BBA">
      <w:pPr>
        <w:pageBreakBefore w:val="0"/>
        <w:widowControl w:val="0"/>
        <w:kinsoku/>
        <w:wordWrap/>
        <w:topLinePunct w:val="0"/>
        <w:autoSpaceDE/>
        <w:autoSpaceDN/>
        <w:bidi w:val="0"/>
        <w:adjustRightInd/>
        <w:snapToGrid/>
        <w:spacing w:line="4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5）法律法规及竞争性磋商文件规定的其他不予退还响应保证金的情形。</w:t>
      </w:r>
    </w:p>
    <w:p w14:paraId="4F6E6B93">
      <w:pPr>
        <w:pStyle w:val="9"/>
        <w:pageBreakBefore w:val="0"/>
        <w:widowControl w:val="0"/>
        <w:kinsoku/>
        <w:wordWrap/>
        <w:topLinePunct w:val="0"/>
        <w:autoSpaceDE/>
        <w:autoSpaceDN/>
        <w:bidi w:val="0"/>
        <w:adjustRightInd/>
        <w:snapToGrid/>
        <w:spacing w:line="460" w:lineRule="exact"/>
        <w:ind w:left="0" w:leftChars="0" w:righ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磋商响应文件的递交</w:t>
      </w:r>
    </w:p>
    <w:p w14:paraId="486585CE">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jc w:val="left"/>
        <w:textAlignment w:val="auto"/>
        <w:outlineLvl w:val="1"/>
        <w:rPr>
          <w:rFonts w:hint="eastAsia" w:ascii="宋体" w:hAnsi="宋体" w:eastAsia="宋体" w:cs="宋体"/>
          <w:color w:val="auto"/>
          <w:sz w:val="24"/>
          <w:szCs w:val="24"/>
          <w:highlight w:val="none"/>
          <w:lang w:val="en-US" w:eastAsia="zh-CN"/>
        </w:rPr>
      </w:pPr>
      <w:bookmarkStart w:id="230" w:name="_Toc20998"/>
      <w:bookmarkStart w:id="231" w:name="_Toc267301286"/>
      <w:bookmarkStart w:id="232" w:name="_Toc298240409"/>
      <w:bookmarkStart w:id="233" w:name="_Toc31019"/>
      <w:bookmarkStart w:id="234" w:name="_Toc349573125"/>
      <w:bookmarkStart w:id="235" w:name="_Toc349637924"/>
      <w:r>
        <w:rPr>
          <w:rFonts w:hint="eastAsia" w:ascii="宋体" w:hAnsi="宋体" w:eastAsia="宋体" w:cs="宋体"/>
          <w:color w:val="auto"/>
          <w:sz w:val="24"/>
          <w:szCs w:val="24"/>
          <w:highlight w:val="none"/>
          <w:lang w:val="en-US" w:eastAsia="zh-CN"/>
        </w:rPr>
        <w:t>4.1.磋商响应文件的递交截止时间：见供应商须知前附表。</w:t>
      </w:r>
    </w:p>
    <w:p w14:paraId="0BC99172">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4.1.2出现第2.3.2款因磋商文件的修改推迟投标截止时间时，则按招标代理机构修改通知规定的时间递交。</w:t>
      </w:r>
    </w:p>
    <w:p w14:paraId="0533961A">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4.2.1磋商响应文件递交</w:t>
      </w:r>
    </w:p>
    <w:p w14:paraId="18B9D295">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（1）供应商需要递交电子响应文件，加密的电子响应文件，在投标截止时间前通过政采云（http://www.ccgp-xinjiang.gov.cn/）上传到指定位置。</w:t>
      </w:r>
    </w:p>
    <w:p w14:paraId="1421F506">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采用远程不见面交易的模式。开标当日，供应商无需到达开标现场，仅需在任意地点通过政采云（http://www.ccgp-xinjiang.gov.cn/）平台完成远程解密、提疑澄清、开标唱标、结果公布等交互环节。供应商必须使用能正确解密响应文件的“须使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529F0CB5">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（3）采购人可以通过修改磋商文件酌情延长响应文件接收截止日期，在此情况下，供应商的所有权利和义务以及供应商受制约的截止日期均应以延长后新的截止日期为准。</w:t>
      </w:r>
    </w:p>
    <w:p w14:paraId="2BE8D450">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4.3磋商响应文件的修改和撤销</w:t>
      </w:r>
    </w:p>
    <w:p w14:paraId="0F977198">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4.3.1供应商在提交磋商响应文件后可对其磋商响应文件进行修改或撤销，但招标代理机构须在投标截止时间之前收到该修改或撤销的书面通知，该通知须有经正式授权的供应商代表签字。</w:t>
      </w:r>
    </w:p>
    <w:p w14:paraId="1BC6C193">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4.3.2供应商不得在磋商时间起至磋商有效期期满前撤销磋商响应文件。否则招标代理机构将没收其磋商保证金。</w:t>
      </w:r>
    </w:p>
    <w:p w14:paraId="1A1E9011">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4.3.3修改的内容为响应文件的组成部分。修改的响应文件应按照本部分第2条、第3条规定进行编制、标记和递交，并标明“修改”字样。</w:t>
      </w:r>
    </w:p>
    <w:p w14:paraId="6321E097">
      <w:pPr>
        <w:pageBreakBefore w:val="0"/>
        <w:widowControl w:val="0"/>
        <w:kinsoku/>
        <w:wordWrap/>
        <w:topLinePunct w:val="0"/>
        <w:autoSpaceDE/>
        <w:autoSpaceDN/>
        <w:bidi w:val="0"/>
        <w:adjustRightInd/>
        <w:snapToGrid/>
        <w:spacing w:beforeAutospacing="0" w:afterAutospacing="0" w:line="460" w:lineRule="exact"/>
        <w:ind w:left="0" w:leftChars="0" w:right="0" w:firstLine="562" w:firstLineChars="200"/>
        <w:jc w:val="left"/>
        <w:textAlignment w:val="auto"/>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5、 磋商程序</w:t>
      </w:r>
      <w:bookmarkEnd w:id="230"/>
      <w:bookmarkEnd w:id="231"/>
      <w:bookmarkEnd w:id="232"/>
      <w:bookmarkEnd w:id="233"/>
      <w:bookmarkEnd w:id="234"/>
      <w:bookmarkEnd w:id="235"/>
    </w:p>
    <w:p w14:paraId="2C18AC95">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5.1本项目磋商的时间、地点已在须知前附表说明。</w:t>
      </w:r>
    </w:p>
    <w:p w14:paraId="425AC025">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5.2本次磋商按磋商文件中磋商邀请规定的时间地点进行磋商，将邀请供应商的法定代表人或其授权委托人准时参加磋商会。</w:t>
      </w:r>
    </w:p>
    <w:p w14:paraId="06ECBD88">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5.3宣布磋商响应文件开启顺序。</w:t>
      </w:r>
    </w:p>
    <w:p w14:paraId="3F49B6E5">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5.4磋商时检查磋商响应文件密封情况。</w:t>
      </w:r>
    </w:p>
    <w:p w14:paraId="09457B5B">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5.5磋商原则在磋商会议上宣布。</w:t>
      </w:r>
    </w:p>
    <w:p w14:paraId="3410A1A7">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对采购方的纪律要求</w:t>
      </w:r>
    </w:p>
    <w:p w14:paraId="007DBF5E">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采购方不得泄露磋商活动中应当保密的情况和资料，不得与供应商串通损害国家利益、社会公共利益或者他人合法权益。</w:t>
      </w:r>
    </w:p>
    <w:p w14:paraId="0A4B03E9">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rPr>
        <w:t>对供应商的纪律要求</w:t>
      </w:r>
    </w:p>
    <w:p w14:paraId="5C308E1A">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供应商不得互相串通磋商或者与采购人串通磋商，不得向采购人或者磋商小组成员行贿谋取成交，不得以他人名义磋商或者以其他方式弄虚作假骗取成交；供应商不得以任何方式干扰、影响磋商工作。</w:t>
      </w:r>
    </w:p>
    <w:p w14:paraId="0A6D2C61">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5.8</w:t>
      </w:r>
      <w:r>
        <w:rPr>
          <w:rFonts w:hint="eastAsia" w:ascii="宋体" w:hAnsi="宋体" w:eastAsia="宋体" w:cs="宋体"/>
          <w:color w:val="auto"/>
          <w:sz w:val="24"/>
          <w:szCs w:val="24"/>
          <w:highlight w:val="none"/>
        </w:rPr>
        <w:t>对与磋商活动有关的工作人员的纪律要求</w:t>
      </w:r>
    </w:p>
    <w:p w14:paraId="6C0473E0">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065F0DC0">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5.9</w:t>
      </w:r>
      <w:r>
        <w:rPr>
          <w:rFonts w:hint="eastAsia" w:ascii="宋体" w:hAnsi="宋体" w:eastAsia="宋体" w:cs="宋体"/>
          <w:color w:val="auto"/>
          <w:sz w:val="24"/>
          <w:szCs w:val="24"/>
          <w:highlight w:val="none"/>
        </w:rPr>
        <w:t>对磋商小组成员要求磋商纪律</w:t>
      </w:r>
    </w:p>
    <w:p w14:paraId="154703B4">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磋商小组应当依照有关法律法规的规定，按照磋商文件确定的磋商标准和办法客观、公正的对磋商响应文件提出评审意见。磋商文件设有规定的磋商标准和方法不得作为磋商依据。</w:t>
      </w:r>
    </w:p>
    <w:p w14:paraId="0D51617E">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磋商小组成员不得私下接触供应商，不得收受供应商给予的财务或者其他好处，不得向采购方征询确定成交方意向。</w:t>
      </w:r>
    </w:p>
    <w:p w14:paraId="77B26A37">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不得接受任何单位或个人明示或暗示提出的倾向或排斥特定供应商的要求。</w:t>
      </w:r>
    </w:p>
    <w:p w14:paraId="1C423A84">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不得有其他不客观，不公正履行职务的行为。</w:t>
      </w:r>
    </w:p>
    <w:p w14:paraId="18844860">
      <w:pPr>
        <w:pageBreakBefore w:val="0"/>
        <w:widowControl w:val="0"/>
        <w:kinsoku/>
        <w:wordWrap/>
        <w:topLinePunct w:val="0"/>
        <w:autoSpaceDE/>
        <w:autoSpaceDN/>
        <w:bidi w:val="0"/>
        <w:adjustRightInd/>
        <w:snapToGrid/>
        <w:spacing w:beforeAutospacing="0" w:afterAutospacing="0" w:line="460" w:lineRule="exact"/>
        <w:ind w:left="0" w:leftChars="0" w:right="0" w:firstLine="562" w:firstLineChars="200"/>
        <w:jc w:val="left"/>
        <w:textAlignment w:val="auto"/>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6、磋商过程</w:t>
      </w:r>
    </w:p>
    <w:p w14:paraId="6BECD111">
      <w:pPr>
        <w:pageBreakBefore w:val="0"/>
        <w:widowControl w:val="0"/>
        <w:kinsoku/>
        <w:wordWrap/>
        <w:topLinePunct w:val="0"/>
        <w:autoSpaceDE/>
        <w:autoSpaceDN/>
        <w:bidi w:val="0"/>
        <w:adjustRightInd/>
        <w:snapToGrid/>
        <w:spacing w:beforeAutospacing="0" w:afterAutospacing="0" w:line="460" w:lineRule="exact"/>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lang w:eastAsia="zh-CN"/>
        </w:rPr>
        <w:t xml:space="preserve"> 磋商的依据为磋商文件和磋商响应文件。</w:t>
      </w:r>
    </w:p>
    <w:p w14:paraId="28897EBD">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lang w:eastAsia="zh-CN"/>
        </w:rPr>
        <w:t>磋商后磋商小组审查磋商响应文件是否完整，是否有计算错误，要求的保证金是否提供，文件是否恰当地签署。</w:t>
      </w:r>
    </w:p>
    <w:p w14:paraId="5C803276">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p>
    <w:p w14:paraId="5FB3DFB5">
      <w:pPr>
        <w:pageBreakBefore w:val="0"/>
        <w:widowControl w:val="0"/>
        <w:kinsoku/>
        <w:wordWrap/>
        <w:topLinePunct w:val="0"/>
        <w:autoSpaceDE/>
        <w:autoSpaceDN/>
        <w:bidi w:val="0"/>
        <w:adjustRightInd/>
        <w:snapToGrid/>
        <w:spacing w:beforeAutospacing="0" w:afterAutospacing="0" w:line="460" w:lineRule="exact"/>
        <w:ind w:left="0" w:leftChars="0" w:right="0" w:firstLine="480" w:firstLineChars="200"/>
        <w:textAlignment w:val="auto"/>
        <w:rPr>
          <w:rFonts w:hint="eastAsia" w:ascii="宋体" w:hAnsi="宋体" w:eastAsia="宋体" w:cs="宋体"/>
          <w:color w:val="auto"/>
          <w:sz w:val="24"/>
          <w:szCs w:val="24"/>
          <w:highlight w:val="none"/>
          <w:lang w:eastAsia="zh-CN"/>
        </w:rPr>
      </w:pPr>
    </w:p>
    <w:p w14:paraId="6071B1F7">
      <w:pPr>
        <w:pageBreakBefore w:val="0"/>
        <w:widowControl w:val="0"/>
        <w:kinsoku/>
        <w:wordWrap/>
        <w:topLinePunct w:val="0"/>
        <w:autoSpaceDE/>
        <w:autoSpaceDN/>
        <w:bidi w:val="0"/>
        <w:adjustRightInd/>
        <w:snapToGrid/>
        <w:spacing w:beforeAutospacing="0" w:afterAutospacing="0" w:line="460" w:lineRule="exact"/>
        <w:ind w:left="0" w:leftChars="0" w:right="0"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shd w:val="clear" w:color="auto" w:fill="FFFFFF"/>
          <w:lang w:val="en-US" w:eastAsia="zh-CN" w:bidi="ar"/>
        </w:rPr>
        <w:t>（1）资格性审查</w:t>
      </w:r>
    </w:p>
    <w:tbl>
      <w:tblPr>
        <w:tblStyle w:val="25"/>
        <w:tblW w:w="52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518"/>
        <w:gridCol w:w="6166"/>
      </w:tblGrid>
      <w:tr w14:paraId="4D60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33" w:type="pct"/>
            <w:noWrap/>
            <w:vAlign w:val="center"/>
          </w:tcPr>
          <w:p w14:paraId="31E4641A">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24" w:type="pct"/>
            <w:noWrap/>
            <w:vAlign w:val="center"/>
          </w:tcPr>
          <w:p w14:paraId="50832A36">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检查因素</w:t>
            </w:r>
          </w:p>
        </w:tc>
        <w:tc>
          <w:tcPr>
            <w:tcW w:w="3242" w:type="pct"/>
            <w:noWrap/>
            <w:vAlign w:val="center"/>
          </w:tcPr>
          <w:p w14:paraId="0494BF3A">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检查内容</w:t>
            </w:r>
          </w:p>
        </w:tc>
      </w:tr>
      <w:tr w14:paraId="16D7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33" w:type="pct"/>
            <w:vMerge w:val="restart"/>
            <w:noWrap/>
            <w:vAlign w:val="center"/>
          </w:tcPr>
          <w:p w14:paraId="703E91AD">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24" w:type="pct"/>
            <w:noWrap/>
            <w:vAlign w:val="center"/>
          </w:tcPr>
          <w:p w14:paraId="65B34E02">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242" w:type="pct"/>
            <w:noWrap/>
            <w:vAlign w:val="center"/>
          </w:tcPr>
          <w:p w14:paraId="56C02C1B">
            <w:pPr>
              <w:keepNext w:val="0"/>
              <w:keepLines w:val="0"/>
              <w:pageBreakBefore w:val="0"/>
              <w:widowControl w:val="0"/>
              <w:kinsoku/>
              <w:wordWrap/>
              <w:topLinePunct w:val="0"/>
              <w:bidi w:val="0"/>
              <w:adjustRightInd/>
              <w:snapToGrid/>
              <w:spacing w:beforeAutospacing="0" w:afterAutospacing="0" w:line="36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tc>
      </w:tr>
      <w:tr w14:paraId="19CF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33" w:type="pct"/>
            <w:vMerge w:val="continue"/>
            <w:noWrap/>
            <w:vAlign w:val="center"/>
          </w:tcPr>
          <w:p w14:paraId="2F6F55A5">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p>
        </w:tc>
        <w:tc>
          <w:tcPr>
            <w:tcW w:w="1324" w:type="pct"/>
            <w:noWrap/>
            <w:vAlign w:val="center"/>
          </w:tcPr>
          <w:p w14:paraId="6CB38147">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tc>
        <w:tc>
          <w:tcPr>
            <w:tcW w:w="3242" w:type="pct"/>
            <w:noWrap/>
            <w:vAlign w:val="center"/>
          </w:tcPr>
          <w:p w14:paraId="76E6910C">
            <w:pPr>
              <w:keepNext w:val="0"/>
              <w:keepLines w:val="0"/>
              <w:pageBreakBefore w:val="0"/>
              <w:widowControl w:val="0"/>
              <w:kinsoku/>
              <w:wordWrap/>
              <w:topLinePunct w:val="0"/>
              <w:bidi w:val="0"/>
              <w:adjustRightInd/>
              <w:snapToGrid/>
              <w:spacing w:beforeAutospacing="0" w:afterAutospacing="0" w:line="36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本单位上一年度由会计师事务所出具的财务审计报告（当上一年度审计报告未出来时（每年6月前（含）），可提供前一年度审计报告），审计报告须包括资产负债表、利润表、现金流量表、所有者权益变动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71C0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jc w:val="center"/>
        </w:trPr>
        <w:tc>
          <w:tcPr>
            <w:tcW w:w="433" w:type="pct"/>
            <w:vMerge w:val="continue"/>
            <w:noWrap/>
            <w:vAlign w:val="center"/>
          </w:tcPr>
          <w:p w14:paraId="018C098D">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p>
        </w:tc>
        <w:tc>
          <w:tcPr>
            <w:tcW w:w="1324" w:type="pct"/>
            <w:noWrap/>
            <w:vAlign w:val="center"/>
          </w:tcPr>
          <w:p w14:paraId="0F76F9F2">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有依法缴纳税收和社会保障金的良好记录</w:t>
            </w:r>
          </w:p>
        </w:tc>
        <w:tc>
          <w:tcPr>
            <w:tcW w:w="3242" w:type="pct"/>
            <w:noWrap/>
            <w:vAlign w:val="center"/>
          </w:tcPr>
          <w:p w14:paraId="3AD63D71">
            <w:pPr>
              <w:keepNext w:val="0"/>
              <w:keepLines w:val="0"/>
              <w:pageBreakBefore w:val="0"/>
              <w:widowControl w:val="0"/>
              <w:kinsoku/>
              <w:wordWrap/>
              <w:topLinePunct w:val="0"/>
              <w:bidi w:val="0"/>
              <w:adjustRightInd/>
              <w:snapToGrid/>
              <w:spacing w:beforeAutospacing="0" w:afterAutospacing="0" w:line="360" w:lineRule="exact"/>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44D623B5">
            <w:pPr>
              <w:keepNext w:val="0"/>
              <w:keepLines w:val="0"/>
              <w:pageBreakBefore w:val="0"/>
              <w:widowControl w:val="0"/>
              <w:kinsoku/>
              <w:wordWrap/>
              <w:topLinePunct w:val="0"/>
              <w:bidi w:val="0"/>
              <w:adjustRightInd/>
              <w:snapToGrid/>
              <w:spacing w:beforeAutospacing="0" w:afterAutospacing="0" w:line="360" w:lineRule="exact"/>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7DB6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33" w:type="pct"/>
            <w:vMerge w:val="continue"/>
            <w:noWrap/>
            <w:vAlign w:val="center"/>
          </w:tcPr>
          <w:p w14:paraId="1A85E32E">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p>
        </w:tc>
        <w:tc>
          <w:tcPr>
            <w:tcW w:w="1324" w:type="pct"/>
            <w:noWrap/>
            <w:vAlign w:val="center"/>
          </w:tcPr>
          <w:p w14:paraId="4F20EE4A">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）具有履行合同所必须的设备和专业技术能力</w:t>
            </w:r>
          </w:p>
        </w:tc>
        <w:tc>
          <w:tcPr>
            <w:tcW w:w="3242" w:type="pct"/>
            <w:noWrap/>
            <w:vAlign w:val="center"/>
          </w:tcPr>
          <w:p w14:paraId="39AF1AE0">
            <w:pPr>
              <w:keepNext w:val="0"/>
              <w:keepLines w:val="0"/>
              <w:pageBreakBefore w:val="0"/>
              <w:widowControl w:val="0"/>
              <w:kinsoku/>
              <w:wordWrap/>
              <w:topLinePunct w:val="0"/>
              <w:bidi w:val="0"/>
              <w:adjustRightInd/>
              <w:snapToGrid/>
              <w:spacing w:beforeAutospacing="0" w:afterAutospacing="0" w:line="360" w:lineRule="exact"/>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具备履行合同所必需的设备和专业技术能力的证明材料（承诺函</w:t>
            </w:r>
            <w:r>
              <w:rPr>
                <w:rFonts w:hint="eastAsia" w:ascii="宋体" w:hAnsi="宋体" w:eastAsia="宋体" w:cs="宋体"/>
                <w:b w:val="0"/>
                <w:bCs w:val="0"/>
                <w:color w:val="auto"/>
                <w:sz w:val="24"/>
                <w:szCs w:val="24"/>
                <w:highlight w:val="none"/>
              </w:rPr>
              <w:t>加盖</w:t>
            </w:r>
            <w:r>
              <w:rPr>
                <w:rFonts w:hint="eastAsia" w:ascii="宋体" w:hAnsi="宋体" w:eastAsia="宋体" w:cs="宋体"/>
                <w:b w:val="0"/>
                <w:bCs w:val="0"/>
                <w:color w:val="auto"/>
                <w:sz w:val="24"/>
                <w:szCs w:val="24"/>
                <w:highlight w:val="none"/>
                <w:lang w:eastAsia="zh-CN"/>
              </w:rPr>
              <w:t>公章</w:t>
            </w:r>
            <w:r>
              <w:rPr>
                <w:rFonts w:hint="eastAsia" w:ascii="宋体" w:hAnsi="宋体" w:eastAsia="宋体" w:cs="宋体"/>
                <w:b w:val="0"/>
                <w:bCs w:val="0"/>
                <w:color w:val="auto"/>
                <w:kern w:val="2"/>
                <w:sz w:val="24"/>
                <w:szCs w:val="24"/>
                <w:highlight w:val="none"/>
                <w:lang w:val="en-US" w:eastAsia="zh-CN" w:bidi="ar-SA"/>
              </w:rPr>
              <w:t>）</w:t>
            </w:r>
          </w:p>
        </w:tc>
      </w:tr>
      <w:tr w14:paraId="3C25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33" w:type="pct"/>
            <w:vMerge w:val="continue"/>
            <w:noWrap/>
            <w:vAlign w:val="center"/>
          </w:tcPr>
          <w:p w14:paraId="2E1BC0A9">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p>
        </w:tc>
        <w:tc>
          <w:tcPr>
            <w:tcW w:w="1324" w:type="pct"/>
            <w:noWrap/>
            <w:vAlign w:val="center"/>
          </w:tcPr>
          <w:p w14:paraId="09A8CD33">
            <w:pPr>
              <w:keepNext w:val="0"/>
              <w:keepLines w:val="0"/>
              <w:pageBreakBefore w:val="0"/>
              <w:widowControl w:val="0"/>
              <w:kinsoku/>
              <w:wordWrap/>
              <w:topLinePunct w:val="0"/>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）参加政府采购活动近</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年内，在经营活动中没有重大违法记录</w:t>
            </w:r>
          </w:p>
        </w:tc>
        <w:tc>
          <w:tcPr>
            <w:tcW w:w="3242" w:type="pct"/>
            <w:noWrap/>
            <w:vAlign w:val="center"/>
          </w:tcPr>
          <w:p w14:paraId="6F79D085">
            <w:pPr>
              <w:keepNext w:val="0"/>
              <w:keepLines w:val="0"/>
              <w:pageBreakBefore w:val="0"/>
              <w:widowControl w:val="0"/>
              <w:kinsoku/>
              <w:wordWrap/>
              <w:topLinePunct w:val="0"/>
              <w:bidi w:val="0"/>
              <w:adjustRightInd/>
              <w:snapToGrid/>
              <w:spacing w:beforeAutospacing="0" w:afterAutospacing="0" w:line="360" w:lineRule="exact"/>
              <w:ind w:left="0" w:leftChars="0" w:right="0" w:righ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参加政府采购活动前三年内在经营活动中没有重大违法记录的书面声明</w:t>
            </w:r>
          </w:p>
        </w:tc>
      </w:tr>
      <w:tr w14:paraId="1288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33" w:type="pct"/>
            <w:vMerge w:val="continue"/>
            <w:noWrap/>
            <w:vAlign w:val="center"/>
          </w:tcPr>
          <w:p w14:paraId="1D772800">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p>
        </w:tc>
        <w:tc>
          <w:tcPr>
            <w:tcW w:w="1324" w:type="pct"/>
            <w:noWrap/>
            <w:vAlign w:val="center"/>
          </w:tcPr>
          <w:p w14:paraId="4EAA986A">
            <w:pPr>
              <w:keepNext w:val="0"/>
              <w:keepLines w:val="0"/>
              <w:pageBreakBefore w:val="0"/>
              <w:widowControl w:val="0"/>
              <w:kinsoku w:val="0"/>
              <w:wordWrap/>
              <w:overflowPunct w:val="0"/>
              <w:topLinePunct w:val="0"/>
              <w:autoSpaceDE w:val="0"/>
              <w:autoSpaceDN w:val="0"/>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6）特定资格要求</w:t>
            </w:r>
          </w:p>
        </w:tc>
        <w:tc>
          <w:tcPr>
            <w:tcW w:w="3242" w:type="pct"/>
            <w:noWrap/>
            <w:vAlign w:val="center"/>
          </w:tcPr>
          <w:p w14:paraId="2E6247ED">
            <w:pPr>
              <w:keepNext w:val="0"/>
              <w:keepLines w:val="0"/>
              <w:pageBreakBefore w:val="0"/>
              <w:widowControl w:val="0"/>
              <w:numPr>
                <w:ilvl w:val="0"/>
                <w:numId w:val="0"/>
              </w:numPr>
              <w:kinsoku/>
              <w:wordWrap/>
              <w:topLinePunct w:val="0"/>
              <w:bidi w:val="0"/>
              <w:adjustRightInd/>
              <w:snapToGrid/>
              <w:spacing w:beforeAutospacing="0" w:afterAutospacing="0" w:line="36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1.供应商应具备消防设施工程专业承包二级及以上资质，具备有效的安全生产许可证；</w:t>
            </w:r>
          </w:p>
          <w:p w14:paraId="4CACB706">
            <w:pPr>
              <w:keepNext w:val="0"/>
              <w:keepLines w:val="0"/>
              <w:pageBreakBefore w:val="0"/>
              <w:widowControl w:val="0"/>
              <w:numPr>
                <w:ilvl w:val="0"/>
                <w:numId w:val="0"/>
              </w:numPr>
              <w:kinsoku/>
              <w:wordWrap/>
              <w:topLinePunct w:val="0"/>
              <w:bidi w:val="0"/>
              <w:adjustRightInd/>
              <w:snapToGrid/>
              <w:spacing w:beforeAutospacing="0" w:afterAutospacing="0" w:line="360" w:lineRule="exact"/>
              <w:ind w:left="0" w:leftChars="0" w:right="0" w:righ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2.项目负责人具有机电工程专业二级及以上注册建造师，具备有效的安全生产考核合格证书（B类）。</w:t>
            </w:r>
          </w:p>
        </w:tc>
      </w:tr>
      <w:tr w14:paraId="09DD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33" w:type="pct"/>
            <w:noWrap/>
            <w:vAlign w:val="center"/>
          </w:tcPr>
          <w:p w14:paraId="360D2BF0">
            <w:pPr>
              <w:keepNext w:val="0"/>
              <w:keepLines w:val="0"/>
              <w:pageBreakBefore w:val="0"/>
              <w:widowControl w:val="0"/>
              <w:kinsoku/>
              <w:wordWrap/>
              <w:topLinePunct w:val="0"/>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p>
        </w:tc>
        <w:tc>
          <w:tcPr>
            <w:tcW w:w="1324" w:type="pct"/>
            <w:noWrap/>
            <w:vAlign w:val="center"/>
          </w:tcPr>
          <w:p w14:paraId="4BBDB6EA">
            <w:pPr>
              <w:keepNext w:val="0"/>
              <w:keepLines w:val="0"/>
              <w:pageBreakBefore w:val="0"/>
              <w:widowControl w:val="0"/>
              <w:kinsoku w:val="0"/>
              <w:wordWrap/>
              <w:overflowPunct w:val="0"/>
              <w:topLinePunct w:val="0"/>
              <w:autoSpaceDE w:val="0"/>
              <w:autoSpaceDN w:val="0"/>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）中小企业政策</w:t>
            </w:r>
          </w:p>
        </w:tc>
        <w:tc>
          <w:tcPr>
            <w:tcW w:w="3242" w:type="pct"/>
            <w:noWrap/>
            <w:vAlign w:val="center"/>
          </w:tcPr>
          <w:p w14:paraId="2FDCC2D7">
            <w:pPr>
              <w:keepNext w:val="0"/>
              <w:keepLines w:val="0"/>
              <w:pageBreakBefore w:val="0"/>
              <w:widowControl w:val="0"/>
              <w:numPr>
                <w:ilvl w:val="0"/>
                <w:numId w:val="0"/>
              </w:numPr>
              <w:kinsoku/>
              <w:wordWrap/>
              <w:topLinePunct w:val="0"/>
              <w:bidi w:val="0"/>
              <w:adjustRightInd/>
              <w:snapToGrid/>
              <w:spacing w:beforeAutospacing="0" w:afterAutospacing="0" w:line="36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本项目专门面向小微企业采购。</w:t>
            </w:r>
          </w:p>
        </w:tc>
      </w:tr>
      <w:tr w14:paraId="4F9E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00" w:type="pct"/>
            <w:gridSpan w:val="3"/>
            <w:noWrap/>
            <w:vAlign w:val="center"/>
          </w:tcPr>
          <w:p w14:paraId="3EDE663F">
            <w:pPr>
              <w:keepNext w:val="0"/>
              <w:keepLines w:val="0"/>
              <w:pageBreakBefore w:val="0"/>
              <w:widowControl w:val="0"/>
              <w:kinsoku/>
              <w:wordWrap/>
              <w:topLinePunct w:val="0"/>
              <w:bidi w:val="0"/>
              <w:adjustRightInd/>
              <w:snapToGrid/>
              <w:spacing w:beforeAutospacing="0" w:afterAutospacing="0" w:line="360" w:lineRule="exact"/>
              <w:ind w:left="0" w:leftChars="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highlight w:val="none"/>
              </w:rPr>
              <w:t>结论：是否通过评审</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en-US" w:eastAsia="zh-CN"/>
              </w:rPr>
              <w:t>资格性</w:t>
            </w:r>
            <w:r>
              <w:rPr>
                <w:rFonts w:hint="eastAsia" w:ascii="宋体" w:hAnsi="宋体" w:eastAsia="宋体" w:cs="宋体"/>
                <w:color w:val="auto"/>
                <w:sz w:val="24"/>
                <w:highlight w:val="none"/>
              </w:rPr>
              <w:t>合格后方可进入详细评审阶段</w:t>
            </w:r>
            <w:r>
              <w:rPr>
                <w:rFonts w:hint="eastAsia" w:ascii="宋体" w:hAnsi="宋体" w:eastAsia="宋体" w:cs="宋体"/>
                <w:b/>
                <w:color w:val="auto"/>
                <w:sz w:val="24"/>
                <w:highlight w:val="none"/>
              </w:rPr>
              <w:t>）</w:t>
            </w:r>
          </w:p>
        </w:tc>
      </w:tr>
      <w:tr w14:paraId="581F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000" w:type="pct"/>
            <w:gridSpan w:val="3"/>
            <w:noWrap/>
            <w:vAlign w:val="center"/>
          </w:tcPr>
          <w:p w14:paraId="26779565">
            <w:pPr>
              <w:keepNext w:val="0"/>
              <w:keepLines w:val="0"/>
              <w:pageBreakBefore w:val="0"/>
              <w:widowControl w:val="0"/>
              <w:kinsoku/>
              <w:wordWrap/>
              <w:topLinePunct w:val="0"/>
              <w:bidi w:val="0"/>
              <w:adjustRightInd/>
              <w:snapToGrid/>
              <w:spacing w:beforeAutospacing="0" w:afterAutospacing="0" w:line="360" w:lineRule="exact"/>
              <w:ind w:left="0" w:leftChars="0" w:right="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评标委员会成员签名：</w:t>
            </w:r>
          </w:p>
          <w:p w14:paraId="2D505805">
            <w:pPr>
              <w:keepNext w:val="0"/>
              <w:keepLines w:val="0"/>
              <w:pageBreakBefore w:val="0"/>
              <w:widowControl w:val="0"/>
              <w:kinsoku/>
              <w:wordWrap/>
              <w:topLinePunct w:val="0"/>
              <w:bidi w:val="0"/>
              <w:adjustRightInd/>
              <w:snapToGrid/>
              <w:spacing w:beforeAutospacing="0" w:afterAutospacing="0" w:line="360" w:lineRule="exact"/>
              <w:ind w:left="0" w:leftChars="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highlight w:val="none"/>
              </w:rPr>
              <w:t xml:space="preserve">                                             年    月    日</w:t>
            </w:r>
          </w:p>
        </w:tc>
      </w:tr>
      <w:tr w14:paraId="0573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5000" w:type="pct"/>
            <w:gridSpan w:val="3"/>
            <w:noWrap/>
            <w:vAlign w:val="center"/>
          </w:tcPr>
          <w:p w14:paraId="11511EE6">
            <w:pPr>
              <w:keepNext w:val="0"/>
              <w:keepLines w:val="0"/>
              <w:pageBreakBefore w:val="0"/>
              <w:widowControl w:val="0"/>
              <w:kinsoku/>
              <w:wordWrap/>
              <w:topLinePunct w:val="0"/>
              <w:bidi w:val="0"/>
              <w:adjustRightInd/>
              <w:snapToGrid/>
              <w:spacing w:beforeAutospacing="0" w:afterAutospacing="0" w:line="360" w:lineRule="exact"/>
              <w:ind w:left="0" w:leftChars="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备注：如果</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中有一项未通过上述审查标准，</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小组将认定整个</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不响应</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而予以无效处理，并且不允许</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通过修改或撤销其不符合要求的差异或保留，使之成为具有响应性的投标。</w:t>
            </w:r>
          </w:p>
        </w:tc>
      </w:tr>
    </w:tbl>
    <w:p w14:paraId="54E3A751">
      <w:pPr>
        <w:keepNext w:val="0"/>
        <w:keepLines w:val="0"/>
        <w:pageBreakBefore w:val="0"/>
        <w:widowControl/>
        <w:suppressLineNumbers w:val="0"/>
        <w:kinsoku/>
        <w:wordWrap/>
        <w:topLinePunct w:val="0"/>
        <w:bidi w:val="0"/>
        <w:spacing w:beforeAutospacing="0" w:afterAutospacing="0" w:line="460" w:lineRule="exact"/>
        <w:ind w:left="0" w:leftChars="0" w:right="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 xml:space="preserve">说明：（1）上述各项中用“√”表示通过，“×”表示不通过；   </w:t>
      </w:r>
    </w:p>
    <w:p w14:paraId="07C2527D">
      <w:pPr>
        <w:keepNext w:val="0"/>
        <w:keepLines w:val="0"/>
        <w:pageBreakBefore w:val="0"/>
        <w:widowControl/>
        <w:suppressLineNumbers w:val="0"/>
        <w:kinsoku/>
        <w:wordWrap/>
        <w:topLinePunct w:val="0"/>
        <w:bidi w:val="0"/>
        <w:spacing w:beforeAutospacing="0" w:afterAutospacing="0" w:line="460" w:lineRule="exact"/>
        <w:ind w:left="0" w:leftChars="0" w:right="0" w:firstLine="723" w:firstLineChars="300"/>
        <w:jc w:val="left"/>
        <w:rPr>
          <w:rFonts w:hint="eastAsia" w:ascii="宋体" w:hAnsi="宋体" w:eastAsia="宋体" w:cs="宋体"/>
          <w:color w:val="auto"/>
          <w:highlight w:val="none"/>
        </w:rPr>
      </w:pPr>
      <w:r>
        <w:rPr>
          <w:rFonts w:hint="eastAsia" w:ascii="宋体" w:hAnsi="宋体" w:eastAsia="宋体" w:cs="宋体"/>
          <w:b/>
          <w:i w:val="0"/>
          <w:color w:val="auto"/>
          <w:kern w:val="0"/>
          <w:sz w:val="24"/>
          <w:szCs w:val="24"/>
          <w:highlight w:val="none"/>
          <w:u w:val="none"/>
          <w:lang w:val="en-US" w:eastAsia="zh-CN" w:bidi="ar"/>
        </w:rPr>
        <w:t>（2）上述各项中如有一项为“×”，必须单独说明。</w:t>
      </w:r>
    </w:p>
    <w:p w14:paraId="69E54D0D">
      <w:pPr>
        <w:pageBreakBefore w:val="0"/>
        <w:kinsoku/>
        <w:wordWrap/>
        <w:topLinePunct w:val="0"/>
        <w:bidi w:val="0"/>
        <w:adjustRightInd w:val="0"/>
        <w:snapToGrid w:val="0"/>
        <w:spacing w:beforeAutospacing="0" w:afterAutospacing="0" w:line="460" w:lineRule="exact"/>
        <w:ind w:left="0" w:leftChars="0" w:right="0"/>
        <w:jc w:val="both"/>
        <w:outlineLvl w:val="0"/>
        <w:rPr>
          <w:rFonts w:hint="eastAsia" w:ascii="宋体" w:hAnsi="宋体" w:eastAsia="宋体" w:cs="宋体"/>
          <w:b/>
          <w:color w:val="auto"/>
          <w:sz w:val="24"/>
          <w:highlight w:val="none"/>
          <w:lang w:eastAsia="zh-CN"/>
        </w:rPr>
      </w:pPr>
      <w:bookmarkStart w:id="236" w:name="_Toc9168"/>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符合性</w:t>
      </w:r>
      <w:bookmarkEnd w:id="236"/>
      <w:r>
        <w:rPr>
          <w:rFonts w:hint="eastAsia" w:ascii="宋体" w:hAnsi="宋体" w:eastAsia="宋体" w:cs="宋体"/>
          <w:b/>
          <w:color w:val="auto"/>
          <w:sz w:val="24"/>
          <w:highlight w:val="none"/>
          <w:lang w:eastAsia="zh-CN"/>
        </w:rPr>
        <w:t>审查</w:t>
      </w:r>
    </w:p>
    <w:tbl>
      <w:tblPr>
        <w:tblStyle w:val="25"/>
        <w:tblW w:w="9779" w:type="dxa"/>
        <w:tblInd w:w="-2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7"/>
        <w:gridCol w:w="614"/>
        <w:gridCol w:w="6810"/>
        <w:gridCol w:w="797"/>
        <w:gridCol w:w="711"/>
      </w:tblGrid>
      <w:tr w14:paraId="1923A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2BFE18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名称</w:t>
            </w:r>
          </w:p>
        </w:tc>
        <w:tc>
          <w:tcPr>
            <w:tcW w:w="742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9AD82A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评审内容</w:t>
            </w:r>
          </w:p>
        </w:tc>
        <w:tc>
          <w:tcPr>
            <w:tcW w:w="1508" w:type="dxa"/>
            <w:gridSpan w:val="2"/>
            <w:tcBorders>
              <w:top w:val="single" w:color="auto" w:sz="4" w:space="0"/>
              <w:left w:val="single" w:color="auto" w:sz="4" w:space="0"/>
              <w:bottom w:val="single" w:color="auto" w:sz="4" w:space="0"/>
              <w:right w:val="single" w:color="auto" w:sz="4" w:space="0"/>
            </w:tcBorders>
            <w:noWrap w:val="0"/>
            <w:vAlign w:val="center"/>
          </w:tcPr>
          <w:p w14:paraId="595DC9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评审意见</w:t>
            </w:r>
          </w:p>
        </w:tc>
      </w:tr>
      <w:tr w14:paraId="2CE17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603F7015">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color w:val="auto"/>
                <w:kern w:val="2"/>
                <w:sz w:val="24"/>
                <w:szCs w:val="24"/>
                <w:highlight w:val="none"/>
              </w:rPr>
            </w:pPr>
          </w:p>
        </w:tc>
        <w:tc>
          <w:tcPr>
            <w:tcW w:w="742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CA72BB">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color w:val="auto"/>
                <w:kern w:val="2"/>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496761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是</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4A896F8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否</w:t>
            </w:r>
          </w:p>
        </w:tc>
      </w:tr>
      <w:tr w14:paraId="3D77E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 w:hRule="atLeast"/>
        </w:trPr>
        <w:tc>
          <w:tcPr>
            <w:tcW w:w="847" w:type="dxa"/>
            <w:vMerge w:val="restart"/>
            <w:tcBorders>
              <w:top w:val="single" w:color="auto" w:sz="4" w:space="0"/>
              <w:left w:val="single" w:color="auto" w:sz="4" w:space="0"/>
              <w:right w:val="single" w:color="auto" w:sz="4" w:space="0"/>
            </w:tcBorders>
            <w:noWrap w:val="0"/>
            <w:textDirection w:val="tbRlV"/>
            <w:vAlign w:val="center"/>
          </w:tcPr>
          <w:p w14:paraId="1855FE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符合性 审查 标 准</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489A62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810" w:type="dxa"/>
            <w:tcBorders>
              <w:top w:val="single" w:color="auto" w:sz="4" w:space="0"/>
              <w:left w:val="single" w:color="auto" w:sz="4" w:space="0"/>
              <w:bottom w:val="single" w:color="auto" w:sz="4" w:space="0"/>
              <w:right w:val="single" w:color="auto" w:sz="4" w:space="0"/>
            </w:tcBorders>
            <w:noWrap w:val="0"/>
            <w:vAlign w:val="center"/>
          </w:tcPr>
          <w:p w14:paraId="5237E0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保证金的缴纳主体与供应商一致，按照磋商文件要求提供响应保证金，或者所提供的响应担保无瑕疵；</w:t>
            </w:r>
          </w:p>
        </w:tc>
        <w:tc>
          <w:tcPr>
            <w:tcW w:w="797" w:type="dxa"/>
            <w:tcBorders>
              <w:top w:val="single" w:color="auto" w:sz="4" w:space="0"/>
              <w:left w:val="single" w:color="auto" w:sz="4" w:space="0"/>
              <w:bottom w:val="single" w:color="auto" w:sz="4" w:space="0"/>
              <w:right w:val="single" w:color="auto" w:sz="4" w:space="0"/>
            </w:tcBorders>
            <w:noWrap w:val="0"/>
            <w:vAlign w:val="top"/>
          </w:tcPr>
          <w:p w14:paraId="6219BEF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c>
          <w:tcPr>
            <w:tcW w:w="711" w:type="dxa"/>
            <w:tcBorders>
              <w:top w:val="single" w:color="auto" w:sz="4" w:space="0"/>
              <w:left w:val="single" w:color="auto" w:sz="4" w:space="0"/>
              <w:bottom w:val="single" w:color="auto" w:sz="4" w:space="0"/>
              <w:right w:val="single" w:color="auto" w:sz="4" w:space="0"/>
            </w:tcBorders>
            <w:noWrap w:val="0"/>
            <w:vAlign w:val="top"/>
          </w:tcPr>
          <w:p w14:paraId="5DD8AE7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r>
      <w:tr w14:paraId="6B0EE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47" w:type="dxa"/>
            <w:vMerge w:val="continue"/>
            <w:tcBorders>
              <w:left w:val="single" w:color="auto" w:sz="4" w:space="0"/>
              <w:right w:val="single" w:color="auto" w:sz="4" w:space="0"/>
            </w:tcBorders>
            <w:noWrap w:val="0"/>
            <w:textDirection w:val="tbRlV"/>
            <w:vAlign w:val="center"/>
          </w:tcPr>
          <w:p w14:paraId="35676FF5">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color w:val="auto"/>
                <w:kern w:val="2"/>
                <w:sz w:val="24"/>
                <w:szCs w:val="24"/>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0FCA1D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810" w:type="dxa"/>
            <w:tcBorders>
              <w:top w:val="single" w:color="auto" w:sz="4" w:space="0"/>
              <w:left w:val="single" w:color="auto" w:sz="4" w:space="0"/>
              <w:bottom w:val="single" w:color="auto" w:sz="4" w:space="0"/>
              <w:right w:val="single" w:color="auto" w:sz="4" w:space="0"/>
            </w:tcBorders>
            <w:noWrap w:val="0"/>
            <w:vAlign w:val="center"/>
          </w:tcPr>
          <w:p w14:paraId="0510F18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供应商名称与资格审查时相符，未涉嫌以他人名义参加磋商的；</w:t>
            </w:r>
          </w:p>
        </w:tc>
        <w:tc>
          <w:tcPr>
            <w:tcW w:w="797" w:type="dxa"/>
            <w:tcBorders>
              <w:top w:val="single" w:color="auto" w:sz="4" w:space="0"/>
              <w:left w:val="single" w:color="auto" w:sz="4" w:space="0"/>
              <w:bottom w:val="single" w:color="auto" w:sz="4" w:space="0"/>
              <w:right w:val="single" w:color="auto" w:sz="4" w:space="0"/>
            </w:tcBorders>
            <w:noWrap w:val="0"/>
            <w:vAlign w:val="top"/>
          </w:tcPr>
          <w:p w14:paraId="3BA4F2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c>
          <w:tcPr>
            <w:tcW w:w="711" w:type="dxa"/>
            <w:tcBorders>
              <w:top w:val="single" w:color="auto" w:sz="4" w:space="0"/>
              <w:left w:val="single" w:color="auto" w:sz="4" w:space="0"/>
              <w:bottom w:val="single" w:color="auto" w:sz="4" w:space="0"/>
              <w:right w:val="single" w:color="auto" w:sz="4" w:space="0"/>
            </w:tcBorders>
            <w:noWrap w:val="0"/>
            <w:vAlign w:val="top"/>
          </w:tcPr>
          <w:p w14:paraId="1B6B05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r>
      <w:tr w14:paraId="7E639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847" w:type="dxa"/>
            <w:vMerge w:val="continue"/>
            <w:tcBorders>
              <w:left w:val="single" w:color="auto" w:sz="4" w:space="0"/>
              <w:right w:val="single" w:color="auto" w:sz="4" w:space="0"/>
            </w:tcBorders>
            <w:noWrap w:val="0"/>
            <w:textDirection w:val="tbRlV"/>
            <w:vAlign w:val="center"/>
          </w:tcPr>
          <w:p w14:paraId="0FAD6D01">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color w:val="auto"/>
                <w:kern w:val="2"/>
                <w:sz w:val="24"/>
                <w:szCs w:val="24"/>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61DC35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810" w:type="dxa"/>
            <w:tcBorders>
              <w:top w:val="single" w:color="auto" w:sz="4" w:space="0"/>
              <w:left w:val="single" w:color="auto" w:sz="4" w:space="0"/>
              <w:bottom w:val="single" w:color="auto" w:sz="4" w:space="0"/>
              <w:right w:val="single" w:color="auto" w:sz="4" w:space="0"/>
            </w:tcBorders>
            <w:noWrap w:val="0"/>
            <w:vAlign w:val="center"/>
          </w:tcPr>
          <w:p w14:paraId="1E46C31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文件按照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文件规定格式要求加盖响应单位</w:t>
            </w:r>
            <w:r>
              <w:rPr>
                <w:rFonts w:hint="eastAsia" w:ascii="宋体" w:hAnsi="宋体" w:eastAsia="宋体" w:cs="宋体"/>
                <w:color w:val="auto"/>
                <w:sz w:val="24"/>
                <w:highlight w:val="none"/>
                <w:lang w:eastAsia="zh-CN"/>
              </w:rPr>
              <w:t>公章</w:t>
            </w:r>
            <w:r>
              <w:rPr>
                <w:rFonts w:hint="eastAsia" w:ascii="宋体" w:hAnsi="宋体" w:eastAsia="宋体" w:cs="宋体"/>
                <w:color w:val="auto"/>
                <w:sz w:val="24"/>
                <w:highlight w:val="none"/>
              </w:rPr>
              <w:t>和响应单位法定代表人或其授权代表签</w:t>
            </w:r>
            <w:r>
              <w:rPr>
                <w:rFonts w:hint="eastAsia" w:ascii="宋体" w:hAnsi="宋体" w:eastAsia="宋体" w:cs="宋体"/>
                <w:color w:val="auto"/>
                <w:sz w:val="24"/>
                <w:highlight w:val="none"/>
                <w:lang w:eastAsia="zh-CN"/>
              </w:rPr>
              <w:t>部分</w:t>
            </w:r>
            <w:r>
              <w:rPr>
                <w:rFonts w:hint="eastAsia" w:ascii="宋体" w:hAnsi="宋体" w:eastAsia="宋体" w:cs="宋体"/>
                <w:color w:val="auto"/>
                <w:sz w:val="24"/>
                <w:highlight w:val="none"/>
              </w:rPr>
              <w:t>的；</w:t>
            </w:r>
          </w:p>
        </w:tc>
        <w:tc>
          <w:tcPr>
            <w:tcW w:w="797" w:type="dxa"/>
            <w:tcBorders>
              <w:top w:val="single" w:color="auto" w:sz="4" w:space="0"/>
              <w:left w:val="single" w:color="auto" w:sz="4" w:space="0"/>
              <w:bottom w:val="single" w:color="auto" w:sz="4" w:space="0"/>
              <w:right w:val="single" w:color="auto" w:sz="4" w:space="0"/>
            </w:tcBorders>
            <w:noWrap w:val="0"/>
            <w:vAlign w:val="top"/>
          </w:tcPr>
          <w:p w14:paraId="6B1539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c>
          <w:tcPr>
            <w:tcW w:w="711" w:type="dxa"/>
            <w:tcBorders>
              <w:top w:val="single" w:color="auto" w:sz="4" w:space="0"/>
              <w:left w:val="single" w:color="auto" w:sz="4" w:space="0"/>
              <w:bottom w:val="single" w:color="auto" w:sz="4" w:space="0"/>
              <w:right w:val="single" w:color="auto" w:sz="4" w:space="0"/>
            </w:tcBorders>
            <w:noWrap w:val="0"/>
            <w:vAlign w:val="top"/>
          </w:tcPr>
          <w:p w14:paraId="32EFC2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r>
      <w:tr w14:paraId="6A3DA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847" w:type="dxa"/>
            <w:vMerge w:val="continue"/>
            <w:tcBorders>
              <w:left w:val="single" w:color="auto" w:sz="4" w:space="0"/>
              <w:right w:val="single" w:color="auto" w:sz="4" w:space="0"/>
            </w:tcBorders>
            <w:noWrap w:val="0"/>
            <w:textDirection w:val="tbRlV"/>
            <w:vAlign w:val="center"/>
          </w:tcPr>
          <w:p w14:paraId="6E13B383">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color w:val="auto"/>
                <w:kern w:val="2"/>
                <w:sz w:val="24"/>
                <w:szCs w:val="24"/>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683B9D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810" w:type="dxa"/>
            <w:tcBorders>
              <w:top w:val="single" w:color="auto" w:sz="4" w:space="0"/>
              <w:left w:val="single" w:color="auto" w:sz="4" w:space="0"/>
              <w:bottom w:val="single" w:color="auto" w:sz="4" w:space="0"/>
              <w:right w:val="single" w:color="auto" w:sz="4" w:space="0"/>
            </w:tcBorders>
            <w:noWrap w:val="0"/>
            <w:vAlign w:val="center"/>
          </w:tcPr>
          <w:p w14:paraId="505037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响应报价未高于设定的最高限价；</w:t>
            </w:r>
          </w:p>
        </w:tc>
        <w:tc>
          <w:tcPr>
            <w:tcW w:w="797" w:type="dxa"/>
            <w:tcBorders>
              <w:top w:val="single" w:color="auto" w:sz="4" w:space="0"/>
              <w:left w:val="single" w:color="auto" w:sz="4" w:space="0"/>
              <w:bottom w:val="single" w:color="auto" w:sz="4" w:space="0"/>
              <w:right w:val="single" w:color="auto" w:sz="4" w:space="0"/>
            </w:tcBorders>
            <w:noWrap w:val="0"/>
            <w:vAlign w:val="top"/>
          </w:tcPr>
          <w:p w14:paraId="626FE0F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c>
          <w:tcPr>
            <w:tcW w:w="711" w:type="dxa"/>
            <w:tcBorders>
              <w:top w:val="single" w:color="auto" w:sz="4" w:space="0"/>
              <w:left w:val="single" w:color="auto" w:sz="4" w:space="0"/>
              <w:bottom w:val="single" w:color="auto" w:sz="4" w:space="0"/>
              <w:right w:val="single" w:color="auto" w:sz="4" w:space="0"/>
            </w:tcBorders>
            <w:noWrap w:val="0"/>
            <w:vAlign w:val="top"/>
          </w:tcPr>
          <w:p w14:paraId="770D68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r>
      <w:tr w14:paraId="18773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47" w:type="dxa"/>
            <w:vMerge w:val="continue"/>
            <w:tcBorders>
              <w:left w:val="single" w:color="auto" w:sz="4" w:space="0"/>
              <w:right w:val="single" w:color="auto" w:sz="4" w:space="0"/>
            </w:tcBorders>
            <w:noWrap w:val="0"/>
            <w:textDirection w:val="tbRlV"/>
            <w:vAlign w:val="center"/>
          </w:tcPr>
          <w:p w14:paraId="1AA95358">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color w:val="auto"/>
                <w:kern w:val="2"/>
                <w:sz w:val="24"/>
                <w:szCs w:val="24"/>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15C559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810" w:type="dxa"/>
            <w:tcBorders>
              <w:top w:val="single" w:color="auto" w:sz="4" w:space="0"/>
              <w:left w:val="single" w:color="auto" w:sz="4" w:space="0"/>
              <w:bottom w:val="single" w:color="auto" w:sz="4" w:space="0"/>
              <w:right w:val="single" w:color="auto" w:sz="4" w:space="0"/>
            </w:tcBorders>
            <w:noWrap w:val="0"/>
            <w:vAlign w:val="center"/>
          </w:tcPr>
          <w:p w14:paraId="32F215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未改变磋商文件提供的工程量清单中的计量单位、工程量；</w:t>
            </w:r>
          </w:p>
        </w:tc>
        <w:tc>
          <w:tcPr>
            <w:tcW w:w="797" w:type="dxa"/>
            <w:tcBorders>
              <w:top w:val="single" w:color="auto" w:sz="4" w:space="0"/>
              <w:left w:val="single" w:color="auto" w:sz="4" w:space="0"/>
              <w:bottom w:val="single" w:color="auto" w:sz="4" w:space="0"/>
              <w:right w:val="single" w:color="auto" w:sz="4" w:space="0"/>
            </w:tcBorders>
            <w:noWrap w:val="0"/>
            <w:vAlign w:val="top"/>
          </w:tcPr>
          <w:p w14:paraId="628560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c>
          <w:tcPr>
            <w:tcW w:w="711" w:type="dxa"/>
            <w:tcBorders>
              <w:top w:val="single" w:color="auto" w:sz="4" w:space="0"/>
              <w:left w:val="single" w:color="auto" w:sz="4" w:space="0"/>
              <w:bottom w:val="single" w:color="auto" w:sz="4" w:space="0"/>
              <w:right w:val="single" w:color="auto" w:sz="4" w:space="0"/>
            </w:tcBorders>
            <w:noWrap w:val="0"/>
            <w:vAlign w:val="top"/>
          </w:tcPr>
          <w:p w14:paraId="405F91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r>
      <w:tr w14:paraId="6D4B4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47" w:type="dxa"/>
            <w:vMerge w:val="continue"/>
            <w:tcBorders>
              <w:left w:val="single" w:color="auto" w:sz="4" w:space="0"/>
              <w:right w:val="single" w:color="auto" w:sz="4" w:space="0"/>
            </w:tcBorders>
            <w:noWrap w:val="0"/>
            <w:textDirection w:val="tbRlV"/>
            <w:vAlign w:val="center"/>
          </w:tcPr>
          <w:p w14:paraId="4399D624">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color w:val="auto"/>
                <w:kern w:val="2"/>
                <w:sz w:val="24"/>
                <w:szCs w:val="24"/>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5A9018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810" w:type="dxa"/>
            <w:tcBorders>
              <w:top w:val="single" w:color="auto" w:sz="4" w:space="0"/>
              <w:left w:val="single" w:color="auto" w:sz="4" w:space="0"/>
              <w:bottom w:val="single" w:color="auto" w:sz="4" w:space="0"/>
              <w:right w:val="single" w:color="auto" w:sz="4" w:space="0"/>
            </w:tcBorders>
            <w:noWrap w:val="0"/>
            <w:vAlign w:val="center"/>
          </w:tcPr>
          <w:p w14:paraId="2E93BC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供应商对同一采购项目未作出两个以上报价且明确效力；</w:t>
            </w:r>
          </w:p>
        </w:tc>
        <w:tc>
          <w:tcPr>
            <w:tcW w:w="797" w:type="dxa"/>
            <w:tcBorders>
              <w:top w:val="single" w:color="auto" w:sz="4" w:space="0"/>
              <w:left w:val="single" w:color="auto" w:sz="4" w:space="0"/>
              <w:bottom w:val="single" w:color="auto" w:sz="4" w:space="0"/>
              <w:right w:val="single" w:color="auto" w:sz="4" w:space="0"/>
            </w:tcBorders>
            <w:noWrap w:val="0"/>
            <w:vAlign w:val="top"/>
          </w:tcPr>
          <w:p w14:paraId="54C434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c>
          <w:tcPr>
            <w:tcW w:w="711" w:type="dxa"/>
            <w:tcBorders>
              <w:top w:val="single" w:color="auto" w:sz="4" w:space="0"/>
              <w:left w:val="single" w:color="auto" w:sz="4" w:space="0"/>
              <w:bottom w:val="single" w:color="auto" w:sz="4" w:space="0"/>
              <w:right w:val="single" w:color="auto" w:sz="4" w:space="0"/>
            </w:tcBorders>
            <w:noWrap w:val="0"/>
            <w:vAlign w:val="top"/>
          </w:tcPr>
          <w:p w14:paraId="750734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r>
      <w:tr w14:paraId="302E4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47" w:type="dxa"/>
            <w:vMerge w:val="continue"/>
            <w:tcBorders>
              <w:left w:val="single" w:color="auto" w:sz="4" w:space="0"/>
              <w:right w:val="single" w:color="auto" w:sz="4" w:space="0"/>
            </w:tcBorders>
            <w:noWrap w:val="0"/>
            <w:textDirection w:val="tbRlV"/>
            <w:vAlign w:val="center"/>
          </w:tcPr>
          <w:p w14:paraId="222037B6">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color w:val="auto"/>
                <w:kern w:val="2"/>
                <w:sz w:val="24"/>
                <w:szCs w:val="24"/>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66B013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810" w:type="dxa"/>
            <w:tcBorders>
              <w:top w:val="single" w:color="auto" w:sz="4" w:space="0"/>
              <w:left w:val="single" w:color="auto" w:sz="4" w:space="0"/>
              <w:bottom w:val="single" w:color="auto" w:sz="4" w:space="0"/>
              <w:right w:val="single" w:color="auto" w:sz="4" w:space="0"/>
            </w:tcBorders>
            <w:noWrap w:val="0"/>
            <w:vAlign w:val="center"/>
          </w:tcPr>
          <w:p w14:paraId="089C7E1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施工完成期限未超过磋商文件规定期限；</w:t>
            </w:r>
          </w:p>
        </w:tc>
        <w:tc>
          <w:tcPr>
            <w:tcW w:w="797" w:type="dxa"/>
            <w:tcBorders>
              <w:top w:val="single" w:color="auto" w:sz="4" w:space="0"/>
              <w:left w:val="single" w:color="auto" w:sz="4" w:space="0"/>
              <w:bottom w:val="single" w:color="auto" w:sz="4" w:space="0"/>
              <w:right w:val="single" w:color="auto" w:sz="4" w:space="0"/>
            </w:tcBorders>
            <w:noWrap w:val="0"/>
            <w:vAlign w:val="top"/>
          </w:tcPr>
          <w:p w14:paraId="44F9B9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c>
          <w:tcPr>
            <w:tcW w:w="711" w:type="dxa"/>
            <w:tcBorders>
              <w:top w:val="single" w:color="auto" w:sz="4" w:space="0"/>
              <w:left w:val="single" w:color="auto" w:sz="4" w:space="0"/>
              <w:bottom w:val="single" w:color="auto" w:sz="4" w:space="0"/>
              <w:right w:val="single" w:color="auto" w:sz="4" w:space="0"/>
            </w:tcBorders>
            <w:noWrap w:val="0"/>
            <w:vAlign w:val="top"/>
          </w:tcPr>
          <w:p w14:paraId="644219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r>
      <w:tr w14:paraId="0B8C5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847" w:type="dxa"/>
            <w:vMerge w:val="continue"/>
            <w:tcBorders>
              <w:left w:val="single" w:color="auto" w:sz="4" w:space="0"/>
              <w:right w:val="single" w:color="auto" w:sz="4" w:space="0"/>
            </w:tcBorders>
            <w:noWrap w:val="0"/>
            <w:textDirection w:val="tbRlV"/>
            <w:vAlign w:val="center"/>
          </w:tcPr>
          <w:p w14:paraId="1A1C517C">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color w:val="auto"/>
                <w:kern w:val="2"/>
                <w:sz w:val="24"/>
                <w:szCs w:val="24"/>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55DC39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810" w:type="dxa"/>
            <w:tcBorders>
              <w:top w:val="single" w:color="auto" w:sz="4" w:space="0"/>
              <w:left w:val="single" w:color="auto" w:sz="4" w:space="0"/>
              <w:bottom w:val="single" w:color="auto" w:sz="4" w:space="0"/>
              <w:right w:val="single" w:color="auto" w:sz="4" w:space="0"/>
            </w:tcBorders>
            <w:noWrap w:val="0"/>
            <w:vAlign w:val="center"/>
          </w:tcPr>
          <w:p w14:paraId="3AFE12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按磋商文件规定的格式填写，无内容不全或关键字迹模糊、无法辨认</w:t>
            </w:r>
            <w:r>
              <w:rPr>
                <w:rFonts w:hint="eastAsia" w:ascii="宋体" w:hAnsi="宋体" w:eastAsia="宋体" w:cs="宋体"/>
                <w:color w:val="auto"/>
                <w:sz w:val="24"/>
                <w:highlight w:val="none"/>
                <w:lang w:val="en-US" w:eastAsia="zh-CN"/>
              </w:rPr>
              <w:t>（包括分部分项工程量清单中暂估价、暂列金额的改动）</w:t>
            </w:r>
            <w:r>
              <w:rPr>
                <w:rFonts w:hint="eastAsia" w:ascii="宋体" w:hAnsi="宋体" w:eastAsia="宋体" w:cs="宋体"/>
                <w:color w:val="auto"/>
                <w:kern w:val="2"/>
                <w:sz w:val="24"/>
                <w:szCs w:val="24"/>
                <w:highlight w:val="none"/>
                <w:lang w:val="en-US" w:eastAsia="zh-CN" w:bidi="ar"/>
              </w:rPr>
              <w:t>；</w:t>
            </w:r>
          </w:p>
        </w:tc>
        <w:tc>
          <w:tcPr>
            <w:tcW w:w="797" w:type="dxa"/>
            <w:tcBorders>
              <w:top w:val="single" w:color="auto" w:sz="4" w:space="0"/>
              <w:left w:val="single" w:color="auto" w:sz="4" w:space="0"/>
              <w:bottom w:val="single" w:color="auto" w:sz="4" w:space="0"/>
              <w:right w:val="single" w:color="auto" w:sz="4" w:space="0"/>
            </w:tcBorders>
            <w:noWrap w:val="0"/>
            <w:vAlign w:val="top"/>
          </w:tcPr>
          <w:p w14:paraId="1019D83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c>
          <w:tcPr>
            <w:tcW w:w="711" w:type="dxa"/>
            <w:tcBorders>
              <w:top w:val="single" w:color="auto" w:sz="4" w:space="0"/>
              <w:left w:val="single" w:color="auto" w:sz="4" w:space="0"/>
              <w:bottom w:val="single" w:color="auto" w:sz="4" w:space="0"/>
              <w:right w:val="single" w:color="auto" w:sz="4" w:space="0"/>
            </w:tcBorders>
            <w:noWrap w:val="0"/>
            <w:vAlign w:val="top"/>
          </w:tcPr>
          <w:p w14:paraId="3EEB4B9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r>
      <w:tr w14:paraId="6C8C5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47" w:type="dxa"/>
            <w:vMerge w:val="continue"/>
            <w:tcBorders>
              <w:left w:val="single" w:color="auto" w:sz="4" w:space="0"/>
              <w:right w:val="single" w:color="auto" w:sz="4" w:space="0"/>
            </w:tcBorders>
            <w:noWrap w:val="0"/>
            <w:textDirection w:val="tbRlV"/>
            <w:vAlign w:val="center"/>
          </w:tcPr>
          <w:p w14:paraId="6AB11902">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color w:val="auto"/>
                <w:kern w:val="2"/>
                <w:sz w:val="24"/>
                <w:szCs w:val="24"/>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741EBD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810" w:type="dxa"/>
            <w:tcBorders>
              <w:top w:val="single" w:color="auto" w:sz="4" w:space="0"/>
              <w:left w:val="single" w:color="auto" w:sz="4" w:space="0"/>
              <w:bottom w:val="single" w:color="auto" w:sz="4" w:space="0"/>
              <w:right w:val="single" w:color="auto" w:sz="4" w:space="0"/>
            </w:tcBorders>
            <w:noWrap w:val="0"/>
            <w:vAlign w:val="center"/>
          </w:tcPr>
          <w:p w14:paraId="4F6D3B8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磋商响应有效期是否满足磋商文件要求</w:t>
            </w:r>
          </w:p>
        </w:tc>
        <w:tc>
          <w:tcPr>
            <w:tcW w:w="797" w:type="dxa"/>
            <w:tcBorders>
              <w:top w:val="single" w:color="auto" w:sz="4" w:space="0"/>
              <w:left w:val="single" w:color="auto" w:sz="4" w:space="0"/>
              <w:bottom w:val="single" w:color="auto" w:sz="4" w:space="0"/>
              <w:right w:val="single" w:color="auto" w:sz="4" w:space="0"/>
            </w:tcBorders>
            <w:noWrap w:val="0"/>
            <w:vAlign w:val="top"/>
          </w:tcPr>
          <w:p w14:paraId="202BA52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c>
          <w:tcPr>
            <w:tcW w:w="711" w:type="dxa"/>
            <w:tcBorders>
              <w:top w:val="single" w:color="auto" w:sz="4" w:space="0"/>
              <w:left w:val="single" w:color="auto" w:sz="4" w:space="0"/>
              <w:bottom w:val="single" w:color="auto" w:sz="4" w:space="0"/>
              <w:right w:val="single" w:color="auto" w:sz="4" w:space="0"/>
            </w:tcBorders>
            <w:noWrap w:val="0"/>
            <w:vAlign w:val="top"/>
          </w:tcPr>
          <w:p w14:paraId="1185E1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r>
      <w:tr w14:paraId="5F21C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47" w:type="dxa"/>
            <w:vMerge w:val="continue"/>
            <w:tcBorders>
              <w:left w:val="single" w:color="auto" w:sz="4" w:space="0"/>
              <w:right w:val="single" w:color="auto" w:sz="4" w:space="0"/>
            </w:tcBorders>
            <w:noWrap w:val="0"/>
            <w:textDirection w:val="tbRlV"/>
            <w:vAlign w:val="center"/>
          </w:tcPr>
          <w:p w14:paraId="4FC33F3B">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color w:val="auto"/>
                <w:kern w:val="2"/>
                <w:sz w:val="24"/>
                <w:szCs w:val="24"/>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0C91AC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810" w:type="dxa"/>
            <w:tcBorders>
              <w:top w:val="single" w:color="auto" w:sz="4" w:space="0"/>
              <w:left w:val="single" w:color="auto" w:sz="4" w:space="0"/>
              <w:bottom w:val="single" w:color="auto" w:sz="4" w:space="0"/>
              <w:right w:val="single" w:color="auto" w:sz="4" w:space="0"/>
            </w:tcBorders>
            <w:noWrap w:val="0"/>
            <w:vAlign w:val="center"/>
          </w:tcPr>
          <w:p w14:paraId="3B1304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响应文件未附有采购人不能接受条件；</w:t>
            </w:r>
          </w:p>
        </w:tc>
        <w:tc>
          <w:tcPr>
            <w:tcW w:w="797" w:type="dxa"/>
            <w:tcBorders>
              <w:top w:val="single" w:color="auto" w:sz="4" w:space="0"/>
              <w:left w:val="single" w:color="auto" w:sz="4" w:space="0"/>
              <w:bottom w:val="single" w:color="auto" w:sz="4" w:space="0"/>
              <w:right w:val="single" w:color="auto" w:sz="4" w:space="0"/>
            </w:tcBorders>
            <w:noWrap w:val="0"/>
            <w:vAlign w:val="top"/>
          </w:tcPr>
          <w:p w14:paraId="01F9A1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c>
          <w:tcPr>
            <w:tcW w:w="711" w:type="dxa"/>
            <w:tcBorders>
              <w:top w:val="single" w:color="auto" w:sz="4" w:space="0"/>
              <w:left w:val="single" w:color="auto" w:sz="4" w:space="0"/>
              <w:bottom w:val="single" w:color="auto" w:sz="4" w:space="0"/>
              <w:right w:val="single" w:color="auto" w:sz="4" w:space="0"/>
            </w:tcBorders>
            <w:noWrap w:val="0"/>
            <w:vAlign w:val="top"/>
          </w:tcPr>
          <w:p w14:paraId="17B172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r>
      <w:tr w14:paraId="2238A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trPr>
        <w:tc>
          <w:tcPr>
            <w:tcW w:w="847" w:type="dxa"/>
            <w:vMerge w:val="continue"/>
            <w:tcBorders>
              <w:left w:val="single" w:color="auto" w:sz="4" w:space="0"/>
              <w:right w:val="single" w:color="auto" w:sz="4" w:space="0"/>
            </w:tcBorders>
            <w:noWrap w:val="0"/>
            <w:textDirection w:val="tbRlV"/>
            <w:vAlign w:val="center"/>
          </w:tcPr>
          <w:p w14:paraId="45B6476D">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color w:val="auto"/>
                <w:kern w:val="2"/>
                <w:sz w:val="24"/>
                <w:szCs w:val="24"/>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23CD90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6810" w:type="dxa"/>
            <w:tcBorders>
              <w:top w:val="single" w:color="auto" w:sz="4" w:space="0"/>
              <w:left w:val="single" w:color="auto" w:sz="4" w:space="0"/>
              <w:bottom w:val="single" w:color="auto" w:sz="4" w:space="0"/>
              <w:right w:val="single" w:color="auto" w:sz="4" w:space="0"/>
            </w:tcBorders>
            <w:noWrap w:val="0"/>
            <w:vAlign w:val="center"/>
          </w:tcPr>
          <w:p w14:paraId="2ED7DB3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满足磋商文件实质性要求的其他情形（</w:t>
            </w:r>
            <w:r>
              <w:rPr>
                <w:rFonts w:hint="eastAsia" w:ascii="宋体" w:hAnsi="宋体" w:eastAsia="宋体" w:cs="宋体"/>
                <w:color w:val="auto"/>
                <w:sz w:val="24"/>
                <w:highlight w:val="none"/>
              </w:rPr>
              <w:t>如没有按照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文件要求提供</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文件，字迹模糊不清；超出经营范围投标的；投标有效期不足的；投标报价有重大漏项、失误等</w:t>
            </w:r>
            <w:r>
              <w:rPr>
                <w:rFonts w:hint="eastAsia" w:ascii="宋体" w:hAnsi="宋体" w:eastAsia="宋体" w:cs="宋体"/>
                <w:color w:val="auto"/>
                <w:sz w:val="24"/>
                <w:highlight w:val="none"/>
                <w:lang w:eastAsia="zh-CN"/>
              </w:rPr>
              <w:t>）</w:t>
            </w:r>
            <w:r>
              <w:rPr>
                <w:rFonts w:hint="eastAsia" w:ascii="宋体" w:hAnsi="宋体" w:eastAsia="宋体" w:cs="宋体"/>
                <w:color w:val="auto"/>
                <w:kern w:val="2"/>
                <w:sz w:val="24"/>
                <w:szCs w:val="24"/>
                <w:highlight w:val="none"/>
                <w:lang w:val="en-US" w:eastAsia="zh-CN" w:bidi="ar"/>
              </w:rPr>
              <w:t>；</w:t>
            </w:r>
          </w:p>
        </w:tc>
        <w:tc>
          <w:tcPr>
            <w:tcW w:w="797" w:type="dxa"/>
            <w:tcBorders>
              <w:top w:val="single" w:color="auto" w:sz="4" w:space="0"/>
              <w:left w:val="single" w:color="auto" w:sz="4" w:space="0"/>
              <w:bottom w:val="single" w:color="auto" w:sz="4" w:space="0"/>
              <w:right w:val="single" w:color="auto" w:sz="4" w:space="0"/>
            </w:tcBorders>
            <w:noWrap w:val="0"/>
            <w:vAlign w:val="top"/>
          </w:tcPr>
          <w:p w14:paraId="4F4CED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c>
          <w:tcPr>
            <w:tcW w:w="711" w:type="dxa"/>
            <w:tcBorders>
              <w:top w:val="single" w:color="auto" w:sz="4" w:space="0"/>
              <w:left w:val="single" w:color="auto" w:sz="4" w:space="0"/>
              <w:bottom w:val="single" w:color="auto" w:sz="4" w:space="0"/>
              <w:right w:val="single" w:color="auto" w:sz="4" w:space="0"/>
            </w:tcBorders>
            <w:noWrap w:val="0"/>
            <w:vAlign w:val="top"/>
          </w:tcPr>
          <w:p w14:paraId="5E2DF6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r>
      <w:tr w14:paraId="13996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847" w:type="dxa"/>
            <w:vMerge w:val="continue"/>
            <w:tcBorders>
              <w:left w:val="single" w:color="auto" w:sz="4" w:space="0"/>
              <w:bottom w:val="single" w:color="auto" w:sz="4" w:space="0"/>
              <w:right w:val="single" w:color="auto" w:sz="4" w:space="0"/>
            </w:tcBorders>
            <w:noWrap w:val="0"/>
            <w:textDirection w:val="tbRlV"/>
            <w:vAlign w:val="center"/>
          </w:tcPr>
          <w:p w14:paraId="3D6E147C">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color w:val="auto"/>
                <w:kern w:val="2"/>
                <w:sz w:val="24"/>
                <w:szCs w:val="24"/>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1EF595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810" w:type="dxa"/>
            <w:tcBorders>
              <w:top w:val="single" w:color="auto" w:sz="4" w:space="0"/>
              <w:left w:val="single" w:color="auto" w:sz="4" w:space="0"/>
              <w:bottom w:val="single" w:color="auto" w:sz="4" w:space="0"/>
              <w:right w:val="single" w:color="auto" w:sz="4" w:space="0"/>
            </w:tcBorders>
            <w:noWrap w:val="0"/>
            <w:vAlign w:val="center"/>
          </w:tcPr>
          <w:p w14:paraId="5DD521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法律法规规定的其他响应有效情形。</w:t>
            </w:r>
          </w:p>
        </w:tc>
        <w:tc>
          <w:tcPr>
            <w:tcW w:w="797" w:type="dxa"/>
            <w:tcBorders>
              <w:top w:val="single" w:color="auto" w:sz="4" w:space="0"/>
              <w:left w:val="single" w:color="auto" w:sz="4" w:space="0"/>
              <w:bottom w:val="single" w:color="auto" w:sz="4" w:space="0"/>
              <w:right w:val="single" w:color="auto" w:sz="4" w:space="0"/>
            </w:tcBorders>
            <w:noWrap w:val="0"/>
            <w:vAlign w:val="top"/>
          </w:tcPr>
          <w:p w14:paraId="528DC40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c>
          <w:tcPr>
            <w:tcW w:w="711" w:type="dxa"/>
            <w:tcBorders>
              <w:top w:val="single" w:color="auto" w:sz="4" w:space="0"/>
              <w:left w:val="single" w:color="auto" w:sz="4" w:space="0"/>
              <w:bottom w:val="single" w:color="auto" w:sz="4" w:space="0"/>
              <w:right w:val="single" w:color="auto" w:sz="4" w:space="0"/>
            </w:tcBorders>
            <w:noWrap w:val="0"/>
            <w:vAlign w:val="top"/>
          </w:tcPr>
          <w:p w14:paraId="587BF0F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jc w:val="both"/>
              <w:textAlignment w:val="auto"/>
              <w:rPr>
                <w:rFonts w:hint="eastAsia" w:ascii="宋体" w:hAnsi="宋体" w:eastAsia="宋体" w:cs="宋体"/>
                <w:color w:val="auto"/>
                <w:sz w:val="24"/>
                <w:szCs w:val="24"/>
                <w:highlight w:val="none"/>
                <w:lang w:val="en-US"/>
              </w:rPr>
            </w:pPr>
          </w:p>
        </w:tc>
      </w:tr>
    </w:tbl>
    <w:p w14:paraId="20086D4C">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firstLine="482" w:firstLineChars="200"/>
        <w:jc w:val="left"/>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 xml:space="preserve">说明：（1）上述各项中用“√”表示通过，“×”表示不通过；   </w:t>
      </w:r>
    </w:p>
    <w:p w14:paraId="39CE2AF3">
      <w:pPr>
        <w:keepNext w:val="0"/>
        <w:keepLines w:val="0"/>
        <w:pageBreakBefore w:val="0"/>
        <w:tabs>
          <w:tab w:val="left" w:pos="900"/>
        </w:tabs>
        <w:kinsoku/>
        <w:wordWrap/>
        <w:overflowPunct/>
        <w:topLinePunct w:val="0"/>
        <w:autoSpaceDE/>
        <w:autoSpaceDN/>
        <w:bidi w:val="0"/>
        <w:adjustRightInd/>
        <w:snapToGrid/>
        <w:spacing w:beforeAutospacing="0" w:afterAutospacing="0" w:line="460" w:lineRule="exact"/>
        <w:ind w:left="0" w:leftChars="0" w:right="0" w:firstLine="1205" w:firstLineChars="500"/>
        <w:jc w:val="both"/>
        <w:rPr>
          <w:rFonts w:hint="eastAsia" w:ascii="宋体" w:hAnsi="宋体" w:eastAsia="宋体" w:cs="宋体"/>
          <w:b/>
          <w:bCs/>
          <w:color w:val="auto"/>
          <w:sz w:val="24"/>
          <w:highlight w:val="none"/>
        </w:rPr>
      </w:pPr>
      <w:r>
        <w:rPr>
          <w:rFonts w:hint="eastAsia" w:ascii="宋体" w:hAnsi="宋体" w:eastAsia="宋体" w:cs="宋体"/>
          <w:b/>
          <w:i w:val="0"/>
          <w:color w:val="auto"/>
          <w:kern w:val="0"/>
          <w:sz w:val="24"/>
          <w:szCs w:val="24"/>
          <w:highlight w:val="none"/>
          <w:u w:val="none"/>
          <w:lang w:val="en-US" w:eastAsia="zh-CN" w:bidi="ar"/>
        </w:rPr>
        <w:t>（2）上述各项中如有一项为“×”，必须单独说明。</w:t>
      </w:r>
    </w:p>
    <w:p w14:paraId="0904CF4F">
      <w:pPr>
        <w:keepNext w:val="0"/>
        <w:keepLines w:val="0"/>
        <w:pageBreakBefore w:val="0"/>
        <w:kinsoku/>
        <w:wordWrap/>
        <w:overflowPunct/>
        <w:topLinePunct w:val="0"/>
        <w:autoSpaceDE/>
        <w:autoSpaceDN/>
        <w:bidi w:val="0"/>
        <w:adjustRightInd/>
        <w:snapToGrid/>
        <w:spacing w:beforeAutospacing="0" w:afterAutospacing="0" w:line="460" w:lineRule="exact"/>
        <w:ind w:left="60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 xml:space="preserve"> 在对磋商响应文件进行详细评估之前，磋商小组将依据供应商提供的资格证明文件审查供应商的技术和生产能力。如果确定供应商无资格履行合同，其投标将被拒绝。</w:t>
      </w:r>
    </w:p>
    <w:p w14:paraId="19DB8BC8">
      <w:pPr>
        <w:keepNext w:val="0"/>
        <w:keepLines w:val="0"/>
        <w:pageBreakBefore w:val="0"/>
        <w:kinsoku/>
        <w:wordWrap/>
        <w:overflowPunct/>
        <w:topLinePunct w:val="0"/>
        <w:autoSpaceDE/>
        <w:autoSpaceDN/>
        <w:bidi w:val="0"/>
        <w:adjustRightInd/>
        <w:snapToGrid/>
        <w:spacing w:beforeAutospacing="0" w:afterAutospacing="0" w:line="460" w:lineRule="exact"/>
        <w:ind w:left="60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 xml:space="preserve"> 磋商小组将确定每一磋商响应文件是否对磋商文件的要求作出了实质性的响应，而没有重大偏离。实质性响应的磋商响应文件是指符合磋商文件的所有条款、条件和规定且没有重大偏离或保留。重大偏离或保留系指影响到磋商文件规定的供货范围、质量和性能，或限制了买方的权利和供应商的义务的规定，而纠正这些偏离将影响到其他提交实质性响应投标的供应商的公平竞争地位。</w:t>
      </w:r>
    </w:p>
    <w:p w14:paraId="777B987F">
      <w:pPr>
        <w:keepNext w:val="0"/>
        <w:keepLines w:val="0"/>
        <w:pageBreakBefore w:val="0"/>
        <w:tabs>
          <w:tab w:val="left" w:pos="900"/>
        </w:tabs>
        <w:kinsoku/>
        <w:wordWrap/>
        <w:overflowPunct/>
        <w:topLinePunct w:val="0"/>
        <w:autoSpaceDE/>
        <w:autoSpaceDN/>
        <w:bidi w:val="0"/>
        <w:adjustRightInd/>
        <w:snapToGrid/>
        <w:spacing w:beforeAutospacing="0" w:afterAutospacing="0" w:line="460" w:lineRule="exact"/>
        <w:ind w:left="0" w:leftChars="0" w:right="0" w:firstLine="482" w:firstLineChars="200"/>
        <w:jc w:val="both"/>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7、磋商响应文件的澄清</w:t>
      </w:r>
    </w:p>
    <w:p w14:paraId="419CDF3C">
      <w:pPr>
        <w:keepNext w:val="0"/>
        <w:keepLines w:val="0"/>
        <w:pageBreakBefore w:val="0"/>
        <w:kinsoku/>
        <w:wordWrap/>
        <w:overflowPunct/>
        <w:topLinePunct w:val="0"/>
        <w:autoSpaceDE/>
        <w:autoSpaceDN/>
        <w:bidi w:val="0"/>
        <w:adjustRightInd/>
        <w:snapToGrid/>
        <w:spacing w:beforeAutospacing="0" w:afterAutospacing="0" w:line="460" w:lineRule="exact"/>
        <w:ind w:left="60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7.1</w:t>
      </w:r>
      <w:r>
        <w:rPr>
          <w:rFonts w:hint="eastAsia" w:ascii="宋体" w:hAnsi="宋体" w:eastAsia="宋体" w:cs="宋体"/>
          <w:color w:val="auto"/>
          <w:sz w:val="24"/>
          <w:szCs w:val="24"/>
          <w:highlight w:val="none"/>
        </w:rPr>
        <w:t>为有助于对磋商响应文件进行审查、评估和比较，磋商小组将对供应商进行磋商，请供应商澄清其磋商内容，供应商有责任按照招标代理机构通知的时间、地点指派专人进行答疑和澄清。磋商时供应商代表应作书面记录。并对重要内容作出书面答复。</w:t>
      </w:r>
    </w:p>
    <w:p w14:paraId="5B0AC9DF">
      <w:pPr>
        <w:keepNext w:val="0"/>
        <w:keepLines w:val="0"/>
        <w:pageBreakBefore w:val="0"/>
        <w:kinsoku/>
        <w:wordWrap/>
        <w:overflowPunct/>
        <w:topLinePunct w:val="0"/>
        <w:autoSpaceDE/>
        <w:autoSpaceDN/>
        <w:bidi w:val="0"/>
        <w:adjustRightInd/>
        <w:snapToGrid/>
        <w:spacing w:beforeAutospacing="0" w:afterAutospacing="0" w:line="460" w:lineRule="exact"/>
        <w:ind w:left="60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要澄清的答复应是书面的，但不得对磋商内容进行实质性修改。澄清文件须由供应商法人代表或法人授权代表签字和/或加盖</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并作为磋商响应文件的组成部分。</w:t>
      </w:r>
    </w:p>
    <w:p w14:paraId="09F14AF1">
      <w:pPr>
        <w:keepNext w:val="0"/>
        <w:keepLines w:val="0"/>
        <w:pageBreakBefore w:val="0"/>
        <w:kinsoku/>
        <w:wordWrap/>
        <w:overflowPunct/>
        <w:topLinePunct w:val="0"/>
        <w:autoSpaceDE/>
        <w:autoSpaceDN/>
        <w:bidi w:val="0"/>
        <w:adjustRightInd/>
        <w:snapToGrid/>
        <w:spacing w:beforeAutospacing="0" w:afterAutospacing="0" w:line="460" w:lineRule="exact"/>
        <w:ind w:left="60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 磋商结束后，磋商小组要求所有参加磋商的供应商在规定的时间内进行最后报价。</w:t>
      </w:r>
    </w:p>
    <w:p w14:paraId="339580E7">
      <w:pPr>
        <w:keepNext w:val="0"/>
        <w:keepLines w:val="0"/>
        <w:pageBreakBefore w:val="0"/>
        <w:kinsoku/>
        <w:wordWrap/>
        <w:overflowPunct/>
        <w:topLinePunct w:val="0"/>
        <w:autoSpaceDE/>
        <w:autoSpaceDN/>
        <w:bidi w:val="0"/>
        <w:adjustRightInd/>
        <w:snapToGrid/>
        <w:spacing w:beforeAutospacing="0" w:afterAutospacing="0" w:line="460" w:lineRule="exact"/>
        <w:ind w:left="60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8、确定成交供应商的办法</w:t>
      </w:r>
    </w:p>
    <w:p w14:paraId="7578B984">
      <w:pPr>
        <w:keepNext w:val="0"/>
        <w:keepLines w:val="0"/>
        <w:pageBreakBefore w:val="0"/>
        <w:kinsoku/>
        <w:wordWrap/>
        <w:overflowPunct/>
        <w:topLinePunct w:val="0"/>
        <w:autoSpaceDE/>
        <w:autoSpaceDN/>
        <w:bidi w:val="0"/>
        <w:adjustRightInd/>
        <w:snapToGrid/>
        <w:spacing w:beforeAutospacing="0" w:afterAutospacing="0" w:line="460" w:lineRule="exact"/>
        <w:ind w:left="60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8.1磋商小组按照磋商文件要求对磋商响应文件中的供应商资格、供应商资格证明文件、重要技术指标以及技术和商务上要求的其它重要内容进行审核。</w:t>
      </w:r>
    </w:p>
    <w:p w14:paraId="04B20D69">
      <w:pPr>
        <w:keepNext w:val="0"/>
        <w:keepLines w:val="0"/>
        <w:pageBreakBefore w:val="0"/>
        <w:kinsoku/>
        <w:wordWrap/>
        <w:overflowPunct/>
        <w:topLinePunct w:val="0"/>
        <w:autoSpaceDE/>
        <w:autoSpaceDN/>
        <w:bidi w:val="0"/>
        <w:adjustRightInd/>
        <w:snapToGrid/>
        <w:spacing w:beforeAutospacing="0" w:afterAutospacing="0" w:line="460" w:lineRule="exact"/>
        <w:ind w:left="60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8.2磋商小组和供应商磋商过程中作出的书面承诺是否符合磋商文件中对质量、技术和服务的要求。</w:t>
      </w:r>
    </w:p>
    <w:p w14:paraId="323086CD">
      <w:pPr>
        <w:keepNext w:val="0"/>
        <w:keepLines w:val="0"/>
        <w:pageBreakBefore w:val="0"/>
        <w:kinsoku/>
        <w:wordWrap/>
        <w:overflowPunct/>
        <w:topLinePunct w:val="0"/>
        <w:autoSpaceDE/>
        <w:autoSpaceDN/>
        <w:bidi w:val="0"/>
        <w:adjustRightInd/>
        <w:snapToGrid/>
        <w:spacing w:beforeAutospacing="0" w:afterAutospacing="0" w:line="460" w:lineRule="exact"/>
        <w:ind w:left="60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8.3经磋商确定最终采购需求和提交最后报价的供应商后，由磋商小组采用综合评分法对提交最后报价的供应商的响应文件和最后报价进行综合评分。</w:t>
      </w:r>
    </w:p>
    <w:p w14:paraId="7F9B8CC4">
      <w:pPr>
        <w:keepNext w:val="0"/>
        <w:keepLines w:val="0"/>
        <w:pageBreakBefore w:val="0"/>
        <w:kinsoku/>
        <w:wordWrap/>
        <w:overflowPunct/>
        <w:topLinePunct w:val="0"/>
        <w:autoSpaceDE/>
        <w:autoSpaceDN/>
        <w:bidi w:val="0"/>
        <w:adjustRightInd/>
        <w:snapToGrid/>
        <w:spacing w:beforeAutospacing="0" w:afterAutospacing="0" w:line="460" w:lineRule="exact"/>
        <w:ind w:left="60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响应文件的评估和比较分为两步进行，磋商小组会按照磋商文件要求对响应文件中的供应商资格、供应商资格证明文件、重要技术指标以及技术和商务上要求的其它重要内容进行审核，审核合格后即视为实质性响应的响应文件，进行第二个步骤：对实质性响应的响应文件进行评估和比较采用综合评分法进行打分评比，打分方法：总分为100分，其中价格因素占30分，技术因素、商务因素占70分。将每位投标商的价格得分、技术得分、商务得分相加即为该投标商的总得分。详细评分标准如下：</w:t>
      </w:r>
    </w:p>
    <w:p w14:paraId="736AF31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3EE9CB16">
      <w:pPr>
        <w:pageBreakBefore w:val="0"/>
        <w:kinsoku/>
        <w:wordWrap/>
        <w:topLinePunct w:val="0"/>
        <w:bidi w:val="0"/>
        <w:spacing w:beforeAutospacing="0" w:afterAutospacing="0" w:line="460" w:lineRule="exact"/>
        <w:ind w:left="0" w:leftChars="0" w:right="0"/>
        <w:jc w:val="center"/>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综合评分内容</w:t>
      </w:r>
    </w:p>
    <w:p w14:paraId="72D3B390">
      <w:pPr>
        <w:pageBreakBefore w:val="0"/>
        <w:kinsoku/>
        <w:wordWrap/>
        <w:topLinePunct w:val="0"/>
        <w:bidi w:val="0"/>
        <w:spacing w:beforeAutospacing="0" w:afterAutospacing="0" w:line="460" w:lineRule="exact"/>
        <w:ind w:left="0" w:leftChars="0" w:right="0"/>
        <w:rPr>
          <w:rFonts w:hint="eastAsia" w:ascii="宋体" w:hAnsi="宋体" w:eastAsia="宋体" w:cs="宋体"/>
          <w:b/>
          <w:bCs/>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val="en-US" w:eastAsia="zh-CN"/>
        </w:rPr>
        <w:t>1、</w:t>
      </w:r>
      <w:r>
        <w:rPr>
          <w:rFonts w:hint="eastAsia" w:ascii="宋体" w:hAnsi="宋体" w:eastAsia="宋体" w:cs="宋体"/>
          <w:b/>
          <w:bCs/>
          <w:color w:val="auto"/>
          <w:sz w:val="24"/>
          <w:szCs w:val="24"/>
          <w:highlight w:val="none"/>
          <w:shd w:val="clear" w:color="auto" w:fill="FFFFFF"/>
          <w:lang w:eastAsia="zh-CN"/>
        </w:rPr>
        <w:t>经济部分（</w:t>
      </w:r>
      <w:r>
        <w:rPr>
          <w:rFonts w:hint="eastAsia" w:ascii="宋体" w:hAnsi="宋体" w:eastAsia="宋体" w:cs="宋体"/>
          <w:b/>
          <w:bCs/>
          <w:color w:val="auto"/>
          <w:sz w:val="24"/>
          <w:szCs w:val="24"/>
          <w:highlight w:val="none"/>
          <w:shd w:val="clear" w:color="auto" w:fill="FFFFFF"/>
          <w:lang w:val="en-US" w:eastAsia="zh-CN"/>
        </w:rPr>
        <w:t>30分）</w:t>
      </w:r>
      <w:r>
        <w:rPr>
          <w:rFonts w:hint="eastAsia" w:ascii="宋体" w:hAnsi="宋体" w:eastAsia="宋体" w:cs="宋体"/>
          <w:b/>
          <w:bCs/>
          <w:color w:val="auto"/>
          <w:sz w:val="24"/>
          <w:szCs w:val="24"/>
          <w:highlight w:val="none"/>
          <w:shd w:val="clear" w:color="auto" w:fill="FFFFFF"/>
          <w:lang w:eastAsia="zh-CN"/>
        </w:rPr>
        <w:t>：</w:t>
      </w:r>
    </w:p>
    <w:p w14:paraId="0D6ABAC6">
      <w:pPr>
        <w:pageBreakBefore w:val="0"/>
        <w:kinsoku/>
        <w:wordWrap/>
        <w:topLinePunct w:val="0"/>
        <w:bidi w:val="0"/>
        <w:spacing w:beforeAutospacing="0" w:afterAutospacing="0" w:line="460" w:lineRule="exact"/>
        <w:ind w:left="0" w:leftChars="0" w:right="0"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shd w:val="clear" w:color="auto" w:fill="FFFFFF"/>
        </w:rPr>
        <w:t>综合评分法中的价格分统一采用低价优先法计算，即满足磋商文件要求最</w:t>
      </w:r>
      <w:r>
        <w:rPr>
          <w:rFonts w:hint="eastAsia" w:ascii="宋体" w:hAnsi="宋体" w:eastAsia="宋体" w:cs="宋体"/>
          <w:b/>
          <w:bCs/>
          <w:color w:val="auto"/>
          <w:sz w:val="24"/>
          <w:szCs w:val="24"/>
          <w:highlight w:val="none"/>
          <w:shd w:val="clear" w:color="auto" w:fill="FFFFFF"/>
          <w:lang w:eastAsia="zh-CN"/>
        </w:rPr>
        <w:t>终</w:t>
      </w:r>
      <w:r>
        <w:rPr>
          <w:rFonts w:hint="eastAsia" w:ascii="宋体" w:hAnsi="宋体" w:eastAsia="宋体" w:cs="宋体"/>
          <w:b/>
          <w:bCs/>
          <w:color w:val="auto"/>
          <w:sz w:val="24"/>
          <w:szCs w:val="24"/>
          <w:highlight w:val="none"/>
          <w:shd w:val="clear" w:color="auto" w:fill="FFFFFF"/>
        </w:rPr>
        <w:t>报价最低</w:t>
      </w:r>
      <w:r>
        <w:rPr>
          <w:rFonts w:hint="eastAsia" w:ascii="宋体" w:hAnsi="宋体" w:eastAsia="宋体" w:cs="宋体"/>
          <w:b/>
          <w:bCs/>
          <w:color w:val="auto"/>
          <w:sz w:val="24"/>
          <w:szCs w:val="24"/>
          <w:highlight w:val="none"/>
          <w:shd w:val="clear" w:color="auto" w:fill="FFFFFF"/>
          <w:lang w:eastAsia="zh-CN"/>
        </w:rPr>
        <w:t>者</w:t>
      </w:r>
      <w:r>
        <w:rPr>
          <w:rFonts w:hint="eastAsia" w:ascii="宋体" w:hAnsi="宋体" w:eastAsia="宋体" w:cs="宋体"/>
          <w:b/>
          <w:bCs/>
          <w:color w:val="auto"/>
          <w:sz w:val="24"/>
          <w:szCs w:val="24"/>
          <w:highlight w:val="none"/>
          <w:shd w:val="clear" w:color="auto" w:fill="FFFFFF"/>
        </w:rPr>
        <w:t>为磋商基准价，其价格分为满分。其他供应商的价格分统一按照下列公式计算：</w:t>
      </w:r>
    </w:p>
    <w:tbl>
      <w:tblPr>
        <w:tblStyle w:val="25"/>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15"/>
        <w:gridCol w:w="735"/>
        <w:gridCol w:w="6752"/>
      </w:tblGrid>
      <w:tr w14:paraId="05C2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34" w:type="dxa"/>
            <w:vAlign w:val="center"/>
          </w:tcPr>
          <w:p w14:paraId="3EF19BF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序号</w:t>
            </w:r>
          </w:p>
        </w:tc>
        <w:tc>
          <w:tcPr>
            <w:tcW w:w="1215" w:type="dxa"/>
            <w:vAlign w:val="center"/>
          </w:tcPr>
          <w:p w14:paraId="0D18D80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评审项目</w:t>
            </w:r>
          </w:p>
        </w:tc>
        <w:tc>
          <w:tcPr>
            <w:tcW w:w="735" w:type="dxa"/>
            <w:vAlign w:val="center"/>
          </w:tcPr>
          <w:p w14:paraId="748A675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分值</w:t>
            </w:r>
          </w:p>
        </w:tc>
        <w:tc>
          <w:tcPr>
            <w:tcW w:w="6752" w:type="dxa"/>
            <w:vAlign w:val="center"/>
          </w:tcPr>
          <w:p w14:paraId="1332BF3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jc w:val="center"/>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评分标准</w:t>
            </w:r>
          </w:p>
        </w:tc>
      </w:tr>
      <w:tr w14:paraId="0E06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4" w:type="dxa"/>
            <w:vAlign w:val="center"/>
          </w:tcPr>
          <w:p w14:paraId="17F9AF7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215" w:type="dxa"/>
            <w:vAlign w:val="center"/>
          </w:tcPr>
          <w:p w14:paraId="5517A8A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经济</w:t>
            </w:r>
            <w:r>
              <w:rPr>
                <w:rFonts w:hint="eastAsia" w:ascii="宋体" w:hAnsi="宋体" w:eastAsia="宋体" w:cs="宋体"/>
                <w:color w:val="auto"/>
                <w:sz w:val="24"/>
                <w:szCs w:val="24"/>
                <w:highlight w:val="none"/>
                <w:shd w:val="clear" w:color="auto" w:fill="FFFFFF"/>
                <w:lang w:eastAsia="zh-CN"/>
              </w:rPr>
              <w:t>部分</w:t>
            </w:r>
          </w:p>
        </w:tc>
        <w:tc>
          <w:tcPr>
            <w:tcW w:w="735" w:type="dxa"/>
            <w:vAlign w:val="center"/>
          </w:tcPr>
          <w:p w14:paraId="6764983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30</w:t>
            </w:r>
            <w:r>
              <w:rPr>
                <w:rFonts w:hint="eastAsia" w:ascii="宋体" w:hAnsi="宋体" w:eastAsia="宋体" w:cs="宋体"/>
                <w:color w:val="auto"/>
                <w:sz w:val="24"/>
                <w:szCs w:val="24"/>
                <w:highlight w:val="none"/>
                <w:shd w:val="clear" w:color="auto" w:fill="FFFFFF"/>
              </w:rPr>
              <w:t>分</w:t>
            </w:r>
          </w:p>
        </w:tc>
        <w:tc>
          <w:tcPr>
            <w:tcW w:w="6752" w:type="dxa"/>
            <w:vAlign w:val="center"/>
          </w:tcPr>
          <w:p w14:paraId="4091338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基准价为合理低价，即满足磋商文件要求且最终报价最低的投标报价为评标基准价，其价格分为满分。其他供应商的价格分统一按照下列公式计算：</w:t>
            </w:r>
          </w:p>
          <w:p w14:paraId="331A448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磋商报价得分=(磋商基准价／最终报价)×价格分值（</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w:t>
            </w:r>
          </w:p>
          <w:p w14:paraId="1E60BD3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特别提示：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040EF2F8">
      <w:pPr>
        <w:pageBreakBefore w:val="0"/>
        <w:kinsoku/>
        <w:wordWrap/>
        <w:topLinePunct w:val="0"/>
        <w:bidi w:val="0"/>
        <w:spacing w:beforeAutospacing="0" w:afterAutospacing="0" w:line="460" w:lineRule="exact"/>
        <w:ind w:left="0" w:leftChars="0" w:right="0"/>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2、</w:t>
      </w:r>
      <w:r>
        <w:rPr>
          <w:rFonts w:hint="eastAsia" w:ascii="宋体" w:hAnsi="宋体" w:eastAsia="宋体" w:cs="宋体"/>
          <w:b/>
          <w:bCs/>
          <w:color w:val="auto"/>
          <w:sz w:val="24"/>
          <w:szCs w:val="24"/>
          <w:highlight w:val="none"/>
          <w:shd w:val="clear" w:color="auto" w:fill="FFFFFF"/>
        </w:rPr>
        <w:t>商务技术评分标准（</w:t>
      </w:r>
      <w:r>
        <w:rPr>
          <w:rFonts w:hint="eastAsia" w:ascii="宋体" w:hAnsi="宋体" w:eastAsia="宋体" w:cs="宋体"/>
          <w:b/>
          <w:bCs/>
          <w:color w:val="auto"/>
          <w:sz w:val="24"/>
          <w:szCs w:val="24"/>
          <w:highlight w:val="none"/>
          <w:shd w:val="clear" w:color="auto" w:fill="FFFFFF"/>
          <w:lang w:val="en-US" w:eastAsia="zh-CN"/>
        </w:rPr>
        <w:t>70</w:t>
      </w:r>
      <w:r>
        <w:rPr>
          <w:rFonts w:hint="eastAsia" w:ascii="宋体" w:hAnsi="宋体" w:eastAsia="宋体" w:cs="宋体"/>
          <w:b/>
          <w:bCs/>
          <w:color w:val="auto"/>
          <w:sz w:val="24"/>
          <w:szCs w:val="24"/>
          <w:highlight w:val="none"/>
          <w:shd w:val="clear" w:color="auto" w:fill="FFFFFF"/>
        </w:rPr>
        <w:t>分）</w:t>
      </w:r>
    </w:p>
    <w:tbl>
      <w:tblPr>
        <w:tblStyle w:val="25"/>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32"/>
        <w:gridCol w:w="1181"/>
        <w:gridCol w:w="819"/>
        <w:gridCol w:w="5907"/>
      </w:tblGrid>
      <w:tr w14:paraId="3D76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restart"/>
            <w:tcBorders>
              <w:top w:val="single" w:color="auto" w:sz="4" w:space="0"/>
              <w:left w:val="single" w:color="auto" w:sz="4" w:space="0"/>
              <w:right w:val="single" w:color="auto" w:sz="4" w:space="0"/>
            </w:tcBorders>
            <w:noWrap w:val="0"/>
            <w:vAlign w:val="center"/>
          </w:tcPr>
          <w:p w14:paraId="07CE0F8D">
            <w:pPr>
              <w:keepNext w:val="0"/>
              <w:keepLines w:val="0"/>
              <w:pageBreakBefore w:val="0"/>
              <w:widowControl w:val="0"/>
              <w:kinsoku/>
              <w:wordWrap/>
              <w:overflowPunct/>
              <w:topLinePunct w:val="0"/>
              <w:autoSpaceDE/>
              <w:autoSpaceDN/>
              <w:bidi w:val="0"/>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67BC4485">
            <w:pPr>
              <w:keepNext w:val="0"/>
              <w:keepLines w:val="0"/>
              <w:pageBreakBefore w:val="0"/>
              <w:widowControl w:val="0"/>
              <w:kinsoku/>
              <w:wordWrap/>
              <w:overflowPunct/>
              <w:topLinePunct w:val="0"/>
              <w:autoSpaceDE/>
              <w:autoSpaceDN/>
              <w:bidi w:val="0"/>
              <w:spacing w:beforeAutospacing="0" w:afterAutospacing="0" w:line="360" w:lineRule="exact"/>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15780E93">
            <w:pPr>
              <w:keepNext w:val="0"/>
              <w:keepLines w:val="0"/>
              <w:pageBreakBefore w:val="0"/>
              <w:widowControl w:val="0"/>
              <w:kinsoku/>
              <w:wordWrap/>
              <w:overflowPunct/>
              <w:topLinePunct w:val="0"/>
              <w:autoSpaceDE/>
              <w:autoSpaceDN/>
              <w:bidi w:val="0"/>
              <w:spacing w:beforeAutospacing="0" w:afterAutospacing="0" w:line="360" w:lineRule="exact"/>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567A5DF8">
            <w:pPr>
              <w:keepNext w:val="0"/>
              <w:keepLines w:val="0"/>
              <w:pageBreakBefore w:val="0"/>
              <w:widowControl w:val="0"/>
              <w:kinsoku/>
              <w:wordWrap/>
              <w:overflowPunct/>
              <w:topLinePunct w:val="0"/>
              <w:autoSpaceDE/>
              <w:autoSpaceDN/>
              <w:bidi w:val="0"/>
              <w:spacing w:beforeAutospacing="0" w:afterAutospacing="0" w:line="360" w:lineRule="exact"/>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44EEB676">
            <w:pPr>
              <w:keepNext w:val="0"/>
              <w:keepLines w:val="0"/>
              <w:pageBreakBefore w:val="0"/>
              <w:widowControl w:val="0"/>
              <w:kinsoku/>
              <w:wordWrap/>
              <w:overflowPunct/>
              <w:topLinePunct w:val="0"/>
              <w:autoSpaceDE/>
              <w:autoSpaceDN/>
              <w:bidi w:val="0"/>
              <w:spacing w:beforeAutospacing="0" w:afterAutospacing="0" w:line="360" w:lineRule="exact"/>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评分办法</w:t>
            </w:r>
          </w:p>
        </w:tc>
      </w:tr>
      <w:tr w14:paraId="1E90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668" w:type="dxa"/>
            <w:vMerge w:val="continue"/>
            <w:tcBorders>
              <w:left w:val="single" w:color="auto" w:sz="4" w:space="0"/>
              <w:right w:val="single" w:color="auto" w:sz="4" w:space="0"/>
            </w:tcBorders>
            <w:noWrap w:val="0"/>
            <w:vAlign w:val="center"/>
          </w:tcPr>
          <w:p w14:paraId="6B6CF449">
            <w:pPr>
              <w:keepNext w:val="0"/>
              <w:keepLines w:val="0"/>
              <w:pageBreakBefore w:val="0"/>
              <w:widowControl w:val="0"/>
              <w:kinsoku/>
              <w:wordWrap/>
              <w:overflowPunct/>
              <w:topLinePunct w:val="0"/>
              <w:autoSpaceDE/>
              <w:autoSpaceDN/>
              <w:bidi w:val="0"/>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p>
        </w:tc>
        <w:tc>
          <w:tcPr>
            <w:tcW w:w="832" w:type="dxa"/>
            <w:tcBorders>
              <w:left w:val="single" w:color="auto" w:sz="4" w:space="0"/>
              <w:right w:val="single" w:color="auto" w:sz="4" w:space="0"/>
            </w:tcBorders>
            <w:noWrap w:val="0"/>
            <w:vAlign w:val="center"/>
          </w:tcPr>
          <w:p w14:paraId="6D20F2DB">
            <w:pPr>
              <w:keepNext w:val="0"/>
              <w:keepLines w:val="0"/>
              <w:pageBreakBefore w:val="0"/>
              <w:widowControl w:val="0"/>
              <w:kinsoku/>
              <w:wordWrap/>
              <w:overflowPunct/>
              <w:topLinePunct w:val="0"/>
              <w:autoSpaceDE/>
              <w:autoSpaceDN/>
              <w:bidi w:val="0"/>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81" w:type="dxa"/>
            <w:tcBorders>
              <w:top w:val="single" w:color="auto" w:sz="4" w:space="0"/>
              <w:left w:val="single" w:color="auto" w:sz="4" w:space="0"/>
              <w:right w:val="single" w:color="auto" w:sz="4" w:space="0"/>
            </w:tcBorders>
            <w:noWrap w:val="0"/>
            <w:vAlign w:val="center"/>
          </w:tcPr>
          <w:p w14:paraId="3849875A">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jc w:val="center"/>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企业业绩</w:t>
            </w:r>
          </w:p>
        </w:tc>
        <w:tc>
          <w:tcPr>
            <w:tcW w:w="819" w:type="dxa"/>
            <w:tcBorders>
              <w:top w:val="single" w:color="auto" w:sz="4" w:space="0"/>
              <w:left w:val="single" w:color="auto" w:sz="4" w:space="0"/>
              <w:right w:val="single" w:color="auto" w:sz="4" w:space="0"/>
            </w:tcBorders>
            <w:noWrap w:val="0"/>
            <w:vAlign w:val="center"/>
          </w:tcPr>
          <w:p w14:paraId="2A7D13A4">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907" w:type="dxa"/>
            <w:tcBorders>
              <w:top w:val="single" w:color="auto" w:sz="4" w:space="0"/>
              <w:left w:val="single" w:color="auto" w:sz="4" w:space="0"/>
              <w:right w:val="single" w:color="auto" w:sz="4" w:space="0"/>
            </w:tcBorders>
            <w:noWrap w:val="0"/>
            <w:vAlign w:val="center"/>
          </w:tcPr>
          <w:p w14:paraId="3F998840">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投标人须提供近年（2022年1月1日-至今，以竣工验收日期为准）完成的类似业绩每一项业绩得2分，最高得8分（须提供中标通知书、施工合同、竣工验收证明材料）</w:t>
            </w:r>
          </w:p>
          <w:p w14:paraId="67F9F29C">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注：项目业绩的合同复印件或中标/成交通知书并加盖投标人公章，否则不得分。</w:t>
            </w:r>
          </w:p>
          <w:p w14:paraId="3FA54CA4">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1.提供的业绩合同扫描件必须包括合同首页、合同金额所在页、签字盖章页及合同标的页的扫描件。</w:t>
            </w:r>
          </w:p>
          <w:p w14:paraId="653DACA8">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2.提供的业绩合同或中标/成交通知书或竣工验收证明材料。应为扫描件并加盖电子印章。</w:t>
            </w:r>
          </w:p>
        </w:tc>
      </w:tr>
      <w:tr w14:paraId="4868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68" w:type="dxa"/>
            <w:vMerge w:val="continue"/>
            <w:tcBorders>
              <w:left w:val="single" w:color="auto" w:sz="4" w:space="0"/>
              <w:right w:val="single" w:color="auto" w:sz="4" w:space="0"/>
            </w:tcBorders>
            <w:noWrap w:val="0"/>
            <w:vAlign w:val="center"/>
          </w:tcPr>
          <w:p w14:paraId="1C12BC69">
            <w:pPr>
              <w:keepNext w:val="0"/>
              <w:keepLines w:val="0"/>
              <w:pageBreakBefore w:val="0"/>
              <w:widowControl w:val="0"/>
              <w:kinsoku/>
              <w:wordWrap/>
              <w:overflowPunct/>
              <w:topLinePunct w:val="0"/>
              <w:autoSpaceDE/>
              <w:autoSpaceDN/>
              <w:bidi w:val="0"/>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p>
        </w:tc>
        <w:tc>
          <w:tcPr>
            <w:tcW w:w="832" w:type="dxa"/>
            <w:tcBorders>
              <w:left w:val="single" w:color="auto" w:sz="4" w:space="0"/>
              <w:right w:val="single" w:color="auto" w:sz="4" w:space="0"/>
            </w:tcBorders>
            <w:noWrap w:val="0"/>
            <w:vAlign w:val="center"/>
          </w:tcPr>
          <w:p w14:paraId="550D2B70">
            <w:pPr>
              <w:keepNext w:val="0"/>
              <w:keepLines w:val="0"/>
              <w:pageBreakBefore w:val="0"/>
              <w:widowControl w:val="0"/>
              <w:kinsoku/>
              <w:wordWrap/>
              <w:overflowPunct/>
              <w:topLinePunct w:val="0"/>
              <w:autoSpaceDE/>
              <w:autoSpaceDN/>
              <w:bidi w:val="0"/>
              <w:spacing w:beforeAutospacing="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81" w:type="dxa"/>
            <w:tcBorders>
              <w:top w:val="single" w:color="auto" w:sz="4" w:space="0"/>
              <w:left w:val="single" w:color="auto" w:sz="4" w:space="0"/>
              <w:right w:val="single" w:color="auto" w:sz="4" w:space="0"/>
            </w:tcBorders>
            <w:noWrap w:val="0"/>
            <w:vAlign w:val="center"/>
          </w:tcPr>
          <w:p w14:paraId="22E9E9BC">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jc w:val="center"/>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拟派项目负责人</w:t>
            </w:r>
          </w:p>
        </w:tc>
        <w:tc>
          <w:tcPr>
            <w:tcW w:w="819" w:type="dxa"/>
            <w:tcBorders>
              <w:top w:val="single" w:color="auto" w:sz="4" w:space="0"/>
              <w:left w:val="single" w:color="auto" w:sz="4" w:space="0"/>
              <w:right w:val="single" w:color="auto" w:sz="4" w:space="0"/>
            </w:tcBorders>
            <w:noWrap w:val="0"/>
            <w:vAlign w:val="center"/>
          </w:tcPr>
          <w:p w14:paraId="439AAAFB">
            <w:pPr>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7分</w:t>
            </w:r>
          </w:p>
        </w:tc>
        <w:tc>
          <w:tcPr>
            <w:tcW w:w="5907" w:type="dxa"/>
            <w:tcBorders>
              <w:top w:val="single" w:color="auto" w:sz="4" w:space="0"/>
              <w:left w:val="single" w:color="auto" w:sz="4" w:space="0"/>
              <w:right w:val="single" w:color="auto" w:sz="4" w:space="0"/>
            </w:tcBorders>
            <w:noWrap w:val="0"/>
            <w:vAlign w:val="center"/>
          </w:tcPr>
          <w:p w14:paraId="42D15FA6">
            <w:pPr>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1.项目负责人具备</w:t>
            </w:r>
            <w:r>
              <w:rPr>
                <w:rFonts w:hint="eastAsia" w:ascii="宋体" w:hAnsi="宋体" w:cs="宋体"/>
                <w:color w:val="auto"/>
                <w:kern w:val="2"/>
                <w:sz w:val="24"/>
                <w:szCs w:val="24"/>
                <w:highlight w:val="none"/>
                <w:lang w:val="en-US" w:eastAsia="zh-CN" w:bidi="ar-SA"/>
              </w:rPr>
              <w:t>中</w:t>
            </w:r>
            <w:r>
              <w:rPr>
                <w:rFonts w:hint="eastAsia" w:ascii="宋体" w:hAnsi="宋体" w:eastAsia="宋体" w:cs="宋体"/>
                <w:color w:val="auto"/>
                <w:kern w:val="2"/>
                <w:sz w:val="24"/>
                <w:szCs w:val="24"/>
                <w:highlight w:val="none"/>
                <w:lang w:val="en-US" w:eastAsia="zh-CN" w:bidi="ar-SA"/>
              </w:rPr>
              <w:t>级</w:t>
            </w:r>
            <w:r>
              <w:rPr>
                <w:rFonts w:hint="eastAsia" w:ascii="宋体" w:hAnsi="宋体" w:cs="宋体"/>
                <w:color w:val="auto"/>
                <w:kern w:val="2"/>
                <w:sz w:val="24"/>
                <w:szCs w:val="24"/>
                <w:highlight w:val="none"/>
                <w:lang w:val="en-US" w:eastAsia="zh-CN" w:bidi="ar-SA"/>
              </w:rPr>
              <w:t>及以上</w:t>
            </w:r>
            <w:r>
              <w:rPr>
                <w:rFonts w:hint="eastAsia" w:ascii="宋体" w:hAnsi="宋体" w:eastAsia="宋体" w:cs="宋体"/>
                <w:color w:val="auto"/>
                <w:kern w:val="2"/>
                <w:sz w:val="24"/>
                <w:szCs w:val="24"/>
                <w:highlight w:val="none"/>
                <w:lang w:val="en-US" w:eastAsia="zh-CN" w:bidi="ar-SA"/>
              </w:rPr>
              <w:t>职称得3分。（注：需提供项目负责人的详细信息、学历证书、具备相应的资格证书、职称证书、劳动合同、本单位缴纳近半年任意月份社保证明等相关证明材料，所有提供的证明材料须复印件加盖公章；资料提供不齐全或未提供均不得分。）</w:t>
            </w:r>
          </w:p>
          <w:p w14:paraId="3CDAFD93">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2.项目负责人近年（2022年1月1日-至今）有类似项目实施经验，提供一项类似项目业绩得2分，满分4分。</w:t>
            </w:r>
          </w:p>
          <w:p w14:paraId="583BD735">
            <w:pPr>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（注：证明材料须反映项目负责人，项目负责人业绩与企业业绩不得重复；需提供中标通知书、合同、竣工验收资料等证明材料复印件加盖公章，加盖公章模糊不清或未提供不得分。）</w:t>
            </w:r>
          </w:p>
        </w:tc>
      </w:tr>
      <w:tr w14:paraId="2520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continue"/>
            <w:tcBorders>
              <w:left w:val="single" w:color="auto" w:sz="4" w:space="0"/>
              <w:right w:val="single" w:color="auto" w:sz="4" w:space="0"/>
            </w:tcBorders>
            <w:noWrap w:val="0"/>
            <w:vAlign w:val="center"/>
          </w:tcPr>
          <w:p w14:paraId="1007B753">
            <w:pPr>
              <w:pStyle w:val="36"/>
              <w:keepNext w:val="0"/>
              <w:keepLines w:val="0"/>
              <w:pageBreakBefore w:val="0"/>
              <w:widowControl w:val="0"/>
              <w:kinsoku/>
              <w:wordWrap/>
              <w:overflowPunct/>
              <w:topLinePunct w:val="0"/>
              <w:bidi w:val="0"/>
              <w:spacing w:before="0" w:line="360" w:lineRule="exact"/>
              <w:ind w:left="0" w:leftChars="0" w:right="0"/>
              <w:textAlignment w:val="auto"/>
              <w:rPr>
                <w:rFonts w:hint="eastAsia" w:ascii="宋体" w:hAnsi="宋体" w:eastAsia="宋体" w:cs="宋体"/>
                <w:color w:val="auto"/>
                <w:highlight w:val="none"/>
              </w:rPr>
            </w:pPr>
          </w:p>
        </w:tc>
        <w:tc>
          <w:tcPr>
            <w:tcW w:w="832" w:type="dxa"/>
            <w:tcBorders>
              <w:left w:val="single" w:color="auto" w:sz="4" w:space="0"/>
              <w:right w:val="single" w:color="auto" w:sz="4" w:space="0"/>
            </w:tcBorders>
            <w:noWrap w:val="0"/>
            <w:vAlign w:val="center"/>
          </w:tcPr>
          <w:p w14:paraId="6010DC19">
            <w:pPr>
              <w:pStyle w:val="36"/>
              <w:keepNext w:val="0"/>
              <w:keepLines w:val="0"/>
              <w:pageBreakBefore w:val="0"/>
              <w:widowControl w:val="0"/>
              <w:kinsoku/>
              <w:wordWrap/>
              <w:overflowPunct/>
              <w:topLinePunct w:val="0"/>
              <w:bidi w:val="0"/>
              <w:spacing w:before="0" w:line="360" w:lineRule="exact"/>
              <w:ind w:left="0" w:leftChars="0" w:right="0" w:firstLine="22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181" w:type="dxa"/>
            <w:tcBorders>
              <w:left w:val="single" w:color="auto" w:sz="4" w:space="0"/>
              <w:right w:val="single" w:color="auto" w:sz="4" w:space="0"/>
            </w:tcBorders>
            <w:noWrap w:val="0"/>
            <w:vAlign w:val="center"/>
          </w:tcPr>
          <w:p w14:paraId="0C4B8F34">
            <w:pPr>
              <w:pStyle w:val="36"/>
              <w:keepNext w:val="0"/>
              <w:keepLines w:val="0"/>
              <w:pageBreakBefore w:val="0"/>
              <w:widowControl w:val="0"/>
              <w:kinsoku/>
              <w:wordWrap/>
              <w:overflowPunct/>
              <w:topLinePunct w:val="0"/>
              <w:bidi w:val="0"/>
              <w:spacing w:before="0" w:line="360" w:lineRule="exact"/>
              <w:ind w:left="0" w:leftChars="0" w:right="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拟派团队人员</w:t>
            </w:r>
          </w:p>
        </w:tc>
        <w:tc>
          <w:tcPr>
            <w:tcW w:w="819" w:type="dxa"/>
            <w:tcBorders>
              <w:left w:val="single" w:color="auto" w:sz="4" w:space="0"/>
              <w:right w:val="single" w:color="auto" w:sz="4" w:space="0"/>
            </w:tcBorders>
            <w:noWrap w:val="0"/>
            <w:vAlign w:val="center"/>
          </w:tcPr>
          <w:p w14:paraId="5C02C658">
            <w:pPr>
              <w:pStyle w:val="36"/>
              <w:keepNext w:val="0"/>
              <w:keepLines w:val="0"/>
              <w:pageBreakBefore w:val="0"/>
              <w:widowControl w:val="0"/>
              <w:kinsoku/>
              <w:wordWrap/>
              <w:overflowPunct/>
              <w:topLinePunct w:val="0"/>
              <w:bidi w:val="0"/>
              <w:spacing w:before="0" w:line="360" w:lineRule="exact"/>
              <w:ind w:left="0" w:leftChars="0" w:right="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5分</w:t>
            </w:r>
          </w:p>
        </w:tc>
        <w:tc>
          <w:tcPr>
            <w:tcW w:w="5907" w:type="dxa"/>
            <w:tcBorders>
              <w:top w:val="single" w:color="auto" w:sz="4" w:space="0"/>
              <w:left w:val="single" w:color="auto" w:sz="4" w:space="0"/>
              <w:right w:val="single" w:color="auto" w:sz="4" w:space="0"/>
            </w:tcBorders>
            <w:noWrap w:val="0"/>
            <w:vAlign w:val="center"/>
          </w:tcPr>
          <w:p w14:paraId="07D49F34">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根据本项目需求拟派专业服务人员，服务人员须具备消防设施操作员（消防设施检测维修保养方向）中级（四级）及以上等级证书和工作经验，每提供一人得 1分，满分 5 分。</w:t>
            </w:r>
          </w:p>
          <w:p w14:paraId="43361CEB">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注：专业服务人员需提供身份证、劳动合同扫描件、近半年任意月份的本单位社保缴纳记录证明材料，未提供或提供不全者不得分。</w:t>
            </w:r>
          </w:p>
        </w:tc>
      </w:tr>
      <w:tr w14:paraId="59B9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restart"/>
            <w:tcBorders>
              <w:top w:val="single" w:color="auto" w:sz="4" w:space="0"/>
              <w:left w:val="single" w:color="auto" w:sz="4" w:space="0"/>
              <w:right w:val="single" w:color="auto" w:sz="4" w:space="0"/>
            </w:tcBorders>
            <w:noWrap w:val="0"/>
            <w:vAlign w:val="center"/>
          </w:tcPr>
          <w:p w14:paraId="2BFD9C4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388AB97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2F78CAA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242D60B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322BF9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评分内容及标准</w:t>
            </w:r>
          </w:p>
        </w:tc>
      </w:tr>
      <w:tr w14:paraId="1463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continue"/>
            <w:tcBorders>
              <w:left w:val="single" w:color="auto" w:sz="4" w:space="0"/>
              <w:right w:val="single" w:color="auto" w:sz="4" w:space="0"/>
            </w:tcBorders>
            <w:noWrap w:val="0"/>
            <w:vAlign w:val="center"/>
          </w:tcPr>
          <w:p w14:paraId="51F7E49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p>
        </w:tc>
        <w:tc>
          <w:tcPr>
            <w:tcW w:w="832" w:type="dxa"/>
            <w:vMerge w:val="restart"/>
            <w:tcBorders>
              <w:top w:val="single" w:color="auto" w:sz="4" w:space="0"/>
              <w:left w:val="single" w:color="auto" w:sz="4" w:space="0"/>
              <w:right w:val="single" w:color="auto" w:sz="4" w:space="0"/>
            </w:tcBorders>
            <w:noWrap w:val="0"/>
            <w:vAlign w:val="center"/>
          </w:tcPr>
          <w:p w14:paraId="6B1E322C">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181" w:type="dxa"/>
            <w:vMerge w:val="restart"/>
            <w:tcBorders>
              <w:top w:val="single" w:color="auto" w:sz="4" w:space="0"/>
              <w:left w:val="single" w:color="auto" w:sz="4" w:space="0"/>
              <w:right w:val="single" w:color="auto" w:sz="4" w:space="0"/>
            </w:tcBorders>
            <w:noWrap w:val="0"/>
            <w:vAlign w:val="center"/>
          </w:tcPr>
          <w:p w14:paraId="630E1C18">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施工组织设计</w:t>
            </w:r>
          </w:p>
        </w:tc>
        <w:tc>
          <w:tcPr>
            <w:tcW w:w="819" w:type="dxa"/>
            <w:vMerge w:val="restart"/>
            <w:tcBorders>
              <w:top w:val="single" w:color="auto" w:sz="4" w:space="0"/>
              <w:left w:val="single" w:color="auto" w:sz="4" w:space="0"/>
              <w:right w:val="single" w:color="auto" w:sz="4" w:space="0"/>
            </w:tcBorders>
            <w:noWrap w:val="0"/>
            <w:vAlign w:val="center"/>
          </w:tcPr>
          <w:p w14:paraId="7171C249">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22分</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73827C65">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根据供应商针对本项目施工方案与技术措施(包括施工的方法、工艺、对施工用电、用水内容)进行综合评分：以上内容齐全得8分，每缺一项扣2分，每有一项内容存在不足或缺陷的，每个小项对应分值扣1分，扣完为止。</w:t>
            </w:r>
          </w:p>
        </w:tc>
      </w:tr>
      <w:tr w14:paraId="2B6A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668" w:type="dxa"/>
            <w:vMerge w:val="continue"/>
            <w:tcBorders>
              <w:left w:val="single" w:color="auto" w:sz="4" w:space="0"/>
              <w:right w:val="single" w:color="auto" w:sz="4" w:space="0"/>
            </w:tcBorders>
            <w:noWrap w:val="0"/>
            <w:vAlign w:val="center"/>
          </w:tcPr>
          <w:p w14:paraId="48A8255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p>
        </w:tc>
        <w:tc>
          <w:tcPr>
            <w:tcW w:w="832" w:type="dxa"/>
            <w:vMerge w:val="continue"/>
            <w:tcBorders>
              <w:left w:val="single" w:color="auto" w:sz="4" w:space="0"/>
              <w:right w:val="single" w:color="auto" w:sz="4" w:space="0"/>
            </w:tcBorders>
            <w:noWrap w:val="0"/>
            <w:vAlign w:val="center"/>
          </w:tcPr>
          <w:p w14:paraId="00C18706">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p>
        </w:tc>
        <w:tc>
          <w:tcPr>
            <w:tcW w:w="1181" w:type="dxa"/>
            <w:vMerge w:val="continue"/>
            <w:tcBorders>
              <w:left w:val="single" w:color="auto" w:sz="4" w:space="0"/>
              <w:right w:val="single" w:color="auto" w:sz="4" w:space="0"/>
            </w:tcBorders>
            <w:noWrap w:val="0"/>
            <w:vAlign w:val="center"/>
          </w:tcPr>
          <w:p w14:paraId="67342104">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p>
        </w:tc>
        <w:tc>
          <w:tcPr>
            <w:tcW w:w="819" w:type="dxa"/>
            <w:vMerge w:val="continue"/>
            <w:tcBorders>
              <w:left w:val="single" w:color="auto" w:sz="4" w:space="0"/>
              <w:right w:val="single" w:color="auto" w:sz="4" w:space="0"/>
            </w:tcBorders>
            <w:noWrap w:val="0"/>
            <w:vAlign w:val="center"/>
          </w:tcPr>
          <w:p w14:paraId="7C3A64DC">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92917E6">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根据供应商针对本项目重点、关键部位的施工措施(包括工程通病、重点、关键部位、防治措施内容)进行综合评分：以上内容齐全得8分，每缺一项扣2分，每有一项内容存在不足或缺陷的，每个小项对应分值扣1分，扣完为止。</w:t>
            </w:r>
          </w:p>
        </w:tc>
      </w:tr>
      <w:tr w14:paraId="444C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68" w:type="dxa"/>
            <w:vMerge w:val="continue"/>
            <w:tcBorders>
              <w:left w:val="single" w:color="auto" w:sz="4" w:space="0"/>
              <w:right w:val="single" w:color="auto" w:sz="4" w:space="0"/>
            </w:tcBorders>
            <w:noWrap w:val="0"/>
            <w:vAlign w:val="center"/>
          </w:tcPr>
          <w:p w14:paraId="4D74A0C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jc w:val="center"/>
              <w:textAlignment w:val="auto"/>
              <w:rPr>
                <w:rFonts w:hint="eastAsia" w:ascii="宋体" w:hAnsi="宋体" w:eastAsia="宋体" w:cs="宋体"/>
                <w:color w:val="auto"/>
                <w:sz w:val="24"/>
                <w:szCs w:val="24"/>
                <w:highlight w:val="none"/>
              </w:rPr>
            </w:pPr>
          </w:p>
        </w:tc>
        <w:tc>
          <w:tcPr>
            <w:tcW w:w="832" w:type="dxa"/>
            <w:vMerge w:val="continue"/>
            <w:tcBorders>
              <w:left w:val="single" w:color="auto" w:sz="4" w:space="0"/>
              <w:right w:val="single" w:color="auto" w:sz="4" w:space="0"/>
            </w:tcBorders>
            <w:noWrap w:val="0"/>
            <w:vAlign w:val="center"/>
          </w:tcPr>
          <w:p w14:paraId="7F4B940C">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p>
        </w:tc>
        <w:tc>
          <w:tcPr>
            <w:tcW w:w="1181" w:type="dxa"/>
            <w:vMerge w:val="continue"/>
            <w:tcBorders>
              <w:left w:val="single" w:color="auto" w:sz="4" w:space="0"/>
              <w:right w:val="single" w:color="auto" w:sz="4" w:space="0"/>
            </w:tcBorders>
            <w:noWrap w:val="0"/>
            <w:vAlign w:val="center"/>
          </w:tcPr>
          <w:p w14:paraId="1E998B0B">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p>
        </w:tc>
        <w:tc>
          <w:tcPr>
            <w:tcW w:w="819" w:type="dxa"/>
            <w:vMerge w:val="continue"/>
            <w:tcBorders>
              <w:left w:val="single" w:color="auto" w:sz="4" w:space="0"/>
              <w:right w:val="single" w:color="auto" w:sz="4" w:space="0"/>
            </w:tcBorders>
            <w:noWrap w:val="0"/>
            <w:vAlign w:val="center"/>
          </w:tcPr>
          <w:p w14:paraId="2D4477B1">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p>
        </w:tc>
        <w:tc>
          <w:tcPr>
            <w:tcW w:w="5907" w:type="dxa"/>
            <w:tcBorders>
              <w:top w:val="single" w:color="auto" w:sz="4" w:space="0"/>
              <w:left w:val="single" w:color="auto" w:sz="4" w:space="0"/>
              <w:bottom w:val="single" w:color="auto" w:sz="4" w:space="0"/>
              <w:right w:val="single" w:color="auto" w:sz="4" w:space="0"/>
            </w:tcBorders>
            <w:noWrap w:val="0"/>
            <w:vAlign w:val="top"/>
          </w:tcPr>
          <w:p w14:paraId="579AE321">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根据供应商针对本项目安全管理体系与措施(安全生产管理目标、安全保证体系的内容、安全管理制度、安全经济措施、具体的安全技术措施、安全应急救援预案内容)进行综合评分：以上内容齐全得6分，每缺一项扣1分，每有一项内容存在不足或缺陷的，每个小项对应分值扣0.5分，扣完为止。</w:t>
            </w:r>
          </w:p>
        </w:tc>
      </w:tr>
      <w:tr w14:paraId="6CEE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668" w:type="dxa"/>
            <w:vMerge w:val="continue"/>
            <w:tcBorders>
              <w:left w:val="single" w:color="auto" w:sz="4" w:space="0"/>
              <w:right w:val="single" w:color="auto" w:sz="4" w:space="0"/>
            </w:tcBorders>
            <w:noWrap w:val="0"/>
            <w:vAlign w:val="center"/>
          </w:tcPr>
          <w:p w14:paraId="4463C90B">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firstLine="210" w:firstLineChars="100"/>
              <w:textAlignment w:val="auto"/>
              <w:rPr>
                <w:rFonts w:hint="eastAsia" w:ascii="宋体" w:hAnsi="宋体" w:eastAsia="宋体" w:cs="宋体"/>
                <w:color w:val="auto"/>
                <w:highlight w:val="none"/>
              </w:rPr>
            </w:pPr>
          </w:p>
        </w:tc>
        <w:tc>
          <w:tcPr>
            <w:tcW w:w="832" w:type="dxa"/>
            <w:tcBorders>
              <w:left w:val="single" w:color="auto" w:sz="4" w:space="0"/>
              <w:right w:val="single" w:color="auto" w:sz="4" w:space="0"/>
            </w:tcBorders>
            <w:noWrap w:val="0"/>
            <w:vAlign w:val="center"/>
          </w:tcPr>
          <w:p w14:paraId="5F17F32D">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181" w:type="dxa"/>
            <w:tcBorders>
              <w:left w:val="single" w:color="auto" w:sz="4" w:space="0"/>
              <w:right w:val="single" w:color="auto" w:sz="4" w:space="0"/>
            </w:tcBorders>
            <w:noWrap w:val="0"/>
            <w:vAlign w:val="center"/>
          </w:tcPr>
          <w:p w14:paraId="3C6DEC64">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项目质量保证措施</w:t>
            </w:r>
          </w:p>
        </w:tc>
        <w:tc>
          <w:tcPr>
            <w:tcW w:w="819" w:type="dxa"/>
            <w:tcBorders>
              <w:left w:val="single" w:color="auto" w:sz="4" w:space="0"/>
              <w:right w:val="single" w:color="auto" w:sz="4" w:space="0"/>
            </w:tcBorders>
            <w:noWrap w:val="0"/>
            <w:vAlign w:val="center"/>
          </w:tcPr>
          <w:p w14:paraId="5D713227">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0B7E079">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提供的质量保证措施包含但不限于①技术组织措施②质量保证体系③质量目标及质量控制的保证措施④质量管理制度及检查制度⑤缺陷责任期服务方案五个方面进行评审。以上每个对应小项方案清晰、完整、完全满足和符合项目实际需求的得5分，每缺一项扣1分；每有一项内容存在不足或缺陷的，每个小项对应分值扣0.5分，扣完为止。</w:t>
            </w:r>
          </w:p>
        </w:tc>
      </w:tr>
      <w:tr w14:paraId="7E5A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68" w:type="dxa"/>
            <w:vMerge w:val="continue"/>
            <w:tcBorders>
              <w:left w:val="single" w:color="auto" w:sz="4" w:space="0"/>
              <w:right w:val="single" w:color="auto" w:sz="4" w:space="0"/>
            </w:tcBorders>
            <w:noWrap w:val="0"/>
            <w:vAlign w:val="center"/>
          </w:tcPr>
          <w:p w14:paraId="1E214FE6">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firstLine="210" w:firstLineChars="100"/>
              <w:textAlignment w:val="auto"/>
              <w:rPr>
                <w:rFonts w:hint="eastAsia" w:ascii="宋体" w:hAnsi="宋体" w:eastAsia="宋体" w:cs="宋体"/>
                <w:color w:val="auto"/>
                <w:highlight w:val="none"/>
              </w:rPr>
            </w:pPr>
          </w:p>
        </w:tc>
        <w:tc>
          <w:tcPr>
            <w:tcW w:w="832" w:type="dxa"/>
            <w:tcBorders>
              <w:left w:val="single" w:color="auto" w:sz="4" w:space="0"/>
              <w:right w:val="single" w:color="auto" w:sz="4" w:space="0"/>
            </w:tcBorders>
            <w:noWrap w:val="0"/>
            <w:vAlign w:val="center"/>
          </w:tcPr>
          <w:p w14:paraId="19A4D0A9">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181" w:type="dxa"/>
            <w:tcBorders>
              <w:left w:val="single" w:color="auto" w:sz="4" w:space="0"/>
              <w:right w:val="single" w:color="auto" w:sz="4" w:space="0"/>
            </w:tcBorders>
            <w:noWrap w:val="0"/>
            <w:vAlign w:val="center"/>
          </w:tcPr>
          <w:p w14:paraId="42F806E8">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资源配置计划</w:t>
            </w:r>
          </w:p>
        </w:tc>
        <w:tc>
          <w:tcPr>
            <w:tcW w:w="819" w:type="dxa"/>
            <w:tcBorders>
              <w:left w:val="single" w:color="auto" w:sz="4" w:space="0"/>
              <w:right w:val="single" w:color="auto" w:sz="4" w:space="0"/>
            </w:tcBorders>
            <w:noWrap w:val="0"/>
            <w:vAlign w:val="center"/>
          </w:tcPr>
          <w:p w14:paraId="7EB0F39B">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DBA7B9E">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根据供应商提供的资源配置计划包含但不限于①拟投入本项目的主要施工机械设备情况及进场计划②劳动力安排计划③项目管理机构组成和职责划分④现场人员的管理制度及人员惩奖制度四个方面进行评审。以上每个对应小项方案清晰、完整、完全满足和符合项目实际需求的得8分，每缺一项扣2分；每有一项内容存在不足或缺陷的，每个小项对应分值扣1分，扣完为止。</w:t>
            </w:r>
          </w:p>
        </w:tc>
      </w:tr>
      <w:tr w14:paraId="090C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668" w:type="dxa"/>
            <w:vMerge w:val="continue"/>
            <w:tcBorders>
              <w:left w:val="single" w:color="auto" w:sz="4" w:space="0"/>
              <w:right w:val="single" w:color="auto" w:sz="4" w:space="0"/>
            </w:tcBorders>
            <w:noWrap w:val="0"/>
            <w:vAlign w:val="center"/>
          </w:tcPr>
          <w:p w14:paraId="2B11099C">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firstLine="210" w:firstLineChars="100"/>
              <w:textAlignment w:val="auto"/>
              <w:rPr>
                <w:rFonts w:hint="eastAsia" w:ascii="宋体" w:hAnsi="宋体" w:eastAsia="宋体" w:cs="宋体"/>
                <w:color w:val="auto"/>
                <w:highlight w:val="none"/>
              </w:rPr>
            </w:pPr>
          </w:p>
        </w:tc>
        <w:tc>
          <w:tcPr>
            <w:tcW w:w="832" w:type="dxa"/>
            <w:tcBorders>
              <w:left w:val="single" w:color="auto" w:sz="4" w:space="0"/>
              <w:right w:val="single" w:color="auto" w:sz="4" w:space="0"/>
            </w:tcBorders>
            <w:noWrap w:val="0"/>
            <w:vAlign w:val="center"/>
          </w:tcPr>
          <w:p w14:paraId="4E024291">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181" w:type="dxa"/>
            <w:tcBorders>
              <w:left w:val="single" w:color="auto" w:sz="4" w:space="0"/>
              <w:right w:val="single" w:color="auto" w:sz="4" w:space="0"/>
            </w:tcBorders>
            <w:noWrap w:val="0"/>
            <w:vAlign w:val="center"/>
          </w:tcPr>
          <w:p w14:paraId="68FB80D1">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环保文明措施</w:t>
            </w:r>
          </w:p>
        </w:tc>
        <w:tc>
          <w:tcPr>
            <w:tcW w:w="819" w:type="dxa"/>
            <w:tcBorders>
              <w:left w:val="single" w:color="auto" w:sz="4" w:space="0"/>
              <w:right w:val="single" w:color="auto" w:sz="4" w:space="0"/>
            </w:tcBorders>
            <w:noWrap w:val="0"/>
            <w:vAlign w:val="center"/>
          </w:tcPr>
          <w:p w14:paraId="05F5E657">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1C0E4B5">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提供的环保文明措施包含但不限于①环境保护措施②环境的卫生保护措施③环境的污染物处理及排放措施④环境保护管理体系及现场文明施工措施四个方面进行评审。以上每个对应小项方案清晰、完整、完全满足和符合项目实际需求的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分，每缺一项扣1</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分；每有一项内容存在不足或缺陷的，每个小项对应分值扣</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 xml:space="preserve">分，扣完为止。 </w:t>
            </w:r>
          </w:p>
        </w:tc>
      </w:tr>
      <w:tr w14:paraId="37CB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Merge w:val="continue"/>
            <w:tcBorders>
              <w:left w:val="single" w:color="auto" w:sz="4" w:space="0"/>
              <w:right w:val="single" w:color="auto" w:sz="4" w:space="0"/>
            </w:tcBorders>
            <w:noWrap w:val="0"/>
            <w:vAlign w:val="center"/>
          </w:tcPr>
          <w:p w14:paraId="6844CAAF">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firstLine="210" w:firstLineChars="100"/>
              <w:textAlignment w:val="auto"/>
              <w:rPr>
                <w:rFonts w:hint="eastAsia" w:ascii="宋体" w:hAnsi="宋体" w:eastAsia="宋体" w:cs="宋体"/>
                <w:color w:val="auto"/>
                <w:highlight w:val="none"/>
              </w:rPr>
            </w:pPr>
          </w:p>
        </w:tc>
        <w:tc>
          <w:tcPr>
            <w:tcW w:w="832" w:type="dxa"/>
            <w:tcBorders>
              <w:left w:val="single" w:color="auto" w:sz="4" w:space="0"/>
              <w:right w:val="single" w:color="auto" w:sz="4" w:space="0"/>
            </w:tcBorders>
            <w:noWrap w:val="0"/>
            <w:vAlign w:val="center"/>
          </w:tcPr>
          <w:p w14:paraId="5BBBD1F6">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181" w:type="dxa"/>
            <w:tcBorders>
              <w:left w:val="single" w:color="auto" w:sz="4" w:space="0"/>
              <w:right w:val="single" w:color="auto" w:sz="4" w:space="0"/>
            </w:tcBorders>
            <w:noWrap w:val="0"/>
            <w:vAlign w:val="center"/>
          </w:tcPr>
          <w:p w14:paraId="577F8BC4">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应急预案</w:t>
            </w:r>
          </w:p>
        </w:tc>
        <w:tc>
          <w:tcPr>
            <w:tcW w:w="819" w:type="dxa"/>
            <w:tcBorders>
              <w:left w:val="single" w:color="auto" w:sz="4" w:space="0"/>
              <w:right w:val="single" w:color="auto" w:sz="4" w:space="0"/>
            </w:tcBorders>
            <w:noWrap w:val="0"/>
            <w:vAlign w:val="center"/>
          </w:tcPr>
          <w:p w14:paraId="015668EB">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72C1C41">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提供的应急预案包含但不限于①应急预案的方针与原则②重点难点环节控制措施③应急保证措施④应急设备配置四个方面进行评审。以上每个对应小项方案清晰、完整、完全满足和符合项目实际需求的得8分，每缺一项扣2分；每有一项内容存在不足或缺陷的，每个小项对应分值扣1分，扣完为止。</w:t>
            </w:r>
          </w:p>
        </w:tc>
      </w:tr>
      <w:tr w14:paraId="06BD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tcBorders>
              <w:left w:val="single" w:color="auto" w:sz="4" w:space="0"/>
              <w:right w:val="single" w:color="auto" w:sz="4" w:space="0"/>
            </w:tcBorders>
            <w:noWrap w:val="0"/>
            <w:vAlign w:val="center"/>
          </w:tcPr>
          <w:p w14:paraId="48B9047A">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firstLine="210" w:firstLineChars="100"/>
              <w:textAlignment w:val="auto"/>
              <w:rPr>
                <w:rFonts w:hint="eastAsia" w:ascii="宋体" w:hAnsi="宋体" w:eastAsia="宋体" w:cs="宋体"/>
                <w:color w:val="auto"/>
                <w:highlight w:val="none"/>
              </w:rPr>
            </w:pPr>
          </w:p>
        </w:tc>
        <w:tc>
          <w:tcPr>
            <w:tcW w:w="832" w:type="dxa"/>
            <w:tcBorders>
              <w:left w:val="single" w:color="auto" w:sz="4" w:space="0"/>
              <w:right w:val="single" w:color="auto" w:sz="4" w:space="0"/>
            </w:tcBorders>
            <w:noWrap w:val="0"/>
            <w:vAlign w:val="center"/>
          </w:tcPr>
          <w:p w14:paraId="5511B4CB">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181" w:type="dxa"/>
            <w:tcBorders>
              <w:left w:val="single" w:color="auto" w:sz="4" w:space="0"/>
              <w:right w:val="single" w:color="auto" w:sz="4" w:space="0"/>
            </w:tcBorders>
            <w:noWrap w:val="0"/>
            <w:vAlign w:val="center"/>
          </w:tcPr>
          <w:p w14:paraId="43E2477D">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施工现场扬尘防治方案</w:t>
            </w:r>
          </w:p>
        </w:tc>
        <w:tc>
          <w:tcPr>
            <w:tcW w:w="819" w:type="dxa"/>
            <w:tcBorders>
              <w:left w:val="single" w:color="auto" w:sz="4" w:space="0"/>
              <w:right w:val="single" w:color="auto" w:sz="4" w:space="0"/>
            </w:tcBorders>
            <w:noWrap w:val="0"/>
            <w:vAlign w:val="center"/>
          </w:tcPr>
          <w:p w14:paraId="5B31F7BF">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5907" w:type="dxa"/>
            <w:tcBorders>
              <w:top w:val="single" w:color="auto" w:sz="4" w:space="0"/>
              <w:left w:val="single" w:color="auto" w:sz="4" w:space="0"/>
              <w:right w:val="single" w:color="auto" w:sz="4" w:space="0"/>
            </w:tcBorders>
            <w:noWrap w:val="0"/>
            <w:vAlign w:val="center"/>
          </w:tcPr>
          <w:p w14:paraId="2D0C97CB">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施工现场扬尘防治方案包括但不限于：①垃圾存放及运输措施、②扬尘监测措施；</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部分要素。</w:t>
            </w:r>
          </w:p>
          <w:p w14:paraId="275EE809">
            <w:pPr>
              <w:keepNext w:val="0"/>
              <w:keepLines w:val="0"/>
              <w:pageBreakBefore w:val="0"/>
              <w:widowControl w:val="0"/>
              <w:kinsoku/>
              <w:wordWrap/>
              <w:overflowPunct/>
              <w:topLinePunct w:val="0"/>
              <w:autoSpaceDE w:val="0"/>
              <w:autoSpaceDN w:val="0"/>
              <w:bidi w:val="0"/>
              <w:adjustRightInd/>
              <w:snapToGrid w:val="0"/>
              <w:spacing w:beforeAutospacing="0" w:afterAutospacing="0" w:line="360" w:lineRule="exact"/>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所有要素齐全且完全满足项目要求得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分，每缺一个要素扣1分，每个要素里每有一处内容存在不足或缺陷的扣0.5分（扣完为止）。</w:t>
            </w:r>
          </w:p>
        </w:tc>
      </w:tr>
    </w:tbl>
    <w:p w14:paraId="7BA2DDC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562" w:firstLineChars="200"/>
        <w:jc w:val="left"/>
        <w:textAlignment w:val="auto"/>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9、关于质疑和投诉</w:t>
      </w:r>
    </w:p>
    <w:p w14:paraId="071755A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（一）质疑内容、时限</w:t>
      </w:r>
    </w:p>
    <w:p w14:paraId="2DAA794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1、供应商对成交结果有异议的，应当在结果预公示发布之日起五个工作日内以书面形式向采购人、采购代理机构提出质疑，并附相关证明材料。</w:t>
      </w:r>
    </w:p>
    <w:p w14:paraId="273B915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2、供应商对竞争性磋商文件中供应商特定资格条件、技术质量和商务要求、评审标准及评审细则有异议的，应主要向采购人提出质疑，其他问题可向采购代理机构提出质疑。</w:t>
      </w:r>
    </w:p>
    <w:p w14:paraId="2AAC066E">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（二）质疑答复</w:t>
      </w:r>
    </w:p>
    <w:p w14:paraId="59FA9D8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采购人、采购代理机构将按照《新疆维吾尔自治区政府采购供应商质疑投诉处理暂行规定》的相关规定对质疑内容作出答复和处理。</w:t>
      </w:r>
    </w:p>
    <w:p w14:paraId="69C1AB6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（三）投诉</w:t>
      </w:r>
    </w:p>
    <w:p w14:paraId="42A275C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1、供应商对采购人、采购代理机构的答复不满意或者采购人、采购代理机构未在规定时间内答复的，可在答复期满后十五个工作日内按有关规定，向同级财政部门投诉。</w:t>
      </w:r>
    </w:p>
    <w:p w14:paraId="43BAD0B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2、在提出投诉时，应附送相关证明材料。投诉书及证明材料为外文的，应同时提供其中文译本；中文与外文意思不一致的，以中文为准。</w:t>
      </w:r>
    </w:p>
    <w:p w14:paraId="197A52DF">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3、在确定受理投诉后，财政部门自受理投诉之日起三十个工作日内对投诉事项做出处理决定，并将投诉处理决定书送达投诉人、被投诉人和其他与投诉处理决定有利害关系的政府采购相关当事人。</w:t>
      </w:r>
    </w:p>
    <w:p w14:paraId="654AD00D">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562" w:firstLineChars="200"/>
        <w:jc w:val="left"/>
        <w:textAlignment w:val="auto"/>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10、招标代理服务费</w:t>
      </w:r>
    </w:p>
    <w:p w14:paraId="33EBA6D0">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本项目代理服务费由成交人支付。投标人在递交投标书的同时将被视为同意承担本项费用；成交人必须在领取中标通知书时一次性付清。该费用由投标人计入投标总报价中但不单独列项，发包人亦不再另行支付。</w:t>
      </w:r>
    </w:p>
    <w:p w14:paraId="0F83E8C6">
      <w:pPr>
        <w:pageBreakBefore w:val="0"/>
        <w:wordWrap/>
        <w:bidi w:val="0"/>
        <w:spacing w:line="460" w:lineRule="exact"/>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7084635C">
      <w:pPr>
        <w:pageBreakBefore w:val="0"/>
        <w:wordWrap/>
        <w:bidi w:val="0"/>
        <w:spacing w:line="460" w:lineRule="exact"/>
        <w:ind w:left="0" w:leftChars="0" w:right="0"/>
        <w:jc w:val="center"/>
        <w:outlineLvl w:val="0"/>
        <w:rPr>
          <w:rFonts w:hint="eastAsia" w:ascii="宋体" w:hAnsi="宋体" w:eastAsia="宋体" w:cs="宋体"/>
          <w:b/>
          <w:bCs/>
          <w:color w:val="auto"/>
          <w:sz w:val="32"/>
          <w:szCs w:val="28"/>
          <w:highlight w:val="none"/>
        </w:rPr>
      </w:pPr>
      <w:bookmarkStart w:id="237" w:name="_Toc31549"/>
      <w:bookmarkStart w:id="238" w:name="_Toc15444"/>
      <w:bookmarkStart w:id="239" w:name="_Toc19589"/>
      <w:r>
        <w:rPr>
          <w:rFonts w:hint="eastAsia" w:ascii="宋体" w:hAnsi="宋体" w:eastAsia="宋体" w:cs="宋体"/>
          <w:b/>
          <w:bCs/>
          <w:color w:val="auto"/>
          <w:sz w:val="32"/>
          <w:szCs w:val="28"/>
          <w:highlight w:val="none"/>
        </w:rPr>
        <w:t>第三部分  合同</w:t>
      </w:r>
      <w:bookmarkStart w:id="240" w:name="_Toc455412769"/>
      <w:bookmarkStart w:id="241" w:name="_Toc381724073"/>
      <w:r>
        <w:rPr>
          <w:rFonts w:hint="eastAsia" w:ascii="宋体" w:hAnsi="宋体" w:eastAsia="宋体" w:cs="宋体"/>
          <w:b/>
          <w:bCs/>
          <w:color w:val="auto"/>
          <w:sz w:val="32"/>
          <w:szCs w:val="28"/>
          <w:highlight w:val="none"/>
        </w:rPr>
        <w:t>范本</w:t>
      </w:r>
      <w:bookmarkEnd w:id="237"/>
      <w:bookmarkEnd w:id="238"/>
      <w:bookmarkEnd w:id="239"/>
      <w:bookmarkEnd w:id="240"/>
      <w:bookmarkEnd w:id="241"/>
      <w:bookmarkStart w:id="242" w:name="_Hlt487972895"/>
      <w:bookmarkEnd w:id="242"/>
      <w:bookmarkStart w:id="243" w:name="_Toc487900382"/>
    </w:p>
    <w:bookmarkEnd w:id="243"/>
    <w:p w14:paraId="753F135B">
      <w:pPr>
        <w:pageBreakBefore w:val="0"/>
        <w:wordWrap/>
        <w:bidi w:val="0"/>
        <w:spacing w:line="460" w:lineRule="exact"/>
        <w:ind w:left="0" w:leftChars="0" w:right="0"/>
        <w:rPr>
          <w:rFonts w:hint="eastAsia" w:ascii="宋体" w:hAnsi="宋体" w:eastAsia="宋体" w:cs="宋体"/>
          <w:b/>
          <w:bCs/>
          <w:color w:val="auto"/>
          <w:sz w:val="24"/>
          <w:szCs w:val="24"/>
          <w:highlight w:val="none"/>
          <w:lang w:val="en-US" w:eastAsia="zh-CN"/>
        </w:rPr>
      </w:pPr>
    </w:p>
    <w:p w14:paraId="2D462C43">
      <w:pPr>
        <w:pStyle w:val="2"/>
        <w:pageBreakBefore w:val="0"/>
        <w:wordWrap/>
        <w:bidi w:val="0"/>
        <w:spacing w:after="0" w:line="460" w:lineRule="exact"/>
        <w:ind w:left="0" w:leftChars="0" w:right="0"/>
        <w:jc w:val="center"/>
        <w:rPr>
          <w:rFonts w:hint="eastAsia" w:ascii="宋体" w:hAnsi="宋体" w:eastAsia="宋体" w:cs="宋体"/>
          <w:b/>
          <w:color w:val="auto"/>
          <w:sz w:val="56"/>
          <w:szCs w:val="56"/>
          <w:highlight w:val="none"/>
        </w:rPr>
      </w:pPr>
      <w:r>
        <w:rPr>
          <w:rFonts w:hint="eastAsia" w:ascii="宋体" w:hAnsi="宋体" w:eastAsia="宋体" w:cs="宋体"/>
          <w:b/>
          <w:bCs/>
          <w:color w:val="auto"/>
          <w:sz w:val="28"/>
          <w:szCs w:val="28"/>
          <w:highlight w:val="none"/>
          <w:lang w:val="en-US" w:eastAsia="zh-CN"/>
        </w:rPr>
        <w:t>（仅供参考，以最终签订的合同为准）</w:t>
      </w:r>
    </w:p>
    <w:p w14:paraId="57D813F0">
      <w:pPr>
        <w:pageBreakBefore w:val="0"/>
        <w:kinsoku/>
        <w:wordWrap/>
        <w:topLinePunct w:val="0"/>
        <w:bidi w:val="0"/>
        <w:spacing w:beforeAutospacing="0" w:afterAutospacing="0" w:line="460" w:lineRule="exact"/>
        <w:ind w:left="0" w:leftChars="0" w:right="0"/>
        <w:jc w:val="both"/>
        <w:rPr>
          <w:rFonts w:hint="eastAsia" w:ascii="宋体" w:hAnsi="宋体" w:eastAsia="宋体" w:cs="宋体"/>
          <w:color w:val="auto"/>
          <w:sz w:val="52"/>
          <w:szCs w:val="52"/>
          <w:highlight w:val="none"/>
        </w:rPr>
      </w:pPr>
    </w:p>
    <w:p w14:paraId="42B64924">
      <w:pPr>
        <w:pageBreakBefore w:val="0"/>
        <w:kinsoku/>
        <w:wordWrap/>
        <w:overflowPunct/>
        <w:topLinePunct w:val="0"/>
        <w:bidi w:val="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（GF—2017—0201）</w:t>
      </w:r>
    </w:p>
    <w:p w14:paraId="4B341C67">
      <w:pPr>
        <w:pageBreakBefore w:val="0"/>
        <w:kinsoku/>
        <w:wordWrap/>
        <w:overflowPunct/>
        <w:topLinePunct w:val="0"/>
        <w:bidi w:val="0"/>
        <w:jc w:val="center"/>
        <w:textAlignment w:val="auto"/>
        <w:rPr>
          <w:rFonts w:hint="eastAsia" w:ascii="宋体" w:hAnsi="宋体" w:eastAsia="宋体" w:cs="宋体"/>
          <w:b/>
          <w:color w:val="auto"/>
          <w:sz w:val="52"/>
          <w:szCs w:val="52"/>
          <w:highlight w:val="none"/>
        </w:rPr>
      </w:pPr>
    </w:p>
    <w:p w14:paraId="23BB0AB5">
      <w:pPr>
        <w:pageBreakBefore w:val="0"/>
        <w:kinsoku/>
        <w:wordWrap/>
        <w:overflowPunct/>
        <w:topLinePunct w:val="0"/>
        <w:bidi w:val="0"/>
        <w:jc w:val="center"/>
        <w:textAlignment w:val="auto"/>
        <w:rPr>
          <w:rFonts w:hint="eastAsia" w:ascii="宋体" w:hAnsi="宋体" w:eastAsia="宋体" w:cs="宋体"/>
          <w:b/>
          <w:color w:val="auto"/>
          <w:sz w:val="52"/>
          <w:szCs w:val="52"/>
          <w:highlight w:val="none"/>
        </w:rPr>
      </w:pPr>
    </w:p>
    <w:p w14:paraId="7389F5D9">
      <w:pPr>
        <w:pageBreakBefore w:val="0"/>
        <w:kinsoku/>
        <w:wordWrap/>
        <w:overflowPunct/>
        <w:topLinePunct w:val="0"/>
        <w:bidi w:val="0"/>
        <w:jc w:val="center"/>
        <w:textAlignment w:val="auto"/>
        <w:rPr>
          <w:rFonts w:hint="eastAsia" w:ascii="宋体" w:hAnsi="宋体" w:eastAsia="宋体" w:cs="宋体"/>
          <w:b/>
          <w:color w:val="auto"/>
          <w:sz w:val="52"/>
          <w:szCs w:val="52"/>
          <w:highlight w:val="none"/>
        </w:rPr>
      </w:pPr>
    </w:p>
    <w:p w14:paraId="0B0AD497">
      <w:pPr>
        <w:pageBreakBefore w:val="0"/>
        <w:kinsoku/>
        <w:wordWrap/>
        <w:overflowPunct/>
        <w:topLinePunct w:val="0"/>
        <w:bidi w:val="0"/>
        <w:jc w:val="center"/>
        <w:textAlignment w:val="auto"/>
        <w:rPr>
          <w:rFonts w:hint="eastAsia" w:ascii="宋体" w:hAnsi="宋体" w:eastAsia="宋体" w:cs="宋体"/>
          <w:b/>
          <w:color w:val="auto"/>
          <w:sz w:val="52"/>
          <w:szCs w:val="52"/>
          <w:highlight w:val="none"/>
        </w:rPr>
      </w:pPr>
    </w:p>
    <w:p w14:paraId="693E3701">
      <w:pPr>
        <w:pageBreakBefore w:val="0"/>
        <w:kinsoku/>
        <w:wordWrap/>
        <w:overflowPunct/>
        <w:topLinePunct w:val="0"/>
        <w:bidi w:val="0"/>
        <w:jc w:val="center"/>
        <w:textAlignment w:val="auto"/>
        <w:rPr>
          <w:rFonts w:hint="eastAsia" w:ascii="宋体" w:hAnsi="宋体" w:eastAsia="宋体" w:cs="宋体"/>
          <w:b/>
          <w:color w:val="auto"/>
          <w:sz w:val="72"/>
          <w:szCs w:val="52"/>
          <w:highlight w:val="none"/>
          <w:lang w:eastAsia="zh-CN"/>
        </w:rPr>
      </w:pPr>
      <w:r>
        <w:rPr>
          <w:rFonts w:hint="eastAsia" w:ascii="宋体" w:hAnsi="宋体" w:eastAsia="宋体" w:cs="宋体"/>
          <w:b/>
          <w:color w:val="auto"/>
          <w:sz w:val="72"/>
          <w:szCs w:val="52"/>
          <w:highlight w:val="none"/>
        </w:rPr>
        <w:t>建设工程施工合同</w:t>
      </w:r>
    </w:p>
    <w:p w14:paraId="6A01B059">
      <w:pPr>
        <w:pageBreakBefore w:val="0"/>
        <w:kinsoku/>
        <w:wordWrap/>
        <w:overflowPunct/>
        <w:topLinePunct w:val="0"/>
        <w:bidi w:val="0"/>
        <w:jc w:val="center"/>
        <w:textAlignment w:val="auto"/>
        <w:rPr>
          <w:rFonts w:hint="eastAsia" w:ascii="宋体" w:hAnsi="宋体" w:eastAsia="宋体" w:cs="宋体"/>
          <w:b/>
          <w:color w:val="auto"/>
          <w:sz w:val="52"/>
          <w:szCs w:val="52"/>
          <w:highlight w:val="none"/>
        </w:rPr>
      </w:pPr>
    </w:p>
    <w:p w14:paraId="3187EE26">
      <w:pPr>
        <w:pageBreakBefore w:val="0"/>
        <w:kinsoku/>
        <w:wordWrap/>
        <w:overflowPunct/>
        <w:topLinePunct w:val="0"/>
        <w:bidi w:val="0"/>
        <w:jc w:val="center"/>
        <w:textAlignment w:val="auto"/>
        <w:rPr>
          <w:rFonts w:hint="eastAsia" w:ascii="宋体" w:hAnsi="宋体" w:eastAsia="宋体" w:cs="宋体"/>
          <w:b/>
          <w:color w:val="auto"/>
          <w:sz w:val="72"/>
          <w:szCs w:val="72"/>
          <w:highlight w:val="none"/>
        </w:rPr>
      </w:pPr>
    </w:p>
    <w:p w14:paraId="5B5D173C">
      <w:pPr>
        <w:pageBreakBefore w:val="0"/>
        <w:kinsoku/>
        <w:wordWrap/>
        <w:overflowPunct/>
        <w:topLinePunct w:val="0"/>
        <w:bidi w:val="0"/>
        <w:textAlignment w:val="auto"/>
        <w:rPr>
          <w:rFonts w:hint="eastAsia" w:ascii="宋体" w:hAnsi="宋体" w:eastAsia="宋体" w:cs="宋体"/>
          <w:b/>
          <w:color w:val="auto"/>
          <w:highlight w:val="none"/>
        </w:rPr>
      </w:pPr>
    </w:p>
    <w:p w14:paraId="348D516A">
      <w:pPr>
        <w:pageBreakBefore w:val="0"/>
        <w:kinsoku/>
        <w:wordWrap/>
        <w:overflowPunct/>
        <w:topLinePunct w:val="0"/>
        <w:bidi w:val="0"/>
        <w:textAlignment w:val="auto"/>
        <w:rPr>
          <w:rFonts w:hint="eastAsia" w:ascii="宋体" w:hAnsi="宋体" w:eastAsia="宋体" w:cs="宋体"/>
          <w:color w:val="auto"/>
          <w:highlight w:val="none"/>
        </w:rPr>
      </w:pPr>
    </w:p>
    <w:p w14:paraId="7DD1E8BA">
      <w:pPr>
        <w:pageBreakBefore w:val="0"/>
        <w:kinsoku/>
        <w:wordWrap/>
        <w:overflowPunct/>
        <w:topLinePunct w:val="0"/>
        <w:bidi w:val="0"/>
        <w:textAlignment w:val="auto"/>
        <w:rPr>
          <w:rFonts w:hint="eastAsia" w:ascii="宋体" w:hAnsi="宋体" w:eastAsia="宋体" w:cs="宋体"/>
          <w:b/>
          <w:color w:val="auto"/>
          <w:sz w:val="28"/>
          <w:szCs w:val="28"/>
          <w:highlight w:val="none"/>
        </w:rPr>
      </w:pPr>
    </w:p>
    <w:p w14:paraId="5BFA0992">
      <w:pPr>
        <w:pageBreakBefore w:val="0"/>
        <w:kinsoku/>
        <w:wordWrap/>
        <w:overflowPunct/>
        <w:topLinePunct w:val="0"/>
        <w:bidi w:val="0"/>
        <w:textAlignment w:val="auto"/>
        <w:rPr>
          <w:rFonts w:hint="eastAsia" w:ascii="宋体" w:hAnsi="宋体" w:eastAsia="宋体" w:cs="宋体"/>
          <w:b/>
          <w:color w:val="auto"/>
          <w:sz w:val="28"/>
          <w:szCs w:val="28"/>
          <w:highlight w:val="none"/>
        </w:rPr>
      </w:pPr>
    </w:p>
    <w:p w14:paraId="232F4DA4">
      <w:pPr>
        <w:pageBreakBefore w:val="0"/>
        <w:kinsoku/>
        <w:wordWrap/>
        <w:overflowPunct/>
        <w:topLinePunct w:val="0"/>
        <w:bidi w:val="0"/>
        <w:textAlignment w:val="auto"/>
        <w:rPr>
          <w:rFonts w:hint="eastAsia" w:ascii="宋体" w:hAnsi="宋体" w:eastAsia="宋体" w:cs="宋体"/>
          <w:b/>
          <w:color w:val="auto"/>
          <w:sz w:val="28"/>
          <w:szCs w:val="28"/>
          <w:highlight w:val="none"/>
        </w:rPr>
      </w:pPr>
    </w:p>
    <w:p w14:paraId="4B527727">
      <w:pPr>
        <w:pageBreakBefore w:val="0"/>
        <w:kinsoku/>
        <w:wordWrap/>
        <w:overflowPunct/>
        <w:topLinePunct w:val="0"/>
        <w:bidi w:val="0"/>
        <w:ind w:right="2719" w:rightChars="1295" w:firstLine="2738" w:firstLineChars="1304"/>
        <w:jc w:val="distribute"/>
        <w:textAlignment w:val="auto"/>
        <w:rPr>
          <w:rFonts w:hint="eastAsia" w:ascii="宋体" w:hAnsi="宋体" w:eastAsia="宋体" w:cs="宋体"/>
          <w:b/>
          <w:color w:val="auto"/>
          <w:sz w:val="32"/>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8"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6E674403">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2.6pt;margin-top:9.45pt;height:36pt;width:57pt;z-index:25166438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8PJNAwoCAAAaBAAADgAAAGRycy9lMm9Eb2MueG1srVPN&#10;jtMwEL4j8Q6W7zTdLmXZqOlKUMoFAdLCA7jOJLHkP3ncJn0BeANOXLjzXH2OHTvd7g+XHsjBGXvG&#10;38z3zXhxMxjNdhBQOVvxi8mUM7DS1cq2Ff/+bf3qLWcYha2FdhYqvgfkN8uXLxa9L2HmOqdrCIxA&#10;LJa9r3gXoy+LAmUHRuDEebDkbFwwItI2tEUdRE/oRhez6fRN0btQ++AkINLpanTyI2I4B9A1jZKw&#10;cnJrwMYRNYAWkShhpzzyZa62aUDGL02DEJmuODGNeaUkZG/SWiwXomyD8J2SxxLEOSU842SEspT0&#10;BLUSUbBtUP9AGSWDQ9fEiXSmGIlkRYjFxfSZNred8JC5kNToT6Lj/4OVn3dfA1N1xantVhhq+OHX&#10;z8Pvv4c/P9hlkqf3WFLUrae4OLxzAw3N/TnSYWI9NMGkP/Fh5Cdx9ydxYYhM0uHV7PJ6Sh5Jrtfz&#10;KxqFhFI8XPYB40dwhiWj4oF6lyUVu08Yx9D7kJTLurXSOvdPW9ZX/Ho+mxO8oJlsaBbINJ54oW0z&#10;DDqt6nQlXcbQbt7rwHaC5mKdv2M1T8JSvpXAbozLrhQmSqMihGx1IOoPtmZx70k7S0+Gp2IM1Jxp&#10;oBeWrBwZhdLnRJIk2qYkkOf3SD61YZQ7WXHYDASazI2r99SarQ+q7Ui33JwieWhkssDH8U4z+XhP&#10;9uMnvb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c0tcdgAAAAJAQAADwAAAAAAAAABACAAAAAi&#10;AAAAZHJzL2Rvd25yZXYueG1sUEsBAhQAFAAAAAgAh07iQPDyTQMKAgAAGgQAAA4AAAAAAAAAAQAg&#10;AAAAJwEAAGRycy9lMm9Eb2MueG1sUEsFBgAAAAAGAAYAWQEAAKMFAAAAAA==&#10;">
                <v:fill on="f" focussize="0,0"/>
                <v:stroke color="#FFFFFF" joinstyle="miter"/>
                <v:imagedata o:title=""/>
                <o:lock v:ext="edit" aspectratio="f"/>
                <v:textbox>
                  <w:txbxContent>
                    <w:p w14:paraId="6E674403">
                      <w:pPr>
                        <w:rPr>
                          <w:b/>
                          <w:bCs/>
                          <w:sz w:val="32"/>
                        </w:rPr>
                      </w:pPr>
                      <w:r>
                        <w:rPr>
                          <w:rFonts w:hint="eastAsia"/>
                          <w:b/>
                          <w:bCs/>
                          <w:sz w:val="32"/>
                        </w:rPr>
                        <w:t>制定</w:t>
                      </w:r>
                    </w:p>
                  </w:txbxContent>
                </v:textbox>
              </v:shape>
            </w:pict>
          </mc:Fallback>
        </mc:AlternateContent>
      </w:r>
      <w:r>
        <w:rPr>
          <w:rFonts w:hint="eastAsia" w:ascii="宋体" w:hAnsi="宋体" w:eastAsia="宋体" w:cs="宋体"/>
          <w:b/>
          <w:color w:val="auto"/>
          <w:sz w:val="32"/>
          <w:szCs w:val="28"/>
          <w:highlight w:val="none"/>
        </w:rPr>
        <w:t>住房城乡建设部</w:t>
      </w:r>
    </w:p>
    <w:p w14:paraId="1439F2C5">
      <w:pPr>
        <w:pageBreakBefore w:val="0"/>
        <w:kinsoku/>
        <w:wordWrap/>
        <w:overflowPunct/>
        <w:topLinePunct w:val="0"/>
        <w:bidi w:val="0"/>
        <w:ind w:right="2719" w:rightChars="1295" w:firstLine="2750" w:firstLineChars="856"/>
        <w:jc w:val="distribute"/>
        <w:textAlignment w:val="auto"/>
        <w:outlineLvl w:val="9"/>
        <w:rPr>
          <w:rFonts w:hint="eastAsia" w:ascii="宋体" w:hAnsi="宋体" w:eastAsia="宋体" w:cs="宋体"/>
          <w:b/>
          <w:color w:val="auto"/>
          <w:sz w:val="32"/>
          <w:szCs w:val="28"/>
          <w:highlight w:val="none"/>
        </w:rPr>
      </w:pPr>
      <w:bookmarkStart w:id="244" w:name="_Toc24141"/>
      <w:r>
        <w:rPr>
          <w:rFonts w:hint="eastAsia" w:ascii="宋体" w:hAnsi="宋体" w:eastAsia="宋体" w:cs="宋体"/>
          <w:b/>
          <w:color w:val="auto"/>
          <w:sz w:val="32"/>
          <w:szCs w:val="28"/>
          <w:highlight w:val="none"/>
        </w:rPr>
        <w:t>国家工商行政管理总局</w:t>
      </w:r>
      <w:bookmarkEnd w:id="244"/>
    </w:p>
    <w:p w14:paraId="16A370D0">
      <w:pPr>
        <w:pageBreakBefore w:val="0"/>
        <w:kinsoku/>
        <w:wordWrap/>
        <w:overflowPunct/>
        <w:topLinePunct w:val="0"/>
        <w:bidi w:val="0"/>
        <w:textAlignment w:val="auto"/>
        <w:rPr>
          <w:rFonts w:hint="eastAsia" w:ascii="宋体" w:hAnsi="宋体" w:eastAsia="宋体" w:cs="宋体"/>
          <w:b/>
          <w:color w:val="auto"/>
          <w:highlight w:val="none"/>
        </w:rPr>
      </w:pPr>
    </w:p>
    <w:p w14:paraId="764ABCAC">
      <w:pPr>
        <w:pStyle w:val="44"/>
        <w:pageBreakBefore w:val="0"/>
        <w:kinsoku/>
        <w:wordWrap/>
        <w:overflowPunct/>
        <w:topLinePunct w:val="0"/>
        <w:bidi w:val="0"/>
        <w:spacing w:before="0" w:after="0" w:line="240" w:lineRule="auto"/>
        <w:jc w:val="center"/>
        <w:textAlignment w:val="auto"/>
        <w:outlineLvl w:val="9"/>
        <w:rPr>
          <w:rFonts w:hint="eastAsia" w:ascii="宋体" w:hAnsi="宋体" w:eastAsia="宋体" w:cs="宋体"/>
          <w:color w:val="auto"/>
          <w:sz w:val="32"/>
          <w:szCs w:val="32"/>
          <w:highlight w:val="none"/>
          <w:lang w:val="zh-CN"/>
        </w:rPr>
      </w:pPr>
    </w:p>
    <w:p w14:paraId="7D39B6D7">
      <w:pPr>
        <w:pageBreakBefore w:val="0"/>
        <w:kinsoku/>
        <w:wordWrap/>
        <w:overflowPunct/>
        <w:topLinePunct w:val="0"/>
        <w:bidi w:val="0"/>
        <w:ind w:firstLine="480" w:firstLineChars="200"/>
        <w:textAlignment w:val="auto"/>
        <w:rPr>
          <w:rFonts w:hint="eastAsia" w:ascii="宋体" w:hAnsi="宋体" w:eastAsia="宋体" w:cs="宋体"/>
          <w:color w:val="auto"/>
          <w:sz w:val="24"/>
          <w:szCs w:val="24"/>
          <w:highlight w:val="none"/>
          <w:lang w:val="zh-CN"/>
        </w:rPr>
        <w:sectPr>
          <w:headerReference r:id="rId6" w:type="first"/>
          <w:footerReference r:id="rId8" w:type="first"/>
          <w:headerReference r:id="rId5" w:type="default"/>
          <w:footerReference r:id="rId7" w:type="default"/>
          <w:pgSz w:w="11906" w:h="16838"/>
          <w:pgMar w:top="1418" w:right="1555" w:bottom="1418" w:left="1531" w:header="851" w:footer="992" w:gutter="0"/>
          <w:pgNumType w:fmt="decimal"/>
          <w:cols w:space="720" w:num="1"/>
          <w:titlePg/>
          <w:docGrid w:type="lines" w:linePitch="312" w:charSpace="0"/>
        </w:sectPr>
      </w:pPr>
    </w:p>
    <w:p w14:paraId="3267206C">
      <w:pPr>
        <w:pageBreakBefore w:val="0"/>
        <w:kinsoku/>
        <w:wordWrap/>
        <w:overflowPunct/>
        <w:topLinePunct w:val="0"/>
        <w:bidi w:val="0"/>
        <w:jc w:val="center"/>
        <w:textAlignment w:val="auto"/>
        <w:outlineLvl w:val="9"/>
        <w:rPr>
          <w:rFonts w:hint="eastAsia" w:ascii="宋体" w:hAnsi="宋体" w:eastAsia="宋体" w:cs="宋体"/>
          <w:b/>
          <w:bCs/>
          <w:color w:val="auto"/>
          <w:kern w:val="44"/>
          <w:sz w:val="32"/>
          <w:szCs w:val="32"/>
          <w:highlight w:val="none"/>
          <w:lang w:val="zh-CN" w:eastAsia="zh-CN" w:bidi="ar-SA"/>
        </w:rPr>
      </w:pPr>
      <w:bookmarkStart w:id="245" w:name="_Toc7488"/>
      <w:r>
        <w:rPr>
          <w:rFonts w:hint="eastAsia" w:ascii="宋体" w:hAnsi="宋体" w:eastAsia="宋体" w:cs="宋体"/>
          <w:b/>
          <w:bCs/>
          <w:color w:val="auto"/>
          <w:kern w:val="44"/>
          <w:sz w:val="32"/>
          <w:szCs w:val="32"/>
          <w:highlight w:val="none"/>
          <w:lang w:val="zh-CN" w:eastAsia="zh-CN" w:bidi="ar-SA"/>
        </w:rPr>
        <w:t>说明</w:t>
      </w:r>
      <w:bookmarkEnd w:id="245"/>
    </w:p>
    <w:p w14:paraId="1DED41FE">
      <w:pPr>
        <w:pageBreakBefore w:val="0"/>
        <w:kinsoku/>
        <w:wordWrap/>
        <w:overflowPunct/>
        <w:topLinePunct w:val="0"/>
        <w:bidi w:val="0"/>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730922AC">
      <w:pPr>
        <w:pageBreakBefore w:val="0"/>
        <w:kinsoku/>
        <w:wordWrap/>
        <w:overflowPunct/>
        <w:topLinePunct w:val="0"/>
        <w:bidi w:val="0"/>
        <w:ind w:firstLine="480" w:firstLineChars="200"/>
        <w:textAlignment w:val="auto"/>
        <w:outlineLvl w:val="9"/>
        <w:rPr>
          <w:rFonts w:hint="eastAsia" w:ascii="宋体" w:hAnsi="宋体" w:eastAsia="宋体" w:cs="宋体"/>
          <w:color w:val="auto"/>
          <w:sz w:val="24"/>
          <w:szCs w:val="24"/>
          <w:highlight w:val="none"/>
          <w:lang w:val="zh-CN"/>
        </w:rPr>
      </w:pPr>
      <w:bookmarkStart w:id="246" w:name="_Toc2567"/>
      <w:r>
        <w:rPr>
          <w:rFonts w:hint="eastAsia" w:ascii="宋体" w:hAnsi="宋体" w:eastAsia="宋体" w:cs="宋体"/>
          <w:color w:val="auto"/>
          <w:sz w:val="24"/>
          <w:szCs w:val="24"/>
          <w:highlight w:val="none"/>
          <w:lang w:val="zh-CN"/>
        </w:rPr>
        <w:t>一、《示范文本》的组成</w:t>
      </w:r>
      <w:bookmarkEnd w:id="246"/>
    </w:p>
    <w:p w14:paraId="410805B9">
      <w:pPr>
        <w:pageBreakBefore w:val="0"/>
        <w:kinsoku/>
        <w:wordWrap/>
        <w:overflowPunct/>
        <w:topLinePunct w:val="0"/>
        <w:bidi w:val="0"/>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《示范文本》由合同协议书、通用合同条款和专用合同条款三部分组成。</w:t>
      </w:r>
    </w:p>
    <w:p w14:paraId="24C5BC18">
      <w:pPr>
        <w:pageBreakBefore w:val="0"/>
        <w:kinsoku/>
        <w:wordWrap/>
        <w:overflowPunct/>
        <w:topLinePunct w:val="0"/>
        <w:bidi w:val="0"/>
        <w:ind w:firstLine="480" w:firstLineChars="200"/>
        <w:textAlignment w:val="auto"/>
        <w:outlineLvl w:val="9"/>
        <w:rPr>
          <w:rFonts w:hint="eastAsia" w:ascii="宋体" w:hAnsi="宋体" w:eastAsia="宋体" w:cs="宋体"/>
          <w:color w:val="auto"/>
          <w:sz w:val="24"/>
          <w:szCs w:val="24"/>
          <w:highlight w:val="none"/>
          <w:lang w:val="zh-CN"/>
        </w:rPr>
      </w:pPr>
      <w:bookmarkStart w:id="247" w:name="_Toc17473"/>
      <w:r>
        <w:rPr>
          <w:rFonts w:hint="eastAsia" w:ascii="宋体" w:hAnsi="宋体" w:eastAsia="宋体" w:cs="宋体"/>
          <w:color w:val="auto"/>
          <w:sz w:val="24"/>
          <w:szCs w:val="24"/>
          <w:highlight w:val="none"/>
          <w:lang w:val="zh-CN"/>
        </w:rPr>
        <w:t>（一）合同协议书</w:t>
      </w:r>
      <w:bookmarkEnd w:id="247"/>
    </w:p>
    <w:p w14:paraId="1D876DAD">
      <w:pPr>
        <w:pageBreakBefore w:val="0"/>
        <w:kinsoku/>
        <w:wordWrap/>
        <w:overflowPunct/>
        <w:topLinePunct w:val="0"/>
        <w:bidi w:val="0"/>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2CA80B51">
      <w:pPr>
        <w:pageBreakBefore w:val="0"/>
        <w:kinsoku/>
        <w:wordWrap/>
        <w:overflowPunct/>
        <w:topLinePunct w:val="0"/>
        <w:bidi w:val="0"/>
        <w:ind w:firstLine="480" w:firstLineChars="200"/>
        <w:textAlignment w:val="auto"/>
        <w:outlineLvl w:val="9"/>
        <w:rPr>
          <w:rFonts w:hint="eastAsia" w:ascii="宋体" w:hAnsi="宋体" w:eastAsia="宋体" w:cs="宋体"/>
          <w:color w:val="auto"/>
          <w:sz w:val="24"/>
          <w:szCs w:val="24"/>
          <w:highlight w:val="none"/>
          <w:lang w:val="zh-CN"/>
        </w:rPr>
      </w:pPr>
      <w:bookmarkStart w:id="248" w:name="_Toc23447"/>
      <w:r>
        <w:rPr>
          <w:rFonts w:hint="eastAsia" w:ascii="宋体" w:hAnsi="宋体" w:eastAsia="宋体" w:cs="宋体"/>
          <w:color w:val="auto"/>
          <w:sz w:val="24"/>
          <w:szCs w:val="24"/>
          <w:highlight w:val="none"/>
          <w:lang w:val="zh-CN"/>
        </w:rPr>
        <w:t>（二）通用合同条款</w:t>
      </w:r>
      <w:bookmarkEnd w:id="248"/>
    </w:p>
    <w:p w14:paraId="37F597AD">
      <w:pPr>
        <w:pageBreakBefore w:val="0"/>
        <w:kinsoku/>
        <w:wordWrap/>
        <w:overflowPunct/>
        <w:topLinePunct w:val="0"/>
        <w:bidi w:val="0"/>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通用合同条款是合同当事人根据《中华人民共和国建筑法》、《中华人民共和国民法典》等法律法规的规定，就工程建设的实施及相关事项，对合同当事人的权利义务作出的原则性约定。</w:t>
      </w:r>
    </w:p>
    <w:p w14:paraId="4AD7D59F">
      <w:pPr>
        <w:pageBreakBefore w:val="0"/>
        <w:kinsoku/>
        <w:wordWrap/>
        <w:overflowPunct/>
        <w:topLinePunct w:val="0"/>
        <w:bidi w:val="0"/>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96DA895">
      <w:pPr>
        <w:pageBreakBefore w:val="0"/>
        <w:kinsoku/>
        <w:wordWrap/>
        <w:overflowPunct/>
        <w:topLinePunct w:val="0"/>
        <w:bidi w:val="0"/>
        <w:ind w:firstLine="480" w:firstLineChars="200"/>
        <w:textAlignment w:val="auto"/>
        <w:outlineLvl w:val="9"/>
        <w:rPr>
          <w:rFonts w:hint="eastAsia" w:ascii="宋体" w:hAnsi="宋体" w:eastAsia="宋体" w:cs="宋体"/>
          <w:color w:val="auto"/>
          <w:sz w:val="24"/>
          <w:szCs w:val="24"/>
          <w:highlight w:val="none"/>
          <w:lang w:val="zh-CN"/>
        </w:rPr>
      </w:pPr>
      <w:bookmarkStart w:id="249" w:name="_Toc11380"/>
      <w:r>
        <w:rPr>
          <w:rFonts w:hint="eastAsia" w:ascii="宋体" w:hAnsi="宋体" w:eastAsia="宋体" w:cs="宋体"/>
          <w:color w:val="auto"/>
          <w:sz w:val="24"/>
          <w:szCs w:val="24"/>
          <w:highlight w:val="none"/>
          <w:lang w:val="zh-CN"/>
        </w:rPr>
        <w:t>（三）专用合同条款</w:t>
      </w:r>
      <w:bookmarkEnd w:id="249"/>
    </w:p>
    <w:p w14:paraId="618594C2">
      <w:pPr>
        <w:pageBreakBefore w:val="0"/>
        <w:kinsoku/>
        <w:wordWrap/>
        <w:overflowPunct/>
        <w:topLinePunct w:val="0"/>
        <w:bidi w:val="0"/>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405999B">
      <w:pPr>
        <w:pageBreakBefore w:val="0"/>
        <w:kinsoku/>
        <w:wordWrap/>
        <w:overflowPunct/>
        <w:topLinePunct w:val="0"/>
        <w:bidi w:val="0"/>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1.专用合同条款的编号应与相应的通用合同条款的编号一致；</w:t>
      </w:r>
    </w:p>
    <w:p w14:paraId="653438EB">
      <w:pPr>
        <w:pageBreakBefore w:val="0"/>
        <w:kinsoku/>
        <w:wordWrap/>
        <w:overflowPunct/>
        <w:topLinePunct w:val="0"/>
        <w:bidi w:val="0"/>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2.合同当事人可以通过对专用合同条款的修改，满足具体建设工程的特殊要求，避免直接修改通用合同条款；</w:t>
      </w:r>
    </w:p>
    <w:p w14:paraId="62EDBBB1">
      <w:pPr>
        <w:pageBreakBefore w:val="0"/>
        <w:kinsoku/>
        <w:wordWrap/>
        <w:overflowPunct/>
        <w:topLinePunct w:val="0"/>
        <w:bidi w:val="0"/>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3.在专用合同条款中有横道线的地方，合同当事人可针对相应的通用合同条款进行细化、完善、补充、修改或另行约定；如无细化、完善、补充、修改或另行约定，则填写“无”或划“/”。</w:t>
      </w:r>
    </w:p>
    <w:p w14:paraId="7500D7C5">
      <w:pPr>
        <w:pageBreakBefore w:val="0"/>
        <w:kinsoku/>
        <w:wordWrap/>
        <w:overflowPunct/>
        <w:topLinePunct w:val="0"/>
        <w:bidi w:val="0"/>
        <w:ind w:firstLine="480" w:firstLineChars="200"/>
        <w:textAlignment w:val="auto"/>
        <w:outlineLvl w:val="9"/>
        <w:rPr>
          <w:rFonts w:hint="eastAsia" w:ascii="宋体" w:hAnsi="宋体" w:eastAsia="宋体" w:cs="宋体"/>
          <w:color w:val="auto"/>
          <w:sz w:val="24"/>
          <w:szCs w:val="24"/>
          <w:highlight w:val="none"/>
          <w:lang w:val="zh-CN"/>
        </w:rPr>
      </w:pPr>
      <w:bookmarkStart w:id="250" w:name="_Toc31343"/>
      <w:r>
        <w:rPr>
          <w:rFonts w:hint="eastAsia" w:ascii="宋体" w:hAnsi="宋体" w:eastAsia="宋体" w:cs="宋体"/>
          <w:color w:val="auto"/>
          <w:sz w:val="24"/>
          <w:szCs w:val="24"/>
          <w:highlight w:val="none"/>
          <w:lang w:val="zh-CN"/>
        </w:rPr>
        <w:t>二、《示范文本》的性质和适用范围</w:t>
      </w:r>
      <w:bookmarkEnd w:id="250"/>
    </w:p>
    <w:p w14:paraId="15E76C29">
      <w:pPr>
        <w:pageBreakBefore w:val="0"/>
        <w:kinsoku/>
        <w:wordWrap/>
        <w:overflowPunct/>
        <w:topLinePunct w:val="0"/>
        <w:bidi w:val="0"/>
        <w:ind w:firstLine="480" w:firstLineChars="200"/>
        <w:textAlignment w:val="auto"/>
        <w:rPr>
          <w:rFonts w:hint="eastAsia" w:ascii="宋体" w:hAnsi="宋体" w:eastAsia="宋体" w:cs="宋体"/>
          <w:color w:val="auto"/>
          <w:sz w:val="24"/>
          <w:szCs w:val="24"/>
          <w:highlight w:val="none"/>
        </w:rPr>
        <w:sectPr>
          <w:pgSz w:w="11906" w:h="16838"/>
          <w:pgMar w:top="1418" w:right="1555" w:bottom="1418" w:left="1531" w:header="851" w:footer="992" w:gutter="0"/>
          <w:pgNumType w:fmt="decimal"/>
          <w:cols w:space="720" w:num="1"/>
          <w:titlePg/>
          <w:docGrid w:type="lines" w:linePitch="312" w:charSpace="0"/>
        </w:sectPr>
      </w:pPr>
      <w:r>
        <w:rPr>
          <w:rFonts w:hint="eastAsia" w:ascii="宋体" w:hAnsi="宋体" w:eastAsia="宋体" w:cs="宋体"/>
          <w:color w:val="auto"/>
          <w:sz w:val="24"/>
          <w:szCs w:val="24"/>
          <w:highlight w:val="none"/>
          <w:lang w:val="zh-CN"/>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sdt>
      <w:sdtPr>
        <w:rPr>
          <w:rFonts w:hint="eastAsia" w:ascii="宋体" w:hAnsi="宋体" w:eastAsia="宋体" w:cs="宋体"/>
          <w:color w:val="auto"/>
          <w:kern w:val="2"/>
          <w:sz w:val="21"/>
          <w:szCs w:val="24"/>
          <w:highlight w:val="none"/>
          <w:lang w:val="en-US" w:eastAsia="zh-CN" w:bidi="ar-SA"/>
        </w:rPr>
        <w:id w:val="147474347"/>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14:paraId="3FC619FA">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sz w:val="21"/>
              <w:highlight w:val="none"/>
            </w:rPr>
            <w:t>目录</w:t>
          </w:r>
        </w:p>
        <w:p w14:paraId="466BCE88">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_Toc29569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第一部分合同协议书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D8A56E9">
          <w:pPr>
            <w:pStyle w:val="19"/>
            <w:keepNext w:val="0"/>
            <w:keepLines w:val="0"/>
            <w:pageBreakBefore w:val="0"/>
            <w:widowControl w:val="0"/>
            <w:tabs>
              <w:tab w:val="right" w:leader="dot" w:pos="8821"/>
              <w:tab w:val="clear" w:pos="9628"/>
            </w:tabs>
            <w:kinsoku/>
            <w:wordWrap/>
            <w:overflowPunct/>
            <w:topLinePunct w:val="0"/>
            <w:autoSpaceDE/>
            <w:autoSpaceDN/>
            <w:bidi w:val="0"/>
            <w:adjustRightInd/>
            <w:snapToGrid/>
            <w:spacing w:line="34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HYPERLINK \l _Toc22939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一、工程概况</w:t>
          </w:r>
          <w:r>
            <w:rPr>
              <w:rFonts w:hint="eastAsia" w:ascii="宋体" w:hAnsi="宋体" w:eastAsia="宋体" w:cs="宋体"/>
              <w:b w:val="0"/>
              <w:color w:val="auto"/>
              <w:kern w:val="2"/>
              <w:sz w:val="21"/>
              <w:szCs w:val="21"/>
              <w:highlight w:val="none"/>
              <w:lang w:val="en-US" w:eastAsia="zh-CN" w:bidi="ar-SA"/>
            </w:rPr>
            <w:tab/>
          </w: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PAGEREF _Toc22939 \h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9</w:t>
          </w:r>
          <w:r>
            <w:rPr>
              <w:rFonts w:hint="eastAsia" w:ascii="宋体" w:hAnsi="宋体" w:eastAsia="宋体" w:cs="宋体"/>
              <w:b w:val="0"/>
              <w:color w:val="auto"/>
              <w:kern w:val="2"/>
              <w:sz w:val="21"/>
              <w:szCs w:val="21"/>
              <w:highlight w:val="none"/>
              <w:lang w:val="en-US" w:eastAsia="zh-CN" w:bidi="ar-SA"/>
            </w:rPr>
            <w:fldChar w:fldCharType="end"/>
          </w:r>
          <w:r>
            <w:rPr>
              <w:rFonts w:hint="eastAsia" w:ascii="宋体" w:hAnsi="宋体" w:eastAsia="宋体" w:cs="宋体"/>
              <w:b w:val="0"/>
              <w:color w:val="auto"/>
              <w:kern w:val="2"/>
              <w:sz w:val="21"/>
              <w:szCs w:val="21"/>
              <w:highlight w:val="none"/>
              <w:lang w:val="en-US" w:eastAsia="zh-CN" w:bidi="ar-SA"/>
            </w:rPr>
            <w:fldChar w:fldCharType="end"/>
          </w:r>
        </w:p>
        <w:p w14:paraId="1ABE9CA6">
          <w:pPr>
            <w:pStyle w:val="19"/>
            <w:keepNext w:val="0"/>
            <w:keepLines w:val="0"/>
            <w:pageBreakBefore w:val="0"/>
            <w:widowControl w:val="0"/>
            <w:tabs>
              <w:tab w:val="right" w:leader="dot" w:pos="8821"/>
              <w:tab w:val="clear" w:pos="9628"/>
            </w:tabs>
            <w:kinsoku/>
            <w:wordWrap/>
            <w:overflowPunct/>
            <w:topLinePunct w:val="0"/>
            <w:autoSpaceDE/>
            <w:autoSpaceDN/>
            <w:bidi w:val="0"/>
            <w:adjustRightInd/>
            <w:snapToGrid/>
            <w:spacing w:line="34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HYPERLINK \l _Toc26013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二、合同工期</w:t>
          </w:r>
          <w:r>
            <w:rPr>
              <w:rFonts w:hint="eastAsia" w:ascii="宋体" w:hAnsi="宋体" w:eastAsia="宋体" w:cs="宋体"/>
              <w:b w:val="0"/>
              <w:color w:val="auto"/>
              <w:kern w:val="2"/>
              <w:sz w:val="21"/>
              <w:szCs w:val="21"/>
              <w:highlight w:val="none"/>
              <w:lang w:val="en-US" w:eastAsia="zh-CN" w:bidi="ar-SA"/>
            </w:rPr>
            <w:tab/>
          </w: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PAGEREF _Toc26013 \h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9</w:t>
          </w:r>
          <w:r>
            <w:rPr>
              <w:rFonts w:hint="eastAsia" w:ascii="宋体" w:hAnsi="宋体" w:eastAsia="宋体" w:cs="宋体"/>
              <w:b w:val="0"/>
              <w:color w:val="auto"/>
              <w:kern w:val="2"/>
              <w:sz w:val="21"/>
              <w:szCs w:val="21"/>
              <w:highlight w:val="none"/>
              <w:lang w:val="en-US" w:eastAsia="zh-CN" w:bidi="ar-SA"/>
            </w:rPr>
            <w:fldChar w:fldCharType="end"/>
          </w:r>
          <w:r>
            <w:rPr>
              <w:rFonts w:hint="eastAsia" w:ascii="宋体" w:hAnsi="宋体" w:eastAsia="宋体" w:cs="宋体"/>
              <w:b w:val="0"/>
              <w:color w:val="auto"/>
              <w:kern w:val="2"/>
              <w:sz w:val="21"/>
              <w:szCs w:val="21"/>
              <w:highlight w:val="none"/>
              <w:lang w:val="en-US" w:eastAsia="zh-CN" w:bidi="ar-SA"/>
            </w:rPr>
            <w:fldChar w:fldCharType="end"/>
          </w:r>
        </w:p>
        <w:p w14:paraId="451B35C3">
          <w:pPr>
            <w:pStyle w:val="19"/>
            <w:keepNext w:val="0"/>
            <w:keepLines w:val="0"/>
            <w:pageBreakBefore w:val="0"/>
            <w:widowControl w:val="0"/>
            <w:tabs>
              <w:tab w:val="right" w:leader="dot" w:pos="8821"/>
              <w:tab w:val="clear" w:pos="9628"/>
            </w:tabs>
            <w:kinsoku/>
            <w:wordWrap/>
            <w:overflowPunct/>
            <w:topLinePunct w:val="0"/>
            <w:autoSpaceDE/>
            <w:autoSpaceDN/>
            <w:bidi w:val="0"/>
            <w:adjustRightInd/>
            <w:snapToGrid/>
            <w:spacing w:line="34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HYPERLINK \l _Toc12756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三、质量标准</w:t>
          </w:r>
          <w:r>
            <w:rPr>
              <w:rFonts w:hint="eastAsia" w:ascii="宋体" w:hAnsi="宋体" w:eastAsia="宋体" w:cs="宋体"/>
              <w:b w:val="0"/>
              <w:color w:val="auto"/>
              <w:kern w:val="2"/>
              <w:sz w:val="21"/>
              <w:szCs w:val="21"/>
              <w:highlight w:val="none"/>
              <w:lang w:val="en-US" w:eastAsia="zh-CN" w:bidi="ar-SA"/>
            </w:rPr>
            <w:tab/>
          </w: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PAGEREF _Toc12756 \h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9</w:t>
          </w:r>
          <w:r>
            <w:rPr>
              <w:rFonts w:hint="eastAsia" w:ascii="宋体" w:hAnsi="宋体" w:eastAsia="宋体" w:cs="宋体"/>
              <w:b w:val="0"/>
              <w:color w:val="auto"/>
              <w:kern w:val="2"/>
              <w:sz w:val="21"/>
              <w:szCs w:val="21"/>
              <w:highlight w:val="none"/>
              <w:lang w:val="en-US" w:eastAsia="zh-CN" w:bidi="ar-SA"/>
            </w:rPr>
            <w:fldChar w:fldCharType="end"/>
          </w:r>
          <w:r>
            <w:rPr>
              <w:rFonts w:hint="eastAsia" w:ascii="宋体" w:hAnsi="宋体" w:eastAsia="宋体" w:cs="宋体"/>
              <w:b w:val="0"/>
              <w:color w:val="auto"/>
              <w:kern w:val="2"/>
              <w:sz w:val="21"/>
              <w:szCs w:val="21"/>
              <w:highlight w:val="none"/>
              <w:lang w:val="en-US" w:eastAsia="zh-CN" w:bidi="ar-SA"/>
            </w:rPr>
            <w:fldChar w:fldCharType="end"/>
          </w:r>
        </w:p>
        <w:p w14:paraId="3B1927A8">
          <w:pPr>
            <w:pStyle w:val="19"/>
            <w:keepNext w:val="0"/>
            <w:keepLines w:val="0"/>
            <w:pageBreakBefore w:val="0"/>
            <w:widowControl w:val="0"/>
            <w:tabs>
              <w:tab w:val="right" w:leader="dot" w:pos="8821"/>
              <w:tab w:val="clear" w:pos="9628"/>
            </w:tabs>
            <w:kinsoku/>
            <w:wordWrap/>
            <w:overflowPunct/>
            <w:topLinePunct w:val="0"/>
            <w:autoSpaceDE/>
            <w:autoSpaceDN/>
            <w:bidi w:val="0"/>
            <w:adjustRightInd/>
            <w:snapToGrid/>
            <w:spacing w:line="34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HYPERLINK \l _Toc15080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四、签约合同价与合同价格形式</w:t>
          </w:r>
          <w:r>
            <w:rPr>
              <w:rFonts w:hint="eastAsia" w:ascii="宋体" w:hAnsi="宋体" w:eastAsia="宋体" w:cs="宋体"/>
              <w:b w:val="0"/>
              <w:color w:val="auto"/>
              <w:kern w:val="2"/>
              <w:sz w:val="21"/>
              <w:szCs w:val="21"/>
              <w:highlight w:val="none"/>
              <w:lang w:val="en-US" w:eastAsia="zh-CN" w:bidi="ar-SA"/>
            </w:rPr>
            <w:tab/>
          </w: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PAGEREF _Toc15080 \h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9</w:t>
          </w:r>
          <w:r>
            <w:rPr>
              <w:rFonts w:hint="eastAsia" w:ascii="宋体" w:hAnsi="宋体" w:eastAsia="宋体" w:cs="宋体"/>
              <w:b w:val="0"/>
              <w:color w:val="auto"/>
              <w:kern w:val="2"/>
              <w:sz w:val="21"/>
              <w:szCs w:val="21"/>
              <w:highlight w:val="none"/>
              <w:lang w:val="en-US" w:eastAsia="zh-CN" w:bidi="ar-SA"/>
            </w:rPr>
            <w:fldChar w:fldCharType="end"/>
          </w:r>
          <w:r>
            <w:rPr>
              <w:rFonts w:hint="eastAsia" w:ascii="宋体" w:hAnsi="宋体" w:eastAsia="宋体" w:cs="宋体"/>
              <w:b w:val="0"/>
              <w:color w:val="auto"/>
              <w:kern w:val="2"/>
              <w:sz w:val="21"/>
              <w:szCs w:val="21"/>
              <w:highlight w:val="none"/>
              <w:lang w:val="en-US" w:eastAsia="zh-CN" w:bidi="ar-SA"/>
            </w:rPr>
            <w:fldChar w:fldCharType="end"/>
          </w:r>
        </w:p>
        <w:p w14:paraId="6A18BC2F">
          <w:pPr>
            <w:pStyle w:val="19"/>
            <w:keepNext w:val="0"/>
            <w:keepLines w:val="0"/>
            <w:pageBreakBefore w:val="0"/>
            <w:widowControl w:val="0"/>
            <w:tabs>
              <w:tab w:val="right" w:leader="dot" w:pos="8821"/>
              <w:tab w:val="clear" w:pos="9628"/>
            </w:tabs>
            <w:kinsoku/>
            <w:wordWrap/>
            <w:overflowPunct/>
            <w:topLinePunct w:val="0"/>
            <w:autoSpaceDE/>
            <w:autoSpaceDN/>
            <w:bidi w:val="0"/>
            <w:adjustRightInd/>
            <w:snapToGrid/>
            <w:spacing w:line="34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HYPERLINK \l _Toc23346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五、项目经理</w:t>
          </w:r>
          <w:r>
            <w:rPr>
              <w:rFonts w:hint="eastAsia" w:ascii="宋体" w:hAnsi="宋体" w:eastAsia="宋体" w:cs="宋体"/>
              <w:b w:val="0"/>
              <w:color w:val="auto"/>
              <w:kern w:val="2"/>
              <w:sz w:val="21"/>
              <w:szCs w:val="21"/>
              <w:highlight w:val="none"/>
              <w:lang w:val="en-US" w:eastAsia="zh-CN" w:bidi="ar-SA"/>
            </w:rPr>
            <w:tab/>
          </w: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PAGEREF _Toc23346 \h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10</w:t>
          </w:r>
          <w:r>
            <w:rPr>
              <w:rFonts w:hint="eastAsia" w:ascii="宋体" w:hAnsi="宋体" w:eastAsia="宋体" w:cs="宋体"/>
              <w:b w:val="0"/>
              <w:color w:val="auto"/>
              <w:kern w:val="2"/>
              <w:sz w:val="21"/>
              <w:szCs w:val="21"/>
              <w:highlight w:val="none"/>
              <w:lang w:val="en-US" w:eastAsia="zh-CN" w:bidi="ar-SA"/>
            </w:rPr>
            <w:fldChar w:fldCharType="end"/>
          </w:r>
          <w:r>
            <w:rPr>
              <w:rFonts w:hint="eastAsia" w:ascii="宋体" w:hAnsi="宋体" w:eastAsia="宋体" w:cs="宋体"/>
              <w:b w:val="0"/>
              <w:color w:val="auto"/>
              <w:kern w:val="2"/>
              <w:sz w:val="21"/>
              <w:szCs w:val="21"/>
              <w:highlight w:val="none"/>
              <w:lang w:val="en-US" w:eastAsia="zh-CN" w:bidi="ar-SA"/>
            </w:rPr>
            <w:fldChar w:fldCharType="end"/>
          </w:r>
        </w:p>
        <w:p w14:paraId="01FA21E3">
          <w:pPr>
            <w:pStyle w:val="19"/>
            <w:keepNext w:val="0"/>
            <w:keepLines w:val="0"/>
            <w:pageBreakBefore w:val="0"/>
            <w:widowControl w:val="0"/>
            <w:tabs>
              <w:tab w:val="right" w:leader="dot" w:pos="8821"/>
              <w:tab w:val="clear" w:pos="9628"/>
            </w:tabs>
            <w:kinsoku/>
            <w:wordWrap/>
            <w:overflowPunct/>
            <w:topLinePunct w:val="0"/>
            <w:autoSpaceDE/>
            <w:autoSpaceDN/>
            <w:bidi w:val="0"/>
            <w:adjustRightInd/>
            <w:snapToGrid/>
            <w:spacing w:line="34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HYPERLINK \l _Toc31160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六、合同文件构成</w:t>
          </w:r>
          <w:r>
            <w:rPr>
              <w:rFonts w:hint="eastAsia" w:ascii="宋体" w:hAnsi="宋体" w:eastAsia="宋体" w:cs="宋体"/>
              <w:b w:val="0"/>
              <w:color w:val="auto"/>
              <w:kern w:val="2"/>
              <w:sz w:val="21"/>
              <w:szCs w:val="21"/>
              <w:highlight w:val="none"/>
              <w:lang w:val="en-US" w:eastAsia="zh-CN" w:bidi="ar-SA"/>
            </w:rPr>
            <w:tab/>
          </w: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PAGEREF _Toc31160 \h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10</w:t>
          </w:r>
          <w:r>
            <w:rPr>
              <w:rFonts w:hint="eastAsia" w:ascii="宋体" w:hAnsi="宋体" w:eastAsia="宋体" w:cs="宋体"/>
              <w:b w:val="0"/>
              <w:color w:val="auto"/>
              <w:kern w:val="2"/>
              <w:sz w:val="21"/>
              <w:szCs w:val="21"/>
              <w:highlight w:val="none"/>
              <w:lang w:val="en-US" w:eastAsia="zh-CN" w:bidi="ar-SA"/>
            </w:rPr>
            <w:fldChar w:fldCharType="end"/>
          </w:r>
          <w:r>
            <w:rPr>
              <w:rFonts w:hint="eastAsia" w:ascii="宋体" w:hAnsi="宋体" w:eastAsia="宋体" w:cs="宋体"/>
              <w:b w:val="0"/>
              <w:color w:val="auto"/>
              <w:kern w:val="2"/>
              <w:sz w:val="21"/>
              <w:szCs w:val="21"/>
              <w:highlight w:val="none"/>
              <w:lang w:val="en-US" w:eastAsia="zh-CN" w:bidi="ar-SA"/>
            </w:rPr>
            <w:fldChar w:fldCharType="end"/>
          </w:r>
        </w:p>
        <w:p w14:paraId="2F7B1E43">
          <w:pPr>
            <w:pStyle w:val="19"/>
            <w:keepNext w:val="0"/>
            <w:keepLines w:val="0"/>
            <w:pageBreakBefore w:val="0"/>
            <w:widowControl w:val="0"/>
            <w:tabs>
              <w:tab w:val="right" w:leader="dot" w:pos="8821"/>
              <w:tab w:val="clear" w:pos="9628"/>
            </w:tabs>
            <w:kinsoku/>
            <w:wordWrap/>
            <w:overflowPunct/>
            <w:topLinePunct w:val="0"/>
            <w:autoSpaceDE/>
            <w:autoSpaceDN/>
            <w:bidi w:val="0"/>
            <w:adjustRightInd/>
            <w:snapToGrid/>
            <w:spacing w:line="34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HYPERLINK \l _Toc18982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七、承诺</w:t>
          </w:r>
          <w:r>
            <w:rPr>
              <w:rFonts w:hint="eastAsia" w:ascii="宋体" w:hAnsi="宋体" w:eastAsia="宋体" w:cs="宋体"/>
              <w:b w:val="0"/>
              <w:color w:val="auto"/>
              <w:kern w:val="2"/>
              <w:sz w:val="21"/>
              <w:szCs w:val="21"/>
              <w:highlight w:val="none"/>
              <w:lang w:val="en-US" w:eastAsia="zh-CN" w:bidi="ar-SA"/>
            </w:rPr>
            <w:tab/>
          </w: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PAGEREF _Toc18982 \h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10</w:t>
          </w:r>
          <w:r>
            <w:rPr>
              <w:rFonts w:hint="eastAsia" w:ascii="宋体" w:hAnsi="宋体" w:eastAsia="宋体" w:cs="宋体"/>
              <w:b w:val="0"/>
              <w:color w:val="auto"/>
              <w:kern w:val="2"/>
              <w:sz w:val="21"/>
              <w:szCs w:val="21"/>
              <w:highlight w:val="none"/>
              <w:lang w:val="en-US" w:eastAsia="zh-CN" w:bidi="ar-SA"/>
            </w:rPr>
            <w:fldChar w:fldCharType="end"/>
          </w:r>
          <w:r>
            <w:rPr>
              <w:rFonts w:hint="eastAsia" w:ascii="宋体" w:hAnsi="宋体" w:eastAsia="宋体" w:cs="宋体"/>
              <w:b w:val="0"/>
              <w:color w:val="auto"/>
              <w:kern w:val="2"/>
              <w:sz w:val="21"/>
              <w:szCs w:val="21"/>
              <w:highlight w:val="none"/>
              <w:lang w:val="en-US" w:eastAsia="zh-CN" w:bidi="ar-SA"/>
            </w:rPr>
            <w:fldChar w:fldCharType="end"/>
          </w:r>
        </w:p>
        <w:p w14:paraId="4713C71F">
          <w:pPr>
            <w:pStyle w:val="19"/>
            <w:keepNext w:val="0"/>
            <w:keepLines w:val="0"/>
            <w:pageBreakBefore w:val="0"/>
            <w:widowControl w:val="0"/>
            <w:tabs>
              <w:tab w:val="right" w:leader="dot" w:pos="8821"/>
              <w:tab w:val="clear" w:pos="9628"/>
            </w:tabs>
            <w:kinsoku/>
            <w:wordWrap/>
            <w:overflowPunct/>
            <w:topLinePunct w:val="0"/>
            <w:autoSpaceDE/>
            <w:autoSpaceDN/>
            <w:bidi w:val="0"/>
            <w:adjustRightInd/>
            <w:snapToGrid/>
            <w:spacing w:line="34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HYPERLINK \l _Toc5703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八、词语含义</w:t>
          </w:r>
          <w:r>
            <w:rPr>
              <w:rFonts w:hint="eastAsia" w:ascii="宋体" w:hAnsi="宋体" w:eastAsia="宋体" w:cs="宋体"/>
              <w:b w:val="0"/>
              <w:color w:val="auto"/>
              <w:kern w:val="2"/>
              <w:sz w:val="21"/>
              <w:szCs w:val="21"/>
              <w:highlight w:val="none"/>
              <w:lang w:val="en-US" w:eastAsia="zh-CN" w:bidi="ar-SA"/>
            </w:rPr>
            <w:tab/>
          </w: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PAGEREF _Toc5703 \h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10</w:t>
          </w:r>
          <w:r>
            <w:rPr>
              <w:rFonts w:hint="eastAsia" w:ascii="宋体" w:hAnsi="宋体" w:eastAsia="宋体" w:cs="宋体"/>
              <w:b w:val="0"/>
              <w:color w:val="auto"/>
              <w:kern w:val="2"/>
              <w:sz w:val="21"/>
              <w:szCs w:val="21"/>
              <w:highlight w:val="none"/>
              <w:lang w:val="en-US" w:eastAsia="zh-CN" w:bidi="ar-SA"/>
            </w:rPr>
            <w:fldChar w:fldCharType="end"/>
          </w:r>
          <w:r>
            <w:rPr>
              <w:rFonts w:hint="eastAsia" w:ascii="宋体" w:hAnsi="宋体" w:eastAsia="宋体" w:cs="宋体"/>
              <w:b w:val="0"/>
              <w:color w:val="auto"/>
              <w:kern w:val="2"/>
              <w:sz w:val="21"/>
              <w:szCs w:val="21"/>
              <w:highlight w:val="none"/>
              <w:lang w:val="en-US" w:eastAsia="zh-CN" w:bidi="ar-SA"/>
            </w:rPr>
            <w:fldChar w:fldCharType="end"/>
          </w:r>
        </w:p>
        <w:p w14:paraId="4797DFFA">
          <w:pPr>
            <w:pStyle w:val="19"/>
            <w:keepNext w:val="0"/>
            <w:keepLines w:val="0"/>
            <w:pageBreakBefore w:val="0"/>
            <w:widowControl w:val="0"/>
            <w:tabs>
              <w:tab w:val="right" w:leader="dot" w:pos="8821"/>
              <w:tab w:val="clear" w:pos="9628"/>
            </w:tabs>
            <w:kinsoku/>
            <w:wordWrap/>
            <w:overflowPunct/>
            <w:topLinePunct w:val="0"/>
            <w:autoSpaceDE/>
            <w:autoSpaceDN/>
            <w:bidi w:val="0"/>
            <w:adjustRightInd/>
            <w:snapToGrid/>
            <w:spacing w:line="34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HYPERLINK \l _Toc30035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九、签订时间</w:t>
          </w:r>
          <w:r>
            <w:rPr>
              <w:rFonts w:hint="eastAsia" w:ascii="宋体" w:hAnsi="宋体" w:eastAsia="宋体" w:cs="宋体"/>
              <w:b w:val="0"/>
              <w:color w:val="auto"/>
              <w:kern w:val="2"/>
              <w:sz w:val="21"/>
              <w:szCs w:val="21"/>
              <w:highlight w:val="none"/>
              <w:lang w:val="en-US" w:eastAsia="zh-CN" w:bidi="ar-SA"/>
            </w:rPr>
            <w:tab/>
          </w: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PAGEREF _Toc30035 \h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11</w:t>
          </w:r>
          <w:r>
            <w:rPr>
              <w:rFonts w:hint="eastAsia" w:ascii="宋体" w:hAnsi="宋体" w:eastAsia="宋体" w:cs="宋体"/>
              <w:b w:val="0"/>
              <w:color w:val="auto"/>
              <w:kern w:val="2"/>
              <w:sz w:val="21"/>
              <w:szCs w:val="21"/>
              <w:highlight w:val="none"/>
              <w:lang w:val="en-US" w:eastAsia="zh-CN" w:bidi="ar-SA"/>
            </w:rPr>
            <w:fldChar w:fldCharType="end"/>
          </w:r>
          <w:r>
            <w:rPr>
              <w:rFonts w:hint="eastAsia" w:ascii="宋体" w:hAnsi="宋体" w:eastAsia="宋体" w:cs="宋体"/>
              <w:b w:val="0"/>
              <w:color w:val="auto"/>
              <w:kern w:val="2"/>
              <w:sz w:val="21"/>
              <w:szCs w:val="21"/>
              <w:highlight w:val="none"/>
              <w:lang w:val="en-US" w:eastAsia="zh-CN" w:bidi="ar-SA"/>
            </w:rPr>
            <w:fldChar w:fldCharType="end"/>
          </w:r>
        </w:p>
        <w:p w14:paraId="411E13BE">
          <w:pPr>
            <w:pStyle w:val="19"/>
            <w:keepNext w:val="0"/>
            <w:keepLines w:val="0"/>
            <w:pageBreakBefore w:val="0"/>
            <w:widowControl w:val="0"/>
            <w:tabs>
              <w:tab w:val="right" w:leader="dot" w:pos="8821"/>
              <w:tab w:val="clear" w:pos="9628"/>
            </w:tabs>
            <w:kinsoku/>
            <w:wordWrap/>
            <w:overflowPunct/>
            <w:topLinePunct w:val="0"/>
            <w:autoSpaceDE/>
            <w:autoSpaceDN/>
            <w:bidi w:val="0"/>
            <w:adjustRightInd/>
            <w:snapToGrid/>
            <w:spacing w:line="34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HYPERLINK \l _Toc23251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十、签订地点</w:t>
          </w:r>
          <w:r>
            <w:rPr>
              <w:rFonts w:hint="eastAsia" w:ascii="宋体" w:hAnsi="宋体" w:eastAsia="宋体" w:cs="宋体"/>
              <w:b w:val="0"/>
              <w:color w:val="auto"/>
              <w:kern w:val="2"/>
              <w:sz w:val="21"/>
              <w:szCs w:val="21"/>
              <w:highlight w:val="none"/>
              <w:lang w:val="en-US" w:eastAsia="zh-CN" w:bidi="ar-SA"/>
            </w:rPr>
            <w:tab/>
          </w: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PAGEREF _Toc23251 \h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11</w:t>
          </w:r>
          <w:r>
            <w:rPr>
              <w:rFonts w:hint="eastAsia" w:ascii="宋体" w:hAnsi="宋体" w:eastAsia="宋体" w:cs="宋体"/>
              <w:b w:val="0"/>
              <w:color w:val="auto"/>
              <w:kern w:val="2"/>
              <w:sz w:val="21"/>
              <w:szCs w:val="21"/>
              <w:highlight w:val="none"/>
              <w:lang w:val="en-US" w:eastAsia="zh-CN" w:bidi="ar-SA"/>
            </w:rPr>
            <w:fldChar w:fldCharType="end"/>
          </w:r>
          <w:r>
            <w:rPr>
              <w:rFonts w:hint="eastAsia" w:ascii="宋体" w:hAnsi="宋体" w:eastAsia="宋体" w:cs="宋体"/>
              <w:b w:val="0"/>
              <w:color w:val="auto"/>
              <w:kern w:val="2"/>
              <w:sz w:val="21"/>
              <w:szCs w:val="21"/>
              <w:highlight w:val="none"/>
              <w:lang w:val="en-US" w:eastAsia="zh-CN" w:bidi="ar-SA"/>
            </w:rPr>
            <w:fldChar w:fldCharType="end"/>
          </w:r>
        </w:p>
        <w:p w14:paraId="4434FB45">
          <w:pPr>
            <w:pStyle w:val="19"/>
            <w:keepNext w:val="0"/>
            <w:keepLines w:val="0"/>
            <w:pageBreakBefore w:val="0"/>
            <w:widowControl w:val="0"/>
            <w:tabs>
              <w:tab w:val="right" w:leader="dot" w:pos="8821"/>
              <w:tab w:val="clear" w:pos="9628"/>
            </w:tabs>
            <w:kinsoku/>
            <w:wordWrap/>
            <w:overflowPunct/>
            <w:topLinePunct w:val="0"/>
            <w:autoSpaceDE/>
            <w:autoSpaceDN/>
            <w:bidi w:val="0"/>
            <w:adjustRightInd/>
            <w:snapToGrid/>
            <w:spacing w:line="34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HYPERLINK \l _Toc31639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十一、补充协议</w:t>
          </w:r>
          <w:r>
            <w:rPr>
              <w:rFonts w:hint="eastAsia" w:ascii="宋体" w:hAnsi="宋体" w:eastAsia="宋体" w:cs="宋体"/>
              <w:b w:val="0"/>
              <w:color w:val="auto"/>
              <w:kern w:val="2"/>
              <w:sz w:val="21"/>
              <w:szCs w:val="21"/>
              <w:highlight w:val="none"/>
              <w:lang w:val="en-US" w:eastAsia="zh-CN" w:bidi="ar-SA"/>
            </w:rPr>
            <w:tab/>
          </w: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PAGEREF _Toc31639 \h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11</w:t>
          </w:r>
          <w:r>
            <w:rPr>
              <w:rFonts w:hint="eastAsia" w:ascii="宋体" w:hAnsi="宋体" w:eastAsia="宋体" w:cs="宋体"/>
              <w:b w:val="0"/>
              <w:color w:val="auto"/>
              <w:kern w:val="2"/>
              <w:sz w:val="21"/>
              <w:szCs w:val="21"/>
              <w:highlight w:val="none"/>
              <w:lang w:val="en-US" w:eastAsia="zh-CN" w:bidi="ar-SA"/>
            </w:rPr>
            <w:fldChar w:fldCharType="end"/>
          </w:r>
          <w:r>
            <w:rPr>
              <w:rFonts w:hint="eastAsia" w:ascii="宋体" w:hAnsi="宋体" w:eastAsia="宋体" w:cs="宋体"/>
              <w:b w:val="0"/>
              <w:color w:val="auto"/>
              <w:kern w:val="2"/>
              <w:sz w:val="21"/>
              <w:szCs w:val="21"/>
              <w:highlight w:val="none"/>
              <w:lang w:val="en-US" w:eastAsia="zh-CN" w:bidi="ar-SA"/>
            </w:rPr>
            <w:fldChar w:fldCharType="end"/>
          </w:r>
        </w:p>
        <w:p w14:paraId="689595E1">
          <w:pPr>
            <w:pStyle w:val="19"/>
            <w:keepNext w:val="0"/>
            <w:keepLines w:val="0"/>
            <w:pageBreakBefore w:val="0"/>
            <w:widowControl w:val="0"/>
            <w:tabs>
              <w:tab w:val="right" w:leader="dot" w:pos="8821"/>
              <w:tab w:val="clear" w:pos="9628"/>
            </w:tabs>
            <w:kinsoku/>
            <w:wordWrap/>
            <w:overflowPunct/>
            <w:topLinePunct w:val="0"/>
            <w:autoSpaceDE/>
            <w:autoSpaceDN/>
            <w:bidi w:val="0"/>
            <w:adjustRightInd/>
            <w:snapToGrid/>
            <w:spacing w:line="34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HYPERLINK \l _Toc23027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十二、合同生效</w:t>
          </w:r>
          <w:r>
            <w:rPr>
              <w:rFonts w:hint="eastAsia" w:ascii="宋体" w:hAnsi="宋体" w:eastAsia="宋体" w:cs="宋体"/>
              <w:b w:val="0"/>
              <w:color w:val="auto"/>
              <w:kern w:val="2"/>
              <w:sz w:val="21"/>
              <w:szCs w:val="21"/>
              <w:highlight w:val="none"/>
              <w:lang w:val="en-US" w:eastAsia="zh-CN" w:bidi="ar-SA"/>
            </w:rPr>
            <w:tab/>
          </w: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PAGEREF _Toc23027 \h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11</w:t>
          </w:r>
          <w:r>
            <w:rPr>
              <w:rFonts w:hint="eastAsia" w:ascii="宋体" w:hAnsi="宋体" w:eastAsia="宋体" w:cs="宋体"/>
              <w:b w:val="0"/>
              <w:color w:val="auto"/>
              <w:kern w:val="2"/>
              <w:sz w:val="21"/>
              <w:szCs w:val="21"/>
              <w:highlight w:val="none"/>
              <w:lang w:val="en-US" w:eastAsia="zh-CN" w:bidi="ar-SA"/>
            </w:rPr>
            <w:fldChar w:fldCharType="end"/>
          </w:r>
          <w:r>
            <w:rPr>
              <w:rFonts w:hint="eastAsia" w:ascii="宋体" w:hAnsi="宋体" w:eastAsia="宋体" w:cs="宋体"/>
              <w:b w:val="0"/>
              <w:color w:val="auto"/>
              <w:kern w:val="2"/>
              <w:sz w:val="21"/>
              <w:szCs w:val="21"/>
              <w:highlight w:val="none"/>
              <w:lang w:val="en-US" w:eastAsia="zh-CN" w:bidi="ar-SA"/>
            </w:rPr>
            <w:fldChar w:fldCharType="end"/>
          </w:r>
        </w:p>
        <w:p w14:paraId="3D30E36F">
          <w:pPr>
            <w:pStyle w:val="19"/>
            <w:keepNext w:val="0"/>
            <w:keepLines w:val="0"/>
            <w:pageBreakBefore w:val="0"/>
            <w:widowControl w:val="0"/>
            <w:tabs>
              <w:tab w:val="right" w:leader="dot" w:pos="8821"/>
              <w:tab w:val="clear" w:pos="9628"/>
            </w:tabs>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HYPERLINK \l _Toc8085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十三、合同份数</w:t>
          </w:r>
          <w:r>
            <w:rPr>
              <w:rFonts w:hint="eastAsia" w:ascii="宋体" w:hAnsi="宋体" w:eastAsia="宋体" w:cs="宋体"/>
              <w:b w:val="0"/>
              <w:color w:val="auto"/>
              <w:kern w:val="2"/>
              <w:sz w:val="21"/>
              <w:szCs w:val="21"/>
              <w:highlight w:val="none"/>
              <w:lang w:val="en-US" w:eastAsia="zh-CN" w:bidi="ar-SA"/>
            </w:rPr>
            <w:tab/>
          </w:r>
          <w:r>
            <w:rPr>
              <w:rFonts w:hint="eastAsia" w:ascii="宋体" w:hAnsi="宋体" w:eastAsia="宋体" w:cs="宋体"/>
              <w:b w:val="0"/>
              <w:color w:val="auto"/>
              <w:kern w:val="2"/>
              <w:sz w:val="21"/>
              <w:szCs w:val="21"/>
              <w:highlight w:val="none"/>
              <w:lang w:val="en-US" w:eastAsia="zh-CN" w:bidi="ar-SA"/>
            </w:rPr>
            <w:fldChar w:fldCharType="begin"/>
          </w:r>
          <w:r>
            <w:rPr>
              <w:rFonts w:hint="eastAsia" w:ascii="宋体" w:hAnsi="宋体" w:eastAsia="宋体" w:cs="宋体"/>
              <w:b w:val="0"/>
              <w:color w:val="auto"/>
              <w:kern w:val="2"/>
              <w:sz w:val="21"/>
              <w:szCs w:val="21"/>
              <w:highlight w:val="none"/>
              <w:lang w:val="en-US" w:eastAsia="zh-CN" w:bidi="ar-SA"/>
            </w:rPr>
            <w:instrText xml:space="preserve"> PAGEREF _Toc8085 \h </w:instrText>
          </w:r>
          <w:r>
            <w:rPr>
              <w:rFonts w:hint="eastAsia" w:ascii="宋体" w:hAnsi="宋体" w:eastAsia="宋体" w:cs="宋体"/>
              <w:b w:val="0"/>
              <w:color w:val="auto"/>
              <w:kern w:val="2"/>
              <w:sz w:val="21"/>
              <w:szCs w:val="21"/>
              <w:highlight w:val="none"/>
              <w:lang w:val="en-US" w:eastAsia="zh-CN" w:bidi="ar-SA"/>
            </w:rPr>
            <w:fldChar w:fldCharType="separate"/>
          </w:r>
          <w:r>
            <w:rPr>
              <w:rFonts w:hint="eastAsia" w:ascii="宋体" w:hAnsi="宋体" w:eastAsia="宋体" w:cs="宋体"/>
              <w:b w:val="0"/>
              <w:color w:val="auto"/>
              <w:kern w:val="2"/>
              <w:sz w:val="21"/>
              <w:szCs w:val="21"/>
              <w:highlight w:val="none"/>
              <w:lang w:val="en-US" w:eastAsia="zh-CN" w:bidi="ar-SA"/>
            </w:rPr>
            <w:t>11</w:t>
          </w:r>
          <w:r>
            <w:rPr>
              <w:rFonts w:hint="eastAsia" w:ascii="宋体" w:hAnsi="宋体" w:eastAsia="宋体" w:cs="宋体"/>
              <w:b w:val="0"/>
              <w:color w:val="auto"/>
              <w:kern w:val="2"/>
              <w:sz w:val="21"/>
              <w:szCs w:val="21"/>
              <w:highlight w:val="none"/>
              <w:lang w:val="en-US" w:eastAsia="zh-CN" w:bidi="ar-SA"/>
            </w:rPr>
            <w:fldChar w:fldCharType="end"/>
          </w:r>
          <w:r>
            <w:rPr>
              <w:rFonts w:hint="eastAsia" w:ascii="宋体" w:hAnsi="宋体" w:eastAsia="宋体" w:cs="宋体"/>
              <w:b w:val="0"/>
              <w:color w:val="auto"/>
              <w:kern w:val="2"/>
              <w:sz w:val="21"/>
              <w:szCs w:val="21"/>
              <w:highlight w:val="none"/>
              <w:lang w:val="en-US" w:eastAsia="zh-CN" w:bidi="ar-SA"/>
            </w:rPr>
            <w:fldChar w:fldCharType="end"/>
          </w:r>
        </w:p>
        <w:p w14:paraId="13AFA60F">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2"/>
              <w:sz w:val="21"/>
              <w:szCs w:val="21"/>
              <w:highlight w:val="none"/>
              <w:lang w:val="en-US" w:eastAsia="zh-CN" w:bidi="ar-SA"/>
            </w:rPr>
            <w:t>第二部分 通用合同条款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1BC3CAB">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_Toc27774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 一般约定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719FB52">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1.1词语定义与解释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7A3811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1.2语言文字</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9090FF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_Toc32131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1.3法律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_Toc32131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2C9415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_Toc30365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1.4 标准和规范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_Toc30365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AA4DDEF">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1.5 合同文件的优先顺序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0DDD9B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_Toc24062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1.6图纸和承包人文件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_Toc24062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216825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_Toc31543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1.7联络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_Toc31543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72967C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_Toc19705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1.8严禁贿赂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_Toc19705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F7C076F">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1.9化石、文物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D693C26">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_Toc31075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1.10交通运输</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_Toc31075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B4C60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_Toc21550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1.11知识产权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FDA173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_Toc13290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1.12保密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AA0E11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_Toc9423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1.13工程量清单错误的修正</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_Toc9423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3EDE852">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_Toc16518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 发包人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1B14D1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2.1 许可或批准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8325CC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_Toc32622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2.2 发包人代表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_Toc32622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52B9922">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_Toc14526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2.3 发包人人员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E99AA2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_Toc21129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2.4 施工现场、施工条件和基础资料的提供</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_Toc21129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264705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_Toc21222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2.5 资金来源证明及支付担保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F7EED14">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_Toc19394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2.6 支付合同价款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_Toc19394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8829C37">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2.7 组织竣工验收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864702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_Toc21160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2.8 现场统一管理协议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_Toc21160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CF60078">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_Toc14639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3. 承包人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_Toc14639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4D290C4">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_Toc9268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3.1 承包人的一般义务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FB9EC8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_Toc8398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3.2 项目经理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_Toc8398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9076E2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_Toc26037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3.3 承包人人员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_Toc26037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7843BFB">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_Toc19410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3.4 承包人现场查勘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_Toc19410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96DC0D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3.5 分包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CDFA8A7">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_Toc32599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3.6 工程照管与成品、半成品保护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_Toc32599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3DC1FBF">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_Toc9156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3.7 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_Toc9156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24D65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_Toc11485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3.8 联合体</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_Toc11485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CA41395">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_Toc7848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4. 监理人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FEDA67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_Toc4471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4.1监理人的一般规定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_Toc4471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853A305">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_Toc21031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4.2监理人员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_Toc21031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A624019">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4.3监理人的指示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_Toc12205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730198F">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4.4 商定或确定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0DB6130">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5. 工程质量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2A52C2">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_Toc31133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5.1质量要求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_Toc31133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2A59667">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_Toc26199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5.2质量保证措施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_Toc26199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643A338">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_Toc23466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5.3 隐蔽工程检查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_Toc23466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2318A7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_Toc20120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5.4不合格工程的处理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_Toc20120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2503B3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_Toc11462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5.5 质量争议检测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_Toc11462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E5EADB6">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_Toc7751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6. 安全文明施工与环境保护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_Toc7751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18B446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_Toc21207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6.1安全文明施工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7CDB265">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_Toc21085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6.2 职业健康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FC75498">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_Toc4826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6.3 环境保护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_Toc4826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81B7A22">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_Toc4135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7. 工期和进度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_Toc4135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BF1CEB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_Toc10273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7.1施工组织设计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_Toc10273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2ADA21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7.2 施工进度计划</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701C7C9">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7.3 开工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C587418">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_Toc18179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7.4测量放线</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_Toc18179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B9DF5C4">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7.5 工期延误</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003ACA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_Toc25235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7.6 不利物质条件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_Toc25235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394AEA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_Toc31112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7.7 异常恶劣的气候条件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_Toc31112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69E2B30">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7.8 暂停施工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5C48DF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7.9提前竣工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4C3D6B8">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_Toc14847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8. 材料与设备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_Toc14847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6A7B47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_Toc6996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8.1发包人供应材料与工程设备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_Toc6996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FE8017">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_Toc6487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8.2承包人采购材料与工程设备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_Toc6487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4A5A504">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8.3材料与工程设备的接收与拒收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B3D3215">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8.4材料与工程设备的保管与使用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ABC8A4B">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_Toc26006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8.5禁止使用不合格的材料和工程设备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_Toc26006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E5AC1A5">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_Toc7312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8.6 样品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_Toc7312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D8915D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_Toc31245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8.7材料与工程设备的替代</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18A4B3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_Toc8645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8.8施工设备和临时设施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91A3EEF">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_Toc21442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8.9材料与设备专用要求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_Toc21442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38031C8">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9. 试验与检验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177A546">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_Toc4428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9.1试验设备与试验人员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_Toc4428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F30961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_Toc26072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9.2取样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_Toc26072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40036E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_Toc12120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9.3材料、工程设备和工程的试验和检验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66FC676">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9.4现场工艺试验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7451E49">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_Toc25569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10. 变更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_Toc25569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B3451B7">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_Toc20995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10.1变更的范围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_Toc20995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F12E1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_Toc10331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10.2变更权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_Toc10331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34A8B5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10.3变更程序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C122406">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_Toc4615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10.4变更估价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A9D9E5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_Toc32099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10.5承包人的合理化建议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_Toc32099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F21EE6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_Toc20997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10.6变更引起的工期调整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_Toc20997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3F71422">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_Toc9201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10.7暂估价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76F4CA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_Toc17123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10.8暂列金额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EE31BF8">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_Toc23387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10.9计日工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_Toc23387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4B6D506">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_Toc22457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11. 价格调整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D968F2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_Toc24635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11.1市场价格波动引起的调整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_Toc24635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B6A6F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_Toc8468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11.2法律变化引起的调整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_Toc8468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528FB28">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12. 合同价格、计量与支付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07BDAA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_Toc32313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12.1 合同价格形式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_Toc32313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43AC1E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_Toc27378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12.2预付款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_Toc27378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BC83D7B">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12.3计量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2F26845">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12.4工程进度款支付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_Toc23780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A99A615">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_Toc17689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12.5支付账户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ACA3C91">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_Toc22185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13. 验收和工程试车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D17000F">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_Toc17565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13.1分部分项工程验收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_Toc17565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AC8D7C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_Toc20293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13.2竣工验收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_Toc20293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2A6725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_Toc15476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13.3工程试车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_Toc15476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D1627F2">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13.4提前交付单位工程的验收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36B02B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_Toc20822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13.5 施工期运行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_Toc20822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28894C2">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13.6 竣工退场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_Toc24744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FF8B2C4">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_Toc25309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14. 竣工结算</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_Toc25309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67F8E6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_Toc26288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14.1 竣工结算申请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_Toc26288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F524E57">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_Toc11025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14.2 竣工结算审核</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_Toc11025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8A6AC47">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_Toc24785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14.3 甩项竣工协议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_Toc24785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51A895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_Toc8088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14.4 最终结清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_Toc8088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47B3648">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_Toc18713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15. 缺陷责任与保修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D608046">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_Toc18757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15.1 工程保修的原则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FA6254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15.2 缺陷责任期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865714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_Toc11531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15.3 质量保证金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_Toc11531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39634C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_Toc31422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15.4 保修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_Toc31422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40673DB">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_Toc31138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16. 违约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_Toc31138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1D9011F">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_Toc11625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16.1 发包人违约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_Toc11625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1B5C612">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16.2 承包人违约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887A926">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16.3 第三人造成的违约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D61A1BC">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_Toc25693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17. 不可抗力</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F42F62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17.1 不可抗力的确认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BB73E18">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17.2 不可抗力的通知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8EE143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_Toc20695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17.3 不可抗力后果的承担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20BFF3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_Toc10952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17.4 因不可抗力解除合同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_Toc10952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5C729CB">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_Toc10280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18. 保险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_Toc10280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D1786C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18.1 工程保险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_Toc29475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03C0FE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_Toc23247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18.2 工伤保险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_Toc23247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D49A388">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_Toc21541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18.3其他保险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6FD56E9">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_Toc30853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18.4持续保险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_Toc30853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2A7E19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_Toc13804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18.5 保险凭证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2F686D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_Toc11026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18.6 未按约定投保的补救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_Toc11026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E01E06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_Toc31932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18.7 通知义务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F56E4F3">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19. 索赔</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853B3E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_Toc25540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19.1承包人的索赔</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_Toc25540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209D624">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_Toc3356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19.2 对承包人索赔的处理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_Toc3356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BF0B74B">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_Toc31531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19.3发包人的索赔</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_Toc31531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AE1A25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_Toc27177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19.4 对发包人索赔的处理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_Toc27177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FAE571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_Toc19296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19.5 提出索赔的期限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_Toc19296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6BFAA16">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_Toc20505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20. 争议解决</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_Toc20505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7FB0096">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_Toc28670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20.1和解</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_Toc28670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5A52B6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_Toc20625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20.2调解</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88AF2D2">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_Toc20166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20.3争议评审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_Toc20166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E803AA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_Toc4683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20.4仲裁或诉讼</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136B80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_Toc29567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20.5争议解决条款效力</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79E4DA0">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_Toc23046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2"/>
              <w:sz w:val="21"/>
              <w:szCs w:val="21"/>
              <w:highlight w:val="none"/>
              <w:lang w:val="en-US" w:eastAsia="zh-CN" w:bidi="ar-SA"/>
            </w:rPr>
            <w:t>第三部分专用合同条款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_Toc23046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250A86C">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1.一般约定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5CCF685">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_Toc23469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1.1词语定义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_Toc23469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73D6048">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_Toc21967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1.3法律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E7A2CA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_Toc7671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1.4标准和规范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_Toc7671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25BABD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_Toc8320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1.5合同文件的优先顺序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_Toc8320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F8CCFA5">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_Toc19414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1.6图纸和承包人文件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_Toc19414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75A0CD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_Toc9526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1.7联络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_Toc9526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CF7A09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_Toc27230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1.10交通运输</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_Toc27230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B5ECBEB">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_Toc15545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kern w:val="2"/>
              <w:sz w:val="21"/>
              <w:szCs w:val="21"/>
              <w:highlight w:val="none"/>
              <w:lang w:val="en-US" w:eastAsia="zh-CN" w:bidi="ar-SA"/>
            </w:rPr>
            <w:t>1.11知识产权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44E958">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_Toc24351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kern w:val="2"/>
              <w:sz w:val="21"/>
              <w:szCs w:val="21"/>
              <w:highlight w:val="none"/>
              <w:lang w:val="en-US" w:eastAsia="zh-CN" w:bidi="ar-SA"/>
            </w:rPr>
            <w:t>1.13工程量清单错误的修正</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_Toc24351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4192263">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_Toc28344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2.发包人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_Toc28344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2CB4A62">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_Toc20990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2.2发包人代表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_Toc20990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28A16B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_Toc20142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2.4施工现场、施工条件和基础资料的提供</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_Toc20142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9C76D2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2.5资金来源证明及支付担保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696B2E3">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_Toc27881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3.承包人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F79628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_Toc28648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3.1承包人的一般义务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_Toc28648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9B066F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_Toc25782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3.2项目经理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921183B">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_Toc20952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3.3承包人人员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_Toc20952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C07C95">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_Toc6402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3.5分包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_Toc6402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B82605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3.6工程照管与成品、半成品保护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0E16890">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_Toc31471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_Toc31471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F76ACBA">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_Toc15748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4.监理人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_Toc15748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87A22C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_Toc21043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4.1监理人的一般规定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0965E4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_Toc20046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4.2监理人员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_Toc20046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95DB5A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_Toc32051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4.4商定或确定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_Toc32051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91A5B62">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_Toc20946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5.工程质量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_Toc20946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4157788">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5.1质量要求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_Toc3899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65E575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_Toc18335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5.3隐蔽工程检查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_Toc18335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456F2D8">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_Toc9544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6.安全文明施工与环境保护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_Toc9544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D8ACB3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_Toc11710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6.1安全文明施工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_Toc11710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1B6C7A7">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7.工期和进度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_Toc20023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F99587">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_Toc9390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7.1施工组织设计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_Toc9390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0304C4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7.2施工进度计划</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2C044A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_Toc13341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7.3开工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_Toc13341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70712E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_Toc14007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7.4测量放线</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_Toc14007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514AAD7">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_Toc16022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7.5工期延误</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8EE6BB8">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_Toc28320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7.6不利物质条件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_Toc28320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766B410">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_Toc25472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7.7异常恶劣的气候条件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14066F2">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_Toc8727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7.9提前竣工的奖励</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_Toc8727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2F30DE9">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_Toc18970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8.材料与设备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_Toc18970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65DCF2D">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_Toc13419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8.4材料与工程设备的保管与使用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FC34FF">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_Toc25947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8.6样品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59E084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_Toc32269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8.8施工设备和临时设施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_Toc32269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A6C4AC7">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9.试验与检验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_Toc32742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E4D1EDB">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9.1试验设备与试验人员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73CA2D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_Toc6247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9.4现场工艺试验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_Toc6247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15708A9">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10.变更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_Toc15742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3728A72">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_Toc6679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11. 价格调整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_Toc6679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E96A22B">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_Toc27741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11.1市场价格波动引起的调整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049CD5F">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12.合同价格、计量与支付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_Toc6724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605D27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_Toc19350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12.1合同价格形式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_Toc19350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4A6AD17">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_Toc19198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12.2预付款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_Toc19198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04C141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12.3计量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E67AF8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_Toc5219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12.4工程进度款支付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_Toc5219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6AAD03">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13.验收和工程试车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_Toc13591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E5CD17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_Toc4385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13.1分部分项工程验收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A18F2D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13.2竣工验收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1A747E0">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_Toc20515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13.3工程试车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_Toc20515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66D73A3">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_Toc31729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13.6竣工退场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_Toc31729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FA7C24C">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 竣工结算</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DA0B4C5">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_Toc28552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14.1竣工结算申请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_Toc28552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4DB233E">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_Toc22074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14.2竣工结算审核</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_Toc22074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F69B55B">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_Toc18708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14.4最终结清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1998ABA">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_Toc14630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15.缺陷责任期与保修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_Toc14630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456DC56">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_Toc5829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15.2缺陷责任期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_Toc5829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1475514">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_Toc7511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15.3质量保证金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_Toc7511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5C9B59C">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_Toc28802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15.4保修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_Toc28802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258D9C2">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_Toc13005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16.违约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_Toc13005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5E842C5">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_Toc10039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16.1发包人违约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19AB935">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16.2承包人违约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79318A9">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_Toc31656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17.不可抗力</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_Toc31656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F2449DA">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_Toc26118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17.1不可抗力的确认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F029BC1">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17.4因不可抗力解除合同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33F3DC">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_Toc20947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18.保险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_Toc20947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83F7F98">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_Toc11758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18.1工程保险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_Toc11758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4076DE7">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_Toc21096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18.3其他保险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5431C5B">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18.7通知义务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AAA81A8">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_Toc23474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20.争议解决</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_Toc23474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324CB37">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20.3争议评审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_Toc14221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8AD54F4">
          <w:pPr>
            <w:pStyle w:val="22"/>
            <w:tabs>
              <w:tab w:val="right" w:leader="dot" w:pos="8821"/>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_Toc16922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20.4仲裁或诉讼</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_Toc16922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AB3C4B9">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附件1：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87C84DB">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_Toc26526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附件2：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_Toc26526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249886">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附件3：</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E473E4C">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_Toc6805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附件4：</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D748482">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_Toc27256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附件5：</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_Toc27256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C99158F">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_Toc31617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附件6：</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_Toc31617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E355FB0">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附件7：</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D525567">
          <w:pPr>
            <w:pStyle w:val="19"/>
            <w:tabs>
              <w:tab w:val="right" w:leader="dot" w:pos="8821"/>
              <w:tab w:val="clear" w:pos="96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_Toc10922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附件8：</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_Toc10922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DDA4413">
          <w:pPr>
            <w:pStyle w:val="19"/>
            <w:tabs>
              <w:tab w:val="right" w:leader="dot" w:pos="8821"/>
              <w:tab w:val="clear" w:pos="9628"/>
            </w:tabs>
            <w:rPr>
              <w:rFonts w:hint="eastAsia" w:ascii="宋体" w:hAnsi="宋体" w:eastAsia="宋体" w:cs="宋体"/>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_Toc12394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en-US" w:eastAsia="zh-CN" w:bidi="ar-SA"/>
            </w:rPr>
            <w:t>附件9</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_Toc12394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C57E7A5">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bookmarkStart w:id="251" w:name="_Toc29569"/>
        </w:p>
      </w:sdtContent>
    </w:sdt>
    <w:p w14:paraId="7B9BE1C5">
      <w:pPr>
        <w:jc w:val="center"/>
        <w:rPr>
          <w:rFonts w:hint="eastAsia" w:ascii="宋体" w:hAnsi="宋体" w:eastAsia="宋体" w:cs="宋体"/>
          <w:b w:val="0"/>
          <w:color w:val="auto"/>
          <w:sz w:val="32"/>
          <w:szCs w:val="32"/>
          <w:highlight w:val="none"/>
        </w:rPr>
      </w:pPr>
      <w:r>
        <w:rPr>
          <w:rFonts w:hint="eastAsia" w:ascii="宋体" w:hAnsi="宋体" w:eastAsia="宋体" w:cs="宋体"/>
          <w:b/>
          <w:bCs/>
          <w:color w:val="auto"/>
          <w:kern w:val="2"/>
          <w:sz w:val="32"/>
          <w:szCs w:val="32"/>
          <w:highlight w:val="none"/>
          <w:u w:val="single"/>
          <w:lang w:val="en-US" w:eastAsia="zh-CN" w:bidi="ar-SA"/>
        </w:rPr>
        <w:t>第一部分合同协议书</w:t>
      </w:r>
      <w:bookmarkEnd w:id="251"/>
    </w:p>
    <w:p w14:paraId="18730973">
      <w:pPr>
        <w:pageBreakBefore w:val="0"/>
        <w:kinsoku/>
        <w:wordWrap/>
        <w:overflowPunct/>
        <w:topLinePunct w:val="0"/>
        <w:bidi w:val="0"/>
        <w:spacing w:line="440" w:lineRule="exact"/>
        <w:ind w:left="2168" w:hanging="2160" w:hangingChars="900"/>
        <w:textAlignment w:val="auto"/>
        <w:rPr>
          <w:rFonts w:hint="eastAsia" w:ascii="宋体" w:hAnsi="宋体" w:eastAsia="宋体" w:cs="宋体"/>
          <w:b/>
          <w:color w:val="auto"/>
          <w:sz w:val="24"/>
          <w:highlight w:val="none"/>
          <w:u w:val="single"/>
          <w:lang w:val="en-US" w:eastAsia="zh-CN"/>
        </w:rPr>
      </w:pPr>
      <w:r>
        <w:rPr>
          <w:rFonts w:hint="eastAsia" w:ascii="宋体" w:hAnsi="宋体" w:eastAsia="宋体" w:cs="宋体"/>
          <w:b/>
          <w:color w:val="auto"/>
          <w:sz w:val="24"/>
          <w:highlight w:val="none"/>
        </w:rPr>
        <w:t>发包人（全称）：</w:t>
      </w:r>
      <w:r>
        <w:rPr>
          <w:rFonts w:hint="eastAsia" w:ascii="宋体" w:hAnsi="宋体" w:eastAsia="宋体" w:cs="宋体"/>
          <w:b/>
          <w:color w:val="auto"/>
          <w:sz w:val="24"/>
          <w:highlight w:val="none"/>
          <w:u w:val="single"/>
          <w:lang w:val="en-US" w:eastAsia="zh-CN"/>
        </w:rPr>
        <w:t>乌鲁木齐市天山区城市管理局（乌鲁木齐市天山区城市管理行政执</w:t>
      </w:r>
    </w:p>
    <w:p w14:paraId="1DF24B2E">
      <w:pPr>
        <w:pageBreakBefore w:val="0"/>
        <w:kinsoku/>
        <w:wordWrap/>
        <w:overflowPunct/>
        <w:topLinePunct w:val="0"/>
        <w:bidi w:val="0"/>
        <w:spacing w:line="440" w:lineRule="exact"/>
        <w:ind w:left="2161" w:leftChars="915" w:hanging="240" w:hangingChars="100"/>
        <w:textAlignment w:val="auto"/>
        <w:rPr>
          <w:rFonts w:hint="eastAsia"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u w:val="single"/>
          <w:lang w:val="en-US" w:eastAsia="zh-CN"/>
        </w:rPr>
        <w:t>法局）</w:t>
      </w:r>
    </w:p>
    <w:p w14:paraId="742F4689">
      <w:pPr>
        <w:pageBreakBefore w:val="0"/>
        <w:kinsoku/>
        <w:wordWrap/>
        <w:overflowPunct/>
        <w:topLinePunct w:val="0"/>
        <w:bidi w:val="0"/>
        <w:spacing w:line="440" w:lineRule="exact"/>
        <w:textAlignment w:val="auto"/>
        <w:rPr>
          <w:rFonts w:hint="eastAsia" w:ascii="宋体" w:hAnsi="宋体" w:eastAsia="宋体" w:cs="宋体"/>
          <w:b/>
          <w:color w:val="auto"/>
          <w:sz w:val="24"/>
          <w:highlight w:val="none"/>
          <w:u w:val="single"/>
          <w:lang w:val="en-US" w:eastAsia="zh-CN"/>
        </w:rPr>
      </w:pPr>
      <w:r>
        <w:rPr>
          <w:rFonts w:hint="eastAsia" w:ascii="宋体" w:hAnsi="宋体" w:eastAsia="宋体" w:cs="宋体"/>
          <w:b/>
          <w:color w:val="auto"/>
          <w:sz w:val="24"/>
          <w:highlight w:val="none"/>
        </w:rPr>
        <w:t>承包人（全称）：</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u w:val="single"/>
          <w:lang w:val="en-US" w:eastAsia="zh-CN"/>
        </w:rPr>
        <w:t xml:space="preserve">                                </w:t>
      </w:r>
    </w:p>
    <w:p w14:paraId="38890BEC">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4"/>
          <w:highlight w:val="none"/>
          <w:u w:val="single"/>
          <w:lang w:eastAsia="zh-CN"/>
        </w:rPr>
        <w:t>2025年天山区市政道路附属公共消防设施日常维护项目</w:t>
      </w:r>
      <w:r>
        <w:rPr>
          <w:rFonts w:hint="eastAsia" w:ascii="宋体" w:hAnsi="宋体" w:eastAsia="宋体" w:cs="宋体"/>
          <w:color w:val="auto"/>
          <w:sz w:val="24"/>
          <w:highlight w:val="none"/>
        </w:rPr>
        <w:t>施工及有关事项协商一致，共同达成如下协议：</w:t>
      </w:r>
    </w:p>
    <w:p w14:paraId="344E102E">
      <w:pPr>
        <w:pStyle w:val="7"/>
        <w:pageBreakBefore w:val="0"/>
        <w:kinsoku/>
        <w:wordWrap/>
        <w:overflowPunct/>
        <w:topLinePunct w:val="0"/>
        <w:bidi w:val="0"/>
        <w:spacing w:before="0" w:after="0" w:line="440" w:lineRule="exact"/>
        <w:textAlignment w:val="auto"/>
        <w:outlineLvl w:val="0"/>
        <w:rPr>
          <w:rFonts w:hint="eastAsia" w:ascii="宋体" w:hAnsi="宋体" w:eastAsia="宋体" w:cs="宋体"/>
          <w:bCs w:val="0"/>
          <w:color w:val="auto"/>
          <w:sz w:val="32"/>
          <w:szCs w:val="32"/>
          <w:highlight w:val="none"/>
        </w:rPr>
      </w:pPr>
      <w:bookmarkStart w:id="252" w:name="_Toc22939"/>
      <w:bookmarkStart w:id="253" w:name="_Toc8039"/>
      <w:r>
        <w:rPr>
          <w:rFonts w:hint="eastAsia" w:ascii="宋体" w:hAnsi="宋体" w:eastAsia="宋体" w:cs="宋体"/>
          <w:b w:val="0"/>
          <w:color w:val="auto"/>
          <w:highlight w:val="none"/>
        </w:rPr>
        <w:t>一、工程概况</w:t>
      </w:r>
      <w:bookmarkEnd w:id="252"/>
      <w:bookmarkEnd w:id="253"/>
    </w:p>
    <w:p w14:paraId="22F0C83E">
      <w:pPr>
        <w:pageBreakBefore w:val="0"/>
        <w:kinsoku/>
        <w:wordWrap/>
        <w:overflowPunct/>
        <w:topLinePunct w:val="0"/>
        <w:bidi w:val="0"/>
        <w:spacing w:line="440" w:lineRule="exact"/>
        <w:ind w:left="1920" w:leftChars="228" w:hanging="1442" w:hangingChars="601"/>
        <w:textAlignment w:val="auto"/>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rPr>
        <w:t>1.工程名称</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u w:val="single"/>
          <w:lang w:val="en-US" w:eastAsia="zh-CN"/>
        </w:rPr>
        <w:t>2025年天山区市政道路附属公共消防设施日常维护项目</w:t>
      </w:r>
      <w:r>
        <w:rPr>
          <w:rFonts w:hint="eastAsia" w:ascii="宋体" w:hAnsi="宋体" w:eastAsia="宋体" w:cs="宋体"/>
          <w:color w:val="auto"/>
          <w:sz w:val="24"/>
          <w:highlight w:val="none"/>
        </w:rPr>
        <w:t>。</w:t>
      </w:r>
    </w:p>
    <w:p w14:paraId="0FB45790">
      <w:pPr>
        <w:pageBreakBefore w:val="0"/>
        <w:kinsoku/>
        <w:wordWrap/>
        <w:overflowPunct/>
        <w:topLinePunct w:val="0"/>
        <w:bidi w:val="0"/>
        <w:spacing w:line="440" w:lineRule="exact"/>
        <w:ind w:firstLine="470" w:firstLineChars="196"/>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2.工程地点：</w:t>
      </w:r>
      <w:r>
        <w:rPr>
          <w:rFonts w:hint="eastAsia" w:ascii="宋体" w:hAnsi="宋体" w:eastAsia="宋体" w:cs="宋体"/>
          <w:color w:val="auto"/>
          <w:sz w:val="24"/>
          <w:highlight w:val="none"/>
          <w:u w:val="single"/>
          <w:lang w:eastAsia="zh-CN"/>
        </w:rPr>
        <w:t>乌鲁木齐</w:t>
      </w:r>
      <w:r>
        <w:rPr>
          <w:rFonts w:hint="eastAsia" w:ascii="宋体" w:hAnsi="宋体" w:eastAsia="宋体" w:cs="宋体"/>
          <w:color w:val="auto"/>
          <w:sz w:val="24"/>
          <w:highlight w:val="none"/>
          <w:u w:val="single"/>
          <w:lang w:val="en-US" w:eastAsia="zh-CN"/>
        </w:rPr>
        <w:t>天山区辖区内</w:t>
      </w:r>
      <w:r>
        <w:rPr>
          <w:rFonts w:hint="eastAsia" w:ascii="宋体" w:hAnsi="宋体" w:eastAsia="宋体" w:cs="宋体"/>
          <w:color w:val="auto"/>
          <w:sz w:val="24"/>
          <w:highlight w:val="none"/>
        </w:rPr>
        <w:t>。</w:t>
      </w:r>
    </w:p>
    <w:p w14:paraId="556D192A">
      <w:pPr>
        <w:pageBreakBefore w:val="0"/>
        <w:kinsoku/>
        <w:wordWrap/>
        <w:overflowPunct/>
        <w:topLinePunct w:val="0"/>
        <w:bidi w:val="0"/>
        <w:spacing w:line="440" w:lineRule="exact"/>
        <w:ind w:firstLine="470" w:firstLineChars="196"/>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3.工程立项批准文号：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Cs/>
          <w:color w:val="auto"/>
          <w:sz w:val="24"/>
          <w:highlight w:val="none"/>
        </w:rPr>
        <w:t>。</w:t>
      </w:r>
    </w:p>
    <w:p w14:paraId="509D71E4">
      <w:pPr>
        <w:pageBreakBefore w:val="0"/>
        <w:kinsoku/>
        <w:wordWrap/>
        <w:overflowPunct/>
        <w:topLinePunct w:val="0"/>
        <w:bidi w:val="0"/>
        <w:spacing w:line="440" w:lineRule="exact"/>
        <w:ind w:firstLine="470" w:firstLineChars="196"/>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4.资金来源：</w:t>
      </w:r>
      <w:r>
        <w:rPr>
          <w:rFonts w:hint="eastAsia" w:ascii="宋体" w:hAnsi="宋体" w:eastAsia="宋体" w:cs="宋体"/>
          <w:bCs/>
          <w:color w:val="auto"/>
          <w:sz w:val="24"/>
          <w:highlight w:val="none"/>
          <w:u w:val="single"/>
        </w:rPr>
        <w:t>区财政配套</w:t>
      </w:r>
      <w:r>
        <w:rPr>
          <w:rFonts w:hint="eastAsia" w:ascii="宋体" w:hAnsi="宋体" w:eastAsia="宋体" w:cs="宋体"/>
          <w:bCs/>
          <w:color w:val="auto"/>
          <w:sz w:val="24"/>
          <w:highlight w:val="none"/>
        </w:rPr>
        <w:t>。</w:t>
      </w:r>
    </w:p>
    <w:p w14:paraId="1C99924F">
      <w:pPr>
        <w:pageBreakBefore w:val="0"/>
        <w:kinsoku/>
        <w:wordWrap/>
        <w:overflowPunct/>
        <w:topLinePunct w:val="0"/>
        <w:bidi w:val="0"/>
        <w:spacing w:line="440" w:lineRule="exact"/>
        <w:ind w:firstLine="470" w:firstLineChars="196"/>
        <w:textAlignment w:val="auto"/>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5.工程内容：</w:t>
      </w:r>
      <w:r>
        <w:rPr>
          <w:rFonts w:hint="eastAsia" w:ascii="宋体" w:hAnsi="宋体" w:cs="宋体"/>
          <w:color w:val="auto"/>
          <w:sz w:val="24"/>
          <w:highlight w:val="none"/>
          <w:u w:val="single"/>
          <w:lang w:eastAsia="zh-CN"/>
        </w:rPr>
        <w:t>重点对辖区内29座消防水鹤、468座消火栓及后续移交市政道路的消防设施实施维修维护工作，包括更换零部件、维修消防设施、抽排消火栓井积水、清掏杂物与除锈等日常维护工作。</w:t>
      </w:r>
    </w:p>
    <w:p w14:paraId="2D871CFE">
      <w:pPr>
        <w:pageBreakBefore w:val="0"/>
        <w:kinsoku/>
        <w:wordWrap/>
        <w:overflowPunct/>
        <w:topLinePunct w:val="0"/>
        <w:bidi w:val="0"/>
        <w:spacing w:line="440" w:lineRule="exact"/>
        <w:ind w:firstLine="470" w:firstLineChars="196"/>
        <w:textAlignment w:val="auto"/>
        <w:outlineLvl w:val="9"/>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6.工程承包范围：</w:t>
      </w:r>
      <w:r>
        <w:rPr>
          <w:rFonts w:hint="eastAsia" w:ascii="宋体" w:hAnsi="宋体" w:eastAsia="宋体" w:cs="宋体"/>
          <w:bCs/>
          <w:color w:val="auto"/>
          <w:sz w:val="24"/>
          <w:highlight w:val="none"/>
          <w:u w:val="single"/>
          <w:lang w:val="en-US" w:eastAsia="zh-CN"/>
        </w:rPr>
        <w:t xml:space="preserve"> 天山区辖区内29</w:t>
      </w:r>
      <w:r>
        <w:rPr>
          <w:rFonts w:hint="eastAsia" w:ascii="宋体" w:hAnsi="宋体" w:eastAsia="宋体" w:cs="宋体"/>
          <w:bCs/>
          <w:color w:val="auto"/>
          <w:sz w:val="24"/>
          <w:highlight w:val="none"/>
          <w:u w:val="single"/>
        </w:rPr>
        <w:t>座</w:t>
      </w:r>
      <w:r>
        <w:rPr>
          <w:rFonts w:hint="eastAsia" w:ascii="宋体" w:hAnsi="宋体" w:eastAsia="宋体" w:cs="宋体"/>
          <w:bCs/>
          <w:color w:val="auto"/>
          <w:sz w:val="24"/>
          <w:highlight w:val="none"/>
          <w:u w:val="single"/>
          <w:lang w:val="en-US" w:eastAsia="zh-CN"/>
        </w:rPr>
        <w:t>消防水鹤、468座消火栓</w:t>
      </w:r>
      <w:r>
        <w:rPr>
          <w:rFonts w:hint="eastAsia" w:ascii="宋体" w:hAnsi="宋体" w:eastAsia="宋体" w:cs="宋体"/>
          <w:bCs/>
          <w:color w:val="auto"/>
          <w:sz w:val="24"/>
          <w:highlight w:val="none"/>
          <w:u w:val="single"/>
        </w:rPr>
        <w:t>。</w:t>
      </w:r>
    </w:p>
    <w:p w14:paraId="595AA270">
      <w:pPr>
        <w:pStyle w:val="7"/>
        <w:pageBreakBefore w:val="0"/>
        <w:kinsoku/>
        <w:wordWrap/>
        <w:overflowPunct/>
        <w:topLinePunct w:val="0"/>
        <w:bidi w:val="0"/>
        <w:spacing w:before="0" w:after="0" w:line="440" w:lineRule="exact"/>
        <w:textAlignment w:val="auto"/>
        <w:outlineLvl w:val="0"/>
        <w:rPr>
          <w:rFonts w:hint="eastAsia" w:ascii="宋体" w:hAnsi="宋体" w:eastAsia="宋体" w:cs="宋体"/>
          <w:b w:val="0"/>
          <w:color w:val="auto"/>
          <w:sz w:val="32"/>
          <w:szCs w:val="32"/>
          <w:highlight w:val="none"/>
        </w:rPr>
      </w:pPr>
      <w:bookmarkStart w:id="254" w:name="_Toc25500"/>
      <w:bookmarkStart w:id="255" w:name="_Toc26013"/>
      <w:r>
        <w:rPr>
          <w:rFonts w:hint="eastAsia" w:ascii="宋体" w:hAnsi="宋体" w:eastAsia="宋体" w:cs="宋体"/>
          <w:b w:val="0"/>
          <w:color w:val="auto"/>
          <w:highlight w:val="none"/>
        </w:rPr>
        <w:t>二、合同工期</w:t>
      </w:r>
      <w:bookmarkEnd w:id="254"/>
      <w:bookmarkEnd w:id="255"/>
    </w:p>
    <w:p w14:paraId="55369034">
      <w:pPr>
        <w:pageBreakBefore w:val="0"/>
        <w:kinsoku/>
        <w:wordWrap/>
        <w:overflowPunct/>
        <w:topLinePunct w:val="0"/>
        <w:bidi w:val="0"/>
        <w:spacing w:line="440" w:lineRule="exact"/>
        <w:ind w:firstLine="459"/>
        <w:textAlignment w:val="auto"/>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合同履行期限：</w:t>
      </w:r>
      <w:r>
        <w:rPr>
          <w:rFonts w:hint="eastAsia" w:ascii="宋体" w:hAnsi="宋体" w:eastAsia="宋体" w:cs="宋体"/>
          <w:bCs/>
          <w:color w:val="auto"/>
          <w:kern w:val="0"/>
          <w:sz w:val="24"/>
          <w:szCs w:val="24"/>
          <w:highlight w:val="none"/>
          <w:lang w:val="en-US" w:eastAsia="zh-CN"/>
        </w:rPr>
        <w:t>2025年7月1日至2026年6月31日</w:t>
      </w:r>
    </w:p>
    <w:p w14:paraId="27B7692B">
      <w:pPr>
        <w:pStyle w:val="7"/>
        <w:pageBreakBefore w:val="0"/>
        <w:kinsoku/>
        <w:wordWrap/>
        <w:overflowPunct/>
        <w:topLinePunct w:val="0"/>
        <w:bidi w:val="0"/>
        <w:spacing w:before="0" w:after="0" w:line="440" w:lineRule="exact"/>
        <w:textAlignment w:val="auto"/>
        <w:outlineLvl w:val="0"/>
        <w:rPr>
          <w:rFonts w:hint="eastAsia" w:ascii="宋体" w:hAnsi="宋体" w:eastAsia="宋体" w:cs="宋体"/>
          <w:bCs w:val="0"/>
          <w:color w:val="auto"/>
          <w:sz w:val="32"/>
          <w:szCs w:val="32"/>
          <w:highlight w:val="none"/>
        </w:rPr>
      </w:pPr>
      <w:bookmarkStart w:id="256" w:name="_Toc12756"/>
      <w:bookmarkStart w:id="257" w:name="_Toc19610"/>
      <w:r>
        <w:rPr>
          <w:rFonts w:hint="eastAsia" w:ascii="宋体" w:hAnsi="宋体" w:eastAsia="宋体" w:cs="宋体"/>
          <w:b w:val="0"/>
          <w:color w:val="auto"/>
          <w:highlight w:val="none"/>
        </w:rPr>
        <w:t>三、质量标准</w:t>
      </w:r>
      <w:bookmarkEnd w:id="256"/>
      <w:bookmarkEnd w:id="257"/>
    </w:p>
    <w:p w14:paraId="05B3A696">
      <w:pPr>
        <w:pageBreakBefore w:val="0"/>
        <w:kinsoku/>
        <w:wordWrap/>
        <w:overflowPunct/>
        <w:topLinePunct w:val="0"/>
        <w:bidi w:val="0"/>
        <w:spacing w:line="440" w:lineRule="exact"/>
        <w:ind w:firstLine="459"/>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工程质量符合</w:t>
      </w:r>
      <w:r>
        <w:rPr>
          <w:rFonts w:hint="eastAsia" w:ascii="宋体" w:hAnsi="宋体" w:eastAsia="宋体" w:cs="宋体"/>
          <w:color w:val="auto"/>
          <w:sz w:val="24"/>
          <w:highlight w:val="none"/>
          <w:u w:val="single"/>
        </w:rPr>
        <w:t>合格</w:t>
      </w:r>
      <w:r>
        <w:rPr>
          <w:rFonts w:hint="eastAsia" w:ascii="宋体" w:hAnsi="宋体" w:eastAsia="宋体" w:cs="宋体"/>
          <w:color w:val="auto"/>
          <w:sz w:val="24"/>
          <w:highlight w:val="none"/>
        </w:rPr>
        <w:t>标准。</w:t>
      </w:r>
    </w:p>
    <w:p w14:paraId="431E288D">
      <w:pPr>
        <w:pStyle w:val="7"/>
        <w:pageBreakBefore w:val="0"/>
        <w:kinsoku/>
        <w:wordWrap/>
        <w:overflowPunct/>
        <w:topLinePunct w:val="0"/>
        <w:bidi w:val="0"/>
        <w:spacing w:before="0" w:after="0" w:line="440" w:lineRule="exact"/>
        <w:textAlignment w:val="auto"/>
        <w:outlineLvl w:val="0"/>
        <w:rPr>
          <w:rFonts w:hint="eastAsia" w:ascii="宋体" w:hAnsi="宋体" w:eastAsia="宋体" w:cs="宋体"/>
          <w:b w:val="0"/>
          <w:color w:val="auto"/>
          <w:highlight w:val="none"/>
        </w:rPr>
      </w:pPr>
      <w:bookmarkStart w:id="258" w:name="_Toc15080"/>
      <w:bookmarkStart w:id="259" w:name="_Toc25466"/>
      <w:r>
        <w:rPr>
          <w:rFonts w:hint="eastAsia" w:ascii="宋体" w:hAnsi="宋体" w:eastAsia="宋体" w:cs="宋体"/>
          <w:b w:val="0"/>
          <w:color w:val="auto"/>
          <w:highlight w:val="none"/>
        </w:rPr>
        <w:t>四、签约合同价与合同价格形式</w:t>
      </w:r>
      <w:bookmarkEnd w:id="258"/>
      <w:bookmarkEnd w:id="259"/>
      <w:r>
        <w:rPr>
          <w:rFonts w:hint="eastAsia" w:ascii="宋体" w:hAnsi="宋体" w:eastAsia="宋体" w:cs="宋体"/>
          <w:b w:val="0"/>
          <w:color w:val="auto"/>
          <w:highlight w:val="none"/>
        </w:rPr>
        <w:tab/>
      </w:r>
    </w:p>
    <w:p w14:paraId="32EC60C7">
      <w:pPr>
        <w:pageBreakBefore w:val="0"/>
        <w:kinsoku/>
        <w:wordWrap/>
        <w:overflowPunct/>
        <w:topLinePunct w:val="0"/>
        <w:bidi w:val="0"/>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1.签约合同价为：</w:t>
      </w:r>
    </w:p>
    <w:p w14:paraId="0393948F">
      <w:pPr>
        <w:pageBreakBefore w:val="0"/>
        <w:kinsoku/>
        <w:wordWrap/>
        <w:overflowPunct/>
        <w:topLinePunct w:val="0"/>
        <w:bidi w:val="0"/>
        <w:spacing w:line="440" w:lineRule="exact"/>
        <w:ind w:firstLine="600" w:firstLineChars="25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人民币（大写）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元</w:t>
      </w:r>
      <w:r>
        <w:rPr>
          <w:rFonts w:hint="eastAsia" w:ascii="宋体" w:hAnsi="宋体" w:eastAsia="宋体" w:cs="宋体"/>
          <w:color w:val="auto"/>
          <w:sz w:val="24"/>
          <w:highlight w:val="none"/>
        </w:rPr>
        <w:t>)；</w:t>
      </w:r>
    </w:p>
    <w:p w14:paraId="7421204F">
      <w:pPr>
        <w:pageBreakBefore w:val="0"/>
        <w:kinsoku/>
        <w:wordWrap/>
        <w:overflowPunct/>
        <w:topLinePunct w:val="0"/>
        <w:bidi w:val="0"/>
        <w:spacing w:line="440" w:lineRule="exact"/>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（1）安全文明施工费：</w:t>
      </w:r>
    </w:p>
    <w:p w14:paraId="00184F87">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人民币（大写）</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元)；</w:t>
      </w:r>
    </w:p>
    <w:p w14:paraId="68E2353F">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（2）材料和工程设备暂估价金额：</w:t>
      </w:r>
    </w:p>
    <w:p w14:paraId="7D045A9F">
      <w:pPr>
        <w:pageBreakBefore w:val="0"/>
        <w:kinsoku/>
        <w:wordWrap/>
        <w:overflowPunct/>
        <w:topLinePunct w:val="0"/>
        <w:bidi w:val="0"/>
        <w:spacing w:line="440" w:lineRule="exact"/>
        <w:ind w:firstLine="1080" w:firstLineChars="4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人民币（大写）</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元)；</w:t>
      </w:r>
    </w:p>
    <w:p w14:paraId="33825FAA">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（3）专业工程暂估价金额：</w:t>
      </w:r>
    </w:p>
    <w:p w14:paraId="75964837">
      <w:pPr>
        <w:pageBreakBefore w:val="0"/>
        <w:kinsoku/>
        <w:wordWrap/>
        <w:overflowPunct/>
        <w:topLinePunct w:val="0"/>
        <w:bidi w:val="0"/>
        <w:spacing w:line="440" w:lineRule="exact"/>
        <w:ind w:firstLine="1080" w:firstLineChars="4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人民币（大写）</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元)；</w:t>
      </w:r>
    </w:p>
    <w:p w14:paraId="611BB88F">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（4）暂列金额：</w:t>
      </w:r>
    </w:p>
    <w:p w14:paraId="66F48E6D">
      <w:pPr>
        <w:pageBreakBefore w:val="0"/>
        <w:kinsoku/>
        <w:wordWrap/>
        <w:overflowPunct/>
        <w:topLinePunct w:val="0"/>
        <w:bidi w:val="0"/>
        <w:spacing w:line="440" w:lineRule="exact"/>
        <w:ind w:firstLine="1080" w:firstLineChars="4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人民币（大写）</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元)。</w:t>
      </w:r>
    </w:p>
    <w:p w14:paraId="71A32847">
      <w:pPr>
        <w:pageBreakBefore w:val="0"/>
        <w:kinsoku/>
        <w:wordWrap/>
        <w:overflowPunct/>
        <w:topLinePunct w:val="0"/>
        <w:bidi w:val="0"/>
        <w:spacing w:line="440" w:lineRule="exac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2.合同价格形式：</w:t>
      </w:r>
      <w:r>
        <w:rPr>
          <w:rFonts w:hint="eastAsia" w:ascii="宋体" w:hAnsi="宋体" w:eastAsia="宋体" w:cs="宋体"/>
          <w:color w:val="auto"/>
          <w:sz w:val="24"/>
          <w:highlight w:val="none"/>
          <w:u w:val="single"/>
        </w:rPr>
        <w:t>固定单价</w:t>
      </w:r>
      <w:r>
        <w:rPr>
          <w:rFonts w:hint="eastAsia" w:ascii="宋体" w:hAnsi="宋体" w:eastAsia="宋体" w:cs="宋体"/>
          <w:color w:val="auto"/>
          <w:sz w:val="24"/>
          <w:highlight w:val="none"/>
          <w:u w:val="single"/>
          <w:lang w:val="en-US" w:eastAsia="zh-CN"/>
        </w:rPr>
        <w:t>合同。合同总价为人民币壹佰贰拾万元整（大写）（小写：        ），其中单价</w:t>
      </w:r>
      <w:r>
        <w:rPr>
          <w:rFonts w:hint="eastAsia" w:ascii="宋体" w:hAnsi="宋体" w:eastAsia="宋体" w:cs="宋体"/>
          <w:color w:val="auto"/>
          <w:sz w:val="24"/>
          <w:highlight w:val="none"/>
          <w:u w:val="single"/>
          <w:lang w:eastAsia="zh-CN"/>
        </w:rPr>
        <w:t>合计</w:t>
      </w:r>
      <w:r>
        <w:rPr>
          <w:rFonts w:hint="eastAsia" w:ascii="宋体" w:hAnsi="宋体" w:eastAsia="宋体" w:cs="宋体"/>
          <w:color w:val="auto"/>
          <w:sz w:val="24"/>
          <w:highlight w:val="none"/>
          <w:u w:val="single"/>
          <w:lang w:val="en-US" w:eastAsia="zh-CN"/>
        </w:rPr>
        <w:t xml:space="preserve">            元。 </w:t>
      </w:r>
    </w:p>
    <w:p w14:paraId="5DA034FC">
      <w:pPr>
        <w:pStyle w:val="7"/>
        <w:pageBreakBefore w:val="0"/>
        <w:kinsoku/>
        <w:wordWrap/>
        <w:overflowPunct/>
        <w:topLinePunct w:val="0"/>
        <w:bidi w:val="0"/>
        <w:spacing w:before="0" w:after="0" w:line="440" w:lineRule="exact"/>
        <w:textAlignment w:val="auto"/>
        <w:outlineLvl w:val="0"/>
        <w:rPr>
          <w:rFonts w:hint="eastAsia" w:ascii="宋体" w:hAnsi="宋体" w:eastAsia="宋体" w:cs="宋体"/>
          <w:b w:val="0"/>
          <w:color w:val="auto"/>
          <w:highlight w:val="none"/>
        </w:rPr>
      </w:pPr>
      <w:bookmarkStart w:id="260" w:name="_Toc23346"/>
      <w:bookmarkStart w:id="261" w:name="_Toc4415"/>
      <w:r>
        <w:rPr>
          <w:rFonts w:hint="eastAsia" w:ascii="宋体" w:hAnsi="宋体" w:eastAsia="宋体" w:cs="宋体"/>
          <w:b w:val="0"/>
          <w:color w:val="auto"/>
          <w:highlight w:val="none"/>
        </w:rPr>
        <w:t>五、项目经理</w:t>
      </w:r>
      <w:bookmarkEnd w:id="260"/>
      <w:bookmarkEnd w:id="261"/>
    </w:p>
    <w:p w14:paraId="2F8AF9EE">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4"/>
          <w:highlight w:val="none"/>
        </w:rPr>
        <w:t>承包人项目经理：</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27C773A9">
      <w:pPr>
        <w:pStyle w:val="7"/>
        <w:pageBreakBefore w:val="0"/>
        <w:kinsoku/>
        <w:wordWrap/>
        <w:overflowPunct/>
        <w:topLinePunct w:val="0"/>
        <w:bidi w:val="0"/>
        <w:spacing w:before="0" w:after="0" w:line="440" w:lineRule="exact"/>
        <w:textAlignment w:val="auto"/>
        <w:outlineLvl w:val="0"/>
        <w:rPr>
          <w:rFonts w:hint="eastAsia" w:ascii="宋体" w:hAnsi="宋体" w:eastAsia="宋体" w:cs="宋体"/>
          <w:bCs w:val="0"/>
          <w:color w:val="auto"/>
          <w:sz w:val="32"/>
          <w:szCs w:val="32"/>
          <w:highlight w:val="none"/>
        </w:rPr>
      </w:pPr>
      <w:bookmarkStart w:id="262" w:name="_Toc14580"/>
      <w:bookmarkStart w:id="263" w:name="_Toc31160"/>
      <w:r>
        <w:rPr>
          <w:rFonts w:hint="eastAsia" w:ascii="宋体" w:hAnsi="宋体" w:eastAsia="宋体" w:cs="宋体"/>
          <w:b w:val="0"/>
          <w:color w:val="auto"/>
          <w:highlight w:val="none"/>
        </w:rPr>
        <w:t>六、合同文件构成</w:t>
      </w:r>
      <w:bookmarkEnd w:id="262"/>
      <w:bookmarkEnd w:id="263"/>
    </w:p>
    <w:p w14:paraId="14141ED1">
      <w:pPr>
        <w:pageBreakBefore w:val="0"/>
        <w:kinsoku/>
        <w:wordWrap/>
        <w:overflowPunct/>
        <w:topLinePunct w:val="0"/>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本协议书与下列文件一起构成合同文件：</w:t>
      </w:r>
    </w:p>
    <w:p w14:paraId="11C1CED0">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（1）中标通知书（如果有）；</w:t>
      </w:r>
    </w:p>
    <w:p w14:paraId="34A17648">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（2）投标函及其附录（如果有）；</w:t>
      </w:r>
    </w:p>
    <w:p w14:paraId="0FEFD0AB">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（3）专用合同条款及其附件；</w:t>
      </w:r>
    </w:p>
    <w:p w14:paraId="29C02C11">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（4）通用合同条款；</w:t>
      </w:r>
    </w:p>
    <w:p w14:paraId="3B52A869">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（5）技术标准和要求；</w:t>
      </w:r>
    </w:p>
    <w:p w14:paraId="3E4F45EF">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（6）图纸；</w:t>
      </w:r>
    </w:p>
    <w:p w14:paraId="0B0A5635">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（7）已标价工程量清单或预算书；</w:t>
      </w:r>
    </w:p>
    <w:p w14:paraId="21AA89C7">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（8）其他合同文件。</w:t>
      </w:r>
    </w:p>
    <w:p w14:paraId="17EB1DAA">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w:t>
      </w:r>
    </w:p>
    <w:p w14:paraId="50C3B66F">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3531B650">
      <w:pPr>
        <w:pStyle w:val="7"/>
        <w:pageBreakBefore w:val="0"/>
        <w:kinsoku/>
        <w:wordWrap/>
        <w:overflowPunct/>
        <w:topLinePunct w:val="0"/>
        <w:bidi w:val="0"/>
        <w:spacing w:before="0" w:after="0" w:line="440" w:lineRule="exact"/>
        <w:textAlignment w:val="auto"/>
        <w:outlineLvl w:val="0"/>
        <w:rPr>
          <w:rFonts w:hint="eastAsia" w:ascii="宋体" w:hAnsi="宋体" w:eastAsia="宋体" w:cs="宋体"/>
          <w:b w:val="0"/>
          <w:bCs w:val="0"/>
          <w:color w:val="auto"/>
          <w:sz w:val="32"/>
          <w:szCs w:val="32"/>
          <w:highlight w:val="none"/>
        </w:rPr>
      </w:pPr>
      <w:bookmarkStart w:id="264" w:name="_Toc22076"/>
      <w:bookmarkStart w:id="265" w:name="_Toc18982"/>
      <w:r>
        <w:rPr>
          <w:rFonts w:hint="eastAsia" w:ascii="宋体" w:hAnsi="宋体" w:eastAsia="宋体" w:cs="宋体"/>
          <w:b w:val="0"/>
          <w:color w:val="auto"/>
          <w:highlight w:val="none"/>
        </w:rPr>
        <w:t>七、承诺</w:t>
      </w:r>
      <w:bookmarkEnd w:id="264"/>
      <w:bookmarkEnd w:id="265"/>
    </w:p>
    <w:p w14:paraId="3CBD6829">
      <w:pPr>
        <w:pageBreakBefore w:val="0"/>
        <w:kinsoku/>
        <w:wordWrap/>
        <w:overflowPunct/>
        <w:topLinePunct w:val="0"/>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1.发包人承诺按照法律规定履行项目审批手续、筹集工程建设资金并按照合同约定的期限和方式支付合同价款。</w:t>
      </w:r>
    </w:p>
    <w:p w14:paraId="10F81775">
      <w:pPr>
        <w:pageBreakBefore w:val="0"/>
        <w:kinsoku/>
        <w:wordWrap/>
        <w:overflowPunct/>
        <w:topLinePunct w:val="0"/>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53B8DBCF">
      <w:pPr>
        <w:pageBreakBefore w:val="0"/>
        <w:kinsoku/>
        <w:wordWrap/>
        <w:overflowPunct/>
        <w:topLinePunct w:val="0"/>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3.发包人和承包人通过招投标形式签订合同的，双方理解并承诺不再就同一工程另行签订与合同实质性内容相背离的协议。</w:t>
      </w:r>
    </w:p>
    <w:p w14:paraId="518FFCC5">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4.承包人知悉本合同价款来源于财政拨款，对此承包人承诺发包人未取得本合同对应财政拨款前，承包人对合同价款不享有要求支付权、计息权及要求发包方承担违约责任的权利。</w:t>
      </w:r>
      <w:r>
        <w:rPr>
          <w:rFonts w:hint="eastAsia" w:ascii="宋体" w:hAnsi="宋体" w:eastAsia="宋体" w:cs="宋体"/>
          <w:color w:val="auto"/>
          <w:kern w:val="0"/>
          <w:sz w:val="24"/>
          <w:highlight w:val="none"/>
        </w:rPr>
        <w:t>除专用合同条款另有约定外，付款周期应按照第12.3.2项〔计量周期〕的约定与计量周期保持一致。</w:t>
      </w:r>
    </w:p>
    <w:p w14:paraId="5F27A557">
      <w:pPr>
        <w:pStyle w:val="7"/>
        <w:pageBreakBefore w:val="0"/>
        <w:kinsoku/>
        <w:wordWrap/>
        <w:overflowPunct/>
        <w:topLinePunct w:val="0"/>
        <w:bidi w:val="0"/>
        <w:spacing w:before="0" w:after="0" w:line="440" w:lineRule="exact"/>
        <w:textAlignment w:val="auto"/>
        <w:outlineLvl w:val="0"/>
        <w:rPr>
          <w:rFonts w:hint="eastAsia" w:ascii="宋体" w:hAnsi="宋体" w:eastAsia="宋体" w:cs="宋体"/>
          <w:b w:val="0"/>
          <w:color w:val="auto"/>
          <w:highlight w:val="none"/>
        </w:rPr>
      </w:pPr>
      <w:bookmarkStart w:id="266" w:name="_Toc5703"/>
      <w:r>
        <w:rPr>
          <w:rFonts w:hint="eastAsia" w:ascii="宋体" w:hAnsi="宋体" w:eastAsia="宋体" w:cs="宋体"/>
          <w:b w:val="0"/>
          <w:color w:val="auto"/>
          <w:highlight w:val="none"/>
        </w:rPr>
        <w:t>八、词语含义</w:t>
      </w:r>
      <w:bookmarkEnd w:id="266"/>
    </w:p>
    <w:p w14:paraId="4A37EBB2">
      <w:pPr>
        <w:pageBreakBefore w:val="0"/>
        <w:kinsoku/>
        <w:wordWrap/>
        <w:overflowPunct/>
        <w:topLinePunct w:val="0"/>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本协议书中词语含义与第二部分通用合同条款中赋予的含义相同。</w:t>
      </w:r>
    </w:p>
    <w:p w14:paraId="6F1C17E5">
      <w:pPr>
        <w:pStyle w:val="7"/>
        <w:pageBreakBefore w:val="0"/>
        <w:kinsoku/>
        <w:wordWrap/>
        <w:overflowPunct/>
        <w:topLinePunct w:val="0"/>
        <w:bidi w:val="0"/>
        <w:spacing w:before="0" w:after="0" w:line="440" w:lineRule="exact"/>
        <w:textAlignment w:val="auto"/>
        <w:outlineLvl w:val="0"/>
        <w:rPr>
          <w:rFonts w:hint="eastAsia" w:ascii="宋体" w:hAnsi="宋体" w:eastAsia="宋体" w:cs="宋体"/>
          <w:bCs w:val="0"/>
          <w:color w:val="auto"/>
          <w:sz w:val="32"/>
          <w:szCs w:val="32"/>
          <w:highlight w:val="none"/>
        </w:rPr>
      </w:pPr>
      <w:bookmarkStart w:id="267" w:name="_Toc30035"/>
      <w:bookmarkStart w:id="268" w:name="_Toc2782"/>
      <w:r>
        <w:rPr>
          <w:rFonts w:hint="eastAsia" w:ascii="宋体" w:hAnsi="宋体" w:eastAsia="宋体" w:cs="宋体"/>
          <w:b w:val="0"/>
          <w:color w:val="auto"/>
          <w:highlight w:val="none"/>
        </w:rPr>
        <w:t>九、签订时间</w:t>
      </w:r>
      <w:bookmarkEnd w:id="267"/>
      <w:bookmarkEnd w:id="268"/>
    </w:p>
    <w:p w14:paraId="5EA4A1F7">
      <w:pPr>
        <w:pageBreakBefore w:val="0"/>
        <w:kinsoku/>
        <w:wordWrap/>
        <w:overflowPunct/>
        <w:topLinePunct w:val="0"/>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本合同于</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日签订。</w:t>
      </w:r>
    </w:p>
    <w:p w14:paraId="250AF96D">
      <w:pPr>
        <w:pStyle w:val="7"/>
        <w:pageBreakBefore w:val="0"/>
        <w:kinsoku/>
        <w:wordWrap/>
        <w:overflowPunct/>
        <w:topLinePunct w:val="0"/>
        <w:bidi w:val="0"/>
        <w:spacing w:before="0" w:after="0" w:line="440" w:lineRule="exact"/>
        <w:textAlignment w:val="auto"/>
        <w:outlineLvl w:val="0"/>
        <w:rPr>
          <w:rFonts w:hint="eastAsia" w:ascii="宋体" w:hAnsi="宋体" w:eastAsia="宋体" w:cs="宋体"/>
          <w:bCs w:val="0"/>
          <w:color w:val="auto"/>
          <w:sz w:val="32"/>
          <w:szCs w:val="32"/>
          <w:highlight w:val="none"/>
        </w:rPr>
      </w:pPr>
      <w:bookmarkStart w:id="269" w:name="_Toc10868"/>
      <w:bookmarkStart w:id="270" w:name="_Toc23251"/>
      <w:r>
        <w:rPr>
          <w:rFonts w:hint="eastAsia" w:ascii="宋体" w:hAnsi="宋体" w:eastAsia="宋体" w:cs="宋体"/>
          <w:b w:val="0"/>
          <w:color w:val="auto"/>
          <w:highlight w:val="none"/>
        </w:rPr>
        <w:t>十、签订地点</w:t>
      </w:r>
      <w:bookmarkEnd w:id="269"/>
      <w:bookmarkEnd w:id="270"/>
    </w:p>
    <w:p w14:paraId="225280F9">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bCs/>
          <w:color w:val="auto"/>
          <w:sz w:val="30"/>
          <w:szCs w:val="30"/>
          <w:highlight w:val="none"/>
        </w:rPr>
      </w:pPr>
      <w:r>
        <w:rPr>
          <w:rFonts w:hint="eastAsia" w:ascii="宋体" w:hAnsi="宋体" w:eastAsia="宋体" w:cs="宋体"/>
          <w:bCs/>
          <w:color w:val="auto"/>
          <w:sz w:val="24"/>
          <w:highlight w:val="none"/>
        </w:rPr>
        <w:t>本合同在</w:t>
      </w:r>
      <w:r>
        <w:rPr>
          <w:rFonts w:hint="eastAsia" w:ascii="宋体" w:hAnsi="宋体" w:eastAsia="宋体" w:cs="宋体"/>
          <w:bCs/>
          <w:color w:val="auto"/>
          <w:sz w:val="24"/>
          <w:highlight w:val="none"/>
          <w:u w:val="single"/>
        </w:rPr>
        <w:t>乌鲁木齐</w:t>
      </w:r>
      <w:r>
        <w:rPr>
          <w:rFonts w:hint="eastAsia" w:ascii="宋体" w:hAnsi="宋体" w:eastAsia="宋体" w:cs="宋体"/>
          <w:bCs/>
          <w:color w:val="auto"/>
          <w:sz w:val="24"/>
          <w:highlight w:val="none"/>
          <w:u w:val="single"/>
          <w:lang w:val="en-US" w:eastAsia="zh-CN"/>
        </w:rPr>
        <w:t>天山区</w:t>
      </w:r>
      <w:r>
        <w:rPr>
          <w:rFonts w:hint="eastAsia" w:ascii="宋体" w:hAnsi="宋体" w:eastAsia="宋体" w:cs="宋体"/>
          <w:bCs/>
          <w:color w:val="auto"/>
          <w:sz w:val="24"/>
          <w:highlight w:val="none"/>
        </w:rPr>
        <w:t>签订。</w:t>
      </w:r>
    </w:p>
    <w:p w14:paraId="2D35EC55">
      <w:pPr>
        <w:pStyle w:val="7"/>
        <w:pageBreakBefore w:val="0"/>
        <w:kinsoku/>
        <w:wordWrap/>
        <w:overflowPunct/>
        <w:topLinePunct w:val="0"/>
        <w:bidi w:val="0"/>
        <w:spacing w:before="0" w:after="0" w:line="440" w:lineRule="exact"/>
        <w:textAlignment w:val="auto"/>
        <w:outlineLvl w:val="0"/>
        <w:rPr>
          <w:rFonts w:hint="eastAsia" w:ascii="宋体" w:hAnsi="宋体" w:eastAsia="宋体" w:cs="宋体"/>
          <w:bCs w:val="0"/>
          <w:color w:val="auto"/>
          <w:sz w:val="32"/>
          <w:szCs w:val="32"/>
          <w:highlight w:val="none"/>
        </w:rPr>
      </w:pPr>
      <w:bookmarkStart w:id="271" w:name="_Toc10863"/>
      <w:bookmarkStart w:id="272" w:name="_Toc31639"/>
      <w:r>
        <w:rPr>
          <w:rFonts w:hint="eastAsia" w:ascii="宋体" w:hAnsi="宋体" w:eastAsia="宋体" w:cs="宋体"/>
          <w:b w:val="0"/>
          <w:bCs w:val="0"/>
          <w:color w:val="auto"/>
          <w:highlight w:val="none"/>
        </w:rPr>
        <w:t>十一、补充协议</w:t>
      </w:r>
      <w:bookmarkEnd w:id="271"/>
      <w:bookmarkEnd w:id="272"/>
    </w:p>
    <w:p w14:paraId="7DEA69C2">
      <w:pPr>
        <w:pageBreakBefore w:val="0"/>
        <w:kinsoku/>
        <w:wordWrap/>
        <w:overflowPunct/>
        <w:topLinePunct w:val="0"/>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合同未尽事宜，合同当事人另行签订补充协议，补充协议是合同的组成部分。</w:t>
      </w:r>
    </w:p>
    <w:p w14:paraId="3A606DF1">
      <w:pPr>
        <w:pStyle w:val="7"/>
        <w:pageBreakBefore w:val="0"/>
        <w:kinsoku/>
        <w:wordWrap/>
        <w:overflowPunct/>
        <w:topLinePunct w:val="0"/>
        <w:bidi w:val="0"/>
        <w:spacing w:before="0" w:after="0" w:line="440" w:lineRule="exact"/>
        <w:textAlignment w:val="auto"/>
        <w:outlineLvl w:val="0"/>
        <w:rPr>
          <w:rFonts w:hint="eastAsia" w:ascii="宋体" w:hAnsi="宋体" w:eastAsia="宋体" w:cs="宋体"/>
          <w:bCs w:val="0"/>
          <w:color w:val="auto"/>
          <w:sz w:val="32"/>
          <w:szCs w:val="32"/>
          <w:highlight w:val="none"/>
        </w:rPr>
      </w:pPr>
      <w:bookmarkStart w:id="273" w:name="_Toc23027"/>
      <w:bookmarkStart w:id="274" w:name="_Toc2233"/>
      <w:r>
        <w:rPr>
          <w:rFonts w:hint="eastAsia" w:ascii="宋体" w:hAnsi="宋体" w:eastAsia="宋体" w:cs="宋体"/>
          <w:b w:val="0"/>
          <w:bCs w:val="0"/>
          <w:color w:val="auto"/>
          <w:highlight w:val="none"/>
        </w:rPr>
        <w:t>十二、合同生</w:t>
      </w:r>
      <w:r>
        <w:rPr>
          <w:rFonts w:hint="eastAsia" w:ascii="宋体" w:hAnsi="宋体" w:eastAsia="宋体" w:cs="宋体"/>
          <w:b w:val="0"/>
          <w:color w:val="auto"/>
          <w:highlight w:val="none"/>
        </w:rPr>
        <w:t>效</w:t>
      </w:r>
      <w:bookmarkEnd w:id="273"/>
      <w:bookmarkEnd w:id="274"/>
    </w:p>
    <w:p w14:paraId="76B3C5FF">
      <w:pPr>
        <w:pageBreakBefore w:val="0"/>
        <w:kinsoku/>
        <w:wordWrap/>
        <w:overflowPunct/>
        <w:topLinePunct w:val="0"/>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本合同自</w:t>
      </w:r>
      <w:r>
        <w:rPr>
          <w:rFonts w:hint="eastAsia" w:ascii="宋体" w:hAnsi="宋体" w:eastAsia="宋体" w:cs="宋体"/>
          <w:bCs/>
          <w:color w:val="auto"/>
          <w:sz w:val="24"/>
          <w:highlight w:val="none"/>
          <w:u w:val="single"/>
        </w:rPr>
        <w:t>双方签字盖章之日起</w:t>
      </w:r>
      <w:r>
        <w:rPr>
          <w:rFonts w:hint="eastAsia" w:ascii="宋体" w:hAnsi="宋体" w:eastAsia="宋体" w:cs="宋体"/>
          <w:bCs/>
          <w:color w:val="auto"/>
          <w:sz w:val="24"/>
          <w:highlight w:val="none"/>
        </w:rPr>
        <w:t>生效。</w:t>
      </w:r>
    </w:p>
    <w:p w14:paraId="68C33A8E">
      <w:pPr>
        <w:pStyle w:val="7"/>
        <w:pageBreakBefore w:val="0"/>
        <w:kinsoku/>
        <w:wordWrap/>
        <w:overflowPunct/>
        <w:topLinePunct w:val="0"/>
        <w:bidi w:val="0"/>
        <w:spacing w:before="0" w:after="0" w:line="440" w:lineRule="exact"/>
        <w:textAlignment w:val="auto"/>
        <w:outlineLvl w:val="0"/>
        <w:rPr>
          <w:rFonts w:hint="eastAsia" w:ascii="宋体" w:hAnsi="宋体" w:eastAsia="宋体" w:cs="宋体"/>
          <w:bCs w:val="0"/>
          <w:color w:val="auto"/>
          <w:sz w:val="32"/>
          <w:szCs w:val="32"/>
          <w:highlight w:val="none"/>
        </w:rPr>
      </w:pPr>
      <w:bookmarkStart w:id="275" w:name="_Toc8085"/>
      <w:bookmarkStart w:id="276" w:name="_Toc9175"/>
      <w:r>
        <w:rPr>
          <w:rFonts w:hint="eastAsia" w:ascii="宋体" w:hAnsi="宋体" w:eastAsia="宋体" w:cs="宋体"/>
          <w:b w:val="0"/>
          <w:bCs w:val="0"/>
          <w:color w:val="auto"/>
          <w:highlight w:val="none"/>
        </w:rPr>
        <w:t>十三、合同份数</w:t>
      </w:r>
      <w:bookmarkEnd w:id="275"/>
      <w:bookmarkEnd w:id="276"/>
    </w:p>
    <w:p w14:paraId="5613489F">
      <w:pPr>
        <w:pageBreakBefore w:val="0"/>
        <w:kinsoku/>
        <w:wordWrap/>
        <w:overflowPunct/>
        <w:topLinePunct w:val="0"/>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本合同一式</w:t>
      </w:r>
      <w:r>
        <w:rPr>
          <w:rFonts w:hint="eastAsia" w:ascii="宋体" w:hAnsi="宋体" w:eastAsia="宋体" w:cs="宋体"/>
          <w:bCs/>
          <w:color w:val="auto"/>
          <w:sz w:val="24"/>
          <w:highlight w:val="none"/>
          <w:u w:val="single"/>
        </w:rPr>
        <w:t>拾</w:t>
      </w:r>
      <w:r>
        <w:rPr>
          <w:rFonts w:hint="eastAsia" w:ascii="宋体" w:hAnsi="宋体" w:eastAsia="宋体" w:cs="宋体"/>
          <w:bCs/>
          <w:color w:val="auto"/>
          <w:sz w:val="24"/>
          <w:highlight w:val="none"/>
        </w:rPr>
        <w:t>份，均具有同</w:t>
      </w:r>
      <w:r>
        <w:rPr>
          <w:rFonts w:hint="eastAsia" w:ascii="宋体" w:hAnsi="宋体" w:eastAsia="宋体" w:cs="宋体"/>
          <w:color w:val="auto"/>
          <w:kern w:val="2"/>
          <w:sz w:val="24"/>
          <w:szCs w:val="24"/>
          <w:highlight w:val="none"/>
          <w:lang w:val="en-US" w:eastAsia="zh-CN" w:bidi="ar-SA"/>
        </w:rPr>
        <w:t>等法律效</w:t>
      </w:r>
      <w:r>
        <w:rPr>
          <w:rFonts w:hint="eastAsia" w:ascii="宋体" w:hAnsi="宋体" w:eastAsia="宋体" w:cs="宋体"/>
          <w:bCs/>
          <w:color w:val="auto"/>
          <w:sz w:val="24"/>
          <w:highlight w:val="none"/>
        </w:rPr>
        <w:t>力，发包人执</w:t>
      </w:r>
      <w:r>
        <w:rPr>
          <w:rFonts w:hint="eastAsia" w:ascii="宋体" w:hAnsi="宋体" w:eastAsia="宋体" w:cs="宋体"/>
          <w:bCs/>
          <w:color w:val="auto"/>
          <w:sz w:val="24"/>
          <w:highlight w:val="none"/>
          <w:u w:val="single"/>
          <w:lang w:eastAsia="zh-CN"/>
        </w:rPr>
        <w:t>伍</w:t>
      </w:r>
      <w:r>
        <w:rPr>
          <w:rFonts w:hint="eastAsia" w:ascii="宋体" w:hAnsi="宋体" w:eastAsia="宋体" w:cs="宋体"/>
          <w:bCs/>
          <w:color w:val="auto"/>
          <w:sz w:val="24"/>
          <w:highlight w:val="none"/>
        </w:rPr>
        <w:t>份，承包人执</w:t>
      </w:r>
      <w:r>
        <w:rPr>
          <w:rFonts w:hint="eastAsia" w:ascii="宋体" w:hAnsi="宋体" w:eastAsia="宋体" w:cs="宋体"/>
          <w:bCs/>
          <w:color w:val="auto"/>
          <w:sz w:val="24"/>
          <w:highlight w:val="none"/>
          <w:u w:val="single"/>
          <w:lang w:eastAsia="zh-CN"/>
        </w:rPr>
        <w:t>伍</w:t>
      </w:r>
      <w:r>
        <w:rPr>
          <w:rFonts w:hint="eastAsia" w:ascii="宋体" w:hAnsi="宋体" w:eastAsia="宋体" w:cs="宋体"/>
          <w:bCs/>
          <w:color w:val="auto"/>
          <w:sz w:val="24"/>
          <w:highlight w:val="none"/>
        </w:rPr>
        <w:t>份。</w:t>
      </w:r>
    </w:p>
    <w:p w14:paraId="6639AC82">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以下无正文</w:t>
      </w:r>
      <w:r>
        <w:rPr>
          <w:rFonts w:hint="eastAsia" w:ascii="宋体" w:hAnsi="宋体" w:eastAsia="宋体" w:cs="宋体"/>
          <w:bCs/>
          <w:color w:val="auto"/>
          <w:sz w:val="24"/>
          <w:highlight w:val="none"/>
          <w:lang w:eastAsia="zh-CN"/>
        </w:rPr>
        <w:t>）</w:t>
      </w:r>
    </w:p>
    <w:p w14:paraId="7CBCE18D">
      <w:pPr>
        <w:keepNext w:val="0"/>
        <w:keepLines w:val="0"/>
        <w:pageBreakBefore w:val="0"/>
        <w:widowControl w:val="0"/>
        <w:kinsoku/>
        <w:wordWrap/>
        <w:overflowPunct/>
        <w:topLinePunct w:val="0"/>
        <w:bidi w:val="0"/>
        <w:adjustRightInd/>
        <w:spacing w:line="500" w:lineRule="exact"/>
        <w:ind w:left="0" w:leftChars="0" w:firstLine="38" w:firstLineChars="16"/>
        <w:textAlignment w:val="auto"/>
        <w:rPr>
          <w:rFonts w:hint="eastAsia" w:ascii="宋体" w:hAnsi="宋体" w:eastAsia="宋体" w:cs="宋体"/>
          <w:color w:val="auto"/>
          <w:sz w:val="24"/>
          <w:szCs w:val="24"/>
          <w:highlight w:val="none"/>
        </w:rPr>
      </w:pPr>
    </w:p>
    <w:p w14:paraId="5D5F4D9F">
      <w:pPr>
        <w:keepNext w:val="0"/>
        <w:keepLines w:val="0"/>
        <w:pageBreakBefore w:val="0"/>
        <w:widowControl w:val="0"/>
        <w:kinsoku/>
        <w:wordWrap/>
        <w:overflowPunct/>
        <w:topLinePunct w:val="0"/>
        <w:bidi w:val="0"/>
        <w:adjustRightInd/>
        <w:spacing w:line="500" w:lineRule="exact"/>
        <w:ind w:left="0" w:leftChars="0" w:firstLine="38" w:firstLineChars="16"/>
        <w:textAlignment w:val="auto"/>
        <w:rPr>
          <w:rFonts w:hint="eastAsia" w:ascii="宋体" w:hAnsi="宋体" w:eastAsia="宋体" w:cs="宋体"/>
          <w:color w:val="auto"/>
          <w:sz w:val="24"/>
          <w:szCs w:val="24"/>
          <w:highlight w:val="none"/>
        </w:rPr>
      </w:pPr>
    </w:p>
    <w:p w14:paraId="75419168">
      <w:pPr>
        <w:keepNext w:val="0"/>
        <w:keepLines w:val="0"/>
        <w:pageBreakBefore w:val="0"/>
        <w:widowControl w:val="0"/>
        <w:kinsoku/>
        <w:wordWrap/>
        <w:overflowPunct/>
        <w:topLinePunct w:val="0"/>
        <w:bidi w:val="0"/>
        <w:adjustRightInd/>
        <w:spacing w:line="400" w:lineRule="exact"/>
        <w:ind w:left="0" w:leftChars="0" w:firstLine="38" w:firstLineChars="1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承包人：(公章)</w:t>
      </w:r>
    </w:p>
    <w:p w14:paraId="21BED010">
      <w:pPr>
        <w:keepNext w:val="0"/>
        <w:keepLines w:val="0"/>
        <w:pageBreakBefore w:val="0"/>
        <w:widowControl w:val="0"/>
        <w:kinsoku/>
        <w:wordWrap/>
        <w:overflowPunct/>
        <w:topLinePunct w:val="0"/>
        <w:bidi w:val="0"/>
        <w:adjustRightInd/>
        <w:spacing w:line="400" w:lineRule="exact"/>
        <w:ind w:left="4320" w:hanging="4320" w:hangingChars="18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rPr>
        <w:t>乌鲁木齐市天山区城市管理局（乌鲁木</w:t>
      </w:r>
      <w:r>
        <w:rPr>
          <w:rFonts w:hint="eastAsia" w:ascii="宋体" w:hAnsi="宋体" w:eastAsia="宋体" w:cs="宋体"/>
          <w:color w:val="auto"/>
          <w:sz w:val="24"/>
          <w:szCs w:val="24"/>
          <w:highlight w:val="none"/>
          <w:lang w:val="en-US" w:eastAsia="zh-CN"/>
        </w:rPr>
        <w:t xml:space="preserve">       </w:t>
      </w:r>
    </w:p>
    <w:p w14:paraId="67F6CCD0">
      <w:pPr>
        <w:keepNext w:val="0"/>
        <w:keepLines w:val="0"/>
        <w:pageBreakBefore w:val="0"/>
        <w:widowControl w:val="0"/>
        <w:kinsoku/>
        <w:wordWrap/>
        <w:overflowPunct/>
        <w:topLinePunct w:val="0"/>
        <w:bidi w:val="0"/>
        <w:adjustRightInd/>
        <w:spacing w:line="400" w:lineRule="exact"/>
        <w:ind w:left="4320" w:hanging="4320" w:hangingChars="18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齐市天山区城市管理行政执法局）</w:t>
      </w:r>
    </w:p>
    <w:p w14:paraId="1A8172D3">
      <w:pPr>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p>
    <w:p w14:paraId="509A8B2D">
      <w:pPr>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w:t>
      </w:r>
    </w:p>
    <w:p w14:paraId="0DCCB5A5">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lang w:val="en-US" w:eastAsia="zh-CN"/>
        </w:rPr>
        <w:t xml:space="preserve">11650102742216353N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组织机构代码：</w:t>
      </w:r>
    </w:p>
    <w:p w14:paraId="44677BE4">
      <w:pPr>
        <w:keepNext w:val="0"/>
        <w:keepLines w:val="0"/>
        <w:pageBreakBefore w:val="0"/>
        <w:widowControl w:val="0"/>
        <w:kinsoku/>
        <w:wordWrap/>
        <w:overflowPunct/>
        <w:topLinePunct w:val="0"/>
        <w:autoSpaceDE w:val="0"/>
        <w:autoSpaceDN w:val="0"/>
        <w:bidi w:val="0"/>
        <w:adjustRightInd/>
        <w:snapToGrid/>
        <w:spacing w:line="400" w:lineRule="exact"/>
        <w:ind w:left="5599" w:leftChars="0" w:hanging="5599" w:hangingChars="2333"/>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val="en-US" w:eastAsia="zh-CN"/>
        </w:rPr>
        <w:t>乌鲁木齐市和平南路456号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地址：</w:t>
      </w:r>
    </w:p>
    <w:p w14:paraId="0492A16D">
      <w:pPr>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p>
    <w:p w14:paraId="5809BFFE">
      <w:pPr>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法定代表人：</w:t>
      </w:r>
    </w:p>
    <w:p w14:paraId="6873B504">
      <w:pPr>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w:t>
      </w:r>
    </w:p>
    <w:p w14:paraId="5ECD4A45">
      <w:pPr>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电话：</w:t>
      </w:r>
    </w:p>
    <w:p w14:paraId="6AB36447">
      <w:pPr>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lang w:val="en-US" w:eastAsia="zh-CN"/>
        </w:rPr>
        <w:t>/</w:t>
      </w:r>
    </w:p>
    <w:p w14:paraId="5CEEA35D">
      <w:pPr>
        <w:keepNext w:val="0"/>
        <w:keepLines w:val="0"/>
        <w:pageBreakBefore w:val="0"/>
        <w:widowControl w:val="0"/>
        <w:kinsoku/>
        <w:wordWrap/>
        <w:overflowPunct/>
        <w:topLinePunct w:val="0"/>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p>
    <w:p w14:paraId="5F81B77E">
      <w:pPr>
        <w:keepNext w:val="0"/>
        <w:keepLines w:val="0"/>
        <w:pageBreakBefore w:val="0"/>
        <w:widowControl w:val="0"/>
        <w:kinsoku/>
        <w:wordWrap/>
        <w:overflowPunct/>
        <w:topLinePunct w:val="0"/>
        <w:bidi w:val="0"/>
        <w:adjustRightInd/>
        <w:spacing w:line="400" w:lineRule="exact"/>
        <w:ind w:left="5940" w:leftChars="0" w:hanging="5940" w:hangingChars="24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开户银行：</w:t>
      </w:r>
    </w:p>
    <w:p w14:paraId="1F150F4B">
      <w:pPr>
        <w:keepNext w:val="0"/>
        <w:keepLines w:val="0"/>
        <w:pageBreakBefore w:val="0"/>
        <w:widowControl w:val="0"/>
        <w:kinsoku/>
        <w:wordWrap/>
        <w:overflowPunct/>
        <w:topLinePunct w:val="0"/>
        <w:bidi w:val="0"/>
        <w:adjustRightInd/>
        <w:snapToGrid w:val="0"/>
        <w:spacing w:line="40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账号：</w:t>
      </w:r>
    </w:p>
    <w:p w14:paraId="2FE797B0">
      <w:pPr>
        <w:pStyle w:val="6"/>
        <w:keepNext/>
        <w:keepLines/>
        <w:pageBreakBefore w:val="0"/>
        <w:widowControl w:val="0"/>
        <w:kinsoku/>
        <w:wordWrap/>
        <w:overflowPunct/>
        <w:topLinePunct w:val="0"/>
        <w:autoSpaceDE w:val="0"/>
        <w:autoSpaceDN w:val="0"/>
        <w:bidi w:val="0"/>
        <w:adjustRightInd w:val="0"/>
        <w:snapToGrid/>
        <w:jc w:val="center"/>
        <w:textAlignment w:val="auto"/>
        <w:outlineLvl w:val="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szCs w:val="24"/>
          <w:highlight w:val="none"/>
        </w:rPr>
        <w:br w:type="page"/>
      </w:r>
      <w:bookmarkStart w:id="277" w:name="_Toc1152"/>
      <w:bookmarkStart w:id="278" w:name="_Toc351203494"/>
      <w:bookmarkStart w:id="279" w:name="_Toc337558727"/>
      <w:r>
        <w:rPr>
          <w:rFonts w:hint="eastAsia" w:ascii="宋体" w:hAnsi="宋体" w:eastAsia="宋体" w:cs="宋体"/>
          <w:b/>
          <w:bCs/>
          <w:color w:val="auto"/>
          <w:kern w:val="2"/>
          <w:sz w:val="32"/>
          <w:szCs w:val="32"/>
          <w:highlight w:val="none"/>
          <w:lang w:val="en-US" w:eastAsia="zh-CN" w:bidi="ar-SA"/>
        </w:rPr>
        <w:t>第二部分 通用合同条款</w:t>
      </w:r>
      <w:bookmarkEnd w:id="277"/>
      <w:bookmarkEnd w:id="278"/>
    </w:p>
    <w:bookmarkEnd w:id="279"/>
    <w:p w14:paraId="53E395C5">
      <w:pPr>
        <w:pageBreakBefore w:val="0"/>
        <w:kinsoku/>
        <w:wordWrap/>
        <w:overflowPunct/>
        <w:topLinePunct w:val="0"/>
        <w:bidi w:val="0"/>
        <w:textAlignment w:val="auto"/>
        <w:rPr>
          <w:rFonts w:hint="eastAsia" w:ascii="宋体" w:hAnsi="宋体" w:eastAsia="宋体" w:cs="宋体"/>
          <w:b w:val="0"/>
          <w:bCs/>
          <w:color w:val="auto"/>
          <w:kern w:val="2"/>
          <w:sz w:val="28"/>
          <w:szCs w:val="28"/>
          <w:highlight w:val="none"/>
          <w:lang w:val="en-US" w:eastAsia="zh-CN" w:bidi="ar-SA"/>
        </w:rPr>
      </w:pPr>
      <w:bookmarkStart w:id="280" w:name="_Toc20305"/>
      <w:bookmarkStart w:id="281" w:name="_Toc15219"/>
      <w:r>
        <w:rPr>
          <w:rFonts w:hint="eastAsia" w:ascii="宋体" w:hAnsi="宋体" w:eastAsia="宋体" w:cs="宋体"/>
          <w:b w:val="0"/>
          <w:bCs/>
          <w:color w:val="auto"/>
          <w:kern w:val="2"/>
          <w:sz w:val="28"/>
          <w:szCs w:val="28"/>
          <w:highlight w:val="none"/>
          <w:lang w:val="en-US" w:eastAsia="zh-CN" w:bidi="ar-SA"/>
        </w:rPr>
        <w:t>执行（GF—2017—0201）通用合同条款</w:t>
      </w:r>
      <w:r>
        <w:rPr>
          <w:rFonts w:hint="eastAsia" w:ascii="宋体" w:hAnsi="宋体" w:cs="宋体"/>
          <w:b w:val="0"/>
          <w:bCs/>
          <w:color w:val="auto"/>
          <w:kern w:val="2"/>
          <w:sz w:val="28"/>
          <w:szCs w:val="28"/>
          <w:highlight w:val="none"/>
          <w:lang w:val="en-US" w:eastAsia="zh-CN" w:bidi="ar-SA"/>
        </w:rPr>
        <w:t>部分</w:t>
      </w:r>
    </w:p>
    <w:p w14:paraId="0F346BE8">
      <w:pPr>
        <w:pageBreakBefore w:val="0"/>
        <w:kinsoku/>
        <w:wordWrap/>
        <w:overflowPunct/>
        <w:topLinePunct w:val="0"/>
        <w:bidi w:val="0"/>
        <w:jc w:val="center"/>
        <w:textAlignment w:val="auto"/>
        <w:rPr>
          <w:rFonts w:hint="eastAsia" w:ascii="宋体" w:hAnsi="宋体" w:eastAsia="宋体" w:cs="宋体"/>
          <w:b/>
          <w:bCs/>
          <w:color w:val="auto"/>
          <w:kern w:val="2"/>
          <w:sz w:val="32"/>
          <w:szCs w:val="32"/>
          <w:highlight w:val="none"/>
          <w:lang w:val="en-US" w:eastAsia="zh-CN" w:bidi="ar-SA"/>
        </w:rPr>
      </w:pPr>
    </w:p>
    <w:p w14:paraId="7F0DAB25">
      <w:pPr>
        <w:pStyle w:val="6"/>
        <w:pageBreakBefore w:val="0"/>
        <w:kinsoku/>
        <w:wordWrap/>
        <w:overflowPunct/>
        <w:topLinePunct w:val="0"/>
        <w:bidi w:val="0"/>
        <w:spacing w:before="0" w:after="0"/>
        <w:jc w:val="center"/>
        <w:textAlignment w:val="auto"/>
        <w:outlineLvl w:val="0"/>
        <w:rPr>
          <w:rFonts w:hint="eastAsia" w:ascii="宋体" w:hAnsi="宋体" w:eastAsia="宋体" w:cs="宋体"/>
          <w:b/>
          <w:bCs/>
          <w:color w:val="auto"/>
          <w:kern w:val="2"/>
          <w:sz w:val="32"/>
          <w:szCs w:val="32"/>
          <w:highlight w:val="none"/>
          <w:lang w:val="en-US" w:eastAsia="zh-CN" w:bidi="ar-SA"/>
        </w:rPr>
      </w:pPr>
      <w:bookmarkStart w:id="282" w:name="_Toc23046"/>
      <w:r>
        <w:rPr>
          <w:rFonts w:hint="eastAsia" w:ascii="宋体" w:hAnsi="宋体" w:eastAsia="宋体" w:cs="宋体"/>
          <w:b/>
          <w:bCs/>
          <w:color w:val="auto"/>
          <w:kern w:val="2"/>
          <w:sz w:val="32"/>
          <w:szCs w:val="32"/>
          <w:highlight w:val="none"/>
          <w:lang w:val="en-US" w:eastAsia="zh-CN" w:bidi="ar-SA"/>
        </w:rPr>
        <w:t>第三部分专用合同条款</w:t>
      </w:r>
      <w:bookmarkEnd w:id="280"/>
      <w:bookmarkEnd w:id="281"/>
      <w:bookmarkEnd w:id="282"/>
    </w:p>
    <w:p w14:paraId="79E5686F">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rPr>
      </w:pPr>
      <w:bookmarkStart w:id="283" w:name="_Toc8124"/>
      <w:bookmarkStart w:id="284" w:name="_Toc3322"/>
      <w:r>
        <w:rPr>
          <w:rFonts w:hint="eastAsia" w:ascii="宋体" w:hAnsi="宋体" w:eastAsia="宋体" w:cs="宋体"/>
          <w:b w:val="0"/>
          <w:color w:val="auto"/>
          <w:highlight w:val="none"/>
        </w:rPr>
        <w:t>1</w:t>
      </w:r>
      <w:bookmarkStart w:id="285" w:name="_Toc296944495"/>
      <w:bookmarkStart w:id="286" w:name="_Toc296346657"/>
      <w:bookmarkStart w:id="287" w:name="_Toc297048342"/>
      <w:bookmarkStart w:id="288" w:name="_Toc297120456"/>
      <w:bookmarkStart w:id="289" w:name="_Toc296503156"/>
      <w:bookmarkStart w:id="290" w:name="_Toc292559866"/>
      <w:bookmarkStart w:id="291" w:name="_Toc296347155"/>
      <w:bookmarkStart w:id="292" w:name="_Toc292559361"/>
      <w:bookmarkStart w:id="293" w:name="_Toc296890984"/>
      <w:bookmarkStart w:id="294" w:name="_Toc296891196"/>
      <w:r>
        <w:rPr>
          <w:rFonts w:hint="eastAsia" w:ascii="宋体" w:hAnsi="宋体" w:eastAsia="宋体" w:cs="宋体"/>
          <w:b w:val="0"/>
          <w:color w:val="auto"/>
          <w:highlight w:val="none"/>
        </w:rPr>
        <w:t>.一般约定</w:t>
      </w:r>
      <w:bookmarkEnd w:id="283"/>
      <w:bookmarkEnd w:id="284"/>
    </w:p>
    <w:bookmarkEnd w:id="285"/>
    <w:bookmarkEnd w:id="286"/>
    <w:bookmarkEnd w:id="287"/>
    <w:bookmarkEnd w:id="288"/>
    <w:bookmarkEnd w:id="289"/>
    <w:bookmarkEnd w:id="290"/>
    <w:bookmarkEnd w:id="291"/>
    <w:bookmarkEnd w:id="292"/>
    <w:bookmarkEnd w:id="293"/>
    <w:bookmarkEnd w:id="294"/>
    <w:p w14:paraId="186DBAEE">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295" w:name="_Toc11195"/>
      <w:bookmarkStart w:id="296" w:name="_Toc23469"/>
      <w:r>
        <w:rPr>
          <w:rFonts w:hint="eastAsia" w:ascii="宋体" w:hAnsi="宋体" w:eastAsia="宋体" w:cs="宋体"/>
          <w:color w:val="auto"/>
          <w:sz w:val="24"/>
          <w:highlight w:val="none"/>
        </w:rPr>
        <w:t>1.1词语定义</w:t>
      </w:r>
      <w:bookmarkEnd w:id="295"/>
      <w:bookmarkEnd w:id="296"/>
    </w:p>
    <w:p w14:paraId="6F95AD3A">
      <w:pPr>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1.1.1合同</w:t>
      </w:r>
    </w:p>
    <w:p w14:paraId="7D924150">
      <w:pPr>
        <w:pageBreakBefore w:val="0"/>
        <w:kinsoku/>
        <w:wordWrap/>
        <w:overflowPunct/>
        <w:topLinePunct w:val="0"/>
        <w:bidi w:val="0"/>
        <w:spacing w:line="360" w:lineRule="auto"/>
        <w:ind w:left="1318" w:leftChars="228" w:hanging="840" w:hangingChars="350"/>
        <w:textAlignment w:val="auto"/>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1.1.1.10其他合同文件包括：</w:t>
      </w:r>
      <w:r>
        <w:rPr>
          <w:rFonts w:hint="eastAsia" w:ascii="宋体" w:hAnsi="宋体" w:eastAsia="宋体" w:cs="宋体"/>
          <w:color w:val="auto"/>
          <w:sz w:val="24"/>
          <w:highlight w:val="none"/>
          <w:u w:val="single"/>
        </w:rPr>
        <w:t>（1）中标通知书（如有）；（2）投标函及其附</w:t>
      </w:r>
    </w:p>
    <w:p w14:paraId="39E53750">
      <w:pPr>
        <w:pageBreakBefore w:val="0"/>
        <w:kinsoku/>
        <w:wordWrap/>
        <w:overflowPunct/>
        <w:topLinePunct w:val="0"/>
        <w:bidi w:val="0"/>
        <w:spacing w:line="360" w:lineRule="auto"/>
        <w:ind w:left="1318" w:leftChars="228" w:hanging="840" w:hangingChars="35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录（如有）；（3）专用合同条款及其附件；（4）通用合同条款；（5）技术</w:t>
      </w:r>
    </w:p>
    <w:p w14:paraId="56EAC3FF">
      <w:pPr>
        <w:pageBreakBefore w:val="0"/>
        <w:kinsoku/>
        <w:wordWrap/>
        <w:overflowPunct/>
        <w:topLinePunct w:val="0"/>
        <w:bidi w:val="0"/>
        <w:spacing w:line="360" w:lineRule="auto"/>
        <w:ind w:left="1318" w:leftChars="228" w:hanging="840" w:hangingChars="35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标准和要求；（6）图纸；（7）已标价工程量清单或预算书；（8）其他合同</w:t>
      </w:r>
    </w:p>
    <w:p w14:paraId="02ED8DAD">
      <w:pPr>
        <w:pageBreakBefore w:val="0"/>
        <w:kinsoku/>
        <w:wordWrap/>
        <w:overflowPunct/>
        <w:topLinePunct w:val="0"/>
        <w:bidi w:val="0"/>
        <w:spacing w:line="360" w:lineRule="auto"/>
        <w:ind w:left="1318" w:leftChars="228" w:hanging="840" w:hangingChars="35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文件。</w:t>
      </w:r>
    </w:p>
    <w:p w14:paraId="5AF4425B">
      <w:pPr>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1.1.2合同当事人及其他相关方</w:t>
      </w:r>
    </w:p>
    <w:p w14:paraId="0266DF65">
      <w:pPr>
        <w:pageBreakBefore w:val="0"/>
        <w:kinsoku/>
        <w:wordWrap/>
        <w:overflowPunct/>
        <w:topLinePunct w:val="0"/>
        <w:bidi w:val="0"/>
        <w:spacing w:line="360" w:lineRule="auto"/>
        <w:ind w:firstLine="480" w:firstLineChars="200"/>
        <w:textAlignment w:val="auto"/>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1.1.2.4监理人：</w:t>
      </w:r>
    </w:p>
    <w:p w14:paraId="56E3F2B1">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cs="宋体"/>
          <w:strike/>
          <w:dstrike w:val="0"/>
          <w:color w:val="auto"/>
          <w:sz w:val="24"/>
          <w:highlight w:val="none"/>
          <w:u w:val="single"/>
          <w:lang w:val="en-US" w:eastAsia="zh-CN"/>
        </w:rPr>
        <w:t xml:space="preserve">                </w:t>
      </w:r>
      <w:r>
        <w:rPr>
          <w:rFonts w:hint="eastAsia" w:ascii="宋体" w:hAnsi="宋体" w:eastAsia="宋体" w:cs="宋体"/>
          <w:color w:val="auto"/>
          <w:sz w:val="24"/>
          <w:highlight w:val="none"/>
        </w:rPr>
        <w:t>；</w:t>
      </w:r>
    </w:p>
    <w:p w14:paraId="77AB913F">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资质类别和等级：</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D4A233B">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 xml:space="preserve">  </w:t>
      </w:r>
      <w:r>
        <w:rPr>
          <w:rFonts w:hint="eastAsia" w:ascii="宋体" w:hAnsi="宋体" w:cs="宋体"/>
          <w:strike/>
          <w:dstrike w:val="0"/>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7B5F9E1">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5E26A568">
      <w:pPr>
        <w:pageBreakBefore w:val="0"/>
        <w:kinsoku/>
        <w:wordWrap/>
        <w:overflowPunct/>
        <w:topLinePunct w:val="0"/>
        <w:bidi w:val="0"/>
        <w:spacing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通信地址：</w:t>
      </w:r>
      <w:r>
        <w:rPr>
          <w:rFonts w:hint="eastAsia" w:ascii="宋体" w:hAnsi="宋体" w:cs="宋体"/>
          <w:strike/>
          <w:dstrike w:val="0"/>
          <w:color w:val="auto"/>
          <w:sz w:val="24"/>
          <w:highlight w:val="none"/>
          <w:u w:val="single"/>
          <w:lang w:val="en-US" w:eastAsia="zh-CN"/>
        </w:rPr>
        <w:t xml:space="preserve">                     </w:t>
      </w:r>
    </w:p>
    <w:p w14:paraId="317DD4E8">
      <w:pPr>
        <w:pageBreakBefore w:val="0"/>
        <w:kinsoku/>
        <w:wordWrap/>
        <w:overflowPunct/>
        <w:topLinePunct w:val="0"/>
        <w:bidi w:val="0"/>
        <w:spacing w:line="360" w:lineRule="auto"/>
        <w:ind w:firstLine="480" w:firstLineChars="200"/>
        <w:textAlignment w:val="auto"/>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1.1.2.5设计人：</w:t>
      </w:r>
    </w:p>
    <w:p w14:paraId="0BA23973">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D400B6E">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资质类别和等级</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712624B5">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11216CCF">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21AF4F05">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通信地址：</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6342CE17">
      <w:pPr>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1.1.3工程和设备</w:t>
      </w:r>
    </w:p>
    <w:p w14:paraId="18CC6E3A">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1.1.3.7作为施工现场组成部分的其他场所包括：</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u w:val="single"/>
        </w:rPr>
        <w:t>。</w:t>
      </w:r>
    </w:p>
    <w:p w14:paraId="49D7076A">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1.1.3.9永久占地包括：</w:t>
      </w:r>
      <w:r>
        <w:rPr>
          <w:rFonts w:hint="eastAsia" w:ascii="宋体" w:hAnsi="宋体" w:eastAsia="宋体" w:cs="宋体"/>
          <w:color w:val="auto"/>
          <w:sz w:val="24"/>
          <w:highlight w:val="none"/>
          <w:u w:val="single"/>
        </w:rPr>
        <w:t>无</w:t>
      </w:r>
      <w:r>
        <w:rPr>
          <w:rFonts w:hint="eastAsia" w:ascii="宋体" w:hAnsi="宋体" w:eastAsia="宋体" w:cs="宋体"/>
          <w:color w:val="auto"/>
          <w:kern w:val="0"/>
          <w:sz w:val="24"/>
          <w:highlight w:val="none"/>
        </w:rPr>
        <w:t>。</w:t>
      </w:r>
    </w:p>
    <w:p w14:paraId="4F3CD5E5">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1.1.3.10临时占地包括：</w:t>
      </w:r>
      <w:r>
        <w:rPr>
          <w:rFonts w:hint="eastAsia" w:ascii="宋体" w:hAnsi="宋体" w:eastAsia="宋体" w:cs="宋体"/>
          <w:color w:val="auto"/>
          <w:sz w:val="24"/>
          <w:highlight w:val="none"/>
          <w:u w:val="single"/>
        </w:rPr>
        <w:t>①招标人进行专业分包工程的专业分承包单位的临时</w:t>
      </w:r>
    </w:p>
    <w:p w14:paraId="42779BBC">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用地及材料设备堆场；②其他临时占地等</w:t>
      </w:r>
      <w:r>
        <w:rPr>
          <w:rFonts w:hint="eastAsia" w:ascii="宋体" w:hAnsi="宋体" w:eastAsia="宋体" w:cs="宋体"/>
          <w:color w:val="auto"/>
          <w:kern w:val="0"/>
          <w:sz w:val="24"/>
          <w:highlight w:val="none"/>
        </w:rPr>
        <w:t>。</w:t>
      </w:r>
    </w:p>
    <w:p w14:paraId="67B21503">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lang w:eastAsia="zh-CN"/>
        </w:rPr>
      </w:pPr>
      <w:bookmarkStart w:id="297" w:name="_Toc21967"/>
      <w:r>
        <w:rPr>
          <w:rFonts w:hint="eastAsia" w:ascii="宋体" w:hAnsi="宋体" w:eastAsia="宋体" w:cs="宋体"/>
          <w:color w:val="auto"/>
          <w:sz w:val="24"/>
          <w:highlight w:val="none"/>
        </w:rPr>
        <w:t>1.3法律</w:t>
      </w:r>
      <w:bookmarkEnd w:id="297"/>
    </w:p>
    <w:p w14:paraId="7FEAE657">
      <w:pPr>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适用于合同的其他规范性文件：</w:t>
      </w:r>
      <w:r>
        <w:rPr>
          <w:rFonts w:hint="eastAsia" w:ascii="宋体" w:hAnsi="宋体" w:eastAsia="宋体" w:cs="宋体"/>
          <w:color w:val="auto"/>
          <w:sz w:val="24"/>
          <w:highlight w:val="none"/>
          <w:u w:val="single"/>
        </w:rPr>
        <w:t>《中华人民共和国民法典》、《中华人民共和</w:t>
      </w:r>
    </w:p>
    <w:p w14:paraId="74E43485">
      <w:pPr>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国建筑法》、《建设工程质量管理条例》、《建设工程安全生产管理条例》、</w:t>
      </w:r>
    </w:p>
    <w:p w14:paraId="3AC2E8D6">
      <w:pPr>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《新疆维吾尔自治区建筑市场管理条例》等国家法规及自治区和地方的有关规</w:t>
      </w:r>
    </w:p>
    <w:p w14:paraId="6E3BB616">
      <w:pPr>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定。</w:t>
      </w:r>
    </w:p>
    <w:p w14:paraId="70104CEF">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298" w:name="_Toc7671"/>
      <w:r>
        <w:rPr>
          <w:rFonts w:hint="eastAsia" w:ascii="宋体" w:hAnsi="宋体" w:eastAsia="宋体" w:cs="宋体"/>
          <w:color w:val="auto"/>
          <w:sz w:val="24"/>
          <w:highlight w:val="none"/>
        </w:rPr>
        <w:t>1.4标准和规范</w:t>
      </w:r>
      <w:bookmarkEnd w:id="298"/>
    </w:p>
    <w:p w14:paraId="4324337D">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1.4.1适用于工程的标准规范包括：</w:t>
      </w:r>
      <w:r>
        <w:rPr>
          <w:rFonts w:hint="eastAsia" w:ascii="宋体" w:hAnsi="宋体" w:eastAsia="宋体" w:cs="宋体"/>
          <w:color w:val="auto"/>
          <w:kern w:val="0"/>
          <w:sz w:val="24"/>
          <w:highlight w:val="none"/>
          <w:u w:val="single"/>
        </w:rPr>
        <w:t>《建设工程工程量清单计价规范》</w:t>
      </w:r>
    </w:p>
    <w:p w14:paraId="67446873">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GB50500-2013、《工程建设标准强制性条文》（房屋建筑部分、2002年版）等</w:t>
      </w:r>
    </w:p>
    <w:p w14:paraId="20C0126D">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rPr>
        <w:t>现行与本合同文件有关的所有法律、法规、规章。</w:t>
      </w:r>
    </w:p>
    <w:p w14:paraId="12770564">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1.4.2发包人提供国外标准、规范的名称：</w:t>
      </w:r>
      <w:r>
        <w:rPr>
          <w:rFonts w:hint="eastAsia" w:ascii="宋体" w:hAnsi="宋体" w:eastAsia="宋体" w:cs="宋体"/>
          <w:color w:val="auto"/>
          <w:sz w:val="24"/>
          <w:highlight w:val="none"/>
          <w:u w:val="single"/>
        </w:rPr>
        <w:t>无</w:t>
      </w:r>
      <w:r>
        <w:rPr>
          <w:rFonts w:hint="eastAsia" w:ascii="宋体" w:hAnsi="宋体" w:eastAsia="宋体" w:cs="宋体"/>
          <w:color w:val="auto"/>
          <w:sz w:val="24"/>
          <w:highlight w:val="none"/>
        </w:rPr>
        <w:t>；</w:t>
      </w:r>
    </w:p>
    <w:p w14:paraId="62981151">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发包人提供国外标准、规范的份数：</w:t>
      </w:r>
      <w:r>
        <w:rPr>
          <w:rFonts w:hint="eastAsia" w:ascii="宋体" w:hAnsi="宋体" w:eastAsia="宋体" w:cs="宋体"/>
          <w:color w:val="auto"/>
          <w:sz w:val="24"/>
          <w:highlight w:val="none"/>
          <w:u w:val="single"/>
        </w:rPr>
        <w:t>无</w:t>
      </w:r>
      <w:r>
        <w:rPr>
          <w:rFonts w:hint="eastAsia" w:ascii="宋体" w:hAnsi="宋体" w:eastAsia="宋体" w:cs="宋体"/>
          <w:color w:val="auto"/>
          <w:sz w:val="24"/>
          <w:highlight w:val="none"/>
        </w:rPr>
        <w:t>；</w:t>
      </w:r>
    </w:p>
    <w:p w14:paraId="0B4B0A6D">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发包人提供国外标准、规范的名称：</w:t>
      </w:r>
      <w:r>
        <w:rPr>
          <w:rFonts w:hint="eastAsia" w:ascii="宋体" w:hAnsi="宋体" w:eastAsia="宋体" w:cs="宋体"/>
          <w:color w:val="auto"/>
          <w:sz w:val="24"/>
          <w:highlight w:val="none"/>
          <w:u w:val="single"/>
        </w:rPr>
        <w:t>无</w:t>
      </w:r>
      <w:r>
        <w:rPr>
          <w:rFonts w:hint="eastAsia" w:ascii="宋体" w:hAnsi="宋体" w:eastAsia="宋体" w:cs="宋体"/>
          <w:color w:val="auto"/>
          <w:sz w:val="24"/>
          <w:highlight w:val="none"/>
        </w:rPr>
        <w:t>；</w:t>
      </w:r>
    </w:p>
    <w:p w14:paraId="23A24376">
      <w:pPr>
        <w:pageBreakBefore w:val="0"/>
        <w:kinsoku/>
        <w:wordWrap/>
        <w:overflowPunct/>
        <w:topLinePunct w:val="0"/>
        <w:bidi w:val="0"/>
        <w:spacing w:line="360" w:lineRule="auto"/>
        <w:ind w:left="14" w:leftChars="7" w:firstLine="463" w:firstLineChars="193"/>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1.4.3发包人对工程的技术标准和功能要求的特殊要求：</w:t>
      </w:r>
      <w:r>
        <w:rPr>
          <w:rFonts w:hint="eastAsia" w:ascii="宋体" w:hAnsi="宋体" w:eastAsia="宋体" w:cs="宋体"/>
          <w:color w:val="auto"/>
          <w:kern w:val="0"/>
          <w:sz w:val="24"/>
          <w:highlight w:val="none"/>
          <w:u w:val="single"/>
        </w:rPr>
        <w:t>详见本招标文件技术要求</w:t>
      </w:r>
      <w:r>
        <w:rPr>
          <w:rFonts w:hint="eastAsia" w:ascii="宋体" w:hAnsi="宋体" w:eastAsia="宋体" w:cs="宋体"/>
          <w:color w:val="auto"/>
          <w:kern w:val="0"/>
          <w:sz w:val="24"/>
          <w:highlight w:val="none"/>
        </w:rPr>
        <w:t>；</w:t>
      </w:r>
    </w:p>
    <w:p w14:paraId="3C7E0085">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299" w:name="_Toc8320"/>
      <w:bookmarkStart w:id="300" w:name="_Toc14632"/>
      <w:r>
        <w:rPr>
          <w:rFonts w:hint="eastAsia" w:ascii="宋体" w:hAnsi="宋体" w:eastAsia="宋体" w:cs="宋体"/>
          <w:color w:val="auto"/>
          <w:sz w:val="24"/>
          <w:highlight w:val="none"/>
        </w:rPr>
        <w:t>1.5合同文件的优先顺序</w:t>
      </w:r>
      <w:bookmarkEnd w:id="299"/>
      <w:bookmarkEnd w:id="300"/>
    </w:p>
    <w:p w14:paraId="4DF7B6C0">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合同文件组成及优先顺序为：</w:t>
      </w:r>
      <w:r>
        <w:rPr>
          <w:rFonts w:hint="eastAsia" w:ascii="宋体" w:hAnsi="宋体" w:eastAsia="宋体" w:cs="宋体"/>
          <w:color w:val="auto"/>
          <w:sz w:val="24"/>
          <w:highlight w:val="none"/>
          <w:u w:val="single"/>
        </w:rPr>
        <w:t>①招标文件及其附件；②本合同协议书；③中标通知书；④投标书及其附件；⑤专用合同条款；⑥通用合同条款；⑦工程量清单；⑧承包人投标时所做的声明、承诺、澄清及答复资料等（如有时）；⑨双方在工程施工过程中来往文件（函件）、会议纪要（经发包人认可的）及书面协议等；⑩标准、规范及有关技术文件；⑪图纸；⑫其他合同文件。</w:t>
      </w:r>
    </w:p>
    <w:p w14:paraId="651ACFD8">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301" w:name="_Toc19414"/>
      <w:bookmarkStart w:id="302" w:name="_Toc10433"/>
      <w:r>
        <w:rPr>
          <w:rFonts w:hint="eastAsia" w:ascii="宋体" w:hAnsi="宋体" w:eastAsia="宋体" w:cs="宋体"/>
          <w:color w:val="auto"/>
          <w:sz w:val="24"/>
          <w:highlight w:val="none"/>
        </w:rPr>
        <w:t>1.6图纸和承包人文件</w:t>
      </w:r>
      <w:bookmarkEnd w:id="301"/>
      <w:bookmarkEnd w:id="302"/>
      <w:r>
        <w:rPr>
          <w:rFonts w:hint="eastAsia" w:ascii="宋体" w:hAnsi="宋体" w:eastAsia="宋体" w:cs="宋体"/>
          <w:color w:val="auto"/>
          <w:sz w:val="24"/>
          <w:highlight w:val="none"/>
        </w:rPr>
        <w:tab/>
      </w:r>
    </w:p>
    <w:p w14:paraId="3F576D16">
      <w:pPr>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1.6.1图纸的提供</w:t>
      </w:r>
    </w:p>
    <w:p w14:paraId="309AAE55">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发包人向承包人提供图纸的期限：</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w:t>
      </w:r>
    </w:p>
    <w:p w14:paraId="76F8D224">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发包人向承包人提供图纸的数量：</w:t>
      </w:r>
      <w:r>
        <w:rPr>
          <w:rFonts w:hint="eastAsia" w:ascii="宋体" w:hAnsi="宋体" w:eastAsia="宋体" w:cs="宋体"/>
          <w:color w:val="auto"/>
          <w:sz w:val="24"/>
          <w:highlight w:val="none"/>
          <w:u w:val="single"/>
          <w:lang w:val="en-US" w:eastAsia="zh-CN"/>
        </w:rPr>
        <w:t xml:space="preserve"> /；</w:t>
      </w:r>
    </w:p>
    <w:p w14:paraId="5D5F2A72">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发包人向承包人提供图纸的内容：</w:t>
      </w:r>
      <w:r>
        <w:rPr>
          <w:rFonts w:hint="eastAsia" w:ascii="宋体" w:hAnsi="宋体" w:cs="宋体"/>
          <w:color w:val="auto"/>
          <w:sz w:val="24"/>
          <w:highlight w:val="none"/>
          <w:u w:val="single"/>
          <w:lang w:val="en-US" w:eastAsia="zh-CN"/>
        </w:rPr>
        <w:t>/</w:t>
      </w:r>
    </w:p>
    <w:p w14:paraId="6055F7F5">
      <w:pPr>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1.6.4承包人文件</w:t>
      </w:r>
    </w:p>
    <w:p w14:paraId="3E330EA6">
      <w:pPr>
        <w:pageBreakBefore w:val="0"/>
        <w:kinsoku/>
        <w:wordWrap/>
        <w:overflowPunct/>
        <w:topLinePunct w:val="0"/>
        <w:bidi w:val="0"/>
        <w:spacing w:line="360" w:lineRule="auto"/>
        <w:ind w:left="596" w:leftChars="284"/>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需要由承包人提供的文件，包括：</w:t>
      </w:r>
      <w:r>
        <w:rPr>
          <w:rFonts w:hint="eastAsia" w:ascii="宋体" w:hAnsi="宋体" w:eastAsia="宋体" w:cs="宋体"/>
          <w:color w:val="auto"/>
          <w:sz w:val="24"/>
          <w:highlight w:val="none"/>
          <w:u w:val="single"/>
          <w:lang w:val="en-US" w:eastAsia="zh-CN"/>
        </w:rPr>
        <w:t>施工组织设计（施工方案）、施工进度计划、安全生产保证措施、文明施工保证措施、质量生产保证措施、治安保卫措施、本项目资金使用计划、事故应急处理预案及事故处理办法</w:t>
      </w:r>
      <w:r>
        <w:rPr>
          <w:rFonts w:hint="eastAsia" w:ascii="宋体" w:hAnsi="宋体" w:eastAsia="宋体" w:cs="宋体"/>
          <w:color w:val="auto"/>
          <w:sz w:val="24"/>
          <w:highlight w:val="none"/>
          <w:u w:val="single"/>
        </w:rPr>
        <w:t>；</w:t>
      </w:r>
    </w:p>
    <w:p w14:paraId="72E3528B">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承包人提供的文件的期限为：</w:t>
      </w:r>
      <w:r>
        <w:rPr>
          <w:rFonts w:hint="eastAsia" w:ascii="宋体" w:hAnsi="宋体" w:eastAsia="宋体" w:cs="宋体"/>
          <w:color w:val="auto"/>
          <w:sz w:val="24"/>
          <w:highlight w:val="none"/>
          <w:u w:val="single"/>
          <w:lang w:val="en-US" w:eastAsia="zh-CN"/>
        </w:rPr>
        <w:t>开工前7天提供</w:t>
      </w:r>
      <w:r>
        <w:rPr>
          <w:rFonts w:hint="eastAsia" w:ascii="宋体" w:hAnsi="宋体" w:eastAsia="宋体" w:cs="宋体"/>
          <w:color w:val="auto"/>
          <w:sz w:val="24"/>
          <w:highlight w:val="none"/>
        </w:rPr>
        <w:t>；</w:t>
      </w:r>
    </w:p>
    <w:p w14:paraId="6ADC979D">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承包人提供的文件的数量为：</w:t>
      </w:r>
      <w:r>
        <w:rPr>
          <w:rFonts w:hint="eastAsia" w:ascii="宋体" w:hAnsi="宋体" w:eastAsia="宋体" w:cs="宋体"/>
          <w:color w:val="auto"/>
          <w:sz w:val="24"/>
          <w:highlight w:val="none"/>
          <w:u w:val="single"/>
          <w:lang w:val="en-US" w:eastAsia="zh-CN"/>
        </w:rPr>
        <w:t>三份</w:t>
      </w:r>
      <w:r>
        <w:rPr>
          <w:rFonts w:hint="eastAsia" w:ascii="宋体" w:hAnsi="宋体" w:eastAsia="宋体" w:cs="宋体"/>
          <w:color w:val="auto"/>
          <w:sz w:val="24"/>
          <w:highlight w:val="none"/>
        </w:rPr>
        <w:t>；</w:t>
      </w:r>
    </w:p>
    <w:p w14:paraId="3D85FE21">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承包人提供的文件的形式为：</w:t>
      </w:r>
      <w:r>
        <w:rPr>
          <w:rFonts w:hint="eastAsia" w:ascii="宋体" w:hAnsi="宋体" w:eastAsia="宋体" w:cs="宋体"/>
          <w:color w:val="auto"/>
          <w:sz w:val="24"/>
          <w:highlight w:val="none"/>
          <w:u w:val="single"/>
        </w:rPr>
        <w:t>书面和电子本文件（书面文件2套，电子文件3套）</w:t>
      </w:r>
      <w:r>
        <w:rPr>
          <w:rFonts w:hint="eastAsia" w:ascii="宋体" w:hAnsi="宋体" w:eastAsia="宋体" w:cs="宋体"/>
          <w:color w:val="auto"/>
          <w:sz w:val="24"/>
          <w:highlight w:val="none"/>
        </w:rPr>
        <w:t>；</w:t>
      </w:r>
    </w:p>
    <w:p w14:paraId="278087B4">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发包人审批承包人文件的期限：</w:t>
      </w:r>
      <w:r>
        <w:rPr>
          <w:rFonts w:hint="eastAsia" w:ascii="宋体" w:hAnsi="宋体" w:eastAsia="宋体" w:cs="宋体"/>
          <w:color w:val="auto"/>
          <w:sz w:val="24"/>
          <w:highlight w:val="none"/>
          <w:u w:val="single"/>
        </w:rPr>
        <w:t>开工前三日审批。</w:t>
      </w:r>
    </w:p>
    <w:p w14:paraId="3DD0A2B0">
      <w:pPr>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1.6.5现场图纸准备</w:t>
      </w:r>
    </w:p>
    <w:p w14:paraId="4022DC6A">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关于现场图纸准备的约定：</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rPr>
        <w:t>。</w:t>
      </w:r>
    </w:p>
    <w:p w14:paraId="66633A8F">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303" w:name="_Toc9526"/>
      <w:bookmarkStart w:id="304" w:name="_Toc21386"/>
      <w:r>
        <w:rPr>
          <w:rFonts w:hint="eastAsia" w:ascii="宋体" w:hAnsi="宋体" w:eastAsia="宋体" w:cs="宋体"/>
          <w:color w:val="auto"/>
          <w:sz w:val="24"/>
          <w:highlight w:val="none"/>
        </w:rPr>
        <w:t>1.7联络</w:t>
      </w:r>
      <w:bookmarkEnd w:id="303"/>
      <w:bookmarkEnd w:id="304"/>
    </w:p>
    <w:p w14:paraId="4037FB15">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1.7.1发包人和承包人应当在</w:t>
      </w:r>
      <w:r>
        <w:rPr>
          <w:rFonts w:hint="eastAsia" w:ascii="宋体" w:hAnsi="宋体" w:eastAsia="宋体" w:cs="宋体"/>
          <w:color w:val="auto"/>
          <w:sz w:val="24"/>
          <w:highlight w:val="none"/>
          <w:u w:val="single"/>
        </w:rPr>
        <w:t>3天</w:t>
      </w:r>
      <w:r>
        <w:rPr>
          <w:rFonts w:hint="eastAsia" w:ascii="宋体" w:hAnsi="宋体" w:eastAsia="宋体" w:cs="宋体"/>
          <w:color w:val="auto"/>
          <w:kern w:val="0"/>
          <w:sz w:val="24"/>
          <w:highlight w:val="none"/>
        </w:rPr>
        <w:t>内将与合同有关的通知、批准、证明、证书、指示、指令、要求、请求、同意、意见、确定和决定等书面函件送达对方当事人。</w:t>
      </w:r>
    </w:p>
    <w:p w14:paraId="676C3643">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1.7.2发包人接收文件的地点：</w:t>
      </w:r>
      <w:r>
        <w:rPr>
          <w:rFonts w:hint="eastAsia" w:ascii="宋体" w:hAnsi="宋体" w:eastAsia="宋体" w:cs="宋体"/>
          <w:color w:val="auto"/>
          <w:sz w:val="24"/>
          <w:highlight w:val="none"/>
          <w:u w:val="single"/>
        </w:rPr>
        <w:t>本项目施工现场</w:t>
      </w:r>
      <w:r>
        <w:rPr>
          <w:rFonts w:hint="eastAsia" w:ascii="宋体" w:hAnsi="宋体" w:eastAsia="宋体" w:cs="宋体"/>
          <w:color w:val="auto"/>
          <w:sz w:val="24"/>
          <w:highlight w:val="none"/>
        </w:rPr>
        <w:t>；</w:t>
      </w:r>
    </w:p>
    <w:p w14:paraId="6508EDAE">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发包人指定的接收人为：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w:t>
      </w:r>
    </w:p>
    <w:p w14:paraId="3FC486A0">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承包人接收文件的地点：</w:t>
      </w:r>
      <w:r>
        <w:rPr>
          <w:rFonts w:hint="eastAsia" w:ascii="宋体" w:hAnsi="宋体" w:eastAsia="宋体" w:cs="宋体"/>
          <w:color w:val="auto"/>
          <w:kern w:val="0"/>
          <w:sz w:val="24"/>
          <w:highlight w:val="none"/>
          <w:u w:val="single"/>
        </w:rPr>
        <w:t>本项目施工现场</w:t>
      </w:r>
      <w:r>
        <w:rPr>
          <w:rFonts w:hint="eastAsia" w:ascii="宋体" w:hAnsi="宋体" w:eastAsia="宋体" w:cs="宋体"/>
          <w:color w:val="auto"/>
          <w:kern w:val="0"/>
          <w:sz w:val="24"/>
          <w:highlight w:val="none"/>
        </w:rPr>
        <w:t>；</w:t>
      </w:r>
    </w:p>
    <w:p w14:paraId="5E697DC1">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承包人指定的接收人为：</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rPr>
        <w:t>。</w:t>
      </w:r>
    </w:p>
    <w:p w14:paraId="2E86865E">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监理人接收文件的地点：</w:t>
      </w:r>
      <w:r>
        <w:rPr>
          <w:rFonts w:hint="eastAsia" w:ascii="宋体" w:hAnsi="宋体" w:eastAsia="宋体" w:cs="宋体"/>
          <w:color w:val="auto"/>
          <w:kern w:val="0"/>
          <w:sz w:val="24"/>
          <w:highlight w:val="none"/>
          <w:u w:val="single"/>
        </w:rPr>
        <w:t>本项目施工现场</w:t>
      </w:r>
      <w:r>
        <w:rPr>
          <w:rFonts w:hint="eastAsia" w:ascii="宋体" w:hAnsi="宋体" w:eastAsia="宋体" w:cs="宋体"/>
          <w:color w:val="auto"/>
          <w:kern w:val="0"/>
          <w:sz w:val="24"/>
          <w:highlight w:val="none"/>
        </w:rPr>
        <w:t>；</w:t>
      </w:r>
    </w:p>
    <w:p w14:paraId="78768C8B">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监理人指定的接收人为：</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rPr>
        <w:t>。</w:t>
      </w:r>
    </w:p>
    <w:p w14:paraId="67EE6AC5">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305" w:name="_Toc27230"/>
      <w:bookmarkStart w:id="306" w:name="_Toc25315"/>
      <w:r>
        <w:rPr>
          <w:rFonts w:hint="eastAsia" w:ascii="宋体" w:hAnsi="宋体" w:eastAsia="宋体" w:cs="宋体"/>
          <w:color w:val="auto"/>
          <w:sz w:val="24"/>
          <w:highlight w:val="none"/>
        </w:rPr>
        <w:t>1.10交通运输</w:t>
      </w:r>
      <w:bookmarkEnd w:id="305"/>
      <w:bookmarkEnd w:id="306"/>
    </w:p>
    <w:p w14:paraId="77BF53D1">
      <w:pPr>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color w:val="auto"/>
          <w:sz w:val="24"/>
          <w:highlight w:val="none"/>
        </w:rPr>
      </w:pPr>
      <w:bookmarkStart w:id="307" w:name="_Toc20591"/>
      <w:r>
        <w:rPr>
          <w:rFonts w:hint="eastAsia" w:ascii="宋体" w:hAnsi="宋体" w:eastAsia="宋体" w:cs="宋体"/>
          <w:color w:val="auto"/>
          <w:sz w:val="24"/>
          <w:highlight w:val="none"/>
        </w:rPr>
        <w:t>1</w:t>
      </w:r>
      <w:bookmarkStart w:id="308" w:name="_Toc300934943"/>
      <w:bookmarkStart w:id="309" w:name="_Toc303539100"/>
      <w:bookmarkStart w:id="310" w:name="_Toc304295521"/>
      <w:bookmarkStart w:id="311" w:name="_Toc318581155"/>
      <w:bookmarkStart w:id="312" w:name="_Toc312677986"/>
      <w:r>
        <w:rPr>
          <w:rFonts w:hint="eastAsia" w:ascii="宋体" w:hAnsi="宋体" w:eastAsia="宋体" w:cs="宋体"/>
          <w:color w:val="auto"/>
          <w:sz w:val="24"/>
          <w:highlight w:val="none"/>
        </w:rPr>
        <w:t>.10.1出入现场的权利</w:t>
      </w:r>
      <w:bookmarkEnd w:id="307"/>
      <w:bookmarkEnd w:id="308"/>
      <w:bookmarkEnd w:id="309"/>
      <w:bookmarkEnd w:id="310"/>
      <w:bookmarkEnd w:id="311"/>
      <w:bookmarkEnd w:id="312"/>
    </w:p>
    <w:p w14:paraId="0DA53689">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bookmarkStart w:id="313" w:name="_Toc5366"/>
      <w:r>
        <w:rPr>
          <w:rFonts w:hint="eastAsia" w:ascii="宋体" w:hAnsi="宋体" w:eastAsia="宋体" w:cs="宋体"/>
          <w:b w:val="0"/>
          <w:bCs w:val="0"/>
          <w:color w:val="auto"/>
          <w:kern w:val="0"/>
          <w:sz w:val="24"/>
          <w:szCs w:val="24"/>
          <w:highlight w:val="none"/>
          <w:lang w:val="en-US" w:eastAsia="zh-CN" w:bidi="ar-SA"/>
        </w:rPr>
        <w:t>关于出入现场的权利的约定：</w:t>
      </w:r>
      <w:r>
        <w:rPr>
          <w:rFonts w:hint="eastAsia" w:ascii="宋体" w:hAnsi="宋体" w:eastAsia="宋体" w:cs="宋体"/>
          <w:b w:val="0"/>
          <w:bCs w:val="0"/>
          <w:color w:val="auto"/>
          <w:kern w:val="0"/>
          <w:sz w:val="24"/>
          <w:szCs w:val="24"/>
          <w:highlight w:val="none"/>
          <w:u w:val="single"/>
          <w:lang w:val="en-US" w:eastAsia="zh-CN" w:bidi="ar-SA"/>
        </w:rPr>
        <w:t>未经发承包人代表的同意，无关人员一律不得随意出入施工现场。</w:t>
      </w:r>
      <w:bookmarkEnd w:id="313"/>
    </w:p>
    <w:p w14:paraId="2F44084A">
      <w:pPr>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b w:val="0"/>
          <w:bCs w:val="0"/>
          <w:color w:val="auto"/>
          <w:kern w:val="0"/>
          <w:sz w:val="24"/>
          <w:szCs w:val="24"/>
          <w:highlight w:val="none"/>
          <w:lang w:val="en-US" w:eastAsia="zh-CN" w:bidi="ar-SA"/>
        </w:rPr>
      </w:pPr>
      <w:bookmarkStart w:id="314" w:name="_Toc16402"/>
      <w:r>
        <w:rPr>
          <w:rFonts w:hint="eastAsia" w:ascii="宋体" w:hAnsi="宋体" w:eastAsia="宋体" w:cs="宋体"/>
          <w:b w:val="0"/>
          <w:bCs w:val="0"/>
          <w:color w:val="auto"/>
          <w:kern w:val="0"/>
          <w:sz w:val="24"/>
          <w:szCs w:val="24"/>
          <w:highlight w:val="none"/>
          <w:lang w:val="en-US" w:eastAsia="zh-CN" w:bidi="ar-SA"/>
        </w:rPr>
        <w:t>1.10.3场内交通</w:t>
      </w:r>
      <w:bookmarkEnd w:id="314"/>
    </w:p>
    <w:p w14:paraId="4D05C946">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bookmarkStart w:id="315" w:name="_Toc13337"/>
      <w:r>
        <w:rPr>
          <w:rFonts w:hint="eastAsia" w:ascii="宋体" w:hAnsi="宋体" w:eastAsia="宋体" w:cs="宋体"/>
          <w:b w:val="0"/>
          <w:bCs w:val="0"/>
          <w:color w:val="auto"/>
          <w:kern w:val="0"/>
          <w:sz w:val="24"/>
          <w:szCs w:val="24"/>
          <w:highlight w:val="none"/>
          <w:lang w:val="en-US" w:eastAsia="zh-CN" w:bidi="ar-SA"/>
        </w:rPr>
        <w:t>关于场外交通和场内交通的边界的约定：</w:t>
      </w:r>
      <w:r>
        <w:rPr>
          <w:rFonts w:hint="eastAsia" w:ascii="宋体" w:hAnsi="宋体" w:eastAsia="宋体" w:cs="宋体"/>
          <w:b w:val="0"/>
          <w:bCs w:val="0"/>
          <w:color w:val="auto"/>
          <w:kern w:val="0"/>
          <w:sz w:val="24"/>
          <w:szCs w:val="24"/>
          <w:highlight w:val="none"/>
          <w:u w:val="single"/>
          <w:lang w:val="en-US" w:eastAsia="zh-CN" w:bidi="ar-SA"/>
        </w:rPr>
        <w:t>施工现场内临时道路由承包人负责建设并承担相关费用。场外交通以建筑用地范围为边界，场外交通由发包人协调解决</w:t>
      </w:r>
      <w:r>
        <w:rPr>
          <w:rFonts w:hint="eastAsia" w:ascii="宋体" w:hAnsi="宋体" w:eastAsia="宋体" w:cs="宋体"/>
          <w:b w:val="0"/>
          <w:bCs w:val="0"/>
          <w:color w:val="auto"/>
          <w:kern w:val="0"/>
          <w:sz w:val="24"/>
          <w:szCs w:val="24"/>
          <w:highlight w:val="none"/>
          <w:lang w:val="en-US" w:eastAsia="zh-CN" w:bidi="ar-SA"/>
        </w:rPr>
        <w:t>。</w:t>
      </w:r>
      <w:bookmarkEnd w:id="315"/>
    </w:p>
    <w:p w14:paraId="4AE62BCF">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bookmarkStart w:id="316" w:name="_Toc6557"/>
      <w:r>
        <w:rPr>
          <w:rFonts w:hint="eastAsia" w:ascii="宋体" w:hAnsi="宋体" w:eastAsia="宋体" w:cs="宋体"/>
          <w:b w:val="0"/>
          <w:bCs w:val="0"/>
          <w:color w:val="auto"/>
          <w:kern w:val="0"/>
          <w:sz w:val="24"/>
          <w:szCs w:val="24"/>
          <w:highlight w:val="none"/>
          <w:lang w:val="en-US" w:eastAsia="zh-CN" w:bidi="ar-SA"/>
        </w:rPr>
        <w:t>关于发包人向承包人免费提供满足工程施工需要的场内道路和交通设施的约定：</w:t>
      </w:r>
      <w:r>
        <w:rPr>
          <w:rFonts w:hint="eastAsia" w:ascii="宋体" w:hAnsi="宋体" w:eastAsia="宋体" w:cs="宋体"/>
          <w:b w:val="0"/>
          <w:bCs w:val="0"/>
          <w:color w:val="auto"/>
          <w:kern w:val="0"/>
          <w:sz w:val="24"/>
          <w:szCs w:val="24"/>
          <w:highlight w:val="none"/>
          <w:u w:val="single"/>
          <w:lang w:val="en-US" w:eastAsia="zh-CN" w:bidi="ar-SA"/>
        </w:rPr>
        <w:t>由承包人自行解决场内施工道路和交通，并承担相关费用</w:t>
      </w:r>
      <w:r>
        <w:rPr>
          <w:rFonts w:hint="eastAsia" w:ascii="宋体" w:hAnsi="宋体" w:eastAsia="宋体" w:cs="宋体"/>
          <w:b w:val="0"/>
          <w:bCs w:val="0"/>
          <w:color w:val="auto"/>
          <w:kern w:val="0"/>
          <w:sz w:val="24"/>
          <w:szCs w:val="24"/>
          <w:highlight w:val="none"/>
          <w:lang w:val="en-US" w:eastAsia="zh-CN" w:bidi="ar-SA"/>
        </w:rPr>
        <w:t>。</w:t>
      </w:r>
      <w:bookmarkEnd w:id="316"/>
    </w:p>
    <w:p w14:paraId="1BC1470C">
      <w:pPr>
        <w:pageBreakBefore w:val="0"/>
        <w:kinsoku/>
        <w:wordWrap/>
        <w:overflowPunct/>
        <w:topLinePunct w:val="0"/>
        <w:bidi w:val="0"/>
        <w:spacing w:before="120" w:after="120" w:line="360" w:lineRule="auto"/>
        <w:ind w:firstLine="480" w:firstLineChars="200"/>
        <w:textAlignment w:val="auto"/>
        <w:outlineLvl w:val="2"/>
        <w:rPr>
          <w:rFonts w:hint="eastAsia" w:ascii="宋体" w:hAnsi="宋体" w:eastAsia="宋体" w:cs="宋体"/>
          <w:b w:val="0"/>
          <w:bCs w:val="0"/>
          <w:color w:val="auto"/>
          <w:kern w:val="0"/>
          <w:sz w:val="24"/>
          <w:szCs w:val="24"/>
          <w:highlight w:val="none"/>
          <w:lang w:val="en-US" w:eastAsia="zh-CN" w:bidi="ar-SA"/>
        </w:rPr>
      </w:pPr>
      <w:bookmarkStart w:id="317" w:name="_Toc32563"/>
      <w:r>
        <w:rPr>
          <w:rFonts w:hint="eastAsia" w:ascii="宋体" w:hAnsi="宋体" w:eastAsia="宋体" w:cs="宋体"/>
          <w:b w:val="0"/>
          <w:bCs w:val="0"/>
          <w:color w:val="auto"/>
          <w:kern w:val="0"/>
          <w:sz w:val="24"/>
          <w:szCs w:val="24"/>
          <w:highlight w:val="none"/>
          <w:lang w:val="en-US" w:eastAsia="zh-CN" w:bidi="ar-SA"/>
        </w:rPr>
        <w:t>1.10.4超大件和超重件的运输</w:t>
      </w:r>
      <w:bookmarkEnd w:id="317"/>
    </w:p>
    <w:p w14:paraId="68594883">
      <w:pPr>
        <w:pageBreakBefore w:val="0"/>
        <w:kinsoku/>
        <w:wordWrap/>
        <w:overflowPunct/>
        <w:topLinePunct w:val="0"/>
        <w:bidi w:val="0"/>
        <w:spacing w:before="120" w:after="120" w:line="360"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bookmarkStart w:id="318" w:name="_Toc15164"/>
      <w:r>
        <w:rPr>
          <w:rFonts w:hint="eastAsia" w:ascii="宋体" w:hAnsi="宋体" w:eastAsia="宋体" w:cs="宋体"/>
          <w:b w:val="0"/>
          <w:bCs w:val="0"/>
          <w:color w:val="auto"/>
          <w:kern w:val="0"/>
          <w:sz w:val="24"/>
          <w:szCs w:val="24"/>
          <w:highlight w:val="none"/>
          <w:lang w:val="en-US" w:eastAsia="zh-CN" w:bidi="ar-SA"/>
        </w:rPr>
        <w:t>运输超大件或超重件所需的道路和桥梁临时加固改造费用和其他有关费用由</w:t>
      </w:r>
      <w:r>
        <w:rPr>
          <w:rFonts w:hint="eastAsia" w:ascii="宋体" w:hAnsi="宋体" w:eastAsia="宋体" w:cs="宋体"/>
          <w:b w:val="0"/>
          <w:bCs w:val="0"/>
          <w:color w:val="auto"/>
          <w:kern w:val="0"/>
          <w:sz w:val="24"/>
          <w:szCs w:val="24"/>
          <w:highlight w:val="none"/>
          <w:u w:val="single"/>
          <w:lang w:val="en-US" w:eastAsia="zh-CN" w:bidi="ar-SA"/>
        </w:rPr>
        <w:t>承包人自行协调解决，并承担相关费用</w:t>
      </w:r>
      <w:r>
        <w:rPr>
          <w:rFonts w:hint="eastAsia" w:ascii="宋体" w:hAnsi="宋体" w:eastAsia="宋体" w:cs="宋体"/>
          <w:b w:val="0"/>
          <w:bCs w:val="0"/>
          <w:color w:val="auto"/>
          <w:kern w:val="0"/>
          <w:sz w:val="24"/>
          <w:szCs w:val="24"/>
          <w:highlight w:val="none"/>
          <w:lang w:val="en-US" w:eastAsia="zh-CN" w:bidi="ar-SA"/>
        </w:rPr>
        <w:t>承担。</w:t>
      </w:r>
      <w:bookmarkEnd w:id="318"/>
    </w:p>
    <w:p w14:paraId="1B8ADBA8">
      <w:pPr>
        <w:pStyle w:val="7"/>
        <w:pageBreakBefore w:val="0"/>
        <w:kinsoku/>
        <w:wordWrap/>
        <w:overflowPunct/>
        <w:topLinePunct w:val="0"/>
        <w:bidi w:val="0"/>
        <w:spacing w:before="120" w:after="120" w:line="360" w:lineRule="auto"/>
        <w:ind w:firstLine="480" w:firstLineChars="200"/>
        <w:textAlignment w:val="auto"/>
        <w:outlineLvl w:val="1"/>
        <w:rPr>
          <w:rFonts w:hint="eastAsia" w:ascii="宋体" w:hAnsi="宋体" w:eastAsia="宋体" w:cs="宋体"/>
          <w:b w:val="0"/>
          <w:bCs w:val="0"/>
          <w:color w:val="auto"/>
          <w:kern w:val="2"/>
          <w:sz w:val="24"/>
          <w:szCs w:val="24"/>
          <w:highlight w:val="none"/>
          <w:lang w:val="en-US" w:eastAsia="zh-CN" w:bidi="ar-SA"/>
        </w:rPr>
      </w:pPr>
      <w:bookmarkStart w:id="319" w:name="_Toc29491"/>
      <w:bookmarkStart w:id="320" w:name="_Toc15545"/>
      <w:r>
        <w:rPr>
          <w:rFonts w:hint="eastAsia" w:ascii="宋体" w:hAnsi="宋体" w:eastAsia="宋体" w:cs="宋体"/>
          <w:b w:val="0"/>
          <w:bCs w:val="0"/>
          <w:color w:val="auto"/>
          <w:kern w:val="2"/>
          <w:sz w:val="24"/>
          <w:szCs w:val="24"/>
          <w:highlight w:val="none"/>
          <w:lang w:val="en-US" w:eastAsia="zh-CN" w:bidi="ar-SA"/>
        </w:rPr>
        <w:t>1.11知识产权</w:t>
      </w:r>
      <w:bookmarkEnd w:id="319"/>
      <w:bookmarkEnd w:id="320"/>
    </w:p>
    <w:p w14:paraId="246729BC">
      <w:pPr>
        <w:pageBreakBefore w:val="0"/>
        <w:kinsoku/>
        <w:wordWrap/>
        <w:overflowPunct/>
        <w:topLinePunct w:val="0"/>
        <w:bidi w:val="0"/>
        <w:spacing w:before="120" w:after="120" w:line="360"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bookmarkStart w:id="321" w:name="_Toc12231"/>
      <w:r>
        <w:rPr>
          <w:rFonts w:hint="eastAsia" w:ascii="宋体" w:hAnsi="宋体" w:eastAsia="宋体" w:cs="宋体"/>
          <w:b w:val="0"/>
          <w:bCs w:val="0"/>
          <w:color w:val="auto"/>
          <w:kern w:val="0"/>
          <w:sz w:val="24"/>
          <w:szCs w:val="24"/>
          <w:highlight w:val="none"/>
          <w:lang w:val="en-US" w:eastAsia="zh-CN" w:bidi="ar-SA"/>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color w:val="auto"/>
          <w:kern w:val="0"/>
          <w:sz w:val="24"/>
          <w:szCs w:val="24"/>
          <w:highlight w:val="none"/>
          <w:u w:val="single"/>
          <w:lang w:val="en-US" w:eastAsia="zh-CN" w:bidi="ar-SA"/>
        </w:rPr>
        <w:t>归发包人所有</w:t>
      </w:r>
      <w:r>
        <w:rPr>
          <w:rFonts w:hint="eastAsia" w:ascii="宋体" w:hAnsi="宋体" w:eastAsia="宋体" w:cs="宋体"/>
          <w:b w:val="0"/>
          <w:bCs w:val="0"/>
          <w:color w:val="auto"/>
          <w:kern w:val="0"/>
          <w:sz w:val="24"/>
          <w:szCs w:val="24"/>
          <w:highlight w:val="none"/>
          <w:lang w:val="en-US" w:eastAsia="zh-CN" w:bidi="ar-SA"/>
        </w:rPr>
        <w:t>。</w:t>
      </w:r>
      <w:bookmarkEnd w:id="321"/>
      <w:r>
        <w:rPr>
          <w:rFonts w:hint="eastAsia" w:ascii="宋体" w:hAnsi="宋体" w:eastAsia="宋体" w:cs="宋体"/>
          <w:b w:val="0"/>
          <w:bCs w:val="0"/>
          <w:color w:val="auto"/>
          <w:kern w:val="0"/>
          <w:sz w:val="24"/>
          <w:szCs w:val="24"/>
          <w:highlight w:val="none"/>
          <w:lang w:val="en-US" w:eastAsia="zh-CN" w:bidi="ar-SA"/>
        </w:rPr>
        <w:t>施工过程形成的BIM模型及数据资产归发包人独家所有。</w:t>
      </w:r>
    </w:p>
    <w:p w14:paraId="41F4F375">
      <w:pPr>
        <w:pageBreakBefore w:val="0"/>
        <w:kinsoku/>
        <w:wordWrap/>
        <w:overflowPunct/>
        <w:topLinePunct w:val="0"/>
        <w:bidi w:val="0"/>
        <w:spacing w:before="120" w:after="120" w:line="360"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bookmarkStart w:id="322" w:name="_Toc4753"/>
      <w:r>
        <w:rPr>
          <w:rFonts w:hint="eastAsia" w:ascii="宋体" w:hAnsi="宋体" w:eastAsia="宋体" w:cs="宋体"/>
          <w:b w:val="0"/>
          <w:bCs w:val="0"/>
          <w:color w:val="auto"/>
          <w:kern w:val="0"/>
          <w:sz w:val="24"/>
          <w:szCs w:val="24"/>
          <w:highlight w:val="none"/>
          <w:lang w:val="en-US" w:eastAsia="zh-CN" w:bidi="ar-SA"/>
        </w:rPr>
        <w:t>关于发包人提供的上述文件的使用限制的要求：</w:t>
      </w:r>
      <w:r>
        <w:rPr>
          <w:rFonts w:hint="eastAsia" w:ascii="宋体" w:hAnsi="宋体" w:eastAsia="宋体" w:cs="宋体"/>
          <w:b w:val="0"/>
          <w:bCs w:val="0"/>
          <w:color w:val="auto"/>
          <w:kern w:val="0"/>
          <w:sz w:val="24"/>
          <w:szCs w:val="24"/>
          <w:highlight w:val="none"/>
          <w:u w:val="single"/>
          <w:lang w:val="en-US" w:eastAsia="zh-CN" w:bidi="ar-SA"/>
        </w:rPr>
        <w:t>未经发包人同意，承包人不得为合同以外的目的泄露给他人或公开发表与引用</w:t>
      </w:r>
      <w:r>
        <w:rPr>
          <w:rFonts w:hint="eastAsia" w:ascii="宋体" w:hAnsi="宋体" w:eastAsia="宋体" w:cs="宋体"/>
          <w:b w:val="0"/>
          <w:bCs w:val="0"/>
          <w:color w:val="auto"/>
          <w:kern w:val="0"/>
          <w:sz w:val="24"/>
          <w:szCs w:val="24"/>
          <w:highlight w:val="none"/>
          <w:lang w:val="en-US" w:eastAsia="zh-CN" w:bidi="ar-SA"/>
        </w:rPr>
        <w:t>。</w:t>
      </w:r>
      <w:bookmarkEnd w:id="322"/>
    </w:p>
    <w:p w14:paraId="281A7630">
      <w:pPr>
        <w:pageBreakBefore w:val="0"/>
        <w:kinsoku/>
        <w:wordWrap/>
        <w:overflowPunct/>
        <w:topLinePunct w:val="0"/>
        <w:bidi w:val="0"/>
        <w:spacing w:before="120" w:after="120" w:line="360"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bookmarkStart w:id="323" w:name="_Toc3794"/>
      <w:r>
        <w:rPr>
          <w:rFonts w:hint="eastAsia" w:ascii="宋体" w:hAnsi="宋体" w:eastAsia="宋体" w:cs="宋体"/>
          <w:b w:val="0"/>
          <w:bCs w:val="0"/>
          <w:color w:val="auto"/>
          <w:kern w:val="0"/>
          <w:sz w:val="24"/>
          <w:szCs w:val="24"/>
          <w:highlight w:val="none"/>
          <w:lang w:val="en-US" w:eastAsia="zh-CN" w:bidi="ar-SA"/>
        </w:rPr>
        <w:t>1.11.2关于承包人为实施工程所编制文件的著作权的归属：</w:t>
      </w:r>
      <w:r>
        <w:rPr>
          <w:rFonts w:hint="eastAsia" w:ascii="宋体" w:hAnsi="宋体" w:eastAsia="宋体" w:cs="宋体"/>
          <w:b w:val="0"/>
          <w:bCs w:val="0"/>
          <w:color w:val="auto"/>
          <w:kern w:val="0"/>
          <w:sz w:val="24"/>
          <w:szCs w:val="24"/>
          <w:highlight w:val="none"/>
          <w:u w:val="single"/>
          <w:lang w:val="en-US" w:eastAsia="zh-CN" w:bidi="ar-SA"/>
        </w:rPr>
        <w:t>归承包人所有</w:t>
      </w:r>
      <w:r>
        <w:rPr>
          <w:rFonts w:hint="eastAsia" w:ascii="宋体" w:hAnsi="宋体" w:eastAsia="宋体" w:cs="宋体"/>
          <w:b w:val="0"/>
          <w:bCs w:val="0"/>
          <w:color w:val="auto"/>
          <w:kern w:val="0"/>
          <w:sz w:val="24"/>
          <w:szCs w:val="24"/>
          <w:highlight w:val="none"/>
          <w:lang w:val="en-US" w:eastAsia="zh-CN" w:bidi="ar-SA"/>
        </w:rPr>
        <w:t>。</w:t>
      </w:r>
      <w:bookmarkEnd w:id="323"/>
    </w:p>
    <w:p w14:paraId="2B60C54D">
      <w:pPr>
        <w:pageBreakBefore w:val="0"/>
        <w:kinsoku/>
        <w:wordWrap/>
        <w:overflowPunct/>
        <w:topLinePunct w:val="0"/>
        <w:bidi w:val="0"/>
        <w:spacing w:before="120" w:after="120" w:line="360"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bookmarkStart w:id="324" w:name="_Toc8612"/>
      <w:r>
        <w:rPr>
          <w:rFonts w:hint="eastAsia" w:ascii="宋体" w:hAnsi="宋体" w:eastAsia="宋体" w:cs="宋体"/>
          <w:b w:val="0"/>
          <w:bCs w:val="0"/>
          <w:color w:val="auto"/>
          <w:kern w:val="0"/>
          <w:sz w:val="24"/>
          <w:szCs w:val="24"/>
          <w:highlight w:val="none"/>
          <w:lang w:val="en-US" w:eastAsia="zh-CN" w:bidi="ar-SA"/>
        </w:rPr>
        <w:t>关于承包人提供的上述文件的使用限制的要求：</w:t>
      </w:r>
      <w:r>
        <w:rPr>
          <w:rFonts w:hint="eastAsia" w:ascii="宋体" w:hAnsi="宋体" w:eastAsia="宋体" w:cs="宋体"/>
          <w:b w:val="0"/>
          <w:bCs w:val="0"/>
          <w:color w:val="auto"/>
          <w:kern w:val="0"/>
          <w:sz w:val="24"/>
          <w:szCs w:val="24"/>
          <w:highlight w:val="none"/>
          <w:u w:val="single"/>
          <w:lang w:val="en-US" w:eastAsia="zh-CN" w:bidi="ar-SA"/>
        </w:rPr>
        <w:t>未经承包人同意，发包人和监理不得为合同以外的目的泄露给他人或公开发表与引用</w:t>
      </w:r>
      <w:r>
        <w:rPr>
          <w:rFonts w:hint="eastAsia" w:ascii="宋体" w:hAnsi="宋体" w:eastAsia="宋体" w:cs="宋体"/>
          <w:b w:val="0"/>
          <w:bCs w:val="0"/>
          <w:color w:val="auto"/>
          <w:kern w:val="0"/>
          <w:sz w:val="24"/>
          <w:szCs w:val="24"/>
          <w:highlight w:val="none"/>
          <w:lang w:val="en-US" w:eastAsia="zh-CN" w:bidi="ar-SA"/>
        </w:rPr>
        <w:t>。</w:t>
      </w:r>
      <w:bookmarkEnd w:id="324"/>
    </w:p>
    <w:p w14:paraId="4432AC23">
      <w:pPr>
        <w:pageBreakBefore w:val="0"/>
        <w:kinsoku/>
        <w:wordWrap/>
        <w:overflowPunct/>
        <w:topLinePunct w:val="0"/>
        <w:bidi w:val="0"/>
        <w:spacing w:before="120" w:after="120" w:line="360"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bookmarkStart w:id="325" w:name="_Toc12833"/>
      <w:r>
        <w:rPr>
          <w:rFonts w:hint="eastAsia" w:ascii="宋体" w:hAnsi="宋体" w:eastAsia="宋体" w:cs="宋体"/>
          <w:b w:val="0"/>
          <w:bCs w:val="0"/>
          <w:color w:val="auto"/>
          <w:kern w:val="0"/>
          <w:sz w:val="24"/>
          <w:szCs w:val="24"/>
          <w:highlight w:val="none"/>
          <w:lang w:val="en-US" w:eastAsia="zh-CN" w:bidi="ar-SA"/>
        </w:rPr>
        <w:t>1.11.4承包人在施工过程中所采用的专利、专有技术、技术秘密的使用费的承</w:t>
      </w:r>
      <w:bookmarkEnd w:id="325"/>
    </w:p>
    <w:p w14:paraId="5D449061">
      <w:pPr>
        <w:pageBreakBefore w:val="0"/>
        <w:kinsoku/>
        <w:wordWrap/>
        <w:overflowPunct/>
        <w:topLinePunct w:val="0"/>
        <w:bidi w:val="0"/>
        <w:spacing w:before="120" w:after="120" w:line="360" w:lineRule="auto"/>
        <w:textAlignment w:val="auto"/>
        <w:outlineLvl w:val="9"/>
        <w:rPr>
          <w:rFonts w:hint="eastAsia" w:ascii="宋体" w:hAnsi="宋体" w:eastAsia="宋体" w:cs="宋体"/>
          <w:b w:val="0"/>
          <w:bCs w:val="0"/>
          <w:color w:val="auto"/>
          <w:kern w:val="0"/>
          <w:sz w:val="24"/>
          <w:szCs w:val="24"/>
          <w:highlight w:val="none"/>
          <w:lang w:val="en-US" w:eastAsia="zh-CN" w:bidi="ar-SA"/>
        </w:rPr>
      </w:pPr>
      <w:bookmarkStart w:id="326" w:name="_Toc18112"/>
      <w:r>
        <w:rPr>
          <w:rFonts w:hint="eastAsia" w:ascii="宋体" w:hAnsi="宋体" w:eastAsia="宋体" w:cs="宋体"/>
          <w:b w:val="0"/>
          <w:bCs w:val="0"/>
          <w:color w:val="auto"/>
          <w:kern w:val="0"/>
          <w:sz w:val="24"/>
          <w:szCs w:val="24"/>
          <w:highlight w:val="none"/>
          <w:lang w:val="en-US" w:eastAsia="zh-CN" w:bidi="ar-SA"/>
        </w:rPr>
        <w:t>担方式：</w:t>
      </w:r>
      <w:r>
        <w:rPr>
          <w:rFonts w:hint="eastAsia" w:ascii="宋体" w:hAnsi="宋体" w:eastAsia="宋体" w:cs="宋体"/>
          <w:b w:val="0"/>
          <w:bCs w:val="0"/>
          <w:color w:val="auto"/>
          <w:kern w:val="0"/>
          <w:sz w:val="24"/>
          <w:szCs w:val="24"/>
          <w:highlight w:val="none"/>
          <w:u w:val="single"/>
          <w:lang w:val="en-US" w:eastAsia="zh-CN" w:bidi="ar-SA"/>
        </w:rPr>
        <w:t>由承包人负责，并承担相关费用</w:t>
      </w:r>
      <w:r>
        <w:rPr>
          <w:rFonts w:hint="eastAsia" w:ascii="宋体" w:hAnsi="宋体" w:eastAsia="宋体" w:cs="宋体"/>
          <w:b w:val="0"/>
          <w:bCs w:val="0"/>
          <w:color w:val="auto"/>
          <w:kern w:val="0"/>
          <w:sz w:val="24"/>
          <w:szCs w:val="24"/>
          <w:highlight w:val="none"/>
          <w:lang w:val="en-US" w:eastAsia="zh-CN" w:bidi="ar-SA"/>
        </w:rPr>
        <w:t>。</w:t>
      </w:r>
      <w:bookmarkEnd w:id="326"/>
    </w:p>
    <w:p w14:paraId="2A364BD2">
      <w:pPr>
        <w:pStyle w:val="7"/>
        <w:pageBreakBefore w:val="0"/>
        <w:kinsoku/>
        <w:wordWrap/>
        <w:overflowPunct/>
        <w:topLinePunct w:val="0"/>
        <w:bidi w:val="0"/>
        <w:spacing w:before="120" w:after="120" w:line="360" w:lineRule="auto"/>
        <w:ind w:firstLine="480" w:firstLineChars="200"/>
        <w:textAlignment w:val="auto"/>
        <w:outlineLvl w:val="1"/>
        <w:rPr>
          <w:rFonts w:hint="eastAsia" w:ascii="宋体" w:hAnsi="宋体" w:eastAsia="宋体" w:cs="宋体"/>
          <w:b w:val="0"/>
          <w:bCs w:val="0"/>
          <w:color w:val="auto"/>
          <w:kern w:val="2"/>
          <w:sz w:val="24"/>
          <w:szCs w:val="24"/>
          <w:highlight w:val="none"/>
          <w:lang w:val="en-US" w:eastAsia="zh-CN" w:bidi="ar-SA"/>
        </w:rPr>
      </w:pPr>
      <w:bookmarkStart w:id="327" w:name="_Toc5072"/>
      <w:bookmarkStart w:id="328" w:name="_Toc24351"/>
      <w:r>
        <w:rPr>
          <w:rFonts w:hint="eastAsia" w:ascii="宋体" w:hAnsi="宋体" w:eastAsia="宋体" w:cs="宋体"/>
          <w:b w:val="0"/>
          <w:bCs w:val="0"/>
          <w:color w:val="auto"/>
          <w:kern w:val="2"/>
          <w:sz w:val="24"/>
          <w:szCs w:val="24"/>
          <w:highlight w:val="none"/>
          <w:lang w:val="en-US" w:eastAsia="zh-CN" w:bidi="ar-SA"/>
        </w:rPr>
        <w:t>1.13工程量清单错误的修正</w:t>
      </w:r>
      <w:bookmarkEnd w:id="327"/>
      <w:bookmarkEnd w:id="328"/>
    </w:p>
    <w:p w14:paraId="43F58CA7">
      <w:pPr>
        <w:pageBreakBefore w:val="0"/>
        <w:kinsoku/>
        <w:wordWrap/>
        <w:overflowPunct/>
        <w:topLinePunct w:val="0"/>
        <w:bidi w:val="0"/>
        <w:spacing w:before="120" w:after="120" w:line="360"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bookmarkStart w:id="329" w:name="_Toc13379"/>
      <w:r>
        <w:rPr>
          <w:rFonts w:hint="eastAsia" w:ascii="宋体" w:hAnsi="宋体" w:eastAsia="宋体" w:cs="宋体"/>
          <w:b w:val="0"/>
          <w:bCs w:val="0"/>
          <w:color w:val="auto"/>
          <w:kern w:val="0"/>
          <w:sz w:val="24"/>
          <w:szCs w:val="24"/>
          <w:highlight w:val="none"/>
          <w:lang w:val="en-US" w:eastAsia="zh-CN" w:bidi="ar-SA"/>
        </w:rPr>
        <w:t>出现工程量清单错误时，是否调整合同价格</w:t>
      </w: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可调整合同总价</w:t>
      </w:r>
      <w:r>
        <w:rPr>
          <w:rFonts w:hint="eastAsia" w:ascii="宋体" w:hAnsi="宋体" w:eastAsia="宋体" w:cs="宋体"/>
          <w:b w:val="0"/>
          <w:bCs w:val="0"/>
          <w:color w:val="auto"/>
          <w:kern w:val="0"/>
          <w:sz w:val="24"/>
          <w:szCs w:val="24"/>
          <w:highlight w:val="none"/>
          <w:lang w:val="en-US" w:eastAsia="zh-CN" w:bidi="ar-SA"/>
        </w:rPr>
        <w:t>。</w:t>
      </w:r>
      <w:bookmarkEnd w:id="329"/>
    </w:p>
    <w:p w14:paraId="63571BAF">
      <w:pPr>
        <w:pageBreakBefore w:val="0"/>
        <w:kinsoku/>
        <w:wordWrap/>
        <w:overflowPunct/>
        <w:topLinePunct w:val="0"/>
        <w:bidi w:val="0"/>
        <w:spacing w:before="120" w:after="120" w:line="360" w:lineRule="auto"/>
        <w:ind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bookmarkStart w:id="330" w:name="_Toc693"/>
      <w:r>
        <w:rPr>
          <w:rFonts w:hint="eastAsia" w:ascii="宋体" w:hAnsi="宋体" w:eastAsia="宋体" w:cs="宋体"/>
          <w:b w:val="0"/>
          <w:bCs w:val="0"/>
          <w:color w:val="auto"/>
          <w:kern w:val="0"/>
          <w:sz w:val="24"/>
          <w:szCs w:val="24"/>
          <w:highlight w:val="none"/>
          <w:lang w:val="en-US" w:eastAsia="zh-CN" w:bidi="ar-SA"/>
        </w:rPr>
        <w:t>允许调整合同价格的工程量偏差范围：</w:t>
      </w:r>
      <w:bookmarkEnd w:id="330"/>
      <w:r>
        <w:rPr>
          <w:rFonts w:hint="eastAsia" w:ascii="宋体" w:hAnsi="宋体" w:eastAsia="宋体" w:cs="宋体"/>
          <w:b w:val="0"/>
          <w:bCs w:val="0"/>
          <w:color w:val="auto"/>
          <w:kern w:val="0"/>
          <w:sz w:val="24"/>
          <w:szCs w:val="24"/>
          <w:highlight w:val="none"/>
          <w:u w:val="single"/>
          <w:lang w:val="en-US" w:eastAsia="zh-CN" w:bidi="ar-SA"/>
        </w:rPr>
        <w:t>对于工程量增加或减少≧±15%，综合单价均不作调整；</w:t>
      </w:r>
    </w:p>
    <w:p w14:paraId="56CE35B9">
      <w:pPr>
        <w:pStyle w:val="7"/>
        <w:pageBreakBefore w:val="0"/>
        <w:kinsoku/>
        <w:wordWrap/>
        <w:overflowPunct/>
        <w:topLinePunct w:val="0"/>
        <w:bidi w:val="0"/>
        <w:spacing w:before="120" w:after="120" w:line="360" w:lineRule="auto"/>
        <w:ind w:firstLine="560" w:firstLineChars="200"/>
        <w:textAlignment w:val="auto"/>
        <w:outlineLvl w:val="0"/>
        <w:rPr>
          <w:rFonts w:hint="eastAsia" w:ascii="宋体" w:hAnsi="宋体" w:eastAsia="宋体" w:cs="宋体"/>
          <w:b w:val="0"/>
          <w:color w:val="auto"/>
          <w:highlight w:val="none"/>
        </w:rPr>
      </w:pPr>
      <w:bookmarkStart w:id="331" w:name="_Toc29679"/>
      <w:bookmarkStart w:id="332" w:name="_Toc28344"/>
      <w:r>
        <w:rPr>
          <w:rFonts w:hint="eastAsia" w:ascii="宋体" w:hAnsi="宋体" w:eastAsia="宋体" w:cs="宋体"/>
          <w:b w:val="0"/>
          <w:color w:val="auto"/>
          <w:highlight w:val="none"/>
        </w:rPr>
        <w:t>2</w:t>
      </w:r>
      <w:bookmarkStart w:id="333" w:name="_Toc297048343"/>
      <w:bookmarkStart w:id="334" w:name="_Toc296944496"/>
      <w:bookmarkStart w:id="335" w:name="_Toc292559867"/>
      <w:bookmarkStart w:id="336" w:name="_Toc296891197"/>
      <w:bookmarkStart w:id="337" w:name="_Toc296346658"/>
      <w:bookmarkStart w:id="338" w:name="_Toc296890985"/>
      <w:bookmarkStart w:id="339" w:name="_Toc297120457"/>
      <w:bookmarkStart w:id="340" w:name="_Toc296347156"/>
      <w:bookmarkStart w:id="341" w:name="_Toc292559362"/>
      <w:bookmarkStart w:id="342" w:name="_Toc296503157"/>
      <w:r>
        <w:rPr>
          <w:rFonts w:hint="eastAsia" w:ascii="宋体" w:hAnsi="宋体" w:eastAsia="宋体" w:cs="宋体"/>
          <w:b w:val="0"/>
          <w:color w:val="auto"/>
          <w:highlight w:val="none"/>
        </w:rPr>
        <w:t>.发包人</w:t>
      </w:r>
      <w:bookmarkEnd w:id="331"/>
      <w:bookmarkEnd w:id="332"/>
    </w:p>
    <w:bookmarkEnd w:id="333"/>
    <w:bookmarkEnd w:id="334"/>
    <w:bookmarkEnd w:id="335"/>
    <w:bookmarkEnd w:id="336"/>
    <w:bookmarkEnd w:id="337"/>
    <w:bookmarkEnd w:id="338"/>
    <w:bookmarkEnd w:id="339"/>
    <w:bookmarkEnd w:id="340"/>
    <w:bookmarkEnd w:id="341"/>
    <w:bookmarkEnd w:id="342"/>
    <w:p w14:paraId="6292CAED">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343" w:name="_Toc1726"/>
      <w:bookmarkStart w:id="344" w:name="_Toc20990"/>
      <w:r>
        <w:rPr>
          <w:rFonts w:hint="eastAsia" w:ascii="宋体" w:hAnsi="宋体" w:eastAsia="宋体" w:cs="宋体"/>
          <w:color w:val="auto"/>
          <w:sz w:val="24"/>
          <w:highlight w:val="none"/>
        </w:rPr>
        <w:t>2.2发包人代表</w:t>
      </w:r>
      <w:bookmarkEnd w:id="343"/>
      <w:bookmarkEnd w:id="344"/>
    </w:p>
    <w:p w14:paraId="7F0C8305">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发包人代表：</w:t>
      </w:r>
    </w:p>
    <w:p w14:paraId="72310FC3">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0815C577">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p>
    <w:p w14:paraId="4B16B3F4">
      <w:pPr>
        <w:pageBreakBefore w:val="0"/>
        <w:kinsoku/>
        <w:wordWrap/>
        <w:overflowPunct/>
        <w:topLinePunct w:val="0"/>
        <w:bidi w:val="0"/>
        <w:spacing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职务：</w:t>
      </w:r>
      <w:r>
        <w:rPr>
          <w:rFonts w:hint="eastAsia" w:ascii="宋体" w:hAnsi="宋体" w:cs="宋体"/>
          <w:color w:val="auto"/>
          <w:sz w:val="24"/>
          <w:highlight w:val="none"/>
          <w:u w:val="single"/>
          <w:lang w:val="en-US" w:eastAsia="zh-CN"/>
        </w:rPr>
        <w:t xml:space="preserve"> / </w:t>
      </w:r>
    </w:p>
    <w:p w14:paraId="4311C379">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4C109F75">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F5B4CA1">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通信地址：</w:t>
      </w:r>
      <w:r>
        <w:rPr>
          <w:rFonts w:hint="eastAsia" w:ascii="宋体" w:hAnsi="宋体" w:eastAsia="宋体" w:cs="宋体"/>
          <w:color w:val="auto"/>
          <w:sz w:val="24"/>
          <w:highlight w:val="none"/>
          <w:u w:val="none"/>
          <w:lang w:val="en-US" w:eastAsia="zh-CN"/>
        </w:rPr>
        <w:t>。</w:t>
      </w:r>
    </w:p>
    <w:p w14:paraId="1E79BD0D">
      <w:pPr>
        <w:widowControl/>
        <w:pBdr>
          <w:left w:val="dashed" w:color="BBBBBB" w:sz="8" w:space="20"/>
        </w:pBdr>
        <w:shd w:val="clear" w:color="auto" w:fill="FFFFFF"/>
        <w:spacing w:line="44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发包人对发包人代表的授权范围如下：</w:t>
      </w:r>
      <w:r>
        <w:rPr>
          <w:rFonts w:hint="eastAsia" w:ascii="宋体" w:hAnsi="宋体" w:eastAsia="宋体" w:cs="宋体"/>
          <w:color w:val="auto"/>
          <w:sz w:val="24"/>
          <w:highlight w:val="none"/>
          <w:u w:val="single"/>
        </w:rPr>
        <w:t>监督检查工程施工进度及质量、负责现场有关经济技术的签证、负责各参与方协调工作。重大经济变更、重大设计变更、工期顺延及工程款支付需经发包人审批。</w:t>
      </w:r>
    </w:p>
    <w:p w14:paraId="1D8E99F7">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345" w:name="_Toc26190"/>
      <w:bookmarkStart w:id="346" w:name="_Toc20142"/>
      <w:r>
        <w:rPr>
          <w:rFonts w:hint="eastAsia" w:ascii="宋体" w:hAnsi="宋体" w:eastAsia="宋体" w:cs="宋体"/>
          <w:color w:val="auto"/>
          <w:sz w:val="24"/>
          <w:highlight w:val="none"/>
        </w:rPr>
        <w:t>2.4施工现场、施工条件和基础资料的提供</w:t>
      </w:r>
      <w:bookmarkEnd w:id="345"/>
      <w:bookmarkEnd w:id="346"/>
    </w:p>
    <w:p w14:paraId="22C84529">
      <w:pPr>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2.4.1提供施工现场</w:t>
      </w:r>
    </w:p>
    <w:p w14:paraId="3235A901">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关于发包人移交施工现场的期限要求：</w:t>
      </w:r>
      <w:r>
        <w:rPr>
          <w:rFonts w:hint="eastAsia" w:ascii="宋体" w:hAnsi="宋体" w:eastAsia="宋体" w:cs="宋体"/>
          <w:color w:val="auto"/>
          <w:sz w:val="24"/>
          <w:highlight w:val="none"/>
          <w:u w:val="single"/>
        </w:rPr>
        <w:t>开工前3天内提供</w:t>
      </w:r>
      <w:r>
        <w:rPr>
          <w:rFonts w:hint="eastAsia" w:ascii="宋体" w:hAnsi="宋体" w:eastAsia="宋体" w:cs="宋体"/>
          <w:color w:val="auto"/>
          <w:sz w:val="24"/>
          <w:highlight w:val="none"/>
        </w:rPr>
        <w:t>。</w:t>
      </w:r>
    </w:p>
    <w:p w14:paraId="7D914E63">
      <w:pPr>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2.4.2提供施工条件</w:t>
      </w:r>
    </w:p>
    <w:p w14:paraId="358A8653">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关于发包人应负责提供施工所需要的条件，包括：</w:t>
      </w:r>
      <w:r>
        <w:rPr>
          <w:rFonts w:hint="eastAsia" w:ascii="宋体" w:hAnsi="宋体" w:eastAsia="宋体" w:cs="宋体"/>
          <w:color w:val="auto"/>
          <w:sz w:val="24"/>
          <w:highlight w:val="none"/>
          <w:u w:val="single"/>
        </w:rPr>
        <w:t>在开工前具备设计要求进行场地平整施工的条件。发包人接通施工电源、水源至指定位置。承包人进场后，由监理人和发包人组织向承包人以书面形式移交水准点与座标控制点，并进行现场交验。</w:t>
      </w:r>
    </w:p>
    <w:p w14:paraId="24E1F23A">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347" w:name="_Toc3848"/>
      <w:bookmarkStart w:id="348" w:name="_Toc23899"/>
      <w:r>
        <w:rPr>
          <w:rFonts w:hint="eastAsia" w:ascii="宋体" w:hAnsi="宋体" w:eastAsia="宋体" w:cs="宋体"/>
          <w:color w:val="auto"/>
          <w:sz w:val="24"/>
          <w:highlight w:val="none"/>
        </w:rPr>
        <w:t>2.5资金来源证明及支付担保</w:t>
      </w:r>
      <w:bookmarkEnd w:id="347"/>
      <w:bookmarkEnd w:id="348"/>
    </w:p>
    <w:p w14:paraId="3C1A2C06">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发包人提供资金来源证明的期限要求：</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4B7E281B">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发包人是否提供支付担保：</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6B8D6325">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发包人提供支付担保的形式：</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7FDF2E65">
      <w:pPr>
        <w:pStyle w:val="7"/>
        <w:pageBreakBefore w:val="0"/>
        <w:kinsoku/>
        <w:wordWrap/>
        <w:overflowPunct/>
        <w:topLinePunct w:val="0"/>
        <w:bidi w:val="0"/>
        <w:spacing w:before="120" w:after="120" w:line="360" w:lineRule="auto"/>
        <w:ind w:firstLine="560" w:firstLineChars="200"/>
        <w:textAlignment w:val="auto"/>
        <w:outlineLvl w:val="0"/>
        <w:rPr>
          <w:rFonts w:hint="eastAsia" w:ascii="宋体" w:hAnsi="宋体" w:eastAsia="宋体" w:cs="宋体"/>
          <w:b w:val="0"/>
          <w:color w:val="auto"/>
          <w:highlight w:val="none"/>
        </w:rPr>
      </w:pPr>
      <w:bookmarkStart w:id="349" w:name="_Toc24044"/>
      <w:bookmarkStart w:id="350" w:name="_Toc27881"/>
      <w:r>
        <w:rPr>
          <w:rFonts w:hint="eastAsia" w:ascii="宋体" w:hAnsi="宋体" w:eastAsia="宋体" w:cs="宋体"/>
          <w:b w:val="0"/>
          <w:color w:val="auto"/>
          <w:highlight w:val="none"/>
        </w:rPr>
        <w:t>3</w:t>
      </w:r>
      <w:bookmarkStart w:id="351" w:name="_Toc297120458"/>
      <w:bookmarkStart w:id="352" w:name="_Toc292559363"/>
      <w:bookmarkStart w:id="353" w:name="_Toc296890986"/>
      <w:bookmarkStart w:id="354" w:name="_Toc296503158"/>
      <w:bookmarkStart w:id="355" w:name="_Toc296891198"/>
      <w:bookmarkStart w:id="356" w:name="_Toc296347157"/>
      <w:bookmarkStart w:id="357" w:name="_Toc296944497"/>
      <w:bookmarkStart w:id="358" w:name="_Toc296346659"/>
      <w:bookmarkStart w:id="359" w:name="_Toc297048344"/>
      <w:bookmarkStart w:id="360" w:name="_Toc292559868"/>
      <w:r>
        <w:rPr>
          <w:rFonts w:hint="eastAsia" w:ascii="宋体" w:hAnsi="宋体" w:eastAsia="宋体" w:cs="宋体"/>
          <w:b w:val="0"/>
          <w:color w:val="auto"/>
          <w:highlight w:val="none"/>
        </w:rPr>
        <w:t>.承包人</w:t>
      </w:r>
      <w:bookmarkEnd w:id="349"/>
      <w:bookmarkEnd w:id="350"/>
    </w:p>
    <w:bookmarkEnd w:id="351"/>
    <w:bookmarkEnd w:id="352"/>
    <w:bookmarkEnd w:id="353"/>
    <w:bookmarkEnd w:id="354"/>
    <w:bookmarkEnd w:id="355"/>
    <w:bookmarkEnd w:id="356"/>
    <w:bookmarkEnd w:id="357"/>
    <w:bookmarkEnd w:id="358"/>
    <w:bookmarkEnd w:id="359"/>
    <w:bookmarkEnd w:id="360"/>
    <w:p w14:paraId="1D8151D1">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361" w:name="_Toc28648"/>
      <w:r>
        <w:rPr>
          <w:rFonts w:hint="eastAsia" w:ascii="宋体" w:hAnsi="宋体" w:eastAsia="宋体" w:cs="宋体"/>
          <w:color w:val="auto"/>
          <w:sz w:val="24"/>
          <w:highlight w:val="none"/>
        </w:rPr>
        <w:t>3.1承包人的一般义务</w:t>
      </w:r>
      <w:bookmarkEnd w:id="361"/>
    </w:p>
    <w:p w14:paraId="7DA4C907">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（9）</w:t>
      </w:r>
      <w:r>
        <w:rPr>
          <w:rFonts w:hint="eastAsia" w:ascii="宋体" w:hAnsi="宋体" w:eastAsia="宋体" w:cs="宋体"/>
          <w:color w:val="auto"/>
          <w:sz w:val="24"/>
          <w:highlight w:val="none"/>
        </w:rPr>
        <w:t>承包人提交的竣工资料的内容：</w:t>
      </w:r>
      <w:r>
        <w:rPr>
          <w:rFonts w:hint="eastAsia" w:ascii="宋体" w:hAnsi="宋体" w:eastAsia="宋体" w:cs="宋体"/>
          <w:color w:val="auto"/>
          <w:sz w:val="24"/>
          <w:highlight w:val="none"/>
          <w:u w:val="single"/>
        </w:rPr>
        <w:t>经相关部门审核通过的竣工资料（承包人提交竣工付款申请、竣工结算报告及完整的结算资料的时间与份数为竣工验收合格之日起28天内、共5份。）</w:t>
      </w:r>
      <w:r>
        <w:rPr>
          <w:rFonts w:hint="eastAsia" w:ascii="宋体" w:hAnsi="宋体" w:eastAsia="宋体" w:cs="宋体"/>
          <w:color w:val="auto"/>
          <w:sz w:val="24"/>
          <w:highlight w:val="none"/>
        </w:rPr>
        <w:t>。</w:t>
      </w:r>
    </w:p>
    <w:p w14:paraId="5047A1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承包人需要提交的竣工资料套数：</w:t>
      </w:r>
      <w:r>
        <w:rPr>
          <w:rFonts w:hint="eastAsia" w:ascii="宋体" w:hAnsi="宋体" w:eastAsia="宋体" w:cs="宋体"/>
          <w:color w:val="auto"/>
          <w:sz w:val="24"/>
          <w:highlight w:val="none"/>
          <w:u w:val="single"/>
          <w:lang w:val="en-US" w:eastAsia="zh-CN"/>
        </w:rPr>
        <w:t>一式</w:t>
      </w:r>
      <w:r>
        <w:rPr>
          <w:rFonts w:hint="eastAsia" w:ascii="宋体" w:hAnsi="宋体" w:cs="宋体"/>
          <w:color w:val="auto"/>
          <w:sz w:val="24"/>
          <w:highlight w:val="none"/>
          <w:u w:val="single"/>
          <w:lang w:val="en-US" w:eastAsia="zh-CN"/>
        </w:rPr>
        <w:t>叁</w:t>
      </w:r>
      <w:r>
        <w:rPr>
          <w:rFonts w:hint="eastAsia" w:ascii="宋体" w:hAnsi="宋体" w:eastAsia="宋体" w:cs="宋体"/>
          <w:color w:val="auto"/>
          <w:sz w:val="24"/>
          <w:highlight w:val="none"/>
          <w:u w:val="single"/>
          <w:lang w:val="en-US" w:eastAsia="zh-CN"/>
        </w:rPr>
        <w:t>套</w:t>
      </w:r>
      <w:r>
        <w:rPr>
          <w:rFonts w:hint="eastAsia" w:ascii="宋体" w:hAnsi="宋体" w:eastAsia="宋体" w:cs="宋体"/>
          <w:color w:val="auto"/>
          <w:sz w:val="24"/>
          <w:highlight w:val="none"/>
        </w:rPr>
        <w:t>。</w:t>
      </w:r>
    </w:p>
    <w:p w14:paraId="56CE21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承包人提交的竣工资料的费用承担：</w:t>
      </w:r>
      <w:r>
        <w:rPr>
          <w:rFonts w:hint="eastAsia" w:ascii="宋体" w:hAnsi="宋体" w:eastAsia="宋体" w:cs="宋体"/>
          <w:color w:val="auto"/>
          <w:sz w:val="24"/>
          <w:highlight w:val="none"/>
          <w:u w:val="single"/>
        </w:rPr>
        <w:t>由承包人承担</w:t>
      </w:r>
      <w:r>
        <w:rPr>
          <w:rFonts w:hint="eastAsia" w:ascii="宋体" w:hAnsi="宋体" w:eastAsia="宋体" w:cs="宋体"/>
          <w:color w:val="auto"/>
          <w:sz w:val="24"/>
          <w:highlight w:val="none"/>
        </w:rPr>
        <w:t>。</w:t>
      </w:r>
    </w:p>
    <w:p w14:paraId="20E055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承包人提交的竣工资料移交时间：</w:t>
      </w:r>
      <w:r>
        <w:rPr>
          <w:rFonts w:hint="eastAsia" w:ascii="宋体" w:hAnsi="宋体" w:eastAsia="宋体" w:cs="宋体"/>
          <w:color w:val="auto"/>
          <w:sz w:val="24"/>
          <w:highlight w:val="none"/>
          <w:u w:val="single"/>
        </w:rPr>
        <w:t>竣工验收后14天内</w:t>
      </w:r>
      <w:r>
        <w:rPr>
          <w:rFonts w:hint="eastAsia" w:ascii="宋体" w:hAnsi="宋体" w:eastAsia="宋体" w:cs="宋体"/>
          <w:color w:val="auto"/>
          <w:sz w:val="24"/>
          <w:highlight w:val="none"/>
        </w:rPr>
        <w:t>。</w:t>
      </w:r>
    </w:p>
    <w:p w14:paraId="7D8037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承包人提交的竣工资料形式要求：</w:t>
      </w:r>
      <w:r>
        <w:rPr>
          <w:rFonts w:hint="eastAsia" w:ascii="宋体" w:hAnsi="宋体" w:eastAsia="宋体" w:cs="宋体"/>
          <w:color w:val="auto"/>
          <w:sz w:val="24"/>
          <w:highlight w:val="none"/>
          <w:u w:val="single"/>
        </w:rPr>
        <w:t>书面纸质，并装订成册及电子版一套</w:t>
      </w:r>
      <w:r>
        <w:rPr>
          <w:rFonts w:hint="eastAsia" w:ascii="宋体" w:hAnsi="宋体" w:eastAsia="宋体" w:cs="宋体"/>
          <w:color w:val="auto"/>
          <w:sz w:val="24"/>
          <w:highlight w:val="none"/>
        </w:rPr>
        <w:t>。</w:t>
      </w:r>
    </w:p>
    <w:p w14:paraId="6A2428EB">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（10）承包人应履行的其他义务：</w:t>
      </w:r>
      <w:r>
        <w:rPr>
          <w:rFonts w:hint="eastAsia" w:ascii="宋体" w:hAnsi="宋体" w:eastAsia="宋体" w:cs="宋体"/>
          <w:color w:val="auto"/>
          <w:kern w:val="0"/>
          <w:sz w:val="24"/>
          <w:highlight w:val="none"/>
          <w:u w:val="single"/>
        </w:rPr>
        <w:t>协助办理相关建设手续，费用按规定各自承担，并在规定的时间内，提供竣工结算资料</w:t>
      </w:r>
      <w:r>
        <w:rPr>
          <w:rFonts w:hint="eastAsia" w:ascii="宋体" w:hAnsi="宋体" w:eastAsia="宋体" w:cs="宋体"/>
          <w:color w:val="auto"/>
          <w:kern w:val="0"/>
          <w:sz w:val="24"/>
          <w:highlight w:val="none"/>
          <w:u w:val="single"/>
          <w:lang w:eastAsia="zh-CN"/>
        </w:rPr>
        <w:t>。</w:t>
      </w:r>
    </w:p>
    <w:p w14:paraId="40C29A43">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362" w:name="_Toc25782"/>
      <w:r>
        <w:rPr>
          <w:rFonts w:hint="eastAsia" w:ascii="宋体" w:hAnsi="宋体" w:eastAsia="宋体" w:cs="宋体"/>
          <w:color w:val="auto"/>
          <w:sz w:val="24"/>
          <w:highlight w:val="none"/>
        </w:rPr>
        <w:t>3.2项目经理</w:t>
      </w:r>
      <w:bookmarkEnd w:id="362"/>
    </w:p>
    <w:p w14:paraId="358451A9">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3.2.1</w:t>
      </w:r>
      <w:r>
        <w:rPr>
          <w:rFonts w:hint="eastAsia" w:ascii="宋体" w:hAnsi="宋体" w:eastAsia="宋体" w:cs="宋体"/>
          <w:color w:val="auto"/>
          <w:sz w:val="24"/>
          <w:highlight w:val="none"/>
        </w:rPr>
        <w:t>项目经理：</w:t>
      </w:r>
    </w:p>
    <w:p w14:paraId="2649B466">
      <w:pPr>
        <w:keepNext w:val="0"/>
        <w:keepLines w:val="0"/>
        <w:pageBreakBefore w:val="0"/>
        <w:widowControl/>
        <w:suppressLineNumbers w:val="0"/>
        <w:kinsoku/>
        <w:wordWrap/>
        <w:overflowPunct/>
        <w:topLinePunct w:val="0"/>
        <w:bidi w:val="0"/>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1AAD6290">
      <w:pPr>
        <w:keepNext w:val="0"/>
        <w:keepLines w:val="0"/>
        <w:pageBreakBefore w:val="0"/>
        <w:widowControl/>
        <w:suppressLineNumbers w:val="0"/>
        <w:kinsoku/>
        <w:wordWrap/>
        <w:overflowPunct/>
        <w:topLinePunct w:val="0"/>
        <w:bidi w:val="0"/>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w:t>
      </w:r>
    </w:p>
    <w:p w14:paraId="5EF4AB47">
      <w:pPr>
        <w:keepNext w:val="0"/>
        <w:keepLines w:val="0"/>
        <w:pageBreakBefore w:val="0"/>
        <w:widowControl/>
        <w:suppressLineNumbers w:val="0"/>
        <w:kinsoku/>
        <w:wordWrap/>
        <w:overflowPunct/>
        <w:topLinePunct w:val="0"/>
        <w:bidi w:val="0"/>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建造师执业资格等级：</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38028099">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建造师注册证书号：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58D9410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建造师执业印章号：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26D00CF6">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安全生产考核合格证书号：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62EAF0E5">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7F863EE5">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6691D2D7">
      <w:pPr>
        <w:pageBreakBefore w:val="0"/>
        <w:kinsoku/>
        <w:wordWrap/>
        <w:overflowPunct/>
        <w:topLinePunct w:val="0"/>
        <w:bidi w:val="0"/>
        <w:spacing w:line="360" w:lineRule="auto"/>
        <w:ind w:left="1678" w:leftChars="228" w:hanging="1200" w:hangingChars="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通信地址：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US" w:eastAsia="zh-CN" w:bidi="ar-SA"/>
        </w:rPr>
        <w:t></w:t>
      </w:r>
      <w:r>
        <w:rPr>
          <w:rFonts w:hint="eastAsia" w:ascii="宋体" w:hAnsi="宋体" w:eastAsia="宋体" w:cs="宋体"/>
          <w:color w:val="auto"/>
          <w:sz w:val="24"/>
          <w:highlight w:val="none"/>
        </w:rPr>
        <w:t>；</w:t>
      </w:r>
    </w:p>
    <w:p w14:paraId="1B967359">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承包人对项目经理的授权范围如下：</w:t>
      </w:r>
      <w:r>
        <w:rPr>
          <w:rFonts w:hint="eastAsia" w:ascii="宋体" w:hAnsi="宋体" w:eastAsia="宋体" w:cs="宋体"/>
          <w:color w:val="auto"/>
          <w:kern w:val="2"/>
          <w:sz w:val="24"/>
          <w:szCs w:val="24"/>
          <w:highlight w:val="none"/>
          <w:u w:val="single"/>
          <w:lang w:val="en-US" w:eastAsia="zh-CN" w:bidi="ar-SA"/>
        </w:rPr>
        <w:t>按承包企业的具体要求和规定为准。</w:t>
      </w:r>
    </w:p>
    <w:p w14:paraId="46725F0D">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关于项目经理每月在施工现场的时间要求：</w:t>
      </w:r>
      <w:r>
        <w:rPr>
          <w:rFonts w:hint="eastAsia" w:ascii="宋体" w:hAnsi="宋体" w:eastAsia="宋体" w:cs="宋体"/>
          <w:color w:val="auto"/>
          <w:kern w:val="2"/>
          <w:sz w:val="24"/>
          <w:szCs w:val="24"/>
          <w:highlight w:val="none"/>
          <w:u w:val="single"/>
          <w:lang w:val="en-US" w:eastAsia="zh-CN" w:bidi="ar-SA"/>
        </w:rPr>
        <w:t>每周在现场时间不少于5天</w:t>
      </w:r>
      <w:r>
        <w:rPr>
          <w:rFonts w:hint="eastAsia" w:ascii="宋体" w:hAnsi="宋体" w:eastAsia="宋体" w:cs="宋体"/>
          <w:color w:val="auto"/>
          <w:sz w:val="24"/>
          <w:highlight w:val="none"/>
        </w:rPr>
        <w:t>。</w:t>
      </w:r>
    </w:p>
    <w:p w14:paraId="474B03B3">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承包人未提交劳动合同，以及没有为项目经理缴纳社会保险证明的违约责任：</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w:t>
      </w:r>
    </w:p>
    <w:p w14:paraId="73550DBB">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项目经理未经批准，擅自离开施工现场的违约责任：</w:t>
      </w:r>
      <w:r>
        <w:rPr>
          <w:rFonts w:hint="eastAsia" w:ascii="宋体" w:hAnsi="宋体" w:eastAsia="宋体" w:cs="宋体"/>
          <w:color w:val="auto"/>
          <w:sz w:val="24"/>
          <w:highlight w:val="none"/>
          <w:u w:val="single"/>
        </w:rPr>
        <w:t>根据承包人的施工现场关键</w:t>
      </w:r>
    </w:p>
    <w:p w14:paraId="311FDAC5">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岗位员考核管理制度的规定执行</w:t>
      </w:r>
      <w:r>
        <w:rPr>
          <w:rFonts w:hint="eastAsia" w:ascii="宋体" w:hAnsi="宋体" w:eastAsia="宋体" w:cs="宋体"/>
          <w:color w:val="auto"/>
          <w:sz w:val="24"/>
          <w:highlight w:val="none"/>
        </w:rPr>
        <w:t>。</w:t>
      </w:r>
    </w:p>
    <w:p w14:paraId="447AE2DA">
      <w:pPr>
        <w:pStyle w:val="16"/>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3.2.3承包人擅自更换项目经理的违约责任：</w:t>
      </w:r>
      <w:r>
        <w:rPr>
          <w:rFonts w:hint="eastAsia" w:ascii="宋体" w:hAnsi="宋体" w:eastAsia="宋体" w:cs="宋体"/>
          <w:color w:val="auto"/>
          <w:kern w:val="2"/>
          <w:sz w:val="24"/>
          <w:szCs w:val="24"/>
          <w:highlight w:val="none"/>
          <w:u w:val="single"/>
          <w:lang w:val="en-US" w:eastAsia="zh-CN" w:bidi="ar-SA"/>
        </w:rPr>
        <w:t>如特殊原因需更换时，应提前15天提出书面申请，征得发包人同意，且必须为不低于前任资历（资格、经历）的人员。未经发包人同意，承包人私自调换项目经理的处人民币5万元处罚，且累计处罚不超过合同价3%。项目经理须保证每月在现场时间不少于21天。监理单位负责对承包人项目经理及项目副经理进行考勤，项目经理缺勤按照500元/天的标准进行罚款。工程施工过程中，如项目班子中有不能胜任本职工作的工作人员，招标单位有权要求限期改正，直至撤换相关人员。</w:t>
      </w:r>
    </w:p>
    <w:p w14:paraId="6ED4FD2D">
      <w:pPr>
        <w:pageBreakBefore w:val="0"/>
        <w:kinsoku/>
        <w:wordWrap/>
        <w:overflowPunct/>
        <w:topLinePunct w:val="0"/>
        <w:bidi w:val="0"/>
        <w:spacing w:line="440" w:lineRule="exact"/>
        <w:ind w:firstLine="360" w:firstLineChars="15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3.2.4承包人无正当理由拒绝更换项目经理的违约责任：</w:t>
      </w:r>
      <w:r>
        <w:rPr>
          <w:rFonts w:hint="eastAsia" w:ascii="宋体" w:hAnsi="宋体" w:eastAsia="宋体" w:cs="宋体"/>
          <w:color w:val="auto"/>
          <w:sz w:val="24"/>
          <w:highlight w:val="none"/>
          <w:u w:val="single"/>
          <w:lang w:val="en-US" w:eastAsia="zh-CN"/>
        </w:rPr>
        <w:t>工程施工过程中，如项目经理不能胜任本职工作的，发包人有权要求限期改正或更换项目经理，否则发包人有权提出各种无条件索赔。</w:t>
      </w:r>
    </w:p>
    <w:p w14:paraId="04DB2A20">
      <w:pPr>
        <w:pageBreakBefore w:val="0"/>
        <w:kinsoku/>
        <w:wordWrap/>
        <w:overflowPunct/>
        <w:topLinePunct w:val="0"/>
        <w:bidi w:val="0"/>
        <w:spacing w:line="360" w:lineRule="auto"/>
        <w:ind w:firstLine="480" w:firstLineChars="200"/>
        <w:textAlignment w:val="auto"/>
        <w:outlineLvl w:val="1"/>
        <w:rPr>
          <w:rFonts w:hint="eastAsia" w:ascii="宋体" w:hAnsi="宋体" w:eastAsia="宋体" w:cs="宋体"/>
          <w:color w:val="auto"/>
          <w:sz w:val="24"/>
          <w:highlight w:val="none"/>
        </w:rPr>
      </w:pPr>
      <w:bookmarkStart w:id="363" w:name="_Toc20952"/>
      <w:r>
        <w:rPr>
          <w:rFonts w:hint="eastAsia" w:ascii="宋体" w:hAnsi="宋体" w:eastAsia="宋体" w:cs="宋体"/>
          <w:color w:val="auto"/>
          <w:sz w:val="24"/>
          <w:highlight w:val="none"/>
        </w:rPr>
        <w:t>3.3承包人人员</w:t>
      </w:r>
      <w:bookmarkEnd w:id="363"/>
    </w:p>
    <w:p w14:paraId="3575C5D7">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3.3.1承包人提交项目管理机构及施工现场管理人员安排报告的期限：</w:t>
      </w:r>
      <w:r>
        <w:rPr>
          <w:rFonts w:hint="eastAsia" w:ascii="宋体" w:hAnsi="宋体" w:eastAsia="宋体" w:cs="宋体"/>
          <w:color w:val="auto"/>
          <w:sz w:val="24"/>
          <w:highlight w:val="none"/>
          <w:lang w:val="en-US" w:eastAsia="zh-CN"/>
        </w:rPr>
        <w:t>开</w:t>
      </w:r>
      <w:r>
        <w:rPr>
          <w:rFonts w:hint="eastAsia" w:ascii="宋体" w:hAnsi="宋体" w:eastAsia="宋体" w:cs="宋体"/>
          <w:color w:val="auto"/>
          <w:sz w:val="24"/>
          <w:highlight w:val="none"/>
          <w:u w:val="single"/>
          <w:lang w:val="en-US" w:eastAsia="zh-CN"/>
        </w:rPr>
        <w:t>工前七天内</w:t>
      </w:r>
      <w:r>
        <w:rPr>
          <w:rFonts w:hint="eastAsia" w:ascii="宋体" w:hAnsi="宋体" w:eastAsia="宋体" w:cs="宋体"/>
          <w:color w:val="auto"/>
          <w:sz w:val="24"/>
          <w:highlight w:val="none"/>
          <w:u w:val="single"/>
        </w:rPr>
        <w:t>。</w:t>
      </w:r>
    </w:p>
    <w:p w14:paraId="5484B32B">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承包人无正当理由拒绝撤换主要施工管理人员的违约责任：</w:t>
      </w:r>
      <w:r>
        <w:rPr>
          <w:rFonts w:hint="eastAsia" w:ascii="宋体" w:hAnsi="宋体" w:eastAsia="宋体" w:cs="宋体"/>
          <w:color w:val="auto"/>
          <w:sz w:val="24"/>
          <w:highlight w:val="none"/>
          <w:u w:val="single"/>
        </w:rPr>
        <w:t>工程施工过程中，如施工管理人员不能胜任本职工作的，发包人有权要求限期改正或更换相关人员，否则发包人有权提出各种无条件索赔</w:t>
      </w:r>
      <w:r>
        <w:rPr>
          <w:rFonts w:hint="eastAsia" w:ascii="宋体" w:hAnsi="宋体" w:eastAsia="宋体" w:cs="宋体"/>
          <w:color w:val="auto"/>
          <w:sz w:val="24"/>
          <w:highlight w:val="none"/>
          <w:u w:val="none"/>
        </w:rPr>
        <w:t>。</w:t>
      </w:r>
    </w:p>
    <w:p w14:paraId="5F2774CF">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Cs w:val="28"/>
          <w:highlight w:val="none"/>
          <w:u w:val="singl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承包人主要施工管理人员离开施工现场的批准要求：</w:t>
      </w:r>
      <w:r>
        <w:rPr>
          <w:rFonts w:hint="eastAsia" w:ascii="宋体" w:hAnsi="宋体" w:eastAsia="宋体" w:cs="宋体"/>
          <w:color w:val="auto"/>
          <w:sz w:val="24"/>
          <w:highlight w:val="none"/>
          <w:u w:val="single"/>
        </w:rPr>
        <w:t>由总监理工程师批准，发包人认可后方可离开。</w:t>
      </w:r>
    </w:p>
    <w:p w14:paraId="123A31ED">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承包人擅自更换主要施工管理人员的违约责任：</w:t>
      </w:r>
      <w:r>
        <w:rPr>
          <w:rFonts w:hint="eastAsia" w:ascii="宋体" w:hAnsi="宋体" w:eastAsia="宋体" w:cs="宋体"/>
          <w:color w:val="auto"/>
          <w:sz w:val="24"/>
          <w:highlight w:val="none"/>
          <w:u w:val="single"/>
        </w:rPr>
        <w:t>由承包方承担由此造成的损失。</w:t>
      </w:r>
    </w:p>
    <w:p w14:paraId="6308F20C">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承包人主要施工管理人员擅自离开施工现场的违约责任：</w:t>
      </w:r>
      <w:r>
        <w:rPr>
          <w:rFonts w:hint="eastAsia" w:ascii="宋体" w:hAnsi="宋体" w:eastAsia="宋体" w:cs="宋体"/>
          <w:color w:val="auto"/>
          <w:sz w:val="24"/>
          <w:highlight w:val="none"/>
          <w:u w:val="single"/>
        </w:rPr>
        <w:t>由承包方承担由此造成的损失。</w:t>
      </w:r>
    </w:p>
    <w:p w14:paraId="61BA695B">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364" w:name="_Toc6402"/>
      <w:r>
        <w:rPr>
          <w:rFonts w:hint="eastAsia" w:ascii="宋体" w:hAnsi="宋体" w:eastAsia="宋体" w:cs="宋体"/>
          <w:color w:val="auto"/>
          <w:sz w:val="24"/>
          <w:highlight w:val="none"/>
        </w:rPr>
        <w:t>3</w:t>
      </w:r>
      <w:bookmarkStart w:id="365" w:name="_Toc300934945"/>
      <w:bookmarkStart w:id="366" w:name="_Toc292559364"/>
      <w:bookmarkStart w:id="367" w:name="_Toc304295523"/>
      <w:bookmarkStart w:id="368" w:name="_Toc296346660"/>
      <w:bookmarkStart w:id="369" w:name="_Toc296890987"/>
      <w:bookmarkStart w:id="370" w:name="_Toc312677988"/>
      <w:bookmarkStart w:id="371" w:name="_Toc296503159"/>
      <w:bookmarkStart w:id="372" w:name="_Toc292559869"/>
      <w:bookmarkStart w:id="373" w:name="_Toc296891199"/>
      <w:bookmarkStart w:id="374" w:name="_Toc297123492"/>
      <w:bookmarkStart w:id="375" w:name="_Toc297120459"/>
      <w:bookmarkStart w:id="376" w:name="_Toc303539102"/>
      <w:bookmarkStart w:id="377" w:name="_Toc296347158"/>
      <w:bookmarkStart w:id="378" w:name="_Toc297048345"/>
      <w:bookmarkStart w:id="379" w:name="_Toc296944498"/>
      <w:bookmarkStart w:id="380" w:name="_Toc297216151"/>
      <w:r>
        <w:rPr>
          <w:rFonts w:hint="eastAsia" w:ascii="宋体" w:hAnsi="宋体" w:eastAsia="宋体" w:cs="宋体"/>
          <w:color w:val="auto"/>
          <w:sz w:val="24"/>
          <w:highlight w:val="none"/>
        </w:rPr>
        <w:t>.5分包</w:t>
      </w:r>
      <w:bookmarkEnd w:id="364"/>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14:paraId="28B0CBF9">
      <w:pPr>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Start w:id="381" w:name="_Toc296890988"/>
      <w:bookmarkStart w:id="382" w:name="_Toc297216152"/>
      <w:bookmarkStart w:id="383" w:name="_Toc292559365"/>
      <w:bookmarkStart w:id="384" w:name="_Toc292559870"/>
      <w:bookmarkStart w:id="385" w:name="_Toc304295524"/>
      <w:bookmarkStart w:id="386" w:name="_Toc303539103"/>
      <w:bookmarkStart w:id="387" w:name="_Toc297120460"/>
      <w:bookmarkStart w:id="388" w:name="_Toc297048346"/>
      <w:bookmarkStart w:id="389" w:name="_Toc296891200"/>
      <w:bookmarkStart w:id="390" w:name="_Toc300934946"/>
      <w:bookmarkStart w:id="391" w:name="_Toc296503160"/>
      <w:bookmarkStart w:id="392" w:name="_Toc296346661"/>
      <w:bookmarkStart w:id="393" w:name="_Toc297123493"/>
      <w:bookmarkStart w:id="394" w:name="_Toc296944499"/>
      <w:bookmarkStart w:id="395" w:name="_Toc296347159"/>
      <w:bookmarkStart w:id="396" w:name="_Toc312677989"/>
      <w:bookmarkStart w:id="397" w:name="_Toc318581158"/>
      <w:r>
        <w:rPr>
          <w:rFonts w:hint="eastAsia" w:ascii="宋体" w:hAnsi="宋体" w:eastAsia="宋体" w:cs="宋体"/>
          <w:color w:val="auto"/>
          <w:sz w:val="24"/>
          <w:highlight w:val="none"/>
        </w:rPr>
        <w:t>.5.1分包的一般约定</w:t>
      </w:r>
    </w:p>
    <w:p w14:paraId="53B1D9CE">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禁止分包的工程包括：</w:t>
      </w:r>
      <w:r>
        <w:rPr>
          <w:rFonts w:hint="eastAsia" w:ascii="宋体" w:hAnsi="宋体" w:eastAsia="宋体" w:cs="宋体"/>
          <w:color w:val="auto"/>
          <w:sz w:val="24"/>
          <w:highlight w:val="none"/>
          <w:u w:val="single"/>
          <w:lang w:eastAsia="zh-CN"/>
        </w:rPr>
        <w:t>本工程不允许分包</w:t>
      </w:r>
      <w:r>
        <w:rPr>
          <w:rFonts w:hint="eastAsia" w:ascii="宋体" w:hAnsi="宋体" w:eastAsia="宋体" w:cs="宋体"/>
          <w:color w:val="auto"/>
          <w:sz w:val="24"/>
          <w:highlight w:val="none"/>
        </w:rPr>
        <w:t>。</w:t>
      </w: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14:paraId="4ACD1BDD">
      <w:pPr>
        <w:pStyle w:val="24"/>
        <w:pageBreakBefore w:val="0"/>
        <w:kinsoku/>
        <w:wordWrap/>
        <w:overflowPunct/>
        <w:topLinePunct w:val="0"/>
        <w:bidi w:val="0"/>
        <w:ind w:firstLine="480" w:firstLineChars="200"/>
        <w:textAlignment w:val="auto"/>
        <w:rPr>
          <w:rFonts w:hint="eastAsia" w:ascii="宋体" w:hAnsi="宋体" w:eastAsia="宋体" w:cs="宋体"/>
          <w:color w:val="auto"/>
          <w:sz w:val="24"/>
          <w:highlight w:val="none"/>
          <w:u w:val="single"/>
        </w:rPr>
      </w:pPr>
      <w:bookmarkStart w:id="398" w:name="_Toc297123494"/>
      <w:bookmarkStart w:id="399" w:name="_Toc296891201"/>
      <w:bookmarkStart w:id="400" w:name="_Toc304295525"/>
      <w:bookmarkStart w:id="401" w:name="_Toc297216153"/>
      <w:bookmarkStart w:id="402" w:name="_Toc296347160"/>
      <w:bookmarkStart w:id="403" w:name="_Toc296346662"/>
      <w:bookmarkStart w:id="404" w:name="_Toc303539104"/>
      <w:bookmarkStart w:id="405" w:name="_Toc296890989"/>
      <w:bookmarkStart w:id="406" w:name="_Toc297048347"/>
      <w:bookmarkStart w:id="407" w:name="_Toc296503161"/>
      <w:bookmarkStart w:id="408" w:name="_Toc296944500"/>
      <w:bookmarkStart w:id="409" w:name="_Toc300934947"/>
      <w:bookmarkStart w:id="410" w:name="_Toc297120461"/>
      <w:r>
        <w:rPr>
          <w:rFonts w:hint="eastAsia" w:ascii="宋体" w:hAnsi="宋体" w:eastAsia="宋体" w:cs="宋体"/>
          <w:b w:val="0"/>
          <w:bCs w:val="0"/>
          <w:color w:val="auto"/>
          <w:kern w:val="2"/>
          <w:sz w:val="24"/>
          <w:szCs w:val="24"/>
          <w:highlight w:val="none"/>
          <w:lang w:val="en-US" w:eastAsia="zh-CN" w:bidi="ar-SA"/>
        </w:rPr>
        <w:t>承包人不得将工程分包给第三方。如确需分包，必须事先获得发包人书面同意，且分包方应具备相应资质。承包人应对分包商的工作质量、安全生产等负全责。未经许可擅自分包的，发包人有权解除合同并要求承包人承担合同价总价5%的惩罚性违约金。</w:t>
      </w:r>
    </w:p>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5EADAA88">
      <w:pPr>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Start w:id="411" w:name="_Toc318581159"/>
      <w:bookmarkStart w:id="412" w:name="_Toc312677990"/>
      <w:r>
        <w:rPr>
          <w:rFonts w:hint="eastAsia" w:ascii="宋体" w:hAnsi="宋体" w:eastAsia="宋体" w:cs="宋体"/>
          <w:color w:val="auto"/>
          <w:sz w:val="24"/>
          <w:highlight w:val="none"/>
        </w:rPr>
        <w:t>.5.2分包的确定</w:t>
      </w:r>
    </w:p>
    <w:p w14:paraId="3BDDEBC5">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允许分包的专业工程包括：</w:t>
      </w:r>
      <w:r>
        <w:rPr>
          <w:rFonts w:hint="eastAsia" w:ascii="宋体" w:hAnsi="宋体" w:eastAsia="宋体" w:cs="宋体"/>
          <w:color w:val="auto"/>
          <w:sz w:val="24"/>
          <w:highlight w:val="none"/>
          <w:u w:val="single"/>
        </w:rPr>
        <w:t>无</w:t>
      </w:r>
      <w:r>
        <w:rPr>
          <w:rFonts w:hint="eastAsia" w:ascii="宋体" w:hAnsi="宋体" w:eastAsia="宋体" w:cs="宋体"/>
          <w:color w:val="auto"/>
          <w:sz w:val="24"/>
          <w:highlight w:val="none"/>
        </w:rPr>
        <w:t>。</w:t>
      </w:r>
    </w:p>
    <w:p w14:paraId="70D89B31">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其他关于分包的约定：</w:t>
      </w:r>
      <w:r>
        <w:rPr>
          <w:rFonts w:hint="eastAsia" w:ascii="宋体" w:hAnsi="宋体" w:eastAsia="宋体" w:cs="宋体"/>
          <w:color w:val="auto"/>
          <w:sz w:val="24"/>
          <w:highlight w:val="none"/>
          <w:u w:val="single"/>
          <w:lang w:val="en-US" w:eastAsia="zh-CN"/>
        </w:rPr>
        <w:t>严禁任何形式的分包</w:t>
      </w:r>
      <w:r>
        <w:rPr>
          <w:rFonts w:hint="eastAsia" w:ascii="宋体" w:hAnsi="宋体" w:eastAsia="宋体" w:cs="宋体"/>
          <w:color w:val="auto"/>
          <w:sz w:val="24"/>
          <w:highlight w:val="none"/>
        </w:rPr>
        <w:t>。</w:t>
      </w:r>
    </w:p>
    <w:p w14:paraId="0E306684">
      <w:pPr>
        <w:pageBreakBefore w:val="0"/>
        <w:kinsoku/>
        <w:wordWrap/>
        <w:overflowPunct/>
        <w:topLinePunct w:val="0"/>
        <w:bidi w:val="0"/>
        <w:spacing w:line="360" w:lineRule="auto"/>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3.5.4分包合同价款</w:t>
      </w:r>
    </w:p>
    <w:p w14:paraId="26ECCE64">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关于分包合同价款支付的约定：</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rPr>
        <w:t>。</w:t>
      </w:r>
    </w:p>
    <w:bookmarkEnd w:id="411"/>
    <w:bookmarkEnd w:id="412"/>
    <w:p w14:paraId="4B71C8CA">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413" w:name="_Toc1092"/>
      <w:r>
        <w:rPr>
          <w:rFonts w:hint="eastAsia" w:ascii="宋体" w:hAnsi="宋体" w:eastAsia="宋体" w:cs="宋体"/>
          <w:color w:val="auto"/>
          <w:sz w:val="24"/>
          <w:highlight w:val="none"/>
        </w:rPr>
        <w:t>3.6工程照管与成品、半成品保护</w:t>
      </w:r>
      <w:bookmarkEnd w:id="413"/>
    </w:p>
    <w:p w14:paraId="3A81A3FE">
      <w:pPr>
        <w:pageBreakBefore w:val="0"/>
        <w:kinsoku/>
        <w:wordWrap/>
        <w:overflowPunct/>
        <w:topLinePunct w:val="0"/>
        <w:bidi w:val="0"/>
        <w:spacing w:before="120" w:after="120" w:line="360" w:lineRule="auto"/>
        <w:ind w:firstLine="480" w:firstLineChars="200"/>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承包人负责照管工程及工程相关的材料、工程设备的起始时间：</w:t>
      </w:r>
      <w:r>
        <w:rPr>
          <w:rFonts w:hint="eastAsia" w:ascii="宋体" w:hAnsi="宋体" w:eastAsia="宋体" w:cs="宋体"/>
          <w:color w:val="auto"/>
          <w:sz w:val="24"/>
          <w:highlight w:val="none"/>
          <w:u w:val="single"/>
        </w:rPr>
        <w:t>设备、人员进场至验收交付使用前由承包人负责保修，无其它特殊要求的，费用由承包人承担（包括承包人进行专业分包的工程或设备）</w:t>
      </w:r>
      <w:r>
        <w:rPr>
          <w:rFonts w:hint="eastAsia" w:ascii="宋体" w:hAnsi="宋体" w:eastAsia="宋体" w:cs="宋体"/>
          <w:color w:val="auto"/>
          <w:kern w:val="0"/>
          <w:sz w:val="24"/>
          <w:highlight w:val="none"/>
        </w:rPr>
        <w:t>。</w:t>
      </w:r>
    </w:p>
    <w:p w14:paraId="0FCCE884">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414" w:name="_Toc31471"/>
      <w:r>
        <w:rPr>
          <w:rFonts w:hint="eastAsia" w:ascii="宋体" w:hAnsi="宋体" w:eastAsia="宋体" w:cs="宋体"/>
          <w:color w:val="auto"/>
          <w:sz w:val="24"/>
          <w:highlight w:val="none"/>
        </w:rPr>
        <w:t>3.7履约担保</w:t>
      </w:r>
      <w:bookmarkEnd w:id="414"/>
    </w:p>
    <w:p w14:paraId="41157756">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承包人是否提供履约担保：</w:t>
      </w:r>
      <w:r>
        <w:rPr>
          <w:rFonts w:hint="eastAsia" w:ascii="宋体" w:hAnsi="宋体" w:eastAsia="宋体" w:cs="宋体"/>
          <w:color w:val="auto"/>
          <w:sz w:val="24"/>
          <w:highlight w:val="none"/>
          <w:u w:val="single"/>
          <w:lang w:val="en-US" w:eastAsia="zh-CN"/>
        </w:rPr>
        <w:t>是</w:t>
      </w:r>
      <w:r>
        <w:rPr>
          <w:rFonts w:hint="eastAsia" w:ascii="宋体" w:hAnsi="宋体" w:eastAsia="宋体" w:cs="宋体"/>
          <w:color w:val="auto"/>
          <w:sz w:val="24"/>
          <w:highlight w:val="none"/>
        </w:rPr>
        <w:t>。</w:t>
      </w:r>
    </w:p>
    <w:p w14:paraId="57D48DD7">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承包人提供履约担保的形式、金额及期限的：</w:t>
      </w:r>
      <w:r>
        <w:rPr>
          <w:rFonts w:hint="eastAsia" w:ascii="宋体" w:hAnsi="宋体" w:eastAsia="宋体" w:cs="宋体"/>
          <w:color w:val="auto"/>
          <w:sz w:val="24"/>
          <w:highlight w:val="none"/>
          <w:lang w:val="en-US" w:eastAsia="zh-CN"/>
        </w:rPr>
        <w:t>银行保函或现金，提供合同价款（不含暂列金）的</w:t>
      </w:r>
      <w:r>
        <w:rPr>
          <w:rFonts w:hint="eastAsia" w:ascii="宋体" w:hAnsi="宋体" w:eastAsia="宋体" w:cs="宋体"/>
          <w:color w:val="auto"/>
          <w:sz w:val="24"/>
          <w:highlight w:val="none"/>
          <w:u w:val="single"/>
          <w:lang w:val="en-US" w:eastAsia="zh-CN"/>
        </w:rPr>
        <w:t xml:space="preserve">  10  </w:t>
      </w:r>
      <w:r>
        <w:rPr>
          <w:rFonts w:hint="eastAsia" w:ascii="宋体" w:hAnsi="宋体" w:eastAsia="宋体" w:cs="宋体"/>
          <w:color w:val="auto"/>
          <w:sz w:val="24"/>
          <w:highlight w:val="none"/>
          <w:lang w:val="en-US" w:eastAsia="zh-CN"/>
        </w:rPr>
        <w:t>%作为前置履约保证金，竣工验收合格后一次性无息退还。</w:t>
      </w:r>
    </w:p>
    <w:p w14:paraId="5DE5E053">
      <w:pPr>
        <w:pageBreakBefore w:val="0"/>
        <w:kinsoku/>
        <w:wordWrap/>
        <w:overflowPunct/>
        <w:topLinePunct w:val="0"/>
        <w:bidi w:val="0"/>
        <w:spacing w:line="360" w:lineRule="auto"/>
        <w:ind w:firstLine="480" w:firstLineChars="200"/>
        <w:jc w:val="left"/>
        <w:textAlignment w:val="auto"/>
        <w:outlineLvl w:val="0"/>
        <w:rPr>
          <w:rFonts w:hint="eastAsia" w:ascii="宋体" w:hAnsi="宋体" w:eastAsia="宋体" w:cs="宋体"/>
          <w:color w:val="auto"/>
          <w:sz w:val="24"/>
          <w:highlight w:val="none"/>
          <w:lang w:val="en-US" w:eastAsia="zh-CN"/>
        </w:rPr>
      </w:pPr>
      <w:bookmarkStart w:id="415" w:name="_Toc15748"/>
      <w:r>
        <w:rPr>
          <w:rFonts w:hint="eastAsia" w:ascii="宋体" w:hAnsi="宋体" w:eastAsia="宋体" w:cs="宋体"/>
          <w:color w:val="auto"/>
          <w:sz w:val="24"/>
          <w:highlight w:val="none"/>
          <w:lang w:val="en-US" w:eastAsia="zh-CN"/>
        </w:rPr>
        <w:t>4.监理人</w:t>
      </w:r>
      <w:bookmarkEnd w:id="415"/>
    </w:p>
    <w:p w14:paraId="1CC1F219">
      <w:pPr>
        <w:pageBreakBefore w:val="0"/>
        <w:kinsoku/>
        <w:wordWrap/>
        <w:overflowPunct/>
        <w:topLinePunct w:val="0"/>
        <w:bidi w:val="0"/>
        <w:spacing w:line="360" w:lineRule="auto"/>
        <w:ind w:firstLine="480" w:firstLineChars="200"/>
        <w:jc w:val="left"/>
        <w:textAlignment w:val="auto"/>
        <w:outlineLvl w:val="1"/>
        <w:rPr>
          <w:rFonts w:hint="eastAsia" w:ascii="宋体" w:hAnsi="宋体" w:eastAsia="宋体" w:cs="宋体"/>
          <w:color w:val="auto"/>
          <w:sz w:val="24"/>
          <w:highlight w:val="none"/>
        </w:rPr>
      </w:pPr>
      <w:bookmarkStart w:id="416" w:name="_Toc21043"/>
      <w:r>
        <w:rPr>
          <w:rFonts w:hint="eastAsia" w:ascii="宋体" w:hAnsi="宋体" w:eastAsia="宋体" w:cs="宋体"/>
          <w:color w:val="auto"/>
          <w:sz w:val="24"/>
          <w:highlight w:val="none"/>
        </w:rPr>
        <w:t>4.1监理人的一般规定</w:t>
      </w:r>
      <w:bookmarkEnd w:id="416"/>
    </w:p>
    <w:p w14:paraId="64502B16">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关于监理人的监理内容：</w:t>
      </w:r>
      <w:r>
        <w:rPr>
          <w:rFonts w:hint="eastAsia" w:ascii="宋体" w:hAnsi="宋体" w:eastAsia="宋体" w:cs="宋体"/>
          <w:color w:val="auto"/>
          <w:sz w:val="24"/>
          <w:highlight w:val="none"/>
          <w:u w:val="single"/>
        </w:rPr>
        <w:t>按监理合同执行</w:t>
      </w:r>
      <w:r>
        <w:rPr>
          <w:rFonts w:hint="eastAsia" w:ascii="宋体" w:hAnsi="宋体" w:eastAsia="宋体" w:cs="宋体"/>
          <w:color w:val="auto"/>
          <w:sz w:val="24"/>
          <w:highlight w:val="none"/>
        </w:rPr>
        <w:t>。</w:t>
      </w:r>
    </w:p>
    <w:p w14:paraId="75ECFD45">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关于监理人的监理权限：</w:t>
      </w:r>
      <w:r>
        <w:rPr>
          <w:rFonts w:hint="eastAsia" w:ascii="宋体" w:hAnsi="宋体" w:eastAsia="宋体" w:cs="宋体"/>
          <w:color w:val="auto"/>
          <w:sz w:val="24"/>
          <w:highlight w:val="none"/>
          <w:u w:val="single"/>
        </w:rPr>
        <w:t>三控制、二管理、一协调及安全管理，具体以发包人与监理公司签订的《监理合同》授权为准</w:t>
      </w:r>
      <w:r>
        <w:rPr>
          <w:rFonts w:hint="eastAsia" w:ascii="宋体" w:hAnsi="宋体" w:eastAsia="宋体" w:cs="宋体"/>
          <w:color w:val="auto"/>
          <w:sz w:val="24"/>
          <w:highlight w:val="none"/>
        </w:rPr>
        <w:t>。</w:t>
      </w:r>
    </w:p>
    <w:p w14:paraId="590A272B">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关于监理人在施工现场的办公场所、生活场所的提供和费用承担的约定：</w:t>
      </w:r>
      <w:r>
        <w:rPr>
          <w:rFonts w:hint="eastAsia" w:ascii="宋体" w:hAnsi="宋体" w:eastAsia="宋体" w:cs="宋体"/>
          <w:color w:val="auto"/>
          <w:sz w:val="24"/>
          <w:highlight w:val="none"/>
          <w:u w:val="single"/>
        </w:rPr>
        <w:t>由承包人提供，费用由监理人自行承担</w:t>
      </w:r>
      <w:r>
        <w:rPr>
          <w:rFonts w:hint="eastAsia" w:ascii="宋体" w:hAnsi="宋体" w:eastAsia="宋体" w:cs="宋体"/>
          <w:color w:val="auto"/>
          <w:sz w:val="24"/>
          <w:highlight w:val="none"/>
        </w:rPr>
        <w:t>。</w:t>
      </w:r>
    </w:p>
    <w:p w14:paraId="1FECC6DF">
      <w:pPr>
        <w:pageBreakBefore w:val="0"/>
        <w:kinsoku/>
        <w:wordWrap/>
        <w:overflowPunct/>
        <w:topLinePunct w:val="0"/>
        <w:bidi w:val="0"/>
        <w:spacing w:line="360" w:lineRule="auto"/>
        <w:ind w:firstLine="480" w:firstLineChars="200"/>
        <w:jc w:val="left"/>
        <w:textAlignment w:val="auto"/>
        <w:outlineLvl w:val="1"/>
        <w:rPr>
          <w:rFonts w:hint="eastAsia" w:ascii="宋体" w:hAnsi="宋体" w:eastAsia="宋体" w:cs="宋体"/>
          <w:color w:val="auto"/>
          <w:sz w:val="24"/>
          <w:highlight w:val="none"/>
        </w:rPr>
      </w:pPr>
      <w:bookmarkStart w:id="417" w:name="_Toc20046"/>
      <w:r>
        <w:rPr>
          <w:rFonts w:hint="eastAsia" w:ascii="宋体" w:hAnsi="宋体" w:eastAsia="宋体" w:cs="宋体"/>
          <w:color w:val="auto"/>
          <w:sz w:val="24"/>
          <w:highlight w:val="none"/>
        </w:rPr>
        <w:t>4.2监理人员</w:t>
      </w:r>
      <w:bookmarkEnd w:id="417"/>
    </w:p>
    <w:p w14:paraId="1C0B29CA">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总监理工程师：</w:t>
      </w:r>
    </w:p>
    <w:p w14:paraId="38B723B1">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06FA155D">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7500EA76">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监理工程师执业资格证书号：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64BB571D">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p>
    <w:p w14:paraId="24B75967">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p>
    <w:p w14:paraId="6469D5F8">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通信地址：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2A4C7DA3">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关于监理人的其他约定：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051BD54E">
      <w:pPr>
        <w:pageBreakBefore w:val="0"/>
        <w:kinsoku/>
        <w:wordWrap/>
        <w:overflowPunct/>
        <w:topLinePunct w:val="0"/>
        <w:bidi w:val="0"/>
        <w:spacing w:line="360" w:lineRule="auto"/>
        <w:ind w:firstLine="480" w:firstLineChars="200"/>
        <w:jc w:val="left"/>
        <w:textAlignment w:val="auto"/>
        <w:outlineLvl w:val="1"/>
        <w:rPr>
          <w:rFonts w:hint="eastAsia" w:ascii="宋体" w:hAnsi="宋体" w:eastAsia="宋体" w:cs="宋体"/>
          <w:color w:val="auto"/>
          <w:sz w:val="24"/>
          <w:highlight w:val="none"/>
        </w:rPr>
      </w:pPr>
      <w:bookmarkStart w:id="418" w:name="_Toc32051"/>
      <w:r>
        <w:rPr>
          <w:rFonts w:hint="eastAsia" w:ascii="宋体" w:hAnsi="宋体" w:eastAsia="宋体" w:cs="宋体"/>
          <w:color w:val="auto"/>
          <w:sz w:val="24"/>
          <w:highlight w:val="none"/>
        </w:rPr>
        <w:t>4.4商定或确定</w:t>
      </w:r>
      <w:bookmarkEnd w:id="418"/>
    </w:p>
    <w:p w14:paraId="57A95231">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在发包人和承包人不能通过协商达成一致意见时，发包人授权监理人对以下事项进行确定：</w:t>
      </w:r>
      <w:r>
        <w:rPr>
          <w:rFonts w:hint="eastAsia" w:ascii="宋体" w:hAnsi="宋体" w:eastAsia="宋体" w:cs="宋体"/>
          <w:color w:val="auto"/>
          <w:sz w:val="24"/>
          <w:highlight w:val="none"/>
          <w:u w:val="single"/>
        </w:rPr>
        <w:t>无</w:t>
      </w:r>
      <w:r>
        <w:rPr>
          <w:rFonts w:hint="eastAsia" w:ascii="宋体" w:hAnsi="宋体" w:eastAsia="宋体" w:cs="宋体"/>
          <w:color w:val="auto"/>
          <w:sz w:val="24"/>
          <w:highlight w:val="none"/>
        </w:rPr>
        <w:t>；</w:t>
      </w:r>
    </w:p>
    <w:p w14:paraId="382ADF17">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rPr>
      </w:pPr>
      <w:bookmarkStart w:id="419" w:name="_Toc267251418"/>
      <w:bookmarkStart w:id="420" w:name="_Toc20946"/>
      <w:bookmarkStart w:id="421" w:name="_Toc30268"/>
      <w:r>
        <w:rPr>
          <w:rFonts w:hint="eastAsia" w:ascii="宋体" w:hAnsi="宋体" w:eastAsia="宋体" w:cs="宋体"/>
          <w:b w:val="0"/>
          <w:color w:val="auto"/>
          <w:highlight w:val="none"/>
        </w:rPr>
        <w:t>5</w:t>
      </w:r>
      <w:bookmarkEnd w:id="419"/>
      <w:bookmarkStart w:id="422" w:name="_Toc296944502"/>
      <w:bookmarkStart w:id="423" w:name="_Toc297048349"/>
      <w:bookmarkStart w:id="424" w:name="_Toc296890991"/>
      <w:bookmarkStart w:id="425" w:name="_Toc292559367"/>
      <w:bookmarkStart w:id="426" w:name="_Toc296503163"/>
      <w:bookmarkStart w:id="427" w:name="_Toc296347162"/>
      <w:bookmarkStart w:id="428" w:name="_Toc296346664"/>
      <w:bookmarkStart w:id="429" w:name="_Toc297120463"/>
      <w:bookmarkStart w:id="430" w:name="_Toc292559872"/>
      <w:bookmarkStart w:id="431" w:name="_Toc296891203"/>
      <w:r>
        <w:rPr>
          <w:rFonts w:hint="eastAsia" w:ascii="宋体" w:hAnsi="宋体" w:eastAsia="宋体" w:cs="宋体"/>
          <w:b w:val="0"/>
          <w:color w:val="auto"/>
          <w:highlight w:val="none"/>
        </w:rPr>
        <w:t>.工程质量</w:t>
      </w:r>
      <w:bookmarkEnd w:id="420"/>
      <w:bookmarkEnd w:id="421"/>
    </w:p>
    <w:p w14:paraId="7F857006">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432" w:name="_Toc15790"/>
      <w:bookmarkStart w:id="433" w:name="_Toc3899"/>
      <w:r>
        <w:rPr>
          <w:rFonts w:hint="eastAsia" w:ascii="宋体" w:hAnsi="宋体" w:eastAsia="宋体" w:cs="宋体"/>
          <w:color w:val="auto"/>
          <w:sz w:val="24"/>
          <w:highlight w:val="none"/>
        </w:rPr>
        <w:t>5.1质量要求</w:t>
      </w:r>
      <w:bookmarkEnd w:id="432"/>
      <w:bookmarkEnd w:id="433"/>
    </w:p>
    <w:p w14:paraId="1E1D17FA">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w:t>
      </w:r>
      <w:bookmarkStart w:id="434" w:name="_Toc304295527"/>
      <w:bookmarkStart w:id="435" w:name="_Toc318581164"/>
      <w:bookmarkStart w:id="436" w:name="_Toc297123496"/>
      <w:bookmarkStart w:id="437" w:name="_Toc297216155"/>
      <w:bookmarkStart w:id="438" w:name="_Toc312677997"/>
      <w:bookmarkStart w:id="439" w:name="_Toc303539106"/>
      <w:bookmarkStart w:id="440" w:name="_Toc300934949"/>
      <w:r>
        <w:rPr>
          <w:rFonts w:hint="eastAsia" w:ascii="宋体" w:hAnsi="宋体" w:eastAsia="宋体" w:cs="宋体"/>
          <w:color w:val="auto"/>
          <w:sz w:val="24"/>
          <w:highlight w:val="none"/>
        </w:rPr>
        <w:t>.1.1特殊质量标准和要求：</w:t>
      </w:r>
      <w:r>
        <w:rPr>
          <w:rFonts w:hint="eastAsia" w:ascii="宋体" w:hAnsi="宋体" w:eastAsia="宋体" w:cs="宋体"/>
          <w:color w:val="auto"/>
          <w:sz w:val="24"/>
          <w:highlight w:val="none"/>
          <w:u w:val="single"/>
        </w:rPr>
        <w:t>无。</w:t>
      </w:r>
    </w:p>
    <w:p w14:paraId="7665D202">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关于工程奖项的约定：</w:t>
      </w:r>
      <w:r>
        <w:rPr>
          <w:rFonts w:hint="eastAsia" w:ascii="宋体" w:hAnsi="宋体" w:eastAsia="宋体" w:cs="宋体"/>
          <w:color w:val="auto"/>
          <w:sz w:val="24"/>
          <w:highlight w:val="none"/>
          <w:u w:val="single"/>
        </w:rPr>
        <w:t>无</w:t>
      </w:r>
      <w:r>
        <w:rPr>
          <w:rFonts w:hint="eastAsia" w:ascii="宋体" w:hAnsi="宋体" w:eastAsia="宋体" w:cs="宋体"/>
          <w:color w:val="auto"/>
          <w:sz w:val="24"/>
          <w:highlight w:val="none"/>
        </w:rPr>
        <w:t>。</w:t>
      </w:r>
    </w:p>
    <w:p w14:paraId="5EA6394D">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441" w:name="_Toc23269"/>
      <w:bookmarkStart w:id="442" w:name="_Toc18335"/>
      <w:r>
        <w:rPr>
          <w:rFonts w:hint="eastAsia" w:ascii="宋体" w:hAnsi="宋体" w:eastAsia="宋体" w:cs="宋体"/>
          <w:color w:val="auto"/>
          <w:sz w:val="24"/>
          <w:highlight w:val="none"/>
        </w:rPr>
        <w:t>5.3隐蔽工程检查</w:t>
      </w:r>
      <w:bookmarkEnd w:id="441"/>
      <w:bookmarkEnd w:id="442"/>
    </w:p>
    <w:p w14:paraId="5BEA981A">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5.3.2承包人提前通知监理人隐蔽工程检查的期限的约定：</w:t>
      </w:r>
      <w:r>
        <w:rPr>
          <w:rFonts w:hint="eastAsia" w:ascii="宋体" w:hAnsi="宋体" w:eastAsia="宋体" w:cs="宋体"/>
          <w:color w:val="auto"/>
          <w:sz w:val="24"/>
          <w:highlight w:val="none"/>
          <w:u w:val="single"/>
        </w:rPr>
        <w:t>共同检查验48小时书面通知监理人（监理人及承包人必须将全套隐蔽工程书面和电子版资料留存）</w:t>
      </w:r>
      <w:r>
        <w:rPr>
          <w:rFonts w:hint="eastAsia" w:ascii="宋体" w:hAnsi="宋体" w:eastAsia="宋体" w:cs="宋体"/>
          <w:color w:val="auto"/>
          <w:sz w:val="24"/>
          <w:highlight w:val="none"/>
        </w:rPr>
        <w:t>。</w:t>
      </w:r>
    </w:p>
    <w:p w14:paraId="0BD07A95">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监理人不能按时进行检查时，应提前</w:t>
      </w:r>
      <w:r>
        <w:rPr>
          <w:rFonts w:hint="eastAsia" w:ascii="宋体" w:hAnsi="宋体" w:eastAsia="宋体" w:cs="宋体"/>
          <w:color w:val="auto"/>
          <w:sz w:val="24"/>
          <w:highlight w:val="none"/>
          <w:u w:val="single"/>
        </w:rPr>
        <w:t>24</w:t>
      </w:r>
      <w:r>
        <w:rPr>
          <w:rFonts w:hint="eastAsia" w:ascii="宋体" w:hAnsi="宋体" w:eastAsia="宋体" w:cs="宋体"/>
          <w:color w:val="auto"/>
          <w:sz w:val="24"/>
          <w:highlight w:val="none"/>
        </w:rPr>
        <w:t>小时提交书面延期要求。</w:t>
      </w:r>
    </w:p>
    <w:p w14:paraId="5D4E93B7">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关于延期最长不得超过：</w:t>
      </w:r>
      <w:r>
        <w:rPr>
          <w:rFonts w:hint="eastAsia" w:ascii="宋体" w:hAnsi="宋体" w:eastAsia="宋体" w:cs="宋体"/>
          <w:color w:val="auto"/>
          <w:sz w:val="24"/>
          <w:highlight w:val="none"/>
          <w:u w:val="single"/>
        </w:rPr>
        <w:t>48</w:t>
      </w:r>
      <w:r>
        <w:rPr>
          <w:rFonts w:hint="eastAsia" w:ascii="宋体" w:hAnsi="宋体" w:eastAsia="宋体" w:cs="宋体"/>
          <w:color w:val="auto"/>
          <w:sz w:val="24"/>
          <w:highlight w:val="none"/>
        </w:rPr>
        <w:t>小时。</w:t>
      </w:r>
    </w:p>
    <w:p w14:paraId="239D8EF4">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rPr>
      </w:pPr>
      <w:bookmarkStart w:id="443" w:name="_Toc31373"/>
      <w:bookmarkStart w:id="444" w:name="_Toc9544"/>
      <w:r>
        <w:rPr>
          <w:rFonts w:hint="eastAsia" w:ascii="宋体" w:hAnsi="宋体" w:eastAsia="宋体" w:cs="宋体"/>
          <w:b w:val="0"/>
          <w:color w:val="auto"/>
          <w:highlight w:val="none"/>
        </w:rPr>
        <w:t>6.安全文明施工与环境保护</w:t>
      </w:r>
      <w:bookmarkEnd w:id="443"/>
      <w:bookmarkEnd w:id="444"/>
    </w:p>
    <w:p w14:paraId="3B1C6938">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445" w:name="_Toc11710"/>
      <w:r>
        <w:rPr>
          <w:rFonts w:hint="eastAsia" w:ascii="宋体" w:hAnsi="宋体" w:eastAsia="宋体" w:cs="宋体"/>
          <w:color w:val="auto"/>
          <w:sz w:val="24"/>
          <w:highlight w:val="none"/>
        </w:rPr>
        <w:t>6.1安全文明施工</w:t>
      </w:r>
      <w:bookmarkEnd w:id="445"/>
    </w:p>
    <w:p w14:paraId="5A2613D1">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6.1.1项目安全生产的达标目标及相应事项的约定：</w:t>
      </w:r>
      <w:r>
        <w:rPr>
          <w:rFonts w:hint="eastAsia" w:ascii="宋体" w:hAnsi="宋体" w:eastAsia="宋体" w:cs="宋体"/>
          <w:color w:val="auto"/>
          <w:sz w:val="24"/>
          <w:highlight w:val="none"/>
          <w:u w:val="single"/>
        </w:rPr>
        <w:t>达到项目所在地要求的合格标准</w:t>
      </w:r>
      <w:r>
        <w:rPr>
          <w:rFonts w:hint="eastAsia" w:ascii="宋体" w:hAnsi="宋体" w:eastAsia="宋体" w:cs="宋体"/>
          <w:color w:val="auto"/>
          <w:sz w:val="24"/>
          <w:highlight w:val="none"/>
        </w:rPr>
        <w:t>。</w:t>
      </w:r>
    </w:p>
    <w:p w14:paraId="2632645B">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6.1.4关于治安保卫的特别约定：</w:t>
      </w:r>
      <w:r>
        <w:rPr>
          <w:rFonts w:hint="eastAsia" w:ascii="宋体" w:hAnsi="宋体" w:eastAsia="宋体" w:cs="宋体"/>
          <w:color w:val="auto"/>
          <w:sz w:val="24"/>
          <w:highlight w:val="none"/>
          <w:u w:val="single"/>
        </w:rPr>
        <w:t>制定相关应急预案和措施，并符合当地公安部门的要求。</w:t>
      </w:r>
    </w:p>
    <w:p w14:paraId="5B082FD9">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关于编制施工场地治安管理计划的约定：</w:t>
      </w:r>
      <w:r>
        <w:rPr>
          <w:rFonts w:hint="eastAsia" w:ascii="宋体" w:hAnsi="宋体" w:eastAsia="宋体" w:cs="宋体"/>
          <w:color w:val="auto"/>
          <w:sz w:val="24"/>
          <w:highlight w:val="none"/>
          <w:u w:val="single"/>
        </w:rPr>
        <w:t>开工前7日内提供。</w:t>
      </w:r>
    </w:p>
    <w:p w14:paraId="5B61B600">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6.1.5文明施工</w:t>
      </w:r>
    </w:p>
    <w:p w14:paraId="4F70B98A">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合同当事人对文明施工的要求：</w:t>
      </w:r>
      <w:r>
        <w:rPr>
          <w:rFonts w:hint="eastAsia" w:ascii="宋体" w:hAnsi="宋体" w:eastAsia="宋体" w:cs="宋体"/>
          <w:color w:val="auto"/>
          <w:sz w:val="24"/>
          <w:highlight w:val="none"/>
          <w:u w:val="single"/>
        </w:rPr>
        <w:t>达到国家、自治区的相关要求和标准</w:t>
      </w:r>
      <w:r>
        <w:rPr>
          <w:rFonts w:hint="eastAsia" w:ascii="宋体" w:hAnsi="宋体" w:eastAsia="宋体" w:cs="宋体"/>
          <w:color w:val="auto"/>
          <w:sz w:val="24"/>
          <w:highlight w:val="none"/>
        </w:rPr>
        <w:t>。</w:t>
      </w:r>
    </w:p>
    <w:p w14:paraId="52406AE9">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6.1.6关于安全文明施工费支付比例和支付期限的约定：</w:t>
      </w:r>
      <w:r>
        <w:rPr>
          <w:rFonts w:hint="eastAsia" w:ascii="宋体" w:hAnsi="宋体" w:eastAsia="宋体" w:cs="宋体"/>
          <w:color w:val="auto"/>
          <w:sz w:val="24"/>
          <w:highlight w:val="none"/>
          <w:u w:val="single"/>
        </w:rPr>
        <w:t>本工程为全费用综合单价,不再另行计取费</w:t>
      </w:r>
      <w:r>
        <w:rPr>
          <w:rFonts w:hint="eastAsia" w:ascii="宋体" w:hAnsi="宋体" w:eastAsia="宋体" w:cs="宋体"/>
          <w:color w:val="auto"/>
          <w:sz w:val="24"/>
          <w:highlight w:val="none"/>
        </w:rPr>
        <w:t>。</w:t>
      </w:r>
    </w:p>
    <w:bookmarkEnd w:id="434"/>
    <w:bookmarkEnd w:id="435"/>
    <w:bookmarkEnd w:id="436"/>
    <w:bookmarkEnd w:id="437"/>
    <w:bookmarkEnd w:id="438"/>
    <w:bookmarkEnd w:id="439"/>
    <w:bookmarkEnd w:id="440"/>
    <w:p w14:paraId="313118B0">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rPr>
      </w:pPr>
      <w:bookmarkStart w:id="446" w:name="_Toc20023"/>
      <w:bookmarkStart w:id="447" w:name="_Toc32735"/>
      <w:r>
        <w:rPr>
          <w:rFonts w:hint="eastAsia" w:ascii="宋体" w:hAnsi="宋体" w:eastAsia="宋体" w:cs="宋体"/>
          <w:b w:val="0"/>
          <w:color w:val="auto"/>
          <w:highlight w:val="none"/>
        </w:rPr>
        <w:t>7.工期和进度</w:t>
      </w:r>
      <w:bookmarkEnd w:id="446"/>
      <w:bookmarkEnd w:id="447"/>
    </w:p>
    <w:p w14:paraId="7D849207">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448" w:name="_Toc9390"/>
      <w:r>
        <w:rPr>
          <w:rFonts w:hint="eastAsia" w:ascii="宋体" w:hAnsi="宋体" w:eastAsia="宋体" w:cs="宋体"/>
          <w:color w:val="auto"/>
          <w:sz w:val="24"/>
          <w:highlight w:val="none"/>
        </w:rPr>
        <w:t>7.1施工组织设计</w:t>
      </w:r>
      <w:bookmarkEnd w:id="448"/>
    </w:p>
    <w:p w14:paraId="07301703">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7.1.1合</w:t>
      </w:r>
      <w:r>
        <w:rPr>
          <w:rFonts w:hint="eastAsia" w:ascii="宋体" w:hAnsi="宋体" w:eastAsia="宋体" w:cs="宋体"/>
          <w:color w:val="auto"/>
          <w:kern w:val="0"/>
          <w:sz w:val="24"/>
          <w:highlight w:val="none"/>
        </w:rPr>
        <w:t>同当事人约定的施工组织设计应包括的其他内容：</w:t>
      </w:r>
      <w:r>
        <w:rPr>
          <w:rFonts w:hint="eastAsia" w:ascii="宋体" w:hAnsi="宋体" w:eastAsia="宋体" w:cs="宋体"/>
          <w:color w:val="auto"/>
          <w:sz w:val="24"/>
          <w:highlight w:val="none"/>
          <w:u w:val="single"/>
        </w:rPr>
        <w:t>施工方案、施工进度计划、劳动力需用量计划、材料需用量计划、机械设备需用量计划、资金需用量计划、承包人自有周转资金计划、质量保证体系、工期保证体系、安全保证体系、现场安全施工措施等</w:t>
      </w:r>
      <w:r>
        <w:rPr>
          <w:rFonts w:hint="eastAsia" w:ascii="宋体" w:hAnsi="宋体" w:eastAsia="宋体" w:cs="宋体"/>
          <w:color w:val="auto"/>
          <w:sz w:val="24"/>
          <w:highlight w:val="none"/>
        </w:rPr>
        <w:t>。</w:t>
      </w:r>
    </w:p>
    <w:p w14:paraId="542D32CA">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7.1.2</w:t>
      </w:r>
      <w:r>
        <w:rPr>
          <w:rFonts w:hint="eastAsia" w:ascii="宋体" w:hAnsi="宋体" w:eastAsia="宋体" w:cs="宋体"/>
          <w:color w:val="auto"/>
          <w:kern w:val="0"/>
          <w:sz w:val="24"/>
          <w:highlight w:val="none"/>
        </w:rPr>
        <w:t>施工组织设计的提交和修改</w:t>
      </w:r>
    </w:p>
    <w:p w14:paraId="2F85D30E">
      <w:pPr>
        <w:pageBreakBefore w:val="0"/>
        <w:kinsoku/>
        <w:wordWrap/>
        <w:overflowPunct/>
        <w:topLinePunct w:val="0"/>
        <w:autoSpaceDE w:val="0"/>
        <w:autoSpaceDN w:val="0"/>
        <w:bidi w:val="0"/>
        <w:adjustRightInd w:val="0"/>
        <w:spacing w:line="360" w:lineRule="auto"/>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承包人提交详细施工组织设计的期限的约定：</w:t>
      </w:r>
      <w:r>
        <w:rPr>
          <w:rFonts w:hint="eastAsia" w:ascii="宋体" w:hAnsi="宋体" w:eastAsia="宋体" w:cs="宋体"/>
          <w:color w:val="auto"/>
          <w:sz w:val="24"/>
          <w:highlight w:val="none"/>
          <w:u w:val="single"/>
        </w:rPr>
        <w:t>收到后7天内</w:t>
      </w:r>
      <w:r>
        <w:rPr>
          <w:rFonts w:hint="eastAsia" w:ascii="宋体" w:hAnsi="宋体" w:eastAsia="宋体" w:cs="宋体"/>
          <w:color w:val="auto"/>
          <w:sz w:val="24"/>
          <w:highlight w:val="none"/>
        </w:rPr>
        <w:t>。</w:t>
      </w:r>
    </w:p>
    <w:p w14:paraId="6D07634A">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发包人和监理人在收到详细的施工组织设计后确认或提出修改意见的期限：</w:t>
      </w:r>
      <w:r>
        <w:rPr>
          <w:rFonts w:hint="eastAsia" w:ascii="宋体" w:hAnsi="宋体" w:eastAsia="宋体" w:cs="宋体"/>
          <w:color w:val="auto"/>
          <w:sz w:val="24"/>
          <w:highlight w:val="none"/>
          <w:u w:val="single"/>
        </w:rPr>
        <w:t>收到施工组织设计后7日内提出修改意见或确认</w:t>
      </w:r>
      <w:r>
        <w:rPr>
          <w:rFonts w:hint="eastAsia" w:ascii="宋体" w:hAnsi="宋体" w:eastAsia="宋体" w:cs="宋体"/>
          <w:color w:val="auto"/>
          <w:sz w:val="24"/>
          <w:highlight w:val="none"/>
        </w:rPr>
        <w:t>。</w:t>
      </w:r>
    </w:p>
    <w:p w14:paraId="4E20034A">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449" w:name="_Toc2391"/>
      <w:r>
        <w:rPr>
          <w:rFonts w:hint="eastAsia" w:ascii="宋体" w:hAnsi="宋体" w:eastAsia="宋体" w:cs="宋体"/>
          <w:color w:val="auto"/>
          <w:sz w:val="24"/>
          <w:highlight w:val="none"/>
        </w:rPr>
        <w:t>7</w:t>
      </w:r>
      <w:bookmarkStart w:id="450" w:name="_Toc312677479"/>
      <w:bookmarkStart w:id="451" w:name="_Toc303539123"/>
      <w:bookmarkStart w:id="452" w:name="_Toc300934966"/>
      <w:bookmarkStart w:id="453" w:name="_Toc304295541"/>
      <w:bookmarkStart w:id="454" w:name="_Toc312678005"/>
      <w:bookmarkStart w:id="455" w:name="_Toc297123514"/>
      <w:bookmarkStart w:id="456" w:name="_Toc297216173"/>
      <w:r>
        <w:rPr>
          <w:rFonts w:hint="eastAsia" w:ascii="宋体" w:hAnsi="宋体" w:eastAsia="宋体" w:cs="宋体"/>
          <w:color w:val="auto"/>
          <w:sz w:val="24"/>
          <w:highlight w:val="none"/>
        </w:rPr>
        <w:t>.2施工进度计划</w:t>
      </w:r>
      <w:bookmarkEnd w:id="449"/>
    </w:p>
    <w:p w14:paraId="63A63CA4">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7.2.2施工进度计划的修订</w:t>
      </w:r>
    </w:p>
    <w:p w14:paraId="2CA54035">
      <w:pPr>
        <w:pageBreakBefore w:val="0"/>
        <w:kinsoku/>
        <w:wordWrap/>
        <w:overflowPunct/>
        <w:topLinePunct w:val="0"/>
        <w:bidi w:val="0"/>
        <w:spacing w:after="120" w:line="44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发包人和监理人在收到修订的施工进度计划后确认或提出修改意见的期限：</w:t>
      </w:r>
      <w:r>
        <w:rPr>
          <w:rFonts w:hint="eastAsia" w:ascii="宋体" w:hAnsi="宋体" w:eastAsia="宋体" w:cs="宋体"/>
          <w:color w:val="auto"/>
          <w:sz w:val="24"/>
          <w:highlight w:val="none"/>
          <w:u w:val="single"/>
        </w:rPr>
        <w:t>收到施工组织设计后7日内确认。</w:t>
      </w:r>
    </w:p>
    <w:p w14:paraId="2F64CC11">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457" w:name="_Toc13341"/>
      <w:r>
        <w:rPr>
          <w:rFonts w:hint="eastAsia" w:ascii="宋体" w:hAnsi="宋体" w:eastAsia="宋体" w:cs="宋体"/>
          <w:color w:val="auto"/>
          <w:sz w:val="24"/>
          <w:highlight w:val="none"/>
        </w:rPr>
        <w:t>7.3开工</w:t>
      </w:r>
      <w:bookmarkEnd w:id="457"/>
    </w:p>
    <w:p w14:paraId="32552F03">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7.3.1开工准备</w:t>
      </w:r>
    </w:p>
    <w:p w14:paraId="0332A278">
      <w:pPr>
        <w:pageBreakBefore w:val="0"/>
        <w:kinsoku/>
        <w:wordWrap/>
        <w:overflowPunct/>
        <w:topLinePunct w:val="0"/>
        <w:bidi w:val="0"/>
        <w:spacing w:line="360" w:lineRule="auto"/>
        <w:ind w:firstLine="64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关于承包人提交工程开工报审表的期限：</w:t>
      </w:r>
      <w:r>
        <w:rPr>
          <w:rFonts w:hint="eastAsia" w:ascii="宋体" w:hAnsi="宋体" w:eastAsia="宋体" w:cs="宋体"/>
          <w:color w:val="auto"/>
          <w:sz w:val="24"/>
          <w:highlight w:val="none"/>
          <w:u w:val="single"/>
        </w:rPr>
        <w:t>合同签订后7日内提供。</w:t>
      </w:r>
    </w:p>
    <w:p w14:paraId="5499A0F5">
      <w:pPr>
        <w:pageBreakBefore w:val="0"/>
        <w:kinsoku/>
        <w:wordWrap/>
        <w:overflowPunct/>
        <w:topLinePunct w:val="0"/>
        <w:bidi w:val="0"/>
        <w:spacing w:line="360" w:lineRule="auto"/>
        <w:ind w:firstLine="64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关于发包人应完成的其他开工准备工作及期限：</w:t>
      </w:r>
      <w:r>
        <w:rPr>
          <w:rFonts w:hint="eastAsia" w:ascii="宋体" w:hAnsi="宋体" w:eastAsia="宋体" w:cs="宋体"/>
          <w:color w:val="auto"/>
          <w:sz w:val="24"/>
          <w:highlight w:val="none"/>
          <w:u w:val="single"/>
        </w:rPr>
        <w:t>合同签订后7日内提供。</w:t>
      </w:r>
    </w:p>
    <w:p w14:paraId="43CED204">
      <w:pPr>
        <w:pageBreakBefore w:val="0"/>
        <w:kinsoku/>
        <w:wordWrap/>
        <w:overflowPunct/>
        <w:topLinePunct w:val="0"/>
        <w:bidi w:val="0"/>
        <w:spacing w:line="360" w:lineRule="auto"/>
        <w:ind w:firstLine="64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关于承包人应完成的其他开工准备工作及期限：</w:t>
      </w:r>
      <w:r>
        <w:rPr>
          <w:rFonts w:hint="eastAsia" w:ascii="宋体" w:hAnsi="宋体" w:eastAsia="宋体" w:cs="宋体"/>
          <w:color w:val="auto"/>
          <w:sz w:val="24"/>
          <w:highlight w:val="none"/>
          <w:u w:val="single"/>
        </w:rPr>
        <w:t>合同签订后7日内提供。</w:t>
      </w:r>
    </w:p>
    <w:p w14:paraId="2AED4FD6">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7.3.2开工通知</w:t>
      </w:r>
    </w:p>
    <w:p w14:paraId="0420CFA3">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因发包人原因造成监理人未能在计划开工日期之日起</w:t>
      </w:r>
      <w:r>
        <w:rPr>
          <w:rFonts w:hint="eastAsia" w:ascii="宋体" w:hAnsi="宋体" w:eastAsia="宋体" w:cs="宋体"/>
          <w:color w:val="auto"/>
          <w:sz w:val="24"/>
          <w:highlight w:val="none"/>
          <w:u w:val="single"/>
          <w:lang w:val="en-US" w:eastAsia="zh-CN"/>
        </w:rPr>
        <w:t>60</w:t>
      </w:r>
      <w:r>
        <w:rPr>
          <w:rFonts w:hint="eastAsia" w:ascii="宋体" w:hAnsi="宋体" w:eastAsia="宋体" w:cs="宋体"/>
          <w:color w:val="auto"/>
          <w:sz w:val="24"/>
          <w:highlight w:val="none"/>
        </w:rPr>
        <w:t>天内发出开工通知的，承包人有权提出价格调整要求，或者解除合同。</w:t>
      </w:r>
    </w:p>
    <w:bookmarkEnd w:id="450"/>
    <w:bookmarkEnd w:id="451"/>
    <w:bookmarkEnd w:id="452"/>
    <w:bookmarkEnd w:id="453"/>
    <w:bookmarkEnd w:id="454"/>
    <w:bookmarkEnd w:id="455"/>
    <w:bookmarkEnd w:id="456"/>
    <w:p w14:paraId="41A5E7DB">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458" w:name="_Toc14007"/>
      <w:r>
        <w:rPr>
          <w:rFonts w:hint="eastAsia" w:ascii="宋体" w:hAnsi="宋体" w:eastAsia="宋体" w:cs="宋体"/>
          <w:color w:val="auto"/>
          <w:sz w:val="24"/>
          <w:highlight w:val="none"/>
        </w:rPr>
        <w:t>7.4测量放线</w:t>
      </w:r>
      <w:bookmarkEnd w:id="458"/>
    </w:p>
    <w:p w14:paraId="5371A1B0">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7.4.1发包人通过监理人向承包人提供测量基准点、基准线和水准点及其书面资料的期限：</w:t>
      </w:r>
      <w:r>
        <w:rPr>
          <w:rFonts w:hint="eastAsia" w:ascii="宋体" w:hAnsi="宋体" w:eastAsia="宋体" w:cs="宋体"/>
          <w:color w:val="auto"/>
          <w:sz w:val="24"/>
          <w:highlight w:val="none"/>
          <w:u w:val="single"/>
        </w:rPr>
        <w:t>施工单位进场后7日内</w:t>
      </w:r>
      <w:r>
        <w:rPr>
          <w:rFonts w:hint="eastAsia" w:ascii="宋体" w:hAnsi="宋体" w:eastAsia="宋体" w:cs="宋体"/>
          <w:color w:val="auto"/>
          <w:sz w:val="24"/>
          <w:highlight w:val="none"/>
        </w:rPr>
        <w:t>。</w:t>
      </w:r>
    </w:p>
    <w:p w14:paraId="19FABFBA">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459" w:name="_Toc16022"/>
      <w:r>
        <w:rPr>
          <w:rFonts w:hint="eastAsia" w:ascii="宋体" w:hAnsi="宋体" w:eastAsia="宋体" w:cs="宋体"/>
          <w:color w:val="auto"/>
          <w:sz w:val="24"/>
          <w:highlight w:val="none"/>
        </w:rPr>
        <w:t>7</w:t>
      </w:r>
      <w:bookmarkStart w:id="460" w:name="_Toc300934968"/>
      <w:bookmarkStart w:id="461" w:name="_Toc297216175"/>
      <w:bookmarkStart w:id="462" w:name="_Toc304295546"/>
      <w:bookmarkStart w:id="463" w:name="_Toc312677484"/>
      <w:bookmarkStart w:id="464" w:name="_Toc312678010"/>
      <w:bookmarkStart w:id="465" w:name="_Toc303539125"/>
      <w:bookmarkStart w:id="466" w:name="_Toc297123516"/>
      <w:r>
        <w:rPr>
          <w:rFonts w:hint="eastAsia" w:ascii="宋体" w:hAnsi="宋体" w:eastAsia="宋体" w:cs="宋体"/>
          <w:color w:val="auto"/>
          <w:sz w:val="24"/>
          <w:highlight w:val="none"/>
        </w:rPr>
        <w:t>.5工期延误</w:t>
      </w:r>
      <w:bookmarkEnd w:id="459"/>
    </w:p>
    <w:bookmarkEnd w:id="460"/>
    <w:bookmarkEnd w:id="461"/>
    <w:bookmarkEnd w:id="462"/>
    <w:bookmarkEnd w:id="463"/>
    <w:bookmarkEnd w:id="464"/>
    <w:bookmarkEnd w:id="465"/>
    <w:bookmarkEnd w:id="466"/>
    <w:p w14:paraId="2EEEFFC0">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7.5.1因发包人原因导致工期延误</w:t>
      </w:r>
    </w:p>
    <w:p w14:paraId="795704AB">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（7）因发包人原因导致工期延误的其他情形：</w:t>
      </w:r>
      <w:r>
        <w:rPr>
          <w:rFonts w:hint="eastAsia" w:ascii="宋体" w:hAnsi="宋体" w:eastAsia="宋体" w:cs="宋体"/>
          <w:color w:val="auto"/>
          <w:sz w:val="24"/>
          <w:highlight w:val="none"/>
          <w:u w:val="single"/>
        </w:rPr>
        <w:t>①发包人未按合同规定支付工程款并确实影响施工进度；②重大设计变更而影响施工进度；③政策处理范围限于征地拆迁、管线迁移等政府行政行为影响施工进度；④不可抗力，此延误工期须在发现后七天内办理签证，逾期不予认可</w:t>
      </w:r>
      <w:r>
        <w:rPr>
          <w:rFonts w:hint="eastAsia" w:ascii="宋体" w:hAnsi="宋体" w:eastAsia="宋体" w:cs="宋体"/>
          <w:color w:val="auto"/>
          <w:sz w:val="24"/>
          <w:highlight w:val="none"/>
        </w:rPr>
        <w:t>。</w:t>
      </w:r>
    </w:p>
    <w:p w14:paraId="777042E8">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bookmarkStart w:id="467" w:name="_Toc297216177"/>
      <w:bookmarkStart w:id="468" w:name="_Toc300934970"/>
      <w:bookmarkStart w:id="469" w:name="_Toc297123518"/>
      <w:bookmarkStart w:id="470" w:name="_Toc303539127"/>
      <w:bookmarkStart w:id="471" w:name="_Toc312678012"/>
      <w:bookmarkStart w:id="472" w:name="_Toc312677486"/>
      <w:bookmarkStart w:id="473" w:name="_Toc318581169"/>
      <w:bookmarkStart w:id="474" w:name="_Toc304295548"/>
      <w:r>
        <w:rPr>
          <w:rFonts w:hint="eastAsia" w:ascii="宋体" w:hAnsi="宋体" w:eastAsia="宋体" w:cs="宋体"/>
          <w:color w:val="auto"/>
          <w:sz w:val="24"/>
          <w:highlight w:val="none"/>
        </w:rPr>
        <w:t>.5.2因承包人原因导致工期延误</w:t>
      </w:r>
    </w:p>
    <w:bookmarkEnd w:id="467"/>
    <w:bookmarkEnd w:id="468"/>
    <w:bookmarkEnd w:id="469"/>
    <w:bookmarkEnd w:id="470"/>
    <w:bookmarkEnd w:id="471"/>
    <w:bookmarkEnd w:id="472"/>
    <w:bookmarkEnd w:id="473"/>
    <w:bookmarkEnd w:id="474"/>
    <w:p w14:paraId="0250FAEF">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因</w:t>
      </w:r>
      <w:bookmarkStart w:id="475" w:name="_Toc312677487"/>
      <w:bookmarkStart w:id="476" w:name="_Toc312678013"/>
      <w:bookmarkStart w:id="477" w:name="_Toc318581170"/>
      <w:r>
        <w:rPr>
          <w:rFonts w:hint="eastAsia" w:ascii="宋体" w:hAnsi="宋体" w:eastAsia="宋体" w:cs="宋体"/>
          <w:color w:val="auto"/>
          <w:sz w:val="24"/>
          <w:highlight w:val="none"/>
        </w:rPr>
        <w:t>承包人原因造成工期延误，逾期竣工违约金的计算方法为：</w:t>
      </w:r>
      <w:r>
        <w:rPr>
          <w:rFonts w:hint="eastAsia" w:ascii="宋体" w:hAnsi="宋体" w:eastAsia="宋体" w:cs="宋体"/>
          <w:color w:val="auto"/>
          <w:sz w:val="24"/>
          <w:highlight w:val="none"/>
          <w:u w:val="single"/>
          <w:lang w:val="en-US" w:eastAsia="zh-CN"/>
        </w:rPr>
        <w:t>每</w:t>
      </w:r>
      <w:r>
        <w:rPr>
          <w:rFonts w:hint="eastAsia" w:ascii="宋体" w:hAnsi="宋体" w:cs="宋体"/>
          <w:color w:val="auto"/>
          <w:sz w:val="24"/>
          <w:highlight w:val="none"/>
          <w:u w:val="single"/>
          <w:lang w:val="en-US" w:eastAsia="zh-CN"/>
        </w:rPr>
        <w:t>逾</w:t>
      </w:r>
      <w:r>
        <w:rPr>
          <w:rFonts w:hint="eastAsia" w:ascii="宋体" w:hAnsi="宋体" w:eastAsia="宋体" w:cs="宋体"/>
          <w:color w:val="auto"/>
          <w:sz w:val="24"/>
          <w:highlight w:val="none"/>
          <w:u w:val="single"/>
          <w:lang w:val="en-US" w:eastAsia="zh-CN"/>
        </w:rPr>
        <w:t>期一天，按合同总价的0.1%支付违约金，累计不超过合同总价的5%</w:t>
      </w:r>
      <w:r>
        <w:rPr>
          <w:rFonts w:hint="eastAsia" w:ascii="宋体" w:hAnsi="宋体" w:eastAsia="宋体" w:cs="宋体"/>
          <w:color w:val="auto"/>
          <w:sz w:val="24"/>
          <w:highlight w:val="none"/>
          <w:u w:val="single"/>
        </w:rPr>
        <w:t>。</w:t>
      </w:r>
      <w:bookmarkEnd w:id="475"/>
      <w:bookmarkEnd w:id="476"/>
    </w:p>
    <w:bookmarkEnd w:id="477"/>
    <w:p w14:paraId="48D1D1D1">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因承包人原因造成工期延误，逾</w:t>
      </w:r>
      <w:bookmarkStart w:id="478" w:name="_Toc312678014"/>
      <w:bookmarkStart w:id="479" w:name="_Toc318581171"/>
      <w:r>
        <w:rPr>
          <w:rFonts w:hint="eastAsia" w:ascii="宋体" w:hAnsi="宋体" w:eastAsia="宋体" w:cs="宋体"/>
          <w:color w:val="auto"/>
          <w:sz w:val="24"/>
          <w:highlight w:val="none"/>
        </w:rPr>
        <w:t>期竣工违约金的上限：</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lang w:val="en-US" w:eastAsia="zh-CN"/>
        </w:rPr>
        <w:t>。</w:t>
      </w:r>
    </w:p>
    <w:bookmarkEnd w:id="478"/>
    <w:bookmarkEnd w:id="479"/>
    <w:p w14:paraId="05D3ACFD">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480" w:name="_Toc28320"/>
      <w:r>
        <w:rPr>
          <w:rFonts w:hint="eastAsia" w:ascii="宋体" w:hAnsi="宋体" w:eastAsia="宋体" w:cs="宋体"/>
          <w:color w:val="auto"/>
          <w:sz w:val="24"/>
          <w:highlight w:val="none"/>
        </w:rPr>
        <w:t>7</w:t>
      </w:r>
      <w:bookmarkStart w:id="481" w:name="_Toc312678015"/>
      <w:bookmarkStart w:id="482" w:name="_Toc300934971"/>
      <w:bookmarkStart w:id="483" w:name="_Toc297123519"/>
      <w:bookmarkStart w:id="484" w:name="_Toc297216178"/>
      <w:bookmarkStart w:id="485" w:name="_Toc304295549"/>
      <w:bookmarkStart w:id="486" w:name="_Toc303539128"/>
      <w:r>
        <w:rPr>
          <w:rFonts w:hint="eastAsia" w:ascii="宋体" w:hAnsi="宋体" w:eastAsia="宋体" w:cs="宋体"/>
          <w:color w:val="auto"/>
          <w:sz w:val="24"/>
          <w:highlight w:val="none"/>
        </w:rPr>
        <w:t>.6不</w:t>
      </w:r>
      <w:bookmarkEnd w:id="481"/>
      <w:bookmarkEnd w:id="482"/>
      <w:bookmarkEnd w:id="483"/>
      <w:bookmarkEnd w:id="484"/>
      <w:bookmarkEnd w:id="485"/>
      <w:bookmarkEnd w:id="486"/>
      <w:r>
        <w:rPr>
          <w:rFonts w:hint="eastAsia" w:ascii="宋体" w:hAnsi="宋体" w:eastAsia="宋体" w:cs="宋体"/>
          <w:color w:val="auto"/>
          <w:sz w:val="24"/>
          <w:highlight w:val="none"/>
        </w:rPr>
        <w:t>利物质条件</w:t>
      </w:r>
      <w:bookmarkEnd w:id="480"/>
    </w:p>
    <w:p w14:paraId="6E81899C">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bookmarkStart w:id="487" w:name="_Toc297216179"/>
      <w:bookmarkStart w:id="488" w:name="_Toc297123520"/>
      <w:bookmarkStart w:id="489" w:name="_Toc300934972"/>
      <w:bookmarkStart w:id="490" w:name="_Toc312678016"/>
      <w:bookmarkStart w:id="491" w:name="_Toc303539129"/>
      <w:bookmarkStart w:id="492" w:name="_Toc304295550"/>
      <w:bookmarkStart w:id="493" w:name="_Toc318581172"/>
      <w:r>
        <w:rPr>
          <w:rFonts w:hint="eastAsia" w:ascii="宋体" w:hAnsi="宋体" w:eastAsia="宋体" w:cs="宋体"/>
          <w:color w:val="auto"/>
          <w:sz w:val="24"/>
          <w:highlight w:val="none"/>
        </w:rPr>
        <w:t>不利物质条件的其他情形和有关约定：</w:t>
      </w:r>
      <w:r>
        <w:rPr>
          <w:rFonts w:hint="eastAsia" w:ascii="宋体" w:hAnsi="宋体" w:eastAsia="宋体" w:cs="宋体"/>
          <w:color w:val="auto"/>
          <w:sz w:val="24"/>
          <w:highlight w:val="none"/>
          <w:u w:val="single"/>
        </w:rPr>
        <w:t>协商解决</w:t>
      </w:r>
      <w:r>
        <w:rPr>
          <w:rFonts w:hint="eastAsia" w:ascii="宋体" w:hAnsi="宋体" w:eastAsia="宋体" w:cs="宋体"/>
          <w:color w:val="auto"/>
          <w:sz w:val="24"/>
          <w:highlight w:val="none"/>
        </w:rPr>
        <w:t>。</w:t>
      </w:r>
    </w:p>
    <w:bookmarkEnd w:id="487"/>
    <w:bookmarkEnd w:id="488"/>
    <w:bookmarkEnd w:id="489"/>
    <w:bookmarkEnd w:id="490"/>
    <w:bookmarkEnd w:id="491"/>
    <w:bookmarkEnd w:id="492"/>
    <w:bookmarkEnd w:id="493"/>
    <w:p w14:paraId="20E9833C">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494" w:name="_Toc25472"/>
      <w:r>
        <w:rPr>
          <w:rFonts w:hint="eastAsia" w:ascii="宋体" w:hAnsi="宋体" w:eastAsia="宋体" w:cs="宋体"/>
          <w:color w:val="auto"/>
          <w:sz w:val="24"/>
          <w:highlight w:val="none"/>
        </w:rPr>
        <w:t>7</w:t>
      </w:r>
      <w:bookmarkStart w:id="495" w:name="_Toc297216180"/>
      <w:bookmarkStart w:id="496" w:name="_Toc304295551"/>
      <w:bookmarkStart w:id="497" w:name="_Toc303539130"/>
      <w:bookmarkStart w:id="498" w:name="_Toc312678017"/>
      <w:bookmarkStart w:id="499" w:name="_Toc297123521"/>
      <w:bookmarkStart w:id="500" w:name="_Toc300934973"/>
      <w:r>
        <w:rPr>
          <w:rFonts w:hint="eastAsia" w:ascii="宋体" w:hAnsi="宋体" w:eastAsia="宋体" w:cs="宋体"/>
          <w:color w:val="auto"/>
          <w:sz w:val="24"/>
          <w:highlight w:val="none"/>
        </w:rPr>
        <w:t>.7异常恶劣的气候条件</w:t>
      </w:r>
      <w:bookmarkEnd w:id="494"/>
    </w:p>
    <w:bookmarkEnd w:id="495"/>
    <w:bookmarkEnd w:id="496"/>
    <w:bookmarkEnd w:id="497"/>
    <w:bookmarkEnd w:id="498"/>
    <w:bookmarkEnd w:id="499"/>
    <w:bookmarkEnd w:id="500"/>
    <w:p w14:paraId="02EBBB5A">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发包人和承包人同意以下情形视为异常恶劣的气候条件：</w:t>
      </w:r>
    </w:p>
    <w:p w14:paraId="4F98386E">
      <w:pPr>
        <w:pageBreakBefore w:val="0"/>
        <w:kinsoku/>
        <w:wordWrap/>
        <w:overflowPunct/>
        <w:topLinePunct w:val="0"/>
        <w:bidi w:val="0"/>
        <w:spacing w:line="440" w:lineRule="exact"/>
        <w:ind w:firstLine="240" w:firstLineChars="1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none"/>
        </w:rPr>
        <w:t>；</w:t>
      </w:r>
    </w:p>
    <w:p w14:paraId="0C900180">
      <w:pPr>
        <w:pageBreakBefore w:val="0"/>
        <w:kinsoku/>
        <w:wordWrap/>
        <w:overflowPunct/>
        <w:topLinePunct w:val="0"/>
        <w:bidi w:val="0"/>
        <w:spacing w:line="440" w:lineRule="exact"/>
        <w:ind w:firstLine="240" w:firstLineChars="1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none"/>
        </w:rPr>
        <w:t>；</w:t>
      </w:r>
    </w:p>
    <w:p w14:paraId="7CC86410">
      <w:pPr>
        <w:pageBreakBefore w:val="0"/>
        <w:kinsoku/>
        <w:wordWrap/>
        <w:overflowPunct/>
        <w:topLinePunct w:val="0"/>
        <w:bidi w:val="0"/>
        <w:spacing w:line="440" w:lineRule="exact"/>
        <w:ind w:firstLine="240" w:firstLineChars="1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3</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none"/>
        </w:rPr>
        <w:t>；</w:t>
      </w:r>
    </w:p>
    <w:p w14:paraId="7E34E97D">
      <w:pPr>
        <w:pageBreakBefore w:val="0"/>
        <w:kinsoku/>
        <w:wordWrap/>
        <w:overflowPunct/>
        <w:topLinePunct w:val="0"/>
        <w:bidi w:val="0"/>
        <w:spacing w:line="440" w:lineRule="exact"/>
        <w:ind w:firstLine="240" w:firstLineChars="100"/>
        <w:jc w:val="left"/>
        <w:textAlignment w:val="auto"/>
        <w:outlineLvl w:val="1"/>
        <w:rPr>
          <w:rFonts w:hint="eastAsia" w:ascii="宋体" w:hAnsi="宋体" w:eastAsia="宋体" w:cs="宋体"/>
          <w:color w:val="auto"/>
          <w:sz w:val="24"/>
          <w:highlight w:val="none"/>
        </w:rPr>
      </w:pPr>
      <w:bookmarkStart w:id="501" w:name="_Toc8727"/>
      <w:r>
        <w:rPr>
          <w:rFonts w:hint="eastAsia" w:ascii="宋体" w:hAnsi="宋体" w:eastAsia="宋体" w:cs="宋体"/>
          <w:color w:val="auto"/>
          <w:sz w:val="24"/>
          <w:highlight w:val="none"/>
        </w:rPr>
        <w:t>7.9提前竣工的奖励</w:t>
      </w:r>
      <w:bookmarkEnd w:id="501"/>
    </w:p>
    <w:p w14:paraId="6ECD63D1">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7.9.2提前竣工的奖励：</w:t>
      </w:r>
      <w:r>
        <w:rPr>
          <w:rFonts w:hint="eastAsia" w:ascii="宋体" w:hAnsi="宋体" w:eastAsia="宋体" w:cs="宋体"/>
          <w:color w:val="auto"/>
          <w:sz w:val="24"/>
          <w:highlight w:val="none"/>
          <w:u w:val="single"/>
        </w:rPr>
        <w:t>无</w:t>
      </w:r>
      <w:r>
        <w:rPr>
          <w:rFonts w:hint="eastAsia" w:ascii="宋体" w:hAnsi="宋体" w:eastAsia="宋体" w:cs="宋体"/>
          <w:color w:val="auto"/>
          <w:sz w:val="24"/>
          <w:highlight w:val="none"/>
        </w:rPr>
        <w:t>。</w:t>
      </w:r>
    </w:p>
    <w:p w14:paraId="4E2CF5D7">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rPr>
      </w:pPr>
      <w:bookmarkStart w:id="502" w:name="_Toc9340"/>
      <w:bookmarkStart w:id="503" w:name="_Toc18970"/>
      <w:r>
        <w:rPr>
          <w:rFonts w:hint="eastAsia" w:ascii="宋体" w:hAnsi="宋体" w:eastAsia="宋体" w:cs="宋体"/>
          <w:b w:val="0"/>
          <w:color w:val="auto"/>
          <w:highlight w:val="none"/>
        </w:rPr>
        <w:t>8.材料与设备</w:t>
      </w:r>
      <w:bookmarkEnd w:id="502"/>
      <w:bookmarkEnd w:id="503"/>
    </w:p>
    <w:bookmarkEnd w:id="422"/>
    <w:bookmarkEnd w:id="423"/>
    <w:bookmarkEnd w:id="424"/>
    <w:bookmarkEnd w:id="425"/>
    <w:bookmarkEnd w:id="426"/>
    <w:bookmarkEnd w:id="427"/>
    <w:bookmarkEnd w:id="428"/>
    <w:bookmarkEnd w:id="429"/>
    <w:bookmarkEnd w:id="430"/>
    <w:bookmarkEnd w:id="431"/>
    <w:p w14:paraId="79205EB4">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504" w:name="_Toc13419"/>
      <w:r>
        <w:rPr>
          <w:rFonts w:hint="eastAsia" w:ascii="宋体" w:hAnsi="宋体" w:eastAsia="宋体" w:cs="宋体"/>
          <w:color w:val="auto"/>
          <w:sz w:val="24"/>
          <w:highlight w:val="none"/>
        </w:rPr>
        <w:t>8</w:t>
      </w:r>
      <w:bookmarkStart w:id="505" w:name="_Toc297120467"/>
      <w:bookmarkStart w:id="506" w:name="_Toc297216186"/>
      <w:bookmarkStart w:id="507" w:name="_Toc312678019"/>
      <w:bookmarkStart w:id="508" w:name="_Toc296944506"/>
      <w:bookmarkStart w:id="509" w:name="_Toc303539136"/>
      <w:bookmarkStart w:id="510" w:name="_Toc297123527"/>
      <w:bookmarkStart w:id="511" w:name="_Toc296503167"/>
      <w:bookmarkStart w:id="512" w:name="_Toc312677493"/>
      <w:bookmarkStart w:id="513" w:name="_Toc280868654"/>
      <w:bookmarkStart w:id="514" w:name="_Toc297048353"/>
      <w:bookmarkStart w:id="515" w:name="_Toc300934979"/>
      <w:bookmarkStart w:id="516" w:name="_Toc292559372"/>
      <w:bookmarkStart w:id="517" w:name="_Toc292559877"/>
      <w:bookmarkStart w:id="518" w:name="_Toc296347166"/>
      <w:bookmarkStart w:id="519" w:name="_Toc296891207"/>
      <w:bookmarkStart w:id="520" w:name="_Toc296346668"/>
      <w:bookmarkStart w:id="521" w:name="_Toc296890995"/>
      <w:bookmarkStart w:id="522" w:name="_Toc304295556"/>
      <w:bookmarkStart w:id="523" w:name="_Toc280868655"/>
      <w:bookmarkStart w:id="524" w:name="_Toc280868656"/>
      <w:bookmarkStart w:id="525" w:name="_Toc267251424"/>
      <w:r>
        <w:rPr>
          <w:rFonts w:hint="eastAsia" w:ascii="宋体" w:hAnsi="宋体" w:eastAsia="宋体" w:cs="宋体"/>
          <w:color w:val="auto"/>
          <w:sz w:val="24"/>
          <w:highlight w:val="none"/>
        </w:rPr>
        <w:t>.4材料与工程设备的保管与使用</w:t>
      </w:r>
      <w:bookmarkEnd w:id="504"/>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168652AF">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bookmarkStart w:id="526" w:name="_Toc292559373"/>
      <w:bookmarkStart w:id="527" w:name="_Toc292559878"/>
      <w:bookmarkStart w:id="528" w:name="_Toc297123528"/>
      <w:bookmarkStart w:id="529" w:name="_Toc303539137"/>
      <w:bookmarkStart w:id="530" w:name="_Toc296891208"/>
      <w:bookmarkStart w:id="531" w:name="_Toc304295557"/>
      <w:bookmarkStart w:id="532" w:name="_Toc300934980"/>
      <w:bookmarkStart w:id="533" w:name="_Toc296944507"/>
      <w:bookmarkStart w:id="534" w:name="_Toc297216187"/>
      <w:bookmarkStart w:id="535" w:name="_Toc312677494"/>
      <w:bookmarkStart w:id="536" w:name="_Toc296346669"/>
      <w:bookmarkStart w:id="537" w:name="_Toc312678020"/>
      <w:bookmarkStart w:id="538" w:name="_Toc296890996"/>
      <w:bookmarkStart w:id="539" w:name="_Toc296503168"/>
      <w:bookmarkStart w:id="540" w:name="_Toc297048354"/>
      <w:bookmarkStart w:id="541" w:name="_Toc296347167"/>
      <w:bookmarkStart w:id="542" w:name="_Toc297120468"/>
      <w:bookmarkStart w:id="543" w:name="_Toc318581173"/>
      <w:r>
        <w:rPr>
          <w:rFonts w:hint="eastAsia" w:ascii="宋体" w:hAnsi="宋体" w:eastAsia="宋体" w:cs="宋体"/>
          <w:color w:val="auto"/>
          <w:sz w:val="24"/>
          <w:highlight w:val="none"/>
        </w:rPr>
        <w:t>.4.1发包人供应的材料设备的保管费用的承担：</w:t>
      </w:r>
      <w:r>
        <w:rPr>
          <w:rFonts w:hint="eastAsia" w:ascii="宋体" w:hAnsi="宋体" w:eastAsia="宋体" w:cs="宋体"/>
          <w:color w:val="auto"/>
          <w:sz w:val="24"/>
          <w:highlight w:val="none"/>
          <w:u w:val="single"/>
        </w:rPr>
        <w:t>发包人供应的材料设备使用前，由承包人负责检验、试验和验收，经承包人负责检验、试验和验收合格的材料设备，交由承包人保管，并承担相关费用；由承包人负责检验、试验和验收不合格的材料设备不得使用，发包人供应的材料设备检验或试验费用由发包人承担</w:t>
      </w:r>
      <w:r>
        <w:rPr>
          <w:rFonts w:hint="eastAsia" w:ascii="宋体" w:hAnsi="宋体" w:eastAsia="宋体" w:cs="宋体"/>
          <w:color w:val="auto"/>
          <w:sz w:val="24"/>
          <w:highlight w:val="none"/>
        </w:rPr>
        <w:t>。</w:t>
      </w:r>
      <w:bookmarkEnd w:id="526"/>
      <w:bookmarkEnd w:id="527"/>
    </w:p>
    <w:p w14:paraId="4D87457A">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544" w:name="_Toc13466"/>
      <w:bookmarkStart w:id="545" w:name="_Toc25947"/>
      <w:r>
        <w:rPr>
          <w:rFonts w:hint="eastAsia" w:ascii="宋体" w:hAnsi="宋体" w:eastAsia="宋体" w:cs="宋体"/>
          <w:color w:val="auto"/>
          <w:sz w:val="24"/>
          <w:highlight w:val="none"/>
        </w:rPr>
        <w:t>8.6样品</w:t>
      </w:r>
      <w:bookmarkEnd w:id="544"/>
      <w:bookmarkEnd w:id="545"/>
    </w:p>
    <w:p w14:paraId="05381963">
      <w:pPr>
        <w:pageBreakBefore w:val="0"/>
        <w:kinsoku/>
        <w:wordWrap/>
        <w:overflowPunct/>
        <w:topLinePunct w:val="0"/>
        <w:autoSpaceDE w:val="0"/>
        <w:autoSpaceDN w:val="0"/>
        <w:bidi w:val="0"/>
        <w:adjustRightInd w:val="0"/>
        <w:spacing w:line="360" w:lineRule="auto"/>
        <w:ind w:firstLine="480" w:firstLineChars="200"/>
        <w:jc w:val="left"/>
        <w:textAlignment w:val="auto"/>
        <w:outlineLvl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8.6.1</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样品的报送与封存</w:t>
      </w:r>
    </w:p>
    <w:p w14:paraId="1374004C">
      <w:pPr>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需要承包人报送样品的材料或工程设备，样品的种类、名称、规格、数量要求：</w:t>
      </w:r>
      <w:r>
        <w:rPr>
          <w:rFonts w:hint="eastAsia" w:ascii="宋体" w:hAnsi="宋体" w:eastAsia="宋体" w:cs="宋体"/>
          <w:color w:val="auto"/>
          <w:sz w:val="24"/>
          <w:highlight w:val="none"/>
          <w:u w:val="single"/>
        </w:rPr>
        <w:t>所有材料设备，在进场前7日内，都必须需要承包人报送样品，经发包人、监理人确认</w:t>
      </w:r>
      <w:r>
        <w:rPr>
          <w:rFonts w:hint="eastAsia" w:ascii="宋体" w:hAnsi="宋体" w:eastAsia="宋体" w:cs="宋体"/>
          <w:color w:val="auto"/>
          <w:sz w:val="24"/>
          <w:highlight w:val="none"/>
          <w:u w:val="single"/>
          <w:lang w:val="en-US" w:eastAsia="zh-CN"/>
        </w:rPr>
        <w:t>验收</w:t>
      </w:r>
      <w:r>
        <w:rPr>
          <w:rFonts w:hint="eastAsia" w:ascii="宋体" w:hAnsi="宋体" w:eastAsia="宋体" w:cs="宋体"/>
          <w:color w:val="auto"/>
          <w:sz w:val="24"/>
          <w:highlight w:val="none"/>
          <w:u w:val="single"/>
        </w:rPr>
        <w:t>后，方可使用</w:t>
      </w:r>
      <w:r>
        <w:rPr>
          <w:rFonts w:hint="eastAsia" w:ascii="宋体" w:hAnsi="宋体" w:eastAsia="宋体" w:cs="宋体"/>
          <w:color w:val="auto"/>
          <w:sz w:val="24"/>
          <w:highlight w:val="none"/>
        </w:rPr>
        <w:t>。</w:t>
      </w:r>
    </w:p>
    <w:p w14:paraId="66946AC3">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546" w:name="_Toc32269"/>
      <w:bookmarkStart w:id="547" w:name="_Toc30542"/>
      <w:r>
        <w:rPr>
          <w:rFonts w:hint="eastAsia" w:ascii="宋体" w:hAnsi="宋体" w:eastAsia="宋体" w:cs="宋体"/>
          <w:color w:val="auto"/>
          <w:sz w:val="24"/>
          <w:highlight w:val="none"/>
        </w:rPr>
        <w:t>8.8施工设备和临时设施</w:t>
      </w:r>
      <w:bookmarkEnd w:id="546"/>
      <w:bookmarkEnd w:id="547"/>
    </w:p>
    <w:p w14:paraId="0B67E495">
      <w:pPr>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8.8.1承包人提供的施工设备和临时设施</w:t>
      </w:r>
    </w:p>
    <w:p w14:paraId="01ABE308">
      <w:pPr>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关于修建临时设施费用承担的约定：</w:t>
      </w:r>
      <w:r>
        <w:rPr>
          <w:rFonts w:hint="eastAsia" w:ascii="宋体" w:hAnsi="宋体" w:eastAsia="宋体" w:cs="宋体"/>
          <w:color w:val="auto"/>
          <w:sz w:val="24"/>
          <w:highlight w:val="none"/>
          <w:u w:val="single"/>
        </w:rPr>
        <w:t>由承包人承担</w:t>
      </w:r>
      <w:r>
        <w:rPr>
          <w:rFonts w:hint="eastAsia" w:ascii="宋体" w:hAnsi="宋体" w:eastAsia="宋体" w:cs="宋体"/>
          <w:color w:val="auto"/>
          <w:sz w:val="24"/>
          <w:highlight w:val="none"/>
        </w:rPr>
        <w:t>。</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611A876F">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rPr>
      </w:pPr>
      <w:bookmarkStart w:id="548" w:name="_Toc20283"/>
      <w:bookmarkStart w:id="549" w:name="_Toc32742"/>
      <w:r>
        <w:rPr>
          <w:rFonts w:hint="eastAsia" w:ascii="宋体" w:hAnsi="宋体" w:eastAsia="宋体" w:cs="宋体"/>
          <w:b w:val="0"/>
          <w:color w:val="auto"/>
          <w:highlight w:val="none"/>
        </w:rPr>
        <w:t>9</w:t>
      </w:r>
      <w:bookmarkEnd w:id="523"/>
      <w:bookmarkEnd w:id="524"/>
      <w:bookmarkEnd w:id="525"/>
      <w:bookmarkStart w:id="550" w:name="_Toc304295559"/>
      <w:bookmarkStart w:id="551" w:name="_Toc300934982"/>
      <w:bookmarkStart w:id="552" w:name="_Toc312677495"/>
      <w:bookmarkStart w:id="553" w:name="_Toc312678021"/>
      <w:bookmarkStart w:id="554" w:name="_Toc297216192"/>
      <w:bookmarkStart w:id="555" w:name="_Toc303539139"/>
      <w:bookmarkStart w:id="556" w:name="_Toc297123533"/>
      <w:bookmarkStart w:id="557" w:name="_Toc292559883"/>
      <w:bookmarkStart w:id="558" w:name="_Toc296347172"/>
      <w:bookmarkStart w:id="559" w:name="_Toc296346674"/>
      <w:bookmarkStart w:id="560" w:name="_Toc292559378"/>
      <w:bookmarkStart w:id="561" w:name="_Toc296503173"/>
      <w:bookmarkStart w:id="562" w:name="_Toc297048359"/>
      <w:bookmarkStart w:id="563" w:name="_Toc296944512"/>
      <w:bookmarkStart w:id="564" w:name="_Toc267251428"/>
      <w:bookmarkStart w:id="565" w:name="_Toc296891213"/>
      <w:bookmarkStart w:id="566" w:name="_Toc297120473"/>
      <w:bookmarkStart w:id="567" w:name="_Toc267251427"/>
      <w:bookmarkStart w:id="568" w:name="_Toc296891001"/>
      <w:r>
        <w:rPr>
          <w:rFonts w:hint="eastAsia" w:ascii="宋体" w:hAnsi="宋体" w:eastAsia="宋体" w:cs="宋体"/>
          <w:b w:val="0"/>
          <w:color w:val="auto"/>
          <w:highlight w:val="none"/>
        </w:rPr>
        <w:t>.试验与检验</w:t>
      </w:r>
      <w:bookmarkEnd w:id="548"/>
      <w:bookmarkEnd w:id="549"/>
    </w:p>
    <w:bookmarkEnd w:id="550"/>
    <w:bookmarkEnd w:id="551"/>
    <w:bookmarkEnd w:id="552"/>
    <w:bookmarkEnd w:id="553"/>
    <w:bookmarkEnd w:id="554"/>
    <w:bookmarkEnd w:id="555"/>
    <w:bookmarkEnd w:id="556"/>
    <w:p w14:paraId="4686A777">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569" w:name="_Toc27458"/>
      <w:r>
        <w:rPr>
          <w:rFonts w:hint="eastAsia" w:ascii="宋体" w:hAnsi="宋体" w:eastAsia="宋体" w:cs="宋体"/>
          <w:color w:val="auto"/>
          <w:sz w:val="24"/>
          <w:highlight w:val="none"/>
        </w:rPr>
        <w:t>9</w:t>
      </w:r>
      <w:bookmarkStart w:id="570" w:name="_Toc312678022"/>
      <w:bookmarkStart w:id="571" w:name="_Toc297123534"/>
      <w:bookmarkStart w:id="572" w:name="_Toc300934983"/>
      <w:bookmarkStart w:id="573" w:name="_Toc303539140"/>
      <w:bookmarkStart w:id="574" w:name="_Toc297216193"/>
      <w:bookmarkStart w:id="575" w:name="_Toc312677496"/>
      <w:bookmarkStart w:id="576" w:name="_Toc304295560"/>
      <w:r>
        <w:rPr>
          <w:rFonts w:hint="eastAsia" w:ascii="宋体" w:hAnsi="宋体" w:eastAsia="宋体" w:cs="宋体"/>
          <w:color w:val="auto"/>
          <w:sz w:val="24"/>
          <w:highlight w:val="none"/>
        </w:rPr>
        <w:t>.1试验设备与试验人员</w:t>
      </w:r>
      <w:bookmarkEnd w:id="569"/>
    </w:p>
    <w:bookmarkEnd w:id="570"/>
    <w:bookmarkEnd w:id="571"/>
    <w:bookmarkEnd w:id="572"/>
    <w:bookmarkEnd w:id="573"/>
    <w:bookmarkEnd w:id="574"/>
    <w:bookmarkEnd w:id="575"/>
    <w:bookmarkEnd w:id="576"/>
    <w:p w14:paraId="04CBBB3D">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bookmarkStart w:id="577" w:name="_Toc304295561"/>
      <w:bookmarkStart w:id="578" w:name="_Toc312677497"/>
      <w:bookmarkStart w:id="579" w:name="_Toc297123535"/>
      <w:bookmarkStart w:id="580" w:name="_Toc297216194"/>
      <w:bookmarkStart w:id="581" w:name="_Toc303539141"/>
      <w:bookmarkStart w:id="582" w:name="_Toc312678023"/>
      <w:bookmarkStart w:id="583" w:name="_Toc300934984"/>
      <w:bookmarkStart w:id="584" w:name="_Toc318581174"/>
      <w:r>
        <w:rPr>
          <w:rFonts w:hint="eastAsia" w:ascii="宋体" w:hAnsi="宋体" w:eastAsia="宋体" w:cs="宋体"/>
          <w:color w:val="auto"/>
          <w:sz w:val="24"/>
          <w:highlight w:val="none"/>
        </w:rPr>
        <w:t>.1.2试验设备</w:t>
      </w:r>
    </w:p>
    <w:p w14:paraId="767DC738">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施工现场需要配置的试验场所：</w:t>
      </w:r>
      <w:bookmarkEnd w:id="577"/>
      <w:bookmarkEnd w:id="578"/>
      <w:bookmarkEnd w:id="579"/>
      <w:bookmarkEnd w:id="580"/>
      <w:bookmarkEnd w:id="581"/>
      <w:bookmarkEnd w:id="582"/>
      <w:bookmarkEnd w:id="583"/>
      <w:bookmarkStart w:id="585" w:name="_Toc312677498"/>
      <w:bookmarkStart w:id="586" w:name="_Toc300934985"/>
      <w:bookmarkStart w:id="587" w:name="_Toc304295562"/>
      <w:bookmarkStart w:id="588" w:name="_Toc312678024"/>
      <w:bookmarkStart w:id="589" w:name="_Toc297123536"/>
      <w:bookmarkStart w:id="590" w:name="_Toc303539142"/>
      <w:bookmarkStart w:id="591" w:name="_Toc297216195"/>
      <w:r>
        <w:rPr>
          <w:rFonts w:hint="eastAsia" w:ascii="宋体" w:hAnsi="宋体" w:eastAsia="宋体" w:cs="宋体"/>
          <w:color w:val="auto"/>
          <w:sz w:val="24"/>
          <w:highlight w:val="none"/>
          <w:u w:val="single"/>
        </w:rPr>
        <w:t>按有关规定执行</w:t>
      </w:r>
      <w:r>
        <w:rPr>
          <w:rFonts w:hint="eastAsia" w:ascii="宋体" w:hAnsi="宋体" w:eastAsia="宋体" w:cs="宋体"/>
          <w:color w:val="auto"/>
          <w:sz w:val="24"/>
          <w:highlight w:val="none"/>
        </w:rPr>
        <w:t>。</w:t>
      </w:r>
    </w:p>
    <w:p w14:paraId="0DCA8525">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施工现场需要配备的试验设备：</w:t>
      </w:r>
      <w:r>
        <w:rPr>
          <w:rFonts w:hint="eastAsia" w:ascii="宋体" w:hAnsi="宋体" w:eastAsia="宋体" w:cs="宋体"/>
          <w:color w:val="auto"/>
          <w:sz w:val="24"/>
          <w:highlight w:val="none"/>
          <w:u w:val="single"/>
        </w:rPr>
        <w:t>按有关规定执行</w:t>
      </w:r>
      <w:r>
        <w:rPr>
          <w:rFonts w:hint="eastAsia" w:ascii="宋体" w:hAnsi="宋体" w:eastAsia="宋体" w:cs="宋体"/>
          <w:color w:val="auto"/>
          <w:sz w:val="24"/>
          <w:highlight w:val="none"/>
        </w:rPr>
        <w:t>。</w:t>
      </w:r>
    </w:p>
    <w:p w14:paraId="08CF4092">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施工现场需要具备的其他试验条件：</w:t>
      </w:r>
      <w:r>
        <w:rPr>
          <w:rFonts w:hint="eastAsia" w:ascii="宋体" w:hAnsi="宋体" w:eastAsia="宋体" w:cs="宋体"/>
          <w:color w:val="auto"/>
          <w:sz w:val="24"/>
          <w:highlight w:val="none"/>
          <w:u w:val="single"/>
        </w:rPr>
        <w:t>按有关规定执行</w:t>
      </w:r>
      <w:r>
        <w:rPr>
          <w:rFonts w:hint="eastAsia" w:ascii="宋体" w:hAnsi="宋体" w:eastAsia="宋体" w:cs="宋体"/>
          <w:color w:val="auto"/>
          <w:sz w:val="24"/>
          <w:highlight w:val="none"/>
        </w:rPr>
        <w:t>。</w:t>
      </w:r>
    </w:p>
    <w:p w14:paraId="0C9B36BA">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lang w:eastAsia="zh-CN"/>
        </w:rPr>
      </w:pPr>
      <w:bookmarkStart w:id="592" w:name="_Toc6247"/>
      <w:bookmarkStart w:id="593" w:name="_Toc15301"/>
      <w:r>
        <w:rPr>
          <w:rFonts w:hint="eastAsia" w:ascii="宋体" w:hAnsi="宋体" w:eastAsia="宋体" w:cs="宋体"/>
          <w:color w:val="auto"/>
          <w:sz w:val="24"/>
          <w:highlight w:val="none"/>
        </w:rPr>
        <w:t>9.4现场工艺试验</w:t>
      </w:r>
      <w:bookmarkEnd w:id="592"/>
      <w:bookmarkEnd w:id="593"/>
    </w:p>
    <w:p w14:paraId="78902E60">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现场工艺试验的有关约定：</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p>
    <w:bookmarkEnd w:id="584"/>
    <w:bookmarkEnd w:id="585"/>
    <w:bookmarkEnd w:id="586"/>
    <w:bookmarkEnd w:id="587"/>
    <w:bookmarkEnd w:id="588"/>
    <w:bookmarkEnd w:id="589"/>
    <w:bookmarkEnd w:id="590"/>
    <w:bookmarkEnd w:id="591"/>
    <w:p w14:paraId="096164BE">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rPr>
      </w:pPr>
      <w:bookmarkStart w:id="594" w:name="_Toc23526"/>
      <w:bookmarkStart w:id="595" w:name="_Toc15742"/>
      <w:r>
        <w:rPr>
          <w:rFonts w:hint="eastAsia" w:ascii="宋体" w:hAnsi="宋体" w:eastAsia="宋体" w:cs="宋体"/>
          <w:b w:val="0"/>
          <w:color w:val="auto"/>
          <w:highlight w:val="none"/>
        </w:rPr>
        <w:t>1</w:t>
      </w:r>
      <w:bookmarkEnd w:id="557"/>
      <w:bookmarkEnd w:id="558"/>
      <w:bookmarkEnd w:id="559"/>
      <w:bookmarkEnd w:id="560"/>
      <w:bookmarkEnd w:id="561"/>
      <w:bookmarkEnd w:id="562"/>
      <w:bookmarkEnd w:id="563"/>
      <w:bookmarkEnd w:id="564"/>
      <w:bookmarkEnd w:id="565"/>
      <w:bookmarkEnd w:id="566"/>
      <w:bookmarkEnd w:id="567"/>
      <w:bookmarkEnd w:id="568"/>
      <w:bookmarkStart w:id="596" w:name="_Toc296891233"/>
      <w:bookmarkStart w:id="597" w:name="_Toc296891021"/>
      <w:bookmarkStart w:id="598" w:name="_Toc296944532"/>
      <w:bookmarkStart w:id="599" w:name="_Toc304295566"/>
      <w:bookmarkStart w:id="600" w:name="_Toc296346694"/>
      <w:bookmarkStart w:id="601" w:name="_Toc303539146"/>
      <w:bookmarkStart w:id="602" w:name="_Toc297123540"/>
      <w:bookmarkStart w:id="603" w:name="_Toc297216199"/>
      <w:bookmarkStart w:id="604" w:name="_Toc296347192"/>
      <w:bookmarkStart w:id="605" w:name="_Toc292559398"/>
      <w:bookmarkStart w:id="606" w:name="_Toc297048379"/>
      <w:bookmarkStart w:id="607" w:name="_Toc292559903"/>
      <w:bookmarkStart w:id="608" w:name="_Toc296503193"/>
      <w:bookmarkStart w:id="609" w:name="_Toc300934989"/>
      <w:bookmarkStart w:id="610" w:name="_Toc297120493"/>
      <w:bookmarkStart w:id="611" w:name="_Toc312678025"/>
      <w:bookmarkStart w:id="612" w:name="_Toc312677499"/>
      <w:bookmarkStart w:id="613" w:name="_Toc267251435"/>
      <w:bookmarkStart w:id="614" w:name="_Toc267251437"/>
      <w:bookmarkStart w:id="615" w:name="_Toc267251433"/>
      <w:bookmarkStart w:id="616" w:name="_Toc267251441"/>
      <w:bookmarkStart w:id="617" w:name="_Toc267251440"/>
      <w:bookmarkStart w:id="618" w:name="_Toc267251439"/>
      <w:bookmarkStart w:id="619" w:name="_Toc267251442"/>
      <w:r>
        <w:rPr>
          <w:rFonts w:hint="eastAsia" w:ascii="宋体" w:hAnsi="宋体" w:eastAsia="宋体" w:cs="宋体"/>
          <w:b w:val="0"/>
          <w:color w:val="auto"/>
          <w:highlight w:val="none"/>
        </w:rPr>
        <w:t>0.变更</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bookmarkEnd w:id="611"/>
    <w:bookmarkEnd w:id="612"/>
    <w:p w14:paraId="218B6AD1">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bookmarkStart w:id="620" w:name="_Toc297048380"/>
      <w:bookmarkStart w:id="621" w:name="_Toc300934990"/>
      <w:bookmarkStart w:id="622" w:name="_Toc296503194"/>
      <w:bookmarkStart w:id="623" w:name="_Toc297216200"/>
      <w:bookmarkStart w:id="624" w:name="_Toc312677500"/>
      <w:bookmarkStart w:id="625" w:name="_Toc296346695"/>
      <w:bookmarkStart w:id="626" w:name="_Toc297123541"/>
      <w:bookmarkStart w:id="627" w:name="_Toc303539147"/>
      <w:bookmarkStart w:id="628" w:name="_Toc312678026"/>
      <w:bookmarkStart w:id="629" w:name="_Toc297120494"/>
      <w:bookmarkStart w:id="630" w:name="_Toc296891234"/>
      <w:bookmarkStart w:id="631" w:name="_Toc296944533"/>
      <w:bookmarkStart w:id="632" w:name="_Toc292559399"/>
      <w:bookmarkStart w:id="633" w:name="_Toc304295567"/>
      <w:bookmarkStart w:id="634" w:name="_Toc292559904"/>
      <w:bookmarkStart w:id="635" w:name="_Toc296891022"/>
      <w:bookmarkStart w:id="636" w:name="_Toc296347193"/>
      <w:r>
        <w:rPr>
          <w:rFonts w:hint="eastAsia" w:ascii="宋体" w:hAnsi="宋体" w:eastAsia="宋体" w:cs="宋体"/>
          <w:color w:val="auto"/>
          <w:sz w:val="24"/>
          <w:highlight w:val="none"/>
        </w:rPr>
        <w:t>0.1变更的范围</w:t>
      </w:r>
    </w:p>
    <w:p w14:paraId="138394FA">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rPr>
      </w:pPr>
      <w:bookmarkStart w:id="637" w:name="_Toc16955"/>
      <w:r>
        <w:rPr>
          <w:rFonts w:hint="eastAsia" w:ascii="宋体" w:hAnsi="宋体" w:eastAsia="宋体" w:cs="宋体"/>
          <w:color w:val="auto"/>
          <w:sz w:val="24"/>
          <w:highlight w:val="none"/>
        </w:rPr>
        <w:t>10.4变更估价</w:t>
      </w:r>
      <w:bookmarkEnd w:id="637"/>
    </w:p>
    <w:p w14:paraId="3C274410">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10.4.1变更估价原则</w:t>
      </w:r>
    </w:p>
    <w:p w14:paraId="6357748B">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关于变更估价的约定:</w:t>
      </w:r>
      <w:r>
        <w:rPr>
          <w:rFonts w:hint="eastAsia" w:ascii="宋体" w:hAnsi="宋体" w:eastAsia="宋体" w:cs="宋体"/>
          <w:color w:val="auto"/>
          <w:sz w:val="24"/>
          <w:highlight w:val="none"/>
          <w:u w:val="single"/>
        </w:rPr>
        <w:t>①合同中有相同或类似工程项目单价的，可以参照合同中相同或类似项目的综合单价计算确定。</w:t>
      </w:r>
    </w:p>
    <w:p w14:paraId="7B7CB0BF">
      <w:pPr>
        <w:widowControl/>
        <w:pBdr>
          <w:left w:val="dashed" w:color="BBBBBB" w:sz="8" w:space="20"/>
        </w:pBdr>
        <w:shd w:val="clear" w:color="auto" w:fill="FFFFFF"/>
        <w:spacing w:line="440" w:lineRule="exact"/>
        <w:ind w:firstLine="480" w:firstLineChars="200"/>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②合同中没有类似工程项目综合单价的，由承包人根据合同中约定的组价原则或参考“计价依据”提出适当的单价，经发包人或其委托的工程造价咨询单位审定后，作为结算的依据。</w:t>
      </w:r>
    </w:p>
    <w:p w14:paraId="4476B308">
      <w:pPr>
        <w:widowControl/>
        <w:pBdr>
          <w:left w:val="dashed" w:color="BBBBBB" w:sz="8" w:space="20"/>
        </w:pBdr>
        <w:shd w:val="clear" w:color="auto" w:fill="FFFFFF"/>
        <w:spacing w:line="44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③由于清单项目中项目特征或工程内容发生部分变更的，应以原综合单价为基础，仅就变更部分相应定额子目调整综合单价。</w:t>
      </w:r>
    </w:p>
    <w:p w14:paraId="2512EFB2">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Start w:id="638" w:name="_Toc300934993"/>
      <w:bookmarkStart w:id="639" w:name="_Toc292559907"/>
      <w:bookmarkStart w:id="640" w:name="_Toc297123544"/>
      <w:bookmarkStart w:id="641" w:name="_Toc296891237"/>
      <w:bookmarkStart w:id="642" w:name="_Toc296346698"/>
      <w:bookmarkStart w:id="643" w:name="_Toc296944536"/>
      <w:bookmarkStart w:id="644" w:name="_Toc296891025"/>
      <w:bookmarkStart w:id="645" w:name="_Toc292559402"/>
      <w:bookmarkStart w:id="646" w:name="_Toc303539150"/>
      <w:bookmarkStart w:id="647" w:name="_Toc296347196"/>
      <w:bookmarkStart w:id="648" w:name="_Toc297216203"/>
      <w:bookmarkStart w:id="649" w:name="_Toc296503197"/>
      <w:bookmarkStart w:id="650" w:name="_Toc297048383"/>
      <w:bookmarkStart w:id="651" w:name="_Toc297120497"/>
      <w:bookmarkStart w:id="652" w:name="_Toc304295570"/>
      <w:bookmarkStart w:id="653" w:name="_Toc312677503"/>
      <w:bookmarkStart w:id="654" w:name="_Toc312678029"/>
      <w:r>
        <w:rPr>
          <w:rFonts w:hint="eastAsia" w:ascii="宋体" w:hAnsi="宋体" w:eastAsia="宋体" w:cs="宋体"/>
          <w:color w:val="auto"/>
          <w:sz w:val="24"/>
          <w:highlight w:val="none"/>
        </w:rPr>
        <w:t>0.5承</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Start w:id="655" w:name="_Toc292559408"/>
      <w:bookmarkStart w:id="656" w:name="_Toc297048389"/>
      <w:bookmarkStart w:id="657" w:name="_Toc303539151"/>
      <w:bookmarkStart w:id="658" w:name="_Toc297120503"/>
      <w:bookmarkStart w:id="659" w:name="_Toc296347202"/>
      <w:bookmarkStart w:id="660" w:name="_Toc296346704"/>
      <w:bookmarkStart w:id="661" w:name="_Toc296503203"/>
      <w:bookmarkStart w:id="662" w:name="_Toc300934994"/>
      <w:bookmarkStart w:id="663" w:name="_Toc292559913"/>
      <w:bookmarkStart w:id="664" w:name="_Toc296944542"/>
      <w:bookmarkStart w:id="665" w:name="_Toc296891243"/>
      <w:bookmarkStart w:id="666" w:name="_Toc297123545"/>
      <w:bookmarkStart w:id="667" w:name="_Toc297216204"/>
      <w:bookmarkStart w:id="668" w:name="_Toc296891031"/>
      <w:r>
        <w:rPr>
          <w:rFonts w:hint="eastAsia" w:ascii="宋体" w:hAnsi="宋体" w:eastAsia="宋体" w:cs="宋体"/>
          <w:color w:val="auto"/>
          <w:sz w:val="24"/>
          <w:highlight w:val="none"/>
        </w:rPr>
        <w:t>包人的合理化建议</w:t>
      </w:r>
    </w:p>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14:paraId="7195CAE0">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监理人审查承包人合理化建议的期限：</w:t>
      </w:r>
      <w:r>
        <w:rPr>
          <w:rFonts w:hint="eastAsia" w:ascii="宋体" w:hAnsi="宋体" w:eastAsia="宋体" w:cs="宋体"/>
          <w:color w:val="auto"/>
          <w:sz w:val="24"/>
          <w:highlight w:val="none"/>
          <w:u w:val="single"/>
        </w:rPr>
        <w:t>合理化建议提出后3日内</w:t>
      </w:r>
      <w:r>
        <w:rPr>
          <w:rFonts w:hint="eastAsia" w:ascii="宋体" w:hAnsi="宋体" w:eastAsia="宋体" w:cs="宋体"/>
          <w:color w:val="auto"/>
          <w:sz w:val="24"/>
          <w:highlight w:val="none"/>
        </w:rPr>
        <w:t>。</w:t>
      </w:r>
    </w:p>
    <w:p w14:paraId="4144443E">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发包人审批承包人合理化建议的期限：</w:t>
      </w:r>
      <w:r>
        <w:rPr>
          <w:rFonts w:hint="eastAsia" w:ascii="宋体" w:hAnsi="宋体" w:eastAsia="宋体" w:cs="宋体"/>
          <w:color w:val="auto"/>
          <w:sz w:val="24"/>
          <w:highlight w:val="none"/>
          <w:u w:val="single"/>
        </w:rPr>
        <w:t>合理化建议提出后3日内</w:t>
      </w:r>
      <w:r>
        <w:rPr>
          <w:rFonts w:hint="eastAsia" w:ascii="宋体" w:hAnsi="宋体" w:eastAsia="宋体" w:cs="宋体"/>
          <w:color w:val="auto"/>
          <w:sz w:val="24"/>
          <w:highlight w:val="none"/>
        </w:rPr>
        <w:t>。</w:t>
      </w:r>
    </w:p>
    <w:p w14:paraId="6E2A3598">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w:t>
      </w:r>
      <w:bookmarkStart w:id="669" w:name="_Toc312678030"/>
      <w:bookmarkStart w:id="670" w:name="_Toc304295571"/>
      <w:bookmarkStart w:id="671" w:name="_Toc296346705"/>
      <w:bookmarkStart w:id="672" w:name="_Toc292559409"/>
      <w:bookmarkStart w:id="673" w:name="_Toc303539152"/>
      <w:bookmarkStart w:id="674" w:name="_Toc318581175"/>
      <w:bookmarkStart w:id="675" w:name="_Toc292559914"/>
      <w:bookmarkStart w:id="676" w:name="_Toc300934995"/>
      <w:bookmarkStart w:id="677" w:name="_Toc297216205"/>
      <w:bookmarkStart w:id="678" w:name="_Toc312677504"/>
      <w:bookmarkStart w:id="679" w:name="_Toc296944543"/>
      <w:bookmarkStart w:id="680" w:name="_Toc296891032"/>
      <w:bookmarkStart w:id="681" w:name="_Toc296503204"/>
      <w:bookmarkStart w:id="682" w:name="_Toc296347203"/>
      <w:bookmarkStart w:id="683" w:name="_Toc296891244"/>
      <w:bookmarkStart w:id="684" w:name="_Toc297048390"/>
      <w:bookmarkStart w:id="685" w:name="_Toc297123546"/>
      <w:bookmarkStart w:id="686" w:name="_Toc297120504"/>
      <w:r>
        <w:rPr>
          <w:rFonts w:hint="eastAsia" w:ascii="宋体" w:hAnsi="宋体" w:eastAsia="宋体" w:cs="宋体"/>
          <w:color w:val="auto"/>
          <w:sz w:val="24"/>
          <w:highlight w:val="none"/>
        </w:rPr>
        <w:t>包人提出的合理化建议降低了合同价格或者提高了工程经济效益的奖励的方法和金额为：</w:t>
      </w:r>
      <w:r>
        <w:rPr>
          <w:rFonts w:hint="eastAsia" w:ascii="宋体" w:hAnsi="宋体" w:eastAsia="宋体" w:cs="宋体"/>
          <w:color w:val="auto"/>
          <w:sz w:val="24"/>
          <w:highlight w:val="none"/>
          <w:u w:val="single"/>
        </w:rPr>
        <w:t>协商解决</w:t>
      </w:r>
      <w:r>
        <w:rPr>
          <w:rFonts w:hint="eastAsia" w:ascii="宋体" w:hAnsi="宋体" w:eastAsia="宋体" w:cs="宋体"/>
          <w:color w:val="auto"/>
          <w:sz w:val="24"/>
          <w:highlight w:val="none"/>
        </w:rPr>
        <w:t>。</w:t>
      </w:r>
    </w:p>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14:paraId="496EB61C">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rPr>
      </w:pPr>
      <w:bookmarkStart w:id="687" w:name="_Toc4929"/>
      <w:r>
        <w:rPr>
          <w:rFonts w:hint="eastAsia" w:ascii="宋体" w:hAnsi="宋体" w:eastAsia="宋体" w:cs="宋体"/>
          <w:color w:val="auto"/>
          <w:sz w:val="24"/>
          <w:highlight w:val="none"/>
        </w:rPr>
        <w:t>1</w:t>
      </w:r>
      <w:bookmarkStart w:id="688" w:name="_Toc297048385"/>
      <w:bookmarkStart w:id="689" w:name="_Toc296346700"/>
      <w:bookmarkStart w:id="690" w:name="_Toc296891239"/>
      <w:bookmarkStart w:id="691" w:name="_Toc297120499"/>
      <w:bookmarkStart w:id="692" w:name="_Toc296891027"/>
      <w:bookmarkStart w:id="693" w:name="_Toc300934997"/>
      <w:bookmarkStart w:id="694" w:name="_Toc303539154"/>
      <w:bookmarkStart w:id="695" w:name="_Toc296944538"/>
      <w:bookmarkStart w:id="696" w:name="_Toc297216207"/>
      <w:bookmarkStart w:id="697" w:name="_Toc292559909"/>
      <w:bookmarkStart w:id="698" w:name="_Toc312678033"/>
      <w:bookmarkStart w:id="699" w:name="_Toc296503199"/>
      <w:bookmarkStart w:id="700" w:name="_Toc304295574"/>
      <w:bookmarkStart w:id="701" w:name="_Toc297123548"/>
      <w:bookmarkStart w:id="702" w:name="_Toc296347198"/>
      <w:bookmarkStart w:id="703" w:name="_Toc292559404"/>
      <w:bookmarkStart w:id="704" w:name="_Toc312677507"/>
      <w:r>
        <w:rPr>
          <w:rFonts w:hint="eastAsia" w:ascii="宋体" w:hAnsi="宋体" w:eastAsia="宋体" w:cs="宋体"/>
          <w:color w:val="auto"/>
          <w:sz w:val="24"/>
          <w:highlight w:val="none"/>
        </w:rPr>
        <w:t>0.7暂估价</w:t>
      </w:r>
      <w:bookmarkEnd w:id="687"/>
    </w:p>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14:paraId="05D1E5C5">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暂</w:t>
      </w:r>
      <w:bookmarkStart w:id="705" w:name="_Toc312677508"/>
      <w:bookmarkStart w:id="706" w:name="_Toc318581176"/>
      <w:bookmarkStart w:id="707" w:name="_Toc312678034"/>
      <w:r>
        <w:rPr>
          <w:rFonts w:hint="eastAsia" w:ascii="宋体" w:hAnsi="宋体" w:eastAsia="宋体" w:cs="宋体"/>
          <w:color w:val="auto"/>
          <w:kern w:val="0"/>
          <w:sz w:val="24"/>
          <w:highlight w:val="none"/>
        </w:rPr>
        <w:t>估价材料和工程设备的明细详见附件11：《</w:t>
      </w:r>
      <w:r>
        <w:rPr>
          <w:rFonts w:hint="eastAsia" w:ascii="宋体" w:hAnsi="宋体" w:eastAsia="宋体" w:cs="宋体"/>
          <w:color w:val="auto"/>
          <w:sz w:val="24"/>
          <w:highlight w:val="none"/>
        </w:rPr>
        <w:t>暂估价一览表》</w:t>
      </w:r>
      <w:r>
        <w:rPr>
          <w:rFonts w:hint="eastAsia" w:ascii="宋体" w:hAnsi="宋体" w:eastAsia="宋体" w:cs="宋体"/>
          <w:color w:val="auto"/>
          <w:kern w:val="0"/>
          <w:sz w:val="24"/>
          <w:highlight w:val="none"/>
        </w:rPr>
        <w:t>。</w:t>
      </w:r>
    </w:p>
    <w:bookmarkEnd w:id="705"/>
    <w:bookmarkEnd w:id="706"/>
    <w:bookmarkEnd w:id="707"/>
    <w:p w14:paraId="7900EF02">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bookmarkStart w:id="708" w:name="_Toc312678035"/>
      <w:bookmarkStart w:id="709" w:name="_Toc318581177"/>
      <w:bookmarkStart w:id="710" w:name="_Toc312677509"/>
      <w:r>
        <w:rPr>
          <w:rFonts w:hint="eastAsia" w:ascii="宋体" w:hAnsi="宋体" w:eastAsia="宋体" w:cs="宋体"/>
          <w:color w:val="auto"/>
          <w:sz w:val="24"/>
          <w:highlight w:val="none"/>
        </w:rPr>
        <w:t>0.7.1依法必须招标的暂估价项目</w:t>
      </w:r>
    </w:p>
    <w:bookmarkEnd w:id="708"/>
    <w:bookmarkEnd w:id="709"/>
    <w:bookmarkEnd w:id="710"/>
    <w:p w14:paraId="3CA98D3A">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对于依法必须招标的暂估价项目的确认和批准采取第</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种方式确定。</w:t>
      </w:r>
    </w:p>
    <w:p w14:paraId="4B624117">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10.7.2不属于依法必须招标的暂估价项目</w:t>
      </w:r>
    </w:p>
    <w:p w14:paraId="6CF713DA">
      <w:pPr>
        <w:pageBreakBefore w:val="0"/>
        <w:kinsoku/>
        <w:wordWrap/>
        <w:overflowPunct/>
        <w:topLinePunct w:val="0"/>
        <w:bidi w:val="0"/>
        <w:spacing w:line="440" w:lineRule="exact"/>
        <w:ind w:left="478" w:leftChars="228" w:firstLine="0" w:firstLineChars="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4"/>
          <w:highlight w:val="none"/>
        </w:rPr>
        <w:t>对于不属于依法必须招标的暂估价项目的确认和批准采取第</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种方式确定。第</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种方式：承包人直接实施的暂估价项目</w:t>
      </w:r>
    </w:p>
    <w:p w14:paraId="38256D20">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承包人直接实施的暂估价项目的约定：</w:t>
      </w:r>
      <w:r>
        <w:rPr>
          <w:rFonts w:hint="eastAsia" w:ascii="宋体" w:hAnsi="宋体" w:eastAsia="宋体" w:cs="宋体"/>
          <w:color w:val="auto"/>
          <w:sz w:val="24"/>
          <w:highlight w:val="none"/>
          <w:u w:val="single"/>
          <w:lang w:val="en-US" w:eastAsia="zh-CN"/>
        </w:rPr>
        <w:t>执行通用条款</w:t>
      </w:r>
      <w:r>
        <w:rPr>
          <w:rFonts w:hint="eastAsia" w:ascii="宋体" w:hAnsi="宋体" w:eastAsia="宋体" w:cs="宋体"/>
          <w:color w:val="auto"/>
          <w:sz w:val="24"/>
          <w:highlight w:val="none"/>
          <w:u w:val="none"/>
          <w:lang w:val="en-US" w:eastAsia="zh-CN"/>
        </w:rPr>
        <w:t>。</w:t>
      </w:r>
    </w:p>
    <w:p w14:paraId="2F60045E">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10.8暂列金额</w:t>
      </w:r>
    </w:p>
    <w:p w14:paraId="74DF5074">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合同当事人关于暂列金额使用的约定：</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sz w:val="24"/>
          <w:highlight w:val="none"/>
          <w:u w:val="single"/>
        </w:rPr>
        <w:t>。</w:t>
      </w:r>
    </w:p>
    <w:p w14:paraId="59810B67">
      <w:pPr>
        <w:pStyle w:val="7"/>
        <w:pageBreakBefore w:val="0"/>
        <w:numPr>
          <w:ilvl w:val="0"/>
          <w:numId w:val="2"/>
        </w:numPr>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lang w:eastAsia="zh-CN"/>
        </w:rPr>
      </w:pPr>
      <w:bookmarkStart w:id="711" w:name="_Toc6679"/>
      <w:bookmarkStart w:id="712" w:name="_Toc19338"/>
      <w:r>
        <w:rPr>
          <w:rFonts w:hint="eastAsia" w:ascii="宋体" w:hAnsi="宋体" w:eastAsia="宋体" w:cs="宋体"/>
          <w:b w:val="0"/>
          <w:color w:val="auto"/>
          <w:highlight w:val="none"/>
          <w:lang w:eastAsia="zh-CN"/>
        </w:rPr>
        <w:t>价格调整</w:t>
      </w:r>
      <w:bookmarkEnd w:id="711"/>
      <w:bookmarkEnd w:id="712"/>
    </w:p>
    <w:p w14:paraId="4736B9ED">
      <w:pPr>
        <w:pageBreakBefore w:val="0"/>
        <w:kinsoku/>
        <w:wordWrap/>
        <w:overflowPunct/>
        <w:topLinePunct w:val="0"/>
        <w:autoSpaceDE w:val="0"/>
        <w:autoSpaceDN w:val="0"/>
        <w:bidi w:val="0"/>
        <w:adjustRightInd w:val="0"/>
        <w:spacing w:line="440" w:lineRule="exact"/>
        <w:ind w:firstLine="480" w:firstLineChars="200"/>
        <w:jc w:val="left"/>
        <w:textAlignment w:val="auto"/>
        <w:outlineLvl w:val="1"/>
        <w:rPr>
          <w:rFonts w:hint="eastAsia" w:ascii="宋体" w:hAnsi="宋体" w:eastAsia="宋体" w:cs="宋体"/>
          <w:color w:val="auto"/>
          <w:kern w:val="0"/>
          <w:sz w:val="24"/>
          <w:highlight w:val="none"/>
        </w:rPr>
      </w:pPr>
      <w:bookmarkStart w:id="713" w:name="_Toc27741"/>
      <w:r>
        <w:rPr>
          <w:rFonts w:hint="eastAsia" w:ascii="宋体" w:hAnsi="宋体" w:eastAsia="宋体" w:cs="宋体"/>
          <w:color w:val="auto"/>
          <w:kern w:val="0"/>
          <w:sz w:val="24"/>
          <w:highlight w:val="none"/>
        </w:rPr>
        <w:t>11.1市场价格波动引起的调整</w:t>
      </w:r>
      <w:bookmarkEnd w:id="713"/>
    </w:p>
    <w:p w14:paraId="445CF326">
      <w:pPr>
        <w:pageBreakBefore w:val="0"/>
        <w:kinsoku/>
        <w:wordWrap/>
        <w:overflowPunct/>
        <w:topLinePunct w:val="0"/>
        <w:autoSpaceDE w:val="0"/>
        <w:autoSpaceDN w:val="0"/>
        <w:bidi w:val="0"/>
        <w:adjustRightInd w:val="0"/>
        <w:spacing w:line="440" w:lineRule="exact"/>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市场价格波动是否调整合同价格的约定：</w:t>
      </w:r>
      <w:r>
        <w:rPr>
          <w:rFonts w:hint="eastAsia" w:ascii="宋体" w:hAnsi="宋体" w:cs="宋体"/>
          <w:color w:val="auto"/>
          <w:kern w:val="0"/>
          <w:sz w:val="24"/>
          <w:highlight w:val="none"/>
          <w:u w:val="single"/>
          <w:lang w:eastAsia="zh-CN"/>
        </w:rPr>
        <w:t>不进行</w:t>
      </w:r>
      <w:r>
        <w:rPr>
          <w:rFonts w:hint="eastAsia" w:ascii="宋体" w:hAnsi="宋体" w:eastAsia="宋体" w:cs="宋体"/>
          <w:color w:val="auto"/>
          <w:kern w:val="0"/>
          <w:sz w:val="24"/>
          <w:highlight w:val="none"/>
          <w:u w:val="single"/>
        </w:rPr>
        <w:t>调整</w:t>
      </w:r>
      <w:r>
        <w:rPr>
          <w:rFonts w:hint="eastAsia" w:ascii="宋体" w:hAnsi="宋体" w:eastAsia="宋体" w:cs="宋体"/>
          <w:color w:val="auto"/>
          <w:kern w:val="0"/>
          <w:sz w:val="24"/>
          <w:highlight w:val="none"/>
          <w:u w:val="single"/>
        </w:rPr>
        <w:t>。</w:t>
      </w:r>
    </w:p>
    <w:p w14:paraId="49B933C6">
      <w:pPr>
        <w:pageBreakBefore w:val="0"/>
        <w:kinsoku/>
        <w:wordWrap/>
        <w:overflowPunct/>
        <w:topLinePunct w:val="0"/>
        <w:autoSpaceDE w:val="0"/>
        <w:autoSpaceDN w:val="0"/>
        <w:bidi w:val="0"/>
        <w:adjustRightInd w:val="0"/>
        <w:spacing w:line="440" w:lineRule="exact"/>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因市场价格波动调整合同价格，采用以下第</w:t>
      </w:r>
      <w:r>
        <w:rPr>
          <w:rFonts w:hint="eastAsia" w:ascii="宋体" w:hAnsi="宋体" w:eastAsia="宋体" w:cs="宋体"/>
          <w:color w:val="auto"/>
          <w:kern w:val="0"/>
          <w:sz w:val="24"/>
          <w:highlight w:val="none"/>
          <w:u w:val="single"/>
        </w:rPr>
        <w:t>（2）</w:t>
      </w:r>
      <w:r>
        <w:rPr>
          <w:rFonts w:hint="eastAsia" w:ascii="宋体" w:hAnsi="宋体" w:eastAsia="宋体" w:cs="宋体"/>
          <w:color w:val="auto"/>
          <w:kern w:val="0"/>
          <w:sz w:val="24"/>
          <w:highlight w:val="none"/>
        </w:rPr>
        <w:t>种方式对合同价格进行调整：</w:t>
      </w:r>
    </w:p>
    <w:p w14:paraId="51230474">
      <w:pPr>
        <w:pageBreakBefore w:val="0"/>
        <w:kinsoku/>
        <w:wordWrap/>
        <w:overflowPunct/>
        <w:topLinePunct w:val="0"/>
        <w:autoSpaceDE w:val="0"/>
        <w:autoSpaceDN w:val="0"/>
        <w:bidi w:val="0"/>
        <w:adjustRightInd w:val="0"/>
        <w:spacing w:line="440" w:lineRule="exact"/>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第1种方式：采用价格指数进行价格调整。</w:t>
      </w:r>
    </w:p>
    <w:p w14:paraId="38496446">
      <w:pPr>
        <w:pageBreakBefore w:val="0"/>
        <w:kinsoku/>
        <w:wordWrap/>
        <w:overflowPunct/>
        <w:topLinePunct w:val="0"/>
        <w:autoSpaceDE w:val="0"/>
        <w:autoSpaceDN w:val="0"/>
        <w:bidi w:val="0"/>
        <w:adjustRightInd w:val="0"/>
        <w:spacing w:line="440" w:lineRule="exact"/>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关于各可调因子、定值和变值权重，以及基本价格指数及其来源的约定：</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rPr>
        <w:t>；</w:t>
      </w:r>
    </w:p>
    <w:p w14:paraId="256EE415">
      <w:pPr>
        <w:pageBreakBefore w:val="0"/>
        <w:kinsoku/>
        <w:wordWrap/>
        <w:overflowPunct/>
        <w:topLinePunct w:val="0"/>
        <w:autoSpaceDE w:val="0"/>
        <w:autoSpaceDN w:val="0"/>
        <w:bidi w:val="0"/>
        <w:adjustRightInd w:val="0"/>
        <w:spacing w:line="440" w:lineRule="exact"/>
        <w:ind w:firstLine="480" w:firstLineChars="200"/>
        <w:jc w:val="left"/>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第2种方式：</w:t>
      </w:r>
      <w:r>
        <w:rPr>
          <w:rFonts w:hint="eastAsia" w:ascii="宋体" w:hAnsi="宋体" w:eastAsia="宋体" w:cs="宋体"/>
          <w:color w:val="auto"/>
          <w:kern w:val="0"/>
          <w:sz w:val="24"/>
          <w:highlight w:val="none"/>
          <w:u w:val="single"/>
        </w:rPr>
        <w:t>本工程为全费用综合单价,不再另行计取费。</w:t>
      </w:r>
    </w:p>
    <w:p w14:paraId="72CFD818">
      <w:pPr>
        <w:pageBreakBefore w:val="0"/>
        <w:kinsoku/>
        <w:wordWrap/>
        <w:overflowPunct/>
        <w:topLinePunct w:val="0"/>
        <w:autoSpaceDE w:val="0"/>
        <w:autoSpaceDN w:val="0"/>
        <w:bidi w:val="0"/>
        <w:adjustRightInd w:val="0"/>
        <w:spacing w:line="440" w:lineRule="exact"/>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第3种方式：其他价格调整方式：</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rPr>
        <w:t>。</w:t>
      </w:r>
    </w:p>
    <w:bookmarkEnd w:id="613"/>
    <w:bookmarkEnd w:id="614"/>
    <w:bookmarkEnd w:id="615"/>
    <w:bookmarkEnd w:id="616"/>
    <w:bookmarkEnd w:id="617"/>
    <w:bookmarkEnd w:id="618"/>
    <w:p w14:paraId="776F03EE">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rPr>
      </w:pPr>
      <w:bookmarkStart w:id="714" w:name="_Toc296944544"/>
      <w:bookmarkStart w:id="715" w:name="_Toc297120505"/>
      <w:bookmarkStart w:id="716" w:name="_Toc296503205"/>
      <w:bookmarkStart w:id="717" w:name="_Toc296346706"/>
      <w:bookmarkStart w:id="718" w:name="_Toc296891033"/>
      <w:bookmarkStart w:id="719" w:name="_Toc296891245"/>
      <w:bookmarkStart w:id="720" w:name="_Toc292559915"/>
      <w:bookmarkStart w:id="721" w:name="_Toc296347204"/>
      <w:bookmarkStart w:id="722" w:name="_Toc292559410"/>
      <w:bookmarkStart w:id="723" w:name="_Toc297048391"/>
      <w:bookmarkStart w:id="724" w:name="_Toc14927"/>
      <w:bookmarkStart w:id="725" w:name="_Toc6724"/>
      <w:bookmarkStart w:id="726" w:name="_Toc297123552"/>
      <w:bookmarkStart w:id="727" w:name="_Toc304295579"/>
      <w:bookmarkStart w:id="728" w:name="_Toc312678040"/>
      <w:bookmarkStart w:id="729" w:name="_Toc300935002"/>
      <w:bookmarkStart w:id="730" w:name="_Toc303539159"/>
      <w:bookmarkStart w:id="731" w:name="_Toc297216211"/>
      <w:r>
        <w:rPr>
          <w:rFonts w:hint="eastAsia" w:ascii="宋体" w:hAnsi="宋体" w:eastAsia="宋体" w:cs="宋体"/>
          <w:b w:val="0"/>
          <w:color w:val="auto"/>
          <w:highlight w:val="none"/>
        </w:rPr>
        <w:t>12.</w:t>
      </w:r>
      <w:bookmarkEnd w:id="714"/>
      <w:bookmarkEnd w:id="715"/>
      <w:bookmarkEnd w:id="716"/>
      <w:bookmarkEnd w:id="717"/>
      <w:bookmarkEnd w:id="718"/>
      <w:bookmarkEnd w:id="719"/>
      <w:bookmarkEnd w:id="720"/>
      <w:bookmarkEnd w:id="721"/>
      <w:bookmarkEnd w:id="722"/>
      <w:bookmarkEnd w:id="723"/>
      <w:r>
        <w:rPr>
          <w:rFonts w:hint="eastAsia" w:ascii="宋体" w:hAnsi="宋体" w:eastAsia="宋体" w:cs="宋体"/>
          <w:b w:val="0"/>
          <w:color w:val="auto"/>
          <w:highlight w:val="none"/>
        </w:rPr>
        <w:t>合同价格、计量与支付</w:t>
      </w:r>
      <w:bookmarkEnd w:id="724"/>
      <w:bookmarkEnd w:id="725"/>
    </w:p>
    <w:bookmarkEnd w:id="726"/>
    <w:bookmarkEnd w:id="727"/>
    <w:bookmarkEnd w:id="728"/>
    <w:bookmarkEnd w:id="729"/>
    <w:bookmarkEnd w:id="730"/>
    <w:bookmarkEnd w:id="731"/>
    <w:p w14:paraId="77A9DB7F">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732" w:name="_Toc292559916"/>
      <w:bookmarkStart w:id="733" w:name="_Toc267251461"/>
      <w:bookmarkStart w:id="734" w:name="_Toc292559411"/>
      <w:bookmarkStart w:id="735" w:name="_Toc297048392"/>
      <w:bookmarkStart w:id="736" w:name="_Toc296891034"/>
      <w:bookmarkStart w:id="737" w:name="_Toc296347205"/>
      <w:bookmarkStart w:id="738" w:name="_Toc297120506"/>
      <w:bookmarkStart w:id="739" w:name="_Toc296503206"/>
      <w:bookmarkStart w:id="740" w:name="_Toc296346707"/>
      <w:bookmarkStart w:id="741" w:name="_Toc296944545"/>
      <w:bookmarkStart w:id="742" w:name="_Toc296891246"/>
      <w:bookmarkStart w:id="743" w:name="_Toc19350"/>
      <w:bookmarkStart w:id="744" w:name="_Toc300935003"/>
      <w:bookmarkStart w:id="745" w:name="_Toc297216212"/>
      <w:bookmarkStart w:id="746" w:name="_Toc304295580"/>
      <w:bookmarkStart w:id="747" w:name="_Toc312678041"/>
      <w:bookmarkStart w:id="748" w:name="_Toc297123553"/>
      <w:bookmarkStart w:id="749" w:name="_Toc303539160"/>
      <w:r>
        <w:rPr>
          <w:rFonts w:hint="eastAsia" w:ascii="宋体" w:hAnsi="宋体" w:eastAsia="宋体" w:cs="宋体"/>
          <w:color w:val="auto"/>
          <w:sz w:val="24"/>
          <w:highlight w:val="none"/>
        </w:rPr>
        <w:t>12.1合</w:t>
      </w:r>
      <w:bookmarkEnd w:id="732"/>
      <w:bookmarkEnd w:id="733"/>
      <w:bookmarkEnd w:id="734"/>
      <w:r>
        <w:rPr>
          <w:rFonts w:hint="eastAsia" w:ascii="宋体" w:hAnsi="宋体" w:eastAsia="宋体" w:cs="宋体"/>
          <w:color w:val="auto"/>
          <w:sz w:val="24"/>
          <w:highlight w:val="none"/>
        </w:rPr>
        <w:t>同价</w:t>
      </w:r>
      <w:bookmarkEnd w:id="735"/>
      <w:bookmarkEnd w:id="736"/>
      <w:bookmarkEnd w:id="737"/>
      <w:bookmarkEnd w:id="738"/>
      <w:bookmarkEnd w:id="739"/>
      <w:bookmarkEnd w:id="740"/>
      <w:bookmarkEnd w:id="741"/>
      <w:bookmarkEnd w:id="742"/>
      <w:r>
        <w:rPr>
          <w:rFonts w:hint="eastAsia" w:ascii="宋体" w:hAnsi="宋体" w:eastAsia="宋体" w:cs="宋体"/>
          <w:color w:val="auto"/>
          <w:sz w:val="24"/>
          <w:highlight w:val="none"/>
        </w:rPr>
        <w:t>格形式</w:t>
      </w:r>
      <w:bookmarkEnd w:id="743"/>
    </w:p>
    <w:p w14:paraId="1E069615">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发包人和承包人应在合同协议书中选择下列一种合同价格形式：</w:t>
      </w:r>
      <w:r>
        <w:rPr>
          <w:rFonts w:hint="eastAsia" w:ascii="宋体" w:hAnsi="宋体" w:eastAsia="宋体" w:cs="宋体"/>
          <w:color w:val="auto"/>
          <w:sz w:val="24"/>
          <w:highlight w:val="none"/>
          <w:u w:val="single"/>
        </w:rPr>
        <w:t>单价合同</w:t>
      </w:r>
      <w:r>
        <w:rPr>
          <w:rFonts w:hint="eastAsia" w:ascii="宋体" w:hAnsi="宋体" w:eastAsia="宋体" w:cs="宋体"/>
          <w:color w:val="auto"/>
          <w:sz w:val="24"/>
          <w:highlight w:val="none"/>
          <w:u w:val="none"/>
          <w:lang w:eastAsia="zh-CN"/>
        </w:rPr>
        <w:t>。</w:t>
      </w:r>
    </w:p>
    <w:bookmarkEnd w:id="744"/>
    <w:bookmarkEnd w:id="745"/>
    <w:bookmarkEnd w:id="746"/>
    <w:bookmarkEnd w:id="747"/>
    <w:bookmarkEnd w:id="748"/>
    <w:bookmarkEnd w:id="749"/>
    <w:p w14:paraId="0706E5A1">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1、单价合同。</w:t>
      </w:r>
    </w:p>
    <w:p w14:paraId="1E8AEF39">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综合单价包含的风险范围：</w:t>
      </w:r>
    </w:p>
    <w:p w14:paraId="1ADE6C49">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none"/>
          <w:lang w:eastAsia="zh-CN"/>
        </w:rPr>
      </w:pPr>
      <w:bookmarkStart w:id="750" w:name="_Toc312678042"/>
      <w:bookmarkStart w:id="751" w:name="_Toc297123554"/>
      <w:bookmarkStart w:id="752" w:name="_Toc304295581"/>
      <w:bookmarkStart w:id="753" w:name="_Toc297216213"/>
      <w:bookmarkStart w:id="754" w:name="_Toc303539161"/>
      <w:bookmarkStart w:id="755" w:name="_Toc300935004"/>
      <w:bookmarkStart w:id="756" w:name="_Toc297048393"/>
      <w:bookmarkStart w:id="757" w:name="_Toc297120507"/>
      <w:bookmarkStart w:id="758" w:name="_Toc296347206"/>
      <w:bookmarkStart w:id="759" w:name="_Toc296891035"/>
      <w:bookmarkStart w:id="760" w:name="_Toc296503207"/>
      <w:bookmarkStart w:id="761" w:name="_Toc292559917"/>
      <w:bookmarkStart w:id="762" w:name="_Toc296944546"/>
      <w:bookmarkStart w:id="763" w:name="_Toc292559412"/>
      <w:bookmarkStart w:id="764" w:name="_Toc296891247"/>
      <w:bookmarkStart w:id="765" w:name="_Toc296346708"/>
      <w:r>
        <w:rPr>
          <w:rFonts w:hint="eastAsia" w:ascii="宋体" w:hAnsi="宋体" w:eastAsia="宋体" w:cs="宋体"/>
          <w:color w:val="auto"/>
          <w:sz w:val="24"/>
          <w:highlight w:val="none"/>
          <w:u w:val="single"/>
        </w:rPr>
        <w:t>除合同约定的可调整的风险费用外，本承包工程内容范围内的所有风险因素，已包含在投标报价的综合单价中，无需再计算</w:t>
      </w:r>
      <w:r>
        <w:rPr>
          <w:rFonts w:hint="eastAsia" w:ascii="宋体" w:hAnsi="宋体" w:eastAsia="宋体" w:cs="宋体"/>
          <w:color w:val="auto"/>
          <w:sz w:val="24"/>
          <w:highlight w:val="none"/>
          <w:u w:val="none"/>
        </w:rPr>
        <w:t>。</w:t>
      </w:r>
    </w:p>
    <w:p w14:paraId="04E50080">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风险费用的计算方法：</w:t>
      </w:r>
    </w:p>
    <w:p w14:paraId="6C9D85D1">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single"/>
        </w:rPr>
        <w:t>1）增减工程量的单价确定</w:t>
      </w:r>
      <w:r>
        <w:rPr>
          <w:rFonts w:hint="eastAsia" w:ascii="宋体" w:hAnsi="宋体" w:eastAsia="宋体" w:cs="宋体"/>
          <w:color w:val="auto"/>
          <w:sz w:val="24"/>
          <w:highlight w:val="none"/>
          <w:u w:val="none"/>
        </w:rPr>
        <w:t>。</w:t>
      </w:r>
    </w:p>
    <w:p w14:paraId="30F504D6">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single"/>
        </w:rPr>
        <w:t>①签订合同后，经设计单位发出招标人认可的设计变更及经招标人和监理工程师计量后签证认可的工程量变化，无论工程量变化幅度多大，</w:t>
      </w:r>
      <w:r>
        <w:rPr>
          <w:rFonts w:hint="eastAsia" w:ascii="宋体" w:hAnsi="宋体" w:eastAsia="宋体" w:cs="宋体"/>
          <w:color w:val="auto"/>
          <w:sz w:val="24"/>
          <w:highlight w:val="none"/>
          <w:u w:val="single"/>
          <w:lang w:val="en-US" w:eastAsia="zh-CN"/>
        </w:rPr>
        <w:t>亦须按已中标全费用综合单价执行</w:t>
      </w:r>
      <w:r>
        <w:rPr>
          <w:rFonts w:hint="eastAsia" w:ascii="宋体" w:hAnsi="宋体" w:eastAsia="宋体" w:cs="宋体"/>
          <w:color w:val="auto"/>
          <w:sz w:val="24"/>
          <w:highlight w:val="none"/>
          <w:u w:val="single"/>
        </w:rPr>
        <w:t>；如无适用或类似的单价，可按照《乌鲁木齐建设工程信息》施工期间公布的材料单价与中标价降幅系数（中标价降幅系数＝中标价/工程控制价×100%）的乘积计算，变更人工单价仍执行原投标人工单价，所有费率按原投标书费率</w:t>
      </w:r>
      <w:r>
        <w:rPr>
          <w:rFonts w:hint="eastAsia" w:ascii="宋体" w:hAnsi="宋体" w:eastAsia="宋体" w:cs="宋体"/>
          <w:color w:val="auto"/>
          <w:sz w:val="24"/>
          <w:highlight w:val="none"/>
          <w:u w:val="none"/>
        </w:rPr>
        <w:t>。</w:t>
      </w:r>
    </w:p>
    <w:p w14:paraId="4091A739">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②若定额缺项的，由承包人提出适当的单价，经发包人会同监理单位及审计审核后按建设工程管理制度和程序审批确定</w:t>
      </w:r>
      <w:r>
        <w:rPr>
          <w:rFonts w:hint="eastAsia" w:ascii="宋体" w:hAnsi="宋体" w:eastAsia="宋体" w:cs="宋体"/>
          <w:color w:val="auto"/>
          <w:sz w:val="24"/>
          <w:highlight w:val="none"/>
          <w:u w:val="none"/>
        </w:rPr>
        <w:t>。</w:t>
      </w:r>
    </w:p>
    <w:p w14:paraId="5CA7A10A">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single"/>
        </w:rPr>
        <w:t>以上调整仅限于主材价格的调整，组成综合单价的其他一切费用不得调整</w:t>
      </w:r>
      <w:r>
        <w:rPr>
          <w:rFonts w:hint="eastAsia" w:ascii="宋体" w:hAnsi="宋体" w:eastAsia="宋体" w:cs="宋体"/>
          <w:color w:val="auto"/>
          <w:sz w:val="24"/>
          <w:highlight w:val="none"/>
          <w:u w:val="none"/>
        </w:rPr>
        <w:t>。</w:t>
      </w:r>
    </w:p>
    <w:p w14:paraId="769A5376">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2）材料变更价格确定</w:t>
      </w:r>
      <w:r>
        <w:rPr>
          <w:rFonts w:hint="eastAsia" w:ascii="宋体" w:hAnsi="宋体" w:eastAsia="宋体" w:cs="宋体"/>
          <w:color w:val="auto"/>
          <w:sz w:val="24"/>
          <w:highlight w:val="none"/>
          <w:u w:val="none"/>
        </w:rPr>
        <w:t>：</w:t>
      </w:r>
    </w:p>
    <w:p w14:paraId="371200CD">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①承包人材料价格明细表已有的材料，根据承包人材料价格明细表所列材料单价计算</w:t>
      </w:r>
      <w:r>
        <w:rPr>
          <w:rFonts w:hint="eastAsia" w:ascii="宋体" w:hAnsi="宋体" w:eastAsia="宋体" w:cs="宋体"/>
          <w:color w:val="auto"/>
          <w:sz w:val="24"/>
          <w:highlight w:val="none"/>
          <w:u w:val="none"/>
        </w:rPr>
        <w:t>；</w:t>
      </w:r>
    </w:p>
    <w:p w14:paraId="6AC5315F">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single"/>
        </w:rPr>
        <w:t>②承包人材料价格明细表中没有的材料，按照《乌鲁木齐建设工程信息》施工期间公布的材料单价与中标价降幅系数（中标价降幅系数＝中标价/工程控制价×100%）的乘积计算</w:t>
      </w:r>
      <w:r>
        <w:rPr>
          <w:rFonts w:hint="eastAsia" w:ascii="宋体" w:hAnsi="宋体" w:eastAsia="宋体" w:cs="宋体"/>
          <w:color w:val="auto"/>
          <w:sz w:val="24"/>
          <w:highlight w:val="none"/>
          <w:u w:val="none"/>
        </w:rPr>
        <w:t>；</w:t>
      </w:r>
    </w:p>
    <w:p w14:paraId="555DE842">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single"/>
        </w:rPr>
        <w:t>③乌鲁木齐建设工程信息没有公布的材料，由承包人提出适当的价格，发包人会同监理单位及审计审定后按程序审批确定</w:t>
      </w:r>
      <w:r>
        <w:rPr>
          <w:rFonts w:hint="eastAsia" w:ascii="宋体" w:hAnsi="宋体" w:eastAsia="宋体" w:cs="宋体"/>
          <w:color w:val="auto"/>
          <w:sz w:val="24"/>
          <w:highlight w:val="none"/>
          <w:u w:val="none"/>
        </w:rPr>
        <w:t>。</w:t>
      </w:r>
    </w:p>
    <w:p w14:paraId="242036E1">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④对有暂定价的材料或设备的子项的综合单价，结算时可按实调整</w:t>
      </w:r>
      <w:r>
        <w:rPr>
          <w:rFonts w:hint="eastAsia" w:ascii="宋体" w:hAnsi="宋体" w:eastAsia="宋体" w:cs="宋体"/>
          <w:color w:val="auto"/>
          <w:sz w:val="24"/>
          <w:highlight w:val="none"/>
          <w:u w:val="none"/>
        </w:rPr>
        <w:t>。</w:t>
      </w:r>
    </w:p>
    <w:p w14:paraId="4A06B09A">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以上调整仅限于主材价格的调整，组成综合单价的其他一切费用不得调整</w:t>
      </w:r>
      <w:r>
        <w:rPr>
          <w:rFonts w:hint="eastAsia" w:ascii="宋体" w:hAnsi="宋体" w:eastAsia="宋体" w:cs="宋体"/>
          <w:color w:val="auto"/>
          <w:sz w:val="24"/>
          <w:highlight w:val="none"/>
          <w:u w:val="none"/>
        </w:rPr>
        <w:t>。</w:t>
      </w:r>
    </w:p>
    <w:p w14:paraId="0CBA7E73">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3）如分部分项工程量清单中项目特征和工程内容发生变化时，对变更部分可以进行适当的调整，该调整仅限于主材的调整，组成综合单价的其他一切费用不得调整</w:t>
      </w:r>
      <w:r>
        <w:rPr>
          <w:rFonts w:hint="eastAsia" w:ascii="宋体" w:hAnsi="宋体" w:eastAsia="宋体" w:cs="宋体"/>
          <w:color w:val="auto"/>
          <w:sz w:val="24"/>
          <w:highlight w:val="none"/>
          <w:u w:val="none"/>
        </w:rPr>
        <w:t>。</w:t>
      </w:r>
    </w:p>
    <w:p w14:paraId="73557289">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4）如施工期间政府部门新出台的需建设单位代为承包方缴纳的税、费，此类税、费由投标单位在本次投标中自行考虑风险，建设单位将不再另行支付</w:t>
      </w:r>
      <w:r>
        <w:rPr>
          <w:rFonts w:hint="eastAsia" w:ascii="宋体" w:hAnsi="宋体" w:eastAsia="宋体" w:cs="宋体"/>
          <w:color w:val="auto"/>
          <w:sz w:val="24"/>
          <w:highlight w:val="none"/>
          <w:u w:val="none"/>
        </w:rPr>
        <w:t>。</w:t>
      </w:r>
    </w:p>
    <w:p w14:paraId="1BAE798A">
      <w:pPr>
        <w:pStyle w:val="24"/>
        <w:pageBreakBefore w:val="0"/>
        <w:kinsoku/>
        <w:wordWrap/>
        <w:overflowPunct/>
        <w:topLinePunct w:val="0"/>
        <w:bidi w:val="0"/>
        <w:textAlignment w:val="auto"/>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b w:val="0"/>
          <w:bCs w:val="0"/>
          <w:color w:val="auto"/>
          <w:kern w:val="2"/>
          <w:sz w:val="24"/>
          <w:szCs w:val="24"/>
          <w:highlight w:val="none"/>
          <w:u w:val="single"/>
          <w:lang w:val="en-US" w:eastAsia="zh-CN" w:bidi="ar-SA"/>
        </w:rPr>
        <w:t>5）主材价格争议解决期间，承包人不得停工且应继续履约，逾期视为违约。</w:t>
      </w:r>
    </w:p>
    <w:p w14:paraId="1ADB55F3">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风险范围以外合同价格的调整方法：</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none"/>
          <w:lang w:eastAsia="zh-CN"/>
        </w:rPr>
        <w:t>。</w:t>
      </w:r>
    </w:p>
    <w:p w14:paraId="55C3BE0F">
      <w:pPr>
        <w:pageBreakBefore w:val="0"/>
        <w:kinsoku/>
        <w:wordWrap/>
        <w:overflowPunct/>
        <w:topLinePunct w:val="0"/>
        <w:bidi w:val="0"/>
        <w:spacing w:after="120" w:line="360" w:lineRule="auto"/>
        <w:ind w:firstLine="480" w:firstLineChars="200"/>
        <w:textAlignment w:val="auto"/>
        <w:outlineLvl w:val="2"/>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eastAsia="zh-CN"/>
        </w:rPr>
        <w:t>2、总价合同。</w:t>
      </w:r>
    </w:p>
    <w:p w14:paraId="45375E0D">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eastAsia="zh-CN"/>
        </w:rPr>
        <w:t>总价包含的风险范围：</w:t>
      </w:r>
      <w:r>
        <w:rPr>
          <w:rFonts w:hint="eastAsia" w:ascii="宋体" w:hAnsi="宋体" w:eastAsia="宋体" w:cs="宋体"/>
          <w:color w:val="auto"/>
          <w:sz w:val="24"/>
          <w:highlight w:val="none"/>
          <w:u w:val="single"/>
          <w:lang w:val="en-US" w:eastAsia="zh-CN"/>
        </w:rPr>
        <w:t>无</w:t>
      </w:r>
      <w:r>
        <w:rPr>
          <w:rFonts w:hint="eastAsia" w:ascii="宋体" w:hAnsi="宋体" w:eastAsia="宋体" w:cs="宋体"/>
          <w:color w:val="auto"/>
          <w:sz w:val="24"/>
          <w:highlight w:val="none"/>
          <w:u w:val="none"/>
          <w:lang w:eastAsia="zh-CN"/>
        </w:rPr>
        <w:t>。</w:t>
      </w:r>
    </w:p>
    <w:p w14:paraId="2E56321B">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eastAsia="zh-CN"/>
        </w:rPr>
        <w:t>风险费用的计算方法：</w:t>
      </w:r>
      <w:r>
        <w:rPr>
          <w:rFonts w:hint="eastAsia" w:ascii="宋体" w:hAnsi="宋体" w:eastAsia="宋体" w:cs="宋体"/>
          <w:color w:val="auto"/>
          <w:sz w:val="24"/>
          <w:highlight w:val="none"/>
          <w:u w:val="single"/>
          <w:lang w:val="en-US" w:eastAsia="zh-CN"/>
        </w:rPr>
        <w:t>无</w:t>
      </w:r>
      <w:r>
        <w:rPr>
          <w:rFonts w:hint="eastAsia" w:ascii="宋体" w:hAnsi="宋体" w:eastAsia="宋体" w:cs="宋体"/>
          <w:color w:val="auto"/>
          <w:sz w:val="24"/>
          <w:highlight w:val="none"/>
          <w:u w:val="none"/>
          <w:lang w:val="en-US" w:eastAsia="zh-CN"/>
        </w:rPr>
        <w:t>。</w:t>
      </w:r>
    </w:p>
    <w:p w14:paraId="6ACA35DC">
      <w:pPr>
        <w:pageBreakBefore w:val="0"/>
        <w:kinsoku/>
        <w:wordWrap/>
        <w:overflowPunct/>
        <w:topLinePunct w:val="0"/>
        <w:bidi w:val="0"/>
        <w:spacing w:after="120" w:line="360" w:lineRule="auto"/>
        <w:ind w:firstLine="480" w:firstLineChars="200"/>
        <w:textAlignment w:val="auto"/>
        <w:outlineLvl w:val="9"/>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eastAsia="zh-CN"/>
        </w:rPr>
        <w:t>风险范围以外合同价格的调整方法：</w:t>
      </w:r>
      <w:r>
        <w:rPr>
          <w:rFonts w:hint="eastAsia" w:ascii="宋体" w:hAnsi="宋体" w:eastAsia="宋体" w:cs="宋体"/>
          <w:color w:val="auto"/>
          <w:sz w:val="24"/>
          <w:highlight w:val="none"/>
          <w:u w:val="single"/>
          <w:lang w:val="en-US" w:eastAsia="zh-CN"/>
        </w:rPr>
        <w:t>无</w:t>
      </w:r>
      <w:r>
        <w:rPr>
          <w:rFonts w:hint="eastAsia" w:ascii="宋体" w:hAnsi="宋体" w:eastAsia="宋体" w:cs="宋体"/>
          <w:color w:val="auto"/>
          <w:sz w:val="24"/>
          <w:highlight w:val="none"/>
          <w:u w:val="none"/>
          <w:lang w:val="en-US" w:eastAsia="zh-CN"/>
        </w:rPr>
        <w:t>。</w:t>
      </w:r>
    </w:p>
    <w:p w14:paraId="2F8E96AE">
      <w:pPr>
        <w:pageBreakBefore w:val="0"/>
        <w:kinsoku/>
        <w:wordWrap/>
        <w:overflowPunct/>
        <w:topLinePunct w:val="0"/>
        <w:bidi w:val="0"/>
        <w:spacing w:after="120" w:line="360" w:lineRule="auto"/>
        <w:ind w:firstLine="480" w:firstLineChars="200"/>
        <w:textAlignment w:val="auto"/>
        <w:outlineLvl w:val="2"/>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eastAsia="zh-CN"/>
        </w:rPr>
        <w:t>3、其他价格方式：</w:t>
      </w:r>
      <w:r>
        <w:rPr>
          <w:rFonts w:hint="eastAsia" w:ascii="宋体" w:hAnsi="宋体" w:eastAsia="宋体" w:cs="宋体"/>
          <w:color w:val="auto"/>
          <w:sz w:val="24"/>
          <w:highlight w:val="none"/>
          <w:u w:val="single"/>
          <w:lang w:val="en-US" w:eastAsia="zh-CN"/>
        </w:rPr>
        <w:t>无</w:t>
      </w:r>
      <w:r>
        <w:rPr>
          <w:rFonts w:hint="eastAsia" w:ascii="宋体" w:hAnsi="宋体" w:eastAsia="宋体" w:cs="宋体"/>
          <w:color w:val="auto"/>
          <w:sz w:val="24"/>
          <w:highlight w:val="none"/>
          <w:u w:val="none"/>
          <w:lang w:val="en-US" w:eastAsia="zh-CN"/>
        </w:rPr>
        <w:t>。</w:t>
      </w:r>
    </w:p>
    <w:p w14:paraId="4B176BC2">
      <w:pPr>
        <w:pageBreakBefore w:val="0"/>
        <w:kinsoku/>
        <w:wordWrap/>
        <w:overflowPunct/>
        <w:topLinePunct w:val="0"/>
        <w:bidi w:val="0"/>
        <w:spacing w:after="120" w:line="360" w:lineRule="auto"/>
        <w:textAlignment w:val="auto"/>
        <w:outlineLvl w:val="1"/>
        <w:rPr>
          <w:rFonts w:hint="eastAsia" w:ascii="宋体" w:hAnsi="宋体" w:eastAsia="宋体" w:cs="宋体"/>
          <w:color w:val="auto"/>
          <w:sz w:val="24"/>
          <w:highlight w:val="none"/>
        </w:rPr>
      </w:pPr>
      <w:bookmarkStart w:id="766" w:name="_Toc19198"/>
      <w:r>
        <w:rPr>
          <w:rFonts w:hint="eastAsia" w:ascii="宋体" w:hAnsi="宋体" w:eastAsia="宋体" w:cs="宋体"/>
          <w:color w:val="auto"/>
          <w:sz w:val="24"/>
          <w:highlight w:val="none"/>
        </w:rPr>
        <w:t>12.2预付款</w:t>
      </w:r>
      <w:bookmarkEnd w:id="766"/>
    </w:p>
    <w:bookmarkEnd w:id="750"/>
    <w:bookmarkEnd w:id="751"/>
    <w:bookmarkEnd w:id="752"/>
    <w:bookmarkEnd w:id="753"/>
    <w:bookmarkEnd w:id="754"/>
    <w:bookmarkEnd w:id="755"/>
    <w:p w14:paraId="0BD38DBF">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12.2.1预付款的支付</w:t>
      </w:r>
    </w:p>
    <w:p w14:paraId="6FC70281">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预付款支付比例或金额：</w:t>
      </w:r>
      <w:r>
        <w:rPr>
          <w:rFonts w:hint="eastAsia" w:ascii="宋体" w:hAnsi="宋体" w:eastAsia="宋体" w:cs="宋体"/>
          <w:color w:val="auto"/>
          <w:sz w:val="24"/>
          <w:highlight w:val="none"/>
          <w:u w:val="single"/>
          <w:lang w:val="en-US" w:eastAsia="zh-CN"/>
        </w:rPr>
        <w:t>签订合同完成后，甲方按照合同签订价款的30%向乙方一次性支付工程预付款。</w:t>
      </w:r>
    </w:p>
    <w:p w14:paraId="74F3554C">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预付款支付期限：</w:t>
      </w:r>
      <w:r>
        <w:rPr>
          <w:rFonts w:hint="eastAsia" w:ascii="宋体" w:hAnsi="宋体" w:eastAsia="宋体" w:cs="宋体"/>
          <w:color w:val="auto"/>
          <w:sz w:val="24"/>
          <w:highlight w:val="none"/>
          <w:u w:val="single"/>
          <w:lang w:val="en-US" w:eastAsia="zh-CN"/>
        </w:rPr>
        <w:t>无</w:t>
      </w:r>
      <w:r>
        <w:rPr>
          <w:rFonts w:hint="eastAsia" w:ascii="宋体" w:hAnsi="宋体" w:eastAsia="宋体" w:cs="宋体"/>
          <w:color w:val="auto"/>
          <w:sz w:val="24"/>
          <w:highlight w:val="none"/>
          <w:u w:val="none"/>
          <w:lang w:val="en-US" w:eastAsia="zh-CN"/>
        </w:rPr>
        <w:t>。</w:t>
      </w:r>
    </w:p>
    <w:p w14:paraId="17637721">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预付款扣回的方式：</w:t>
      </w:r>
      <w:r>
        <w:rPr>
          <w:rFonts w:hint="eastAsia" w:ascii="宋体" w:hAnsi="宋体" w:eastAsia="宋体" w:cs="宋体"/>
          <w:color w:val="auto"/>
          <w:sz w:val="24"/>
          <w:highlight w:val="none"/>
          <w:u w:val="single"/>
          <w:lang w:eastAsia="zh-CN"/>
        </w:rPr>
        <w:t>扣除</w:t>
      </w:r>
      <w:r>
        <w:rPr>
          <w:rFonts w:hint="eastAsia" w:ascii="宋体" w:hAnsi="宋体" w:eastAsia="宋体" w:cs="宋体"/>
          <w:color w:val="auto"/>
          <w:sz w:val="24"/>
          <w:highlight w:val="none"/>
          <w:u w:val="none"/>
          <w:lang w:val="en-US" w:eastAsia="zh-CN"/>
        </w:rPr>
        <w:t>。</w:t>
      </w:r>
    </w:p>
    <w:p w14:paraId="29C925F7">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12.2.2预付款担保</w:t>
      </w:r>
    </w:p>
    <w:p w14:paraId="42A36A34">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承包人提交预付款担保的期限：</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none"/>
          <w:lang w:val="en-US" w:eastAsia="zh-CN"/>
        </w:rPr>
        <w:t>。</w:t>
      </w:r>
    </w:p>
    <w:p w14:paraId="17D77AA6">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预付款担保的形式为：</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none"/>
          <w:lang w:val="en-US" w:eastAsia="zh-CN"/>
        </w:rPr>
        <w:t>。</w:t>
      </w:r>
    </w:p>
    <w:bookmarkEnd w:id="756"/>
    <w:bookmarkEnd w:id="757"/>
    <w:bookmarkEnd w:id="758"/>
    <w:bookmarkEnd w:id="759"/>
    <w:bookmarkEnd w:id="760"/>
    <w:bookmarkEnd w:id="761"/>
    <w:bookmarkEnd w:id="762"/>
    <w:bookmarkEnd w:id="763"/>
    <w:bookmarkEnd w:id="764"/>
    <w:bookmarkEnd w:id="765"/>
    <w:p w14:paraId="0B7BAEF4">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767" w:name="_Toc1374"/>
      <w:r>
        <w:rPr>
          <w:rFonts w:hint="eastAsia" w:ascii="宋体" w:hAnsi="宋体" w:eastAsia="宋体" w:cs="宋体"/>
          <w:color w:val="auto"/>
          <w:sz w:val="24"/>
          <w:highlight w:val="none"/>
        </w:rPr>
        <w:t>12.3计量</w:t>
      </w:r>
      <w:bookmarkEnd w:id="767"/>
    </w:p>
    <w:p w14:paraId="68075756">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12.3.1计量原则</w:t>
      </w:r>
    </w:p>
    <w:p w14:paraId="7F004040">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工程量计算规则：</w:t>
      </w:r>
      <w:r>
        <w:rPr>
          <w:rFonts w:hint="eastAsia" w:ascii="宋体" w:hAnsi="宋体" w:eastAsia="宋体" w:cs="宋体"/>
          <w:color w:val="auto"/>
          <w:sz w:val="24"/>
          <w:highlight w:val="none"/>
          <w:u w:val="single"/>
        </w:rPr>
        <w:t>按国家有关规定执行。</w:t>
      </w:r>
    </w:p>
    <w:p w14:paraId="257F6F27">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12.3.2计量周期</w:t>
      </w:r>
    </w:p>
    <w:p w14:paraId="52E4A4DC">
      <w:pPr>
        <w:pageBreakBefore w:val="0"/>
        <w:kinsoku/>
        <w:wordWrap/>
        <w:overflowPunct/>
        <w:topLinePunct w:val="0"/>
        <w:bidi w:val="0"/>
        <w:spacing w:line="440" w:lineRule="exact"/>
        <w:ind w:firstLine="480" w:firstLineChars="200"/>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关于计量周期的约定：</w:t>
      </w:r>
      <w:r>
        <w:rPr>
          <w:rFonts w:hint="eastAsia" w:ascii="宋体" w:hAnsi="宋体" w:eastAsia="宋体" w:cs="宋体"/>
          <w:color w:val="auto"/>
          <w:sz w:val="24"/>
          <w:highlight w:val="none"/>
          <w:u w:val="single"/>
        </w:rPr>
        <w:t>按月计量。</w:t>
      </w:r>
    </w:p>
    <w:p w14:paraId="0FD43F71">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12.3.3单价合同的计量</w:t>
      </w:r>
    </w:p>
    <w:p w14:paraId="4809FB56">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关于单价合同计量的约定：</w:t>
      </w:r>
      <w:r>
        <w:rPr>
          <w:rFonts w:hint="eastAsia" w:ascii="宋体" w:hAnsi="宋体" w:eastAsia="宋体" w:cs="宋体"/>
          <w:color w:val="auto"/>
          <w:sz w:val="24"/>
          <w:highlight w:val="none"/>
          <w:u w:val="single"/>
        </w:rPr>
        <w:t>按月计量</w:t>
      </w:r>
      <w:r>
        <w:rPr>
          <w:rFonts w:hint="eastAsia" w:ascii="宋体" w:hAnsi="宋体" w:eastAsia="宋体" w:cs="宋体"/>
          <w:color w:val="auto"/>
          <w:sz w:val="24"/>
          <w:highlight w:val="none"/>
        </w:rPr>
        <w:t>。</w:t>
      </w:r>
    </w:p>
    <w:p w14:paraId="1EAC96DA">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12.3.4总价合同的计量</w:t>
      </w:r>
    </w:p>
    <w:p w14:paraId="1B9A881B">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关于总价合同计量的约定：</w:t>
      </w:r>
      <w:r>
        <w:rPr>
          <w:rFonts w:hint="eastAsia" w:ascii="宋体" w:hAnsi="宋体" w:eastAsia="宋体" w:cs="宋体"/>
          <w:color w:val="auto"/>
          <w:sz w:val="24"/>
          <w:highlight w:val="none"/>
          <w:u w:val="single"/>
        </w:rPr>
        <w:t>无</w:t>
      </w:r>
      <w:r>
        <w:rPr>
          <w:rFonts w:hint="eastAsia" w:ascii="宋体" w:hAnsi="宋体" w:eastAsia="宋体" w:cs="宋体"/>
          <w:color w:val="auto"/>
          <w:sz w:val="24"/>
          <w:highlight w:val="none"/>
        </w:rPr>
        <w:t>。</w:t>
      </w:r>
    </w:p>
    <w:p w14:paraId="7998F68E">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12.3.5总价合同采用支付分解表计量支付的，是否适用第</w:t>
      </w:r>
      <w:r>
        <w:rPr>
          <w:rFonts w:hint="eastAsia" w:ascii="宋体" w:hAnsi="宋体" w:eastAsia="宋体" w:cs="宋体"/>
          <w:color w:val="auto"/>
          <w:kern w:val="0"/>
          <w:sz w:val="24"/>
          <w:highlight w:val="none"/>
        </w:rPr>
        <w:t>12.3.4</w:t>
      </w:r>
      <w:r>
        <w:rPr>
          <w:rFonts w:hint="eastAsia" w:ascii="宋体" w:hAnsi="宋体" w:eastAsia="宋体" w:cs="宋体"/>
          <w:color w:val="auto"/>
          <w:sz w:val="24"/>
          <w:highlight w:val="none"/>
        </w:rPr>
        <w:t>项</w:t>
      </w:r>
      <w:r>
        <w:rPr>
          <w:rFonts w:hint="eastAsia" w:ascii="宋体" w:hAnsi="宋体" w:eastAsia="宋体" w:cs="宋体"/>
          <w:color w:val="auto"/>
          <w:kern w:val="0"/>
          <w:sz w:val="24"/>
          <w:highlight w:val="none"/>
        </w:rPr>
        <w:t>〔总价合同的计量〕</w:t>
      </w:r>
      <w:r>
        <w:rPr>
          <w:rFonts w:hint="eastAsia" w:ascii="宋体" w:hAnsi="宋体" w:eastAsia="宋体" w:cs="宋体"/>
          <w:color w:val="auto"/>
          <w:sz w:val="24"/>
          <w:highlight w:val="none"/>
        </w:rPr>
        <w:t>约定进行计量：</w:t>
      </w:r>
      <w:r>
        <w:rPr>
          <w:rFonts w:hint="eastAsia" w:ascii="宋体" w:hAnsi="宋体" w:eastAsia="宋体" w:cs="宋体"/>
          <w:color w:val="auto"/>
          <w:sz w:val="24"/>
          <w:highlight w:val="none"/>
          <w:u w:val="single"/>
          <w:lang w:eastAsia="zh-CN"/>
        </w:rPr>
        <w:t>无</w:t>
      </w:r>
      <w:r>
        <w:rPr>
          <w:rFonts w:hint="eastAsia" w:ascii="宋体" w:hAnsi="宋体" w:eastAsia="宋体" w:cs="宋体"/>
          <w:color w:val="auto"/>
          <w:sz w:val="24"/>
          <w:highlight w:val="none"/>
          <w:u w:val="none"/>
          <w:lang w:val="en-US" w:eastAsia="zh-CN"/>
        </w:rPr>
        <w:t>。</w:t>
      </w:r>
    </w:p>
    <w:p w14:paraId="4433605D">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12.3.6其他价格形式合同的计量</w:t>
      </w:r>
    </w:p>
    <w:p w14:paraId="6413C14B">
      <w:pPr>
        <w:pageBreakBefore w:val="0"/>
        <w:kinsoku/>
        <w:wordWrap/>
        <w:overflowPunct/>
        <w:topLinePunct w:val="0"/>
        <w:bidi w:val="0"/>
        <w:spacing w:line="360" w:lineRule="auto"/>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其他价格形式的计量方式和程序：</w:t>
      </w:r>
      <w:r>
        <w:rPr>
          <w:rFonts w:hint="eastAsia" w:ascii="宋体" w:hAnsi="宋体" w:eastAsia="宋体" w:cs="宋体"/>
          <w:color w:val="auto"/>
          <w:sz w:val="24"/>
          <w:highlight w:val="none"/>
          <w:u w:val="single"/>
        </w:rPr>
        <w:t>无</w:t>
      </w:r>
      <w:r>
        <w:rPr>
          <w:rFonts w:hint="eastAsia" w:ascii="宋体" w:hAnsi="宋体" w:eastAsia="宋体" w:cs="宋体"/>
          <w:color w:val="auto"/>
          <w:sz w:val="24"/>
          <w:highlight w:val="none"/>
        </w:rPr>
        <w:t>。</w:t>
      </w:r>
    </w:p>
    <w:p w14:paraId="1A862015">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768" w:name="_Toc5219"/>
      <w:r>
        <w:rPr>
          <w:rFonts w:hint="eastAsia" w:ascii="宋体" w:hAnsi="宋体" w:eastAsia="宋体" w:cs="宋体"/>
          <w:color w:val="auto"/>
          <w:sz w:val="24"/>
          <w:highlight w:val="none"/>
        </w:rPr>
        <w:t>12.4工程进度款支付</w:t>
      </w:r>
      <w:bookmarkEnd w:id="768"/>
    </w:p>
    <w:p w14:paraId="71F673EA">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bookmarkStart w:id="769" w:name="_Toc296503211"/>
      <w:bookmarkStart w:id="770" w:name="_Toc297123556"/>
      <w:bookmarkStart w:id="771" w:name="_Toc297048397"/>
      <w:bookmarkStart w:id="772" w:name="_Toc292559416"/>
      <w:bookmarkStart w:id="773" w:name="_Toc300935006"/>
      <w:bookmarkStart w:id="774" w:name="_Toc296891251"/>
      <w:bookmarkStart w:id="775" w:name="_Toc296891039"/>
      <w:bookmarkStart w:id="776" w:name="_Toc303539163"/>
      <w:bookmarkStart w:id="777" w:name="_Toc296347210"/>
      <w:bookmarkStart w:id="778" w:name="_Toc297216215"/>
      <w:bookmarkStart w:id="779" w:name="_Toc297120511"/>
      <w:bookmarkStart w:id="780" w:name="_Toc296944550"/>
      <w:bookmarkStart w:id="781" w:name="_Toc292559921"/>
      <w:bookmarkStart w:id="782" w:name="_Toc296346712"/>
      <w:r>
        <w:rPr>
          <w:rFonts w:hint="eastAsia" w:ascii="宋体" w:hAnsi="宋体" w:eastAsia="宋体" w:cs="宋体"/>
          <w:color w:val="auto"/>
          <w:sz w:val="24"/>
          <w:highlight w:val="none"/>
        </w:rPr>
        <w:t>12.4.1付款周期</w:t>
      </w:r>
    </w:p>
    <w:p w14:paraId="1C166DD3">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关于付款周期的约定：</w:t>
      </w:r>
      <w:r>
        <w:rPr>
          <w:rFonts w:hint="eastAsia" w:ascii="宋体" w:hAnsi="宋体" w:eastAsia="宋体" w:cs="宋体"/>
          <w:color w:val="auto"/>
          <w:sz w:val="24"/>
          <w:highlight w:val="none"/>
          <w:u w:val="single"/>
        </w:rPr>
        <w:t>按财政拨款周期支付，承包人知悉并同意本项目款项支付受财政资金拨付进度影响,不得以此为由要求发包人承担逾期付款违约责任</w:t>
      </w:r>
      <w:r>
        <w:rPr>
          <w:rFonts w:hint="eastAsia" w:ascii="宋体" w:hAnsi="宋体" w:eastAsia="宋体" w:cs="宋体"/>
          <w:color w:val="auto"/>
          <w:sz w:val="24"/>
          <w:highlight w:val="none"/>
        </w:rPr>
        <w:t>。</w:t>
      </w:r>
    </w:p>
    <w:p w14:paraId="54E6BCDB">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12.4.2进度付款申请单的编制</w:t>
      </w:r>
    </w:p>
    <w:p w14:paraId="26FE22D7">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关于进度付款申请单编制的约定：</w:t>
      </w:r>
      <w:r>
        <w:rPr>
          <w:rFonts w:hint="eastAsia" w:ascii="宋体" w:hAnsi="宋体" w:eastAsia="宋体" w:cs="宋体"/>
          <w:color w:val="auto"/>
          <w:sz w:val="24"/>
          <w:highlight w:val="none"/>
          <w:u w:val="single"/>
          <w:lang w:val="en-US" w:eastAsia="zh-CN"/>
        </w:rPr>
        <w:t>进度付款申请单一式五份</w:t>
      </w:r>
      <w:r>
        <w:rPr>
          <w:rFonts w:hint="eastAsia" w:ascii="宋体" w:hAnsi="宋体" w:eastAsia="宋体" w:cs="宋体"/>
          <w:color w:val="auto"/>
          <w:sz w:val="24"/>
          <w:highlight w:val="none"/>
        </w:rPr>
        <w:t>。</w:t>
      </w:r>
    </w:p>
    <w:p w14:paraId="482A5F71">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Pr>
          <w:rFonts w:hint="eastAsia" w:ascii="宋体" w:hAnsi="宋体" w:eastAsia="宋体" w:cs="宋体"/>
          <w:color w:val="auto"/>
          <w:sz w:val="24"/>
          <w:highlight w:val="none"/>
        </w:rPr>
        <w:t>2.4.3进度付款申请单的提交</w:t>
      </w:r>
    </w:p>
    <w:p w14:paraId="3D6910C1">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（1）单价合同进度付款申请单提交的约定：</w:t>
      </w:r>
      <w:r>
        <w:rPr>
          <w:rFonts w:hint="eastAsia" w:ascii="宋体" w:hAnsi="宋体" w:eastAsia="宋体" w:cs="宋体"/>
          <w:color w:val="auto"/>
          <w:sz w:val="24"/>
          <w:highlight w:val="none"/>
          <w:u w:val="single"/>
        </w:rPr>
        <w:t>进度付款申请单一式伍份</w:t>
      </w:r>
      <w:r>
        <w:rPr>
          <w:rFonts w:hint="eastAsia" w:ascii="宋体" w:hAnsi="宋体" w:eastAsia="宋体" w:cs="宋体"/>
          <w:color w:val="auto"/>
          <w:sz w:val="24"/>
          <w:highlight w:val="none"/>
        </w:rPr>
        <w:t>。</w:t>
      </w:r>
    </w:p>
    <w:p w14:paraId="495B0208">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（2）总价合同进度付款申请单提交的约定：</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p>
    <w:p w14:paraId="01013559">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（3）其他价格形式合同进度付款申请单提交的约定：</w:t>
      </w:r>
      <w:r>
        <w:rPr>
          <w:rFonts w:hint="eastAsia" w:ascii="宋体" w:hAnsi="宋体" w:eastAsia="宋体" w:cs="宋体"/>
          <w:color w:val="auto"/>
          <w:sz w:val="24"/>
          <w:highlight w:val="none"/>
          <w:u w:val="single"/>
        </w:rPr>
        <w:t>双方约定的工程款（进度款）支付方式和时间：</w:t>
      </w:r>
    </w:p>
    <w:p w14:paraId="397FB3D7">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a.合同签订后</w:t>
      </w:r>
      <w:r>
        <w:rPr>
          <w:rFonts w:hint="eastAsia" w:ascii="宋体" w:hAnsi="宋体" w:eastAsia="宋体" w:cs="宋体"/>
          <w:color w:val="auto"/>
          <w:sz w:val="24"/>
          <w:highlight w:val="none"/>
          <w:u w:val="single"/>
        </w:rPr>
        <w:t>，甲方支付合同价款的30%工程预付款</w:t>
      </w:r>
      <w:r>
        <w:rPr>
          <w:rFonts w:hint="eastAsia" w:ascii="宋体" w:hAnsi="宋体" w:eastAsia="宋体" w:cs="宋体"/>
          <w:color w:val="auto"/>
          <w:sz w:val="24"/>
          <w:highlight w:val="none"/>
          <w:u w:val="single"/>
          <w:lang w:val="en-US" w:eastAsia="zh-CN"/>
        </w:rPr>
        <w:t>;</w:t>
      </w:r>
    </w:p>
    <w:p w14:paraId="1E4C1992">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b.</w:t>
      </w:r>
      <w:r>
        <w:rPr>
          <w:rFonts w:hint="eastAsia" w:ascii="宋体" w:hAnsi="宋体" w:eastAsia="宋体" w:cs="宋体"/>
          <w:color w:val="auto"/>
          <w:sz w:val="24"/>
          <w:highlight w:val="none"/>
          <w:u w:val="single"/>
        </w:rPr>
        <w:t>工程开工后，发包人依照经审定的统计报表，当工程进度（或发生金额）达到工程总量</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0%</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乙方有权向甲方申请支付工程进度款</w:t>
      </w:r>
      <w:r>
        <w:rPr>
          <w:rFonts w:hint="eastAsia" w:ascii="宋体" w:hAnsi="宋体" w:eastAsia="宋体" w:cs="宋体"/>
          <w:color w:val="auto"/>
          <w:sz w:val="24"/>
          <w:highlight w:val="none"/>
          <w:u w:val="single"/>
          <w:lang w:eastAsia="zh-CN"/>
        </w:rPr>
        <w:t>，甲方支付乙方工程进度款比例不超过合同价款的</w:t>
      </w:r>
      <w:r>
        <w:rPr>
          <w:rFonts w:hint="eastAsia" w:ascii="宋体" w:hAnsi="宋体" w:eastAsia="宋体" w:cs="宋体"/>
          <w:color w:val="auto"/>
          <w:sz w:val="24"/>
          <w:highlight w:val="none"/>
          <w:u w:val="single"/>
          <w:lang w:val="en-US" w:eastAsia="zh-CN"/>
        </w:rPr>
        <w:t>50%</w:t>
      </w:r>
      <w:r>
        <w:rPr>
          <w:rFonts w:hint="eastAsia" w:ascii="宋体" w:hAnsi="宋体" w:eastAsia="宋体" w:cs="宋体"/>
          <w:color w:val="auto"/>
          <w:sz w:val="24"/>
          <w:highlight w:val="none"/>
          <w:u w:val="single"/>
        </w:rPr>
        <w:t>；</w:t>
      </w:r>
    </w:p>
    <w:p w14:paraId="34ED3FC7">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c.</w:t>
      </w:r>
      <w:r>
        <w:rPr>
          <w:rFonts w:hint="eastAsia" w:ascii="宋体" w:hAnsi="宋体" w:eastAsia="宋体" w:cs="宋体"/>
          <w:color w:val="auto"/>
          <w:sz w:val="24"/>
          <w:highlight w:val="none"/>
          <w:u w:val="single"/>
        </w:rPr>
        <w:t>待工程竣工验收合格后支付至合同价款的80%</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乙方需</w:t>
      </w:r>
      <w:r>
        <w:rPr>
          <w:rFonts w:hint="eastAsia" w:ascii="宋体" w:hAnsi="宋体" w:eastAsia="宋体" w:cs="宋体"/>
          <w:color w:val="auto"/>
          <w:sz w:val="24"/>
          <w:highlight w:val="none"/>
          <w:u w:val="single"/>
        </w:rPr>
        <w:t>提供竣工验收报告和结算资料。</w:t>
      </w:r>
    </w:p>
    <w:p w14:paraId="5A1AF392">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d.</w:t>
      </w:r>
      <w:r>
        <w:rPr>
          <w:rFonts w:hint="eastAsia" w:ascii="宋体" w:hAnsi="宋体" w:eastAsia="宋体" w:cs="宋体"/>
          <w:color w:val="auto"/>
          <w:sz w:val="24"/>
          <w:highlight w:val="none"/>
          <w:u w:val="single"/>
        </w:rPr>
        <w:t>工程经</w:t>
      </w:r>
      <w:r>
        <w:rPr>
          <w:rFonts w:hint="eastAsia" w:ascii="宋体" w:hAnsi="宋体" w:eastAsia="宋体" w:cs="宋体"/>
          <w:color w:val="auto"/>
          <w:sz w:val="24"/>
          <w:highlight w:val="none"/>
          <w:u w:val="single"/>
          <w:lang w:eastAsia="zh-CN"/>
        </w:rPr>
        <w:t>审计</w:t>
      </w:r>
      <w:r>
        <w:rPr>
          <w:rFonts w:hint="eastAsia" w:ascii="宋体" w:hAnsi="宋体" w:eastAsia="宋体" w:cs="宋体"/>
          <w:color w:val="auto"/>
          <w:sz w:val="24"/>
          <w:highlight w:val="none"/>
          <w:u w:val="single"/>
        </w:rPr>
        <w:t>机构审定后</w:t>
      </w:r>
      <w:r>
        <w:rPr>
          <w:rFonts w:hint="eastAsia" w:ascii="宋体" w:hAnsi="宋体" w:eastAsia="宋体" w:cs="宋体"/>
          <w:color w:val="auto"/>
          <w:sz w:val="24"/>
          <w:highlight w:val="none"/>
          <w:u w:val="single"/>
          <w:lang w:eastAsia="zh-CN"/>
        </w:rPr>
        <w:t>支</w:t>
      </w:r>
      <w:r>
        <w:rPr>
          <w:rFonts w:hint="eastAsia" w:ascii="宋体" w:hAnsi="宋体" w:eastAsia="宋体" w:cs="宋体"/>
          <w:color w:val="auto"/>
          <w:sz w:val="24"/>
          <w:highlight w:val="none"/>
          <w:u w:val="single"/>
        </w:rPr>
        <w:t>付至</w:t>
      </w:r>
      <w:r>
        <w:rPr>
          <w:rFonts w:hint="eastAsia" w:ascii="宋体" w:hAnsi="宋体" w:eastAsia="宋体" w:cs="宋体"/>
          <w:color w:val="auto"/>
          <w:sz w:val="24"/>
          <w:highlight w:val="none"/>
          <w:u w:val="single"/>
          <w:lang w:eastAsia="zh-CN"/>
        </w:rPr>
        <w:t>审计价</w:t>
      </w:r>
      <w:r>
        <w:rPr>
          <w:rFonts w:hint="eastAsia" w:ascii="宋体" w:hAnsi="宋体" w:eastAsia="宋体" w:cs="宋体"/>
          <w:color w:val="auto"/>
          <w:sz w:val="24"/>
          <w:highlight w:val="none"/>
          <w:u w:val="single"/>
        </w:rPr>
        <w:t>的97%，乙方需配合审计工作并提供必要的资料。</w:t>
      </w:r>
    </w:p>
    <w:p w14:paraId="25C20EF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e.</w:t>
      </w:r>
      <w:r>
        <w:rPr>
          <w:rFonts w:hint="eastAsia" w:ascii="宋体" w:hAnsi="宋体" w:eastAsia="宋体" w:cs="宋体"/>
          <w:color w:val="auto"/>
          <w:sz w:val="24"/>
          <w:highlight w:val="none"/>
          <w:u w:val="single"/>
        </w:rPr>
        <w:t>工程价款的3%作为工程质量保修金，保修期</w:t>
      </w:r>
      <w:r>
        <w:rPr>
          <w:rFonts w:hint="eastAsia" w:ascii="宋体" w:hAnsi="宋体" w:eastAsia="宋体" w:cs="宋体"/>
          <w:color w:val="auto"/>
          <w:sz w:val="24"/>
          <w:highlight w:val="none"/>
          <w:u w:val="single"/>
          <w:lang w:val="en-US" w:eastAsia="zh-CN"/>
        </w:rPr>
        <w:t>且无质量问题</w:t>
      </w:r>
      <w:r>
        <w:rPr>
          <w:rFonts w:hint="eastAsia" w:ascii="宋体" w:hAnsi="宋体" w:eastAsia="宋体" w:cs="宋体"/>
          <w:color w:val="auto"/>
          <w:sz w:val="24"/>
          <w:highlight w:val="none"/>
          <w:u w:val="single"/>
        </w:rPr>
        <w:t>后付清。</w:t>
      </w:r>
    </w:p>
    <w:p w14:paraId="328D6CAB">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f.</w:t>
      </w:r>
      <w:r>
        <w:rPr>
          <w:rFonts w:hint="eastAsia" w:ascii="宋体" w:hAnsi="宋体" w:eastAsia="宋体" w:cs="宋体"/>
          <w:color w:val="auto"/>
          <w:sz w:val="24"/>
          <w:highlight w:val="none"/>
          <w:u w:val="single"/>
        </w:rPr>
        <w:t>每次付款前，乙方需提供等额的增值税</w:t>
      </w:r>
      <w:r>
        <w:rPr>
          <w:rFonts w:hint="eastAsia" w:ascii="宋体" w:hAnsi="宋体" w:eastAsia="宋体" w:cs="宋体"/>
          <w:color w:val="auto"/>
          <w:sz w:val="24"/>
          <w:highlight w:val="none"/>
          <w:u w:val="single"/>
          <w:lang w:val="en-US" w:eastAsia="zh-CN"/>
        </w:rPr>
        <w:t>普通</w:t>
      </w:r>
      <w:r>
        <w:rPr>
          <w:rFonts w:hint="eastAsia" w:ascii="宋体" w:hAnsi="宋体" w:eastAsia="宋体" w:cs="宋体"/>
          <w:color w:val="auto"/>
          <w:sz w:val="24"/>
          <w:highlight w:val="none"/>
          <w:u w:val="single"/>
        </w:rPr>
        <w:t>发票。</w:t>
      </w:r>
    </w:p>
    <w:p w14:paraId="22D576B1">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g.</w:t>
      </w:r>
      <w:r>
        <w:rPr>
          <w:rFonts w:hint="eastAsia" w:ascii="宋体" w:hAnsi="宋体" w:eastAsia="宋体" w:cs="宋体"/>
          <w:color w:val="auto"/>
          <w:sz w:val="24"/>
          <w:highlight w:val="none"/>
          <w:u w:val="single"/>
        </w:rPr>
        <w:t>对于承包人应该支付的本合同范围的所有违约金，由发包人、监理共同确认后直接从工程款中扣除，且在拨付下次工程进度款之前核准；如未核准，发包人不拨付进度款，由此造成的相应责任和损失均由承包人承担。承包人在施工期间不得</w:t>
      </w:r>
      <w:r>
        <w:rPr>
          <w:rFonts w:hint="eastAsia" w:ascii="宋体" w:hAnsi="宋体" w:eastAsia="宋体" w:cs="宋体"/>
          <w:color w:val="auto"/>
          <w:sz w:val="24"/>
          <w:highlight w:val="none"/>
          <w:u w:val="single"/>
          <w:lang w:eastAsia="zh-CN"/>
        </w:rPr>
        <w:t>以发包人未支付工程款为由</w:t>
      </w:r>
      <w:r>
        <w:rPr>
          <w:rFonts w:hint="eastAsia" w:ascii="宋体" w:hAnsi="宋体" w:eastAsia="宋体" w:cs="宋体"/>
          <w:color w:val="auto"/>
          <w:sz w:val="24"/>
          <w:highlight w:val="none"/>
          <w:u w:val="single"/>
        </w:rPr>
        <w:t>拖欠工人工资、材料设备款，否则，发包人有权自主将工程进度款用于支付被拖欠的工人工资、材料设备款。</w:t>
      </w:r>
    </w:p>
    <w:p w14:paraId="6AE7A9E7">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lang w:val="en-US" w:eastAsia="zh-CN"/>
        </w:rPr>
      </w:pPr>
    </w:p>
    <w:p w14:paraId="766BF06D">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12.4.4进度款审核和支付</w:t>
      </w:r>
    </w:p>
    <w:p w14:paraId="35F79E13">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（1）监理人审查并报送发包人的期限：</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u w:val="single"/>
          <w:lang w:val="en-US" w:eastAsia="zh-CN"/>
        </w:rPr>
        <w:t>天</w:t>
      </w:r>
      <w:r>
        <w:rPr>
          <w:rFonts w:hint="eastAsia" w:ascii="宋体" w:hAnsi="宋体" w:eastAsia="宋体" w:cs="宋体"/>
          <w:color w:val="auto"/>
          <w:sz w:val="24"/>
          <w:highlight w:val="none"/>
        </w:rPr>
        <w:t>。</w:t>
      </w:r>
    </w:p>
    <w:p w14:paraId="694A09D5">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发包人完成审批并签发进度款支付证书的期限：</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天</w:t>
      </w:r>
      <w:r>
        <w:rPr>
          <w:rFonts w:hint="eastAsia" w:ascii="宋体" w:hAnsi="宋体" w:eastAsia="宋体" w:cs="宋体"/>
          <w:color w:val="auto"/>
          <w:sz w:val="24"/>
          <w:highlight w:val="none"/>
        </w:rPr>
        <w:t>。</w:t>
      </w:r>
    </w:p>
    <w:p w14:paraId="2670CD32">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（2）发包人支付进度款的期限：</w:t>
      </w:r>
      <w:r>
        <w:rPr>
          <w:rFonts w:hint="eastAsia" w:ascii="宋体" w:hAnsi="宋体" w:eastAsia="宋体" w:cs="宋体"/>
          <w:color w:val="auto"/>
          <w:sz w:val="24"/>
          <w:highlight w:val="none"/>
          <w:u w:val="single"/>
        </w:rPr>
        <w:t>14</w:t>
      </w:r>
      <w:r>
        <w:rPr>
          <w:rFonts w:hint="eastAsia" w:ascii="宋体" w:hAnsi="宋体" w:eastAsia="宋体" w:cs="宋体"/>
          <w:color w:val="auto"/>
          <w:sz w:val="24"/>
          <w:highlight w:val="none"/>
          <w:u w:val="single"/>
          <w:lang w:eastAsia="zh-CN"/>
        </w:rPr>
        <w:t>天</w:t>
      </w:r>
      <w:r>
        <w:rPr>
          <w:rFonts w:hint="eastAsia" w:ascii="宋体" w:hAnsi="宋体" w:eastAsia="宋体" w:cs="宋体"/>
          <w:color w:val="auto"/>
          <w:sz w:val="24"/>
          <w:highlight w:val="none"/>
        </w:rPr>
        <w:t>。</w:t>
      </w:r>
    </w:p>
    <w:p w14:paraId="02872ED7">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发包人逾期支付进度款的违约金的计算方式：</w:t>
      </w:r>
      <w:r>
        <w:rPr>
          <w:rFonts w:hint="eastAsia" w:ascii="宋体" w:hAnsi="宋体" w:eastAsia="宋体" w:cs="宋体"/>
          <w:color w:val="auto"/>
          <w:sz w:val="24"/>
          <w:highlight w:val="none"/>
          <w:u w:val="single"/>
        </w:rPr>
        <w:t>协商解决</w:t>
      </w:r>
      <w:r>
        <w:rPr>
          <w:rFonts w:hint="eastAsia" w:ascii="宋体" w:hAnsi="宋体" w:eastAsia="宋体" w:cs="宋体"/>
          <w:color w:val="auto"/>
          <w:sz w:val="24"/>
          <w:highlight w:val="none"/>
        </w:rPr>
        <w:t>。</w:t>
      </w:r>
    </w:p>
    <w:p w14:paraId="5CF4EF1A">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12.4.6支付分解表的编制</w:t>
      </w:r>
    </w:p>
    <w:p w14:paraId="74516E50">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2、总价合同支付分解表的编制与审批：</w:t>
      </w:r>
      <w:r>
        <w:rPr>
          <w:rFonts w:hint="eastAsia" w:ascii="宋体" w:hAnsi="宋体" w:eastAsia="宋体" w:cs="宋体"/>
          <w:color w:val="auto"/>
          <w:sz w:val="24"/>
          <w:highlight w:val="none"/>
          <w:u w:val="single"/>
        </w:rPr>
        <w:t>无</w:t>
      </w:r>
      <w:r>
        <w:rPr>
          <w:rFonts w:hint="eastAsia" w:ascii="宋体" w:hAnsi="宋体" w:eastAsia="宋体" w:cs="宋体"/>
          <w:color w:val="auto"/>
          <w:sz w:val="24"/>
          <w:highlight w:val="none"/>
        </w:rPr>
        <w:t>。</w:t>
      </w:r>
    </w:p>
    <w:p w14:paraId="6D68FDBB">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3、单价合同的总价项目支付分解表的编制与审批：</w:t>
      </w:r>
      <w:r>
        <w:rPr>
          <w:rFonts w:hint="eastAsia" w:ascii="宋体" w:hAnsi="宋体" w:eastAsia="宋体" w:cs="宋体"/>
          <w:color w:val="auto"/>
          <w:sz w:val="24"/>
          <w:highlight w:val="none"/>
          <w:u w:val="single"/>
        </w:rPr>
        <w:t>由承包人编制，按月随进度付款申请单一并报送</w:t>
      </w:r>
      <w:r>
        <w:rPr>
          <w:rFonts w:hint="eastAsia" w:ascii="宋体" w:hAnsi="宋体" w:eastAsia="宋体" w:cs="宋体"/>
          <w:color w:val="auto"/>
          <w:sz w:val="24"/>
          <w:highlight w:val="none"/>
        </w:rPr>
        <w:t>。</w:t>
      </w:r>
    </w:p>
    <w:bookmarkEnd w:id="619"/>
    <w:p w14:paraId="4BA0BE1F">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sz w:val="32"/>
          <w:szCs w:val="32"/>
          <w:highlight w:val="none"/>
        </w:rPr>
      </w:pPr>
      <w:bookmarkStart w:id="783" w:name="_Toc13591"/>
      <w:bookmarkStart w:id="784" w:name="_Toc6673"/>
      <w:bookmarkStart w:id="785" w:name="_Toc296891047"/>
      <w:bookmarkStart w:id="786" w:name="_Toc296944558"/>
      <w:bookmarkStart w:id="787" w:name="_Toc297120519"/>
      <w:bookmarkStart w:id="788" w:name="_Toc296347218"/>
      <w:bookmarkStart w:id="789" w:name="_Toc303539172"/>
      <w:bookmarkStart w:id="790" w:name="_Toc297216223"/>
      <w:bookmarkStart w:id="791" w:name="_Toc292559929"/>
      <w:bookmarkStart w:id="792" w:name="_Toc296891259"/>
      <w:bookmarkStart w:id="793" w:name="_Toc297048405"/>
      <w:bookmarkStart w:id="794" w:name="_Toc304295593"/>
      <w:bookmarkStart w:id="795" w:name="_Toc300935015"/>
      <w:bookmarkStart w:id="796" w:name="_Toc296346720"/>
      <w:bookmarkStart w:id="797" w:name="_Toc312678053"/>
      <w:bookmarkStart w:id="798" w:name="_Toc297123564"/>
      <w:bookmarkStart w:id="799" w:name="_Toc296503219"/>
      <w:bookmarkStart w:id="800" w:name="_Toc292559424"/>
      <w:r>
        <w:rPr>
          <w:rFonts w:hint="eastAsia" w:ascii="宋体" w:hAnsi="宋体" w:eastAsia="宋体" w:cs="宋体"/>
          <w:b w:val="0"/>
          <w:color w:val="auto"/>
          <w:highlight w:val="none"/>
        </w:rPr>
        <w:t>13.验收和工程试车</w:t>
      </w:r>
      <w:bookmarkEnd w:id="783"/>
      <w:bookmarkEnd w:id="784"/>
    </w:p>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65E2BD0D">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01" w:name="_Toc4385"/>
      <w:r>
        <w:rPr>
          <w:rFonts w:hint="eastAsia" w:ascii="宋体" w:hAnsi="宋体" w:eastAsia="宋体" w:cs="宋体"/>
          <w:color w:val="auto"/>
          <w:sz w:val="24"/>
          <w:highlight w:val="none"/>
        </w:rPr>
        <w:t>13.1分部分项工程验收</w:t>
      </w:r>
      <w:bookmarkEnd w:id="801"/>
    </w:p>
    <w:p w14:paraId="6551A123">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13.1.2监理人不能按时进行验收时，应提前</w:t>
      </w:r>
      <w:r>
        <w:rPr>
          <w:rFonts w:hint="eastAsia" w:ascii="宋体" w:hAnsi="宋体" w:eastAsia="宋体" w:cs="宋体"/>
          <w:color w:val="auto"/>
          <w:sz w:val="24"/>
          <w:highlight w:val="none"/>
          <w:u w:val="single"/>
        </w:rPr>
        <w:t>24</w:t>
      </w:r>
      <w:r>
        <w:rPr>
          <w:rFonts w:hint="eastAsia" w:ascii="宋体" w:hAnsi="宋体" w:eastAsia="宋体" w:cs="宋体"/>
          <w:color w:val="auto"/>
          <w:sz w:val="24"/>
          <w:highlight w:val="none"/>
        </w:rPr>
        <w:t>小时提交书面延期要求。</w:t>
      </w:r>
    </w:p>
    <w:p w14:paraId="573F41E1">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关于延期最长不得超过：</w:t>
      </w:r>
      <w:r>
        <w:rPr>
          <w:rFonts w:hint="eastAsia" w:ascii="宋体" w:hAnsi="宋体" w:eastAsia="宋体" w:cs="宋体"/>
          <w:color w:val="auto"/>
          <w:sz w:val="24"/>
          <w:highlight w:val="none"/>
          <w:u w:val="single"/>
        </w:rPr>
        <w:t>48</w:t>
      </w:r>
      <w:r>
        <w:rPr>
          <w:rFonts w:hint="eastAsia" w:ascii="宋体" w:hAnsi="宋体" w:eastAsia="宋体" w:cs="宋体"/>
          <w:color w:val="auto"/>
          <w:sz w:val="24"/>
          <w:highlight w:val="none"/>
        </w:rPr>
        <w:t>小时。</w:t>
      </w:r>
    </w:p>
    <w:p w14:paraId="7F419AC0">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02" w:name="_Toc3135"/>
      <w:bookmarkStart w:id="803" w:name="_Toc296503223"/>
      <w:bookmarkStart w:id="804" w:name="_Toc297123565"/>
      <w:bookmarkStart w:id="805" w:name="_Toc303539173"/>
      <w:bookmarkStart w:id="806" w:name="_Toc296891051"/>
      <w:bookmarkStart w:id="807" w:name="_Toc296346724"/>
      <w:bookmarkStart w:id="808" w:name="_Toc312678056"/>
      <w:bookmarkStart w:id="809" w:name="_Toc296891263"/>
      <w:bookmarkStart w:id="810" w:name="_Toc304295596"/>
      <w:bookmarkStart w:id="811" w:name="_Toc297216224"/>
      <w:bookmarkStart w:id="812" w:name="_Toc296944562"/>
      <w:bookmarkStart w:id="813" w:name="_Toc300935016"/>
      <w:bookmarkStart w:id="814" w:name="_Toc297120523"/>
      <w:bookmarkStart w:id="815" w:name="_Toc296347222"/>
      <w:bookmarkStart w:id="816" w:name="_Toc297048409"/>
      <w:bookmarkStart w:id="817" w:name="_Toc292559428"/>
      <w:bookmarkStart w:id="818" w:name="_Toc292559933"/>
      <w:bookmarkStart w:id="819" w:name="_Toc267251471"/>
      <w:bookmarkStart w:id="820" w:name="_Toc267251473"/>
      <w:bookmarkStart w:id="821" w:name="_Toc267251475"/>
      <w:bookmarkStart w:id="822" w:name="_Toc267251470"/>
      <w:bookmarkStart w:id="823" w:name="_Toc267251474"/>
      <w:bookmarkStart w:id="824" w:name="_Toc267251472"/>
      <w:bookmarkStart w:id="825" w:name="_Toc267251476"/>
      <w:r>
        <w:rPr>
          <w:rFonts w:hint="eastAsia" w:ascii="宋体" w:hAnsi="宋体" w:eastAsia="宋体" w:cs="宋体"/>
          <w:color w:val="auto"/>
          <w:sz w:val="24"/>
          <w:highlight w:val="none"/>
        </w:rPr>
        <w:t>13.2竣工验收</w:t>
      </w:r>
      <w:bookmarkEnd w:id="802"/>
    </w:p>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14:paraId="7B8080F9">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bookmarkStart w:id="826" w:name="_Toc280868704"/>
      <w:bookmarkStart w:id="827" w:name="_Toc280868705"/>
      <w:bookmarkStart w:id="828" w:name="_Toc280868706"/>
      <w:bookmarkStart w:id="829" w:name="_Toc280868707"/>
      <w:bookmarkStart w:id="830" w:name="_Toc280868708"/>
      <w:bookmarkStart w:id="831" w:name="_Toc280868709"/>
      <w:r>
        <w:rPr>
          <w:rFonts w:hint="eastAsia" w:ascii="宋体" w:hAnsi="宋体" w:eastAsia="宋体" w:cs="宋体"/>
          <w:color w:val="auto"/>
          <w:sz w:val="24"/>
          <w:highlight w:val="none"/>
        </w:rPr>
        <w:t>13.2.2竣工验收程序</w:t>
      </w:r>
    </w:p>
    <w:bookmarkEnd w:id="826"/>
    <w:p w14:paraId="09C166E9">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关于竣工验收程序的约定：</w:t>
      </w:r>
      <w:r>
        <w:rPr>
          <w:rFonts w:hint="eastAsia" w:ascii="宋体" w:hAnsi="宋体" w:eastAsia="宋体" w:cs="宋体"/>
          <w:color w:val="auto"/>
          <w:sz w:val="24"/>
          <w:highlight w:val="none"/>
          <w:u w:val="single"/>
        </w:rPr>
        <w:t>（1）竣工验收按有关程序执行。（2）竣工验收合格后28天内，由承包人提供完整的竣工结算报告。（3）发包人在收到完整的竣工结算报告后未按合约支付工程价款的，承包人有权申诉，或要求发包人承担违约责任，或按通用条款有关规定执行。凡属于政府重大投资项目的工程，必须经专业审计局审计后方办理工程结算或竣工结算）</w:t>
      </w:r>
      <w:r>
        <w:rPr>
          <w:rFonts w:hint="eastAsia" w:ascii="宋体" w:hAnsi="宋体" w:eastAsia="宋体" w:cs="宋体"/>
          <w:color w:val="auto"/>
          <w:sz w:val="24"/>
          <w:highlight w:val="none"/>
        </w:rPr>
        <w:t>。</w:t>
      </w:r>
    </w:p>
    <w:p w14:paraId="6AB15D7E">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发包人不按照本项约定组织竣工验收、颁发工程接收证书的违约金的计算方法：</w:t>
      </w:r>
      <w:r>
        <w:rPr>
          <w:rFonts w:hint="eastAsia" w:ascii="宋体" w:hAnsi="宋体" w:eastAsia="宋体" w:cs="宋体"/>
          <w:color w:val="auto"/>
          <w:sz w:val="24"/>
          <w:highlight w:val="none"/>
          <w:u w:val="single"/>
        </w:rPr>
        <w:t>协商解决</w:t>
      </w:r>
      <w:r>
        <w:rPr>
          <w:rFonts w:hint="eastAsia" w:ascii="宋体" w:hAnsi="宋体" w:eastAsia="宋体" w:cs="宋体"/>
          <w:color w:val="auto"/>
          <w:sz w:val="24"/>
          <w:highlight w:val="none"/>
        </w:rPr>
        <w:t>。</w:t>
      </w:r>
    </w:p>
    <w:bookmarkEnd w:id="827"/>
    <w:p w14:paraId="580C396D">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13.2.5移交、接收全部与部分工程</w:t>
      </w:r>
    </w:p>
    <w:bookmarkEnd w:id="828"/>
    <w:p w14:paraId="749BAC01">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承包人向发包人移交工程的期限：</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p>
    <w:p w14:paraId="355B086B">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发包人未按本合同约定接收全部或部分工程的，违约金的计算方法为：</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p>
    <w:bookmarkEnd w:id="829"/>
    <w:p w14:paraId="2056E99A">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承包人未按时移交工程的，违约金的计算方法为：</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p>
    <w:p w14:paraId="7C4F0B12">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32" w:name="_Toc20515"/>
      <w:r>
        <w:rPr>
          <w:rFonts w:hint="eastAsia" w:ascii="宋体" w:hAnsi="宋体" w:eastAsia="宋体" w:cs="宋体"/>
          <w:color w:val="auto"/>
          <w:sz w:val="24"/>
          <w:highlight w:val="none"/>
        </w:rPr>
        <w:t>13.3工程试车</w:t>
      </w:r>
      <w:bookmarkEnd w:id="832"/>
    </w:p>
    <w:bookmarkEnd w:id="830"/>
    <w:p w14:paraId="198FB5B9">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13.3.1试车程序</w:t>
      </w:r>
    </w:p>
    <w:p w14:paraId="609D2B4A">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工程试车内容：</w:t>
      </w:r>
      <w:r>
        <w:rPr>
          <w:rFonts w:hint="eastAsia" w:ascii="宋体" w:hAnsi="宋体" w:eastAsia="宋体" w:cs="宋体"/>
          <w:color w:val="auto"/>
          <w:sz w:val="24"/>
          <w:highlight w:val="none"/>
          <w:u w:val="single"/>
          <w:lang w:eastAsia="zh-CN"/>
        </w:rPr>
        <w:t>无</w:t>
      </w:r>
      <w:r>
        <w:rPr>
          <w:rFonts w:hint="eastAsia" w:ascii="宋体" w:hAnsi="宋体" w:eastAsia="宋体" w:cs="宋体"/>
          <w:color w:val="auto"/>
          <w:sz w:val="24"/>
          <w:highlight w:val="none"/>
          <w:u w:val="none"/>
          <w:lang w:val="en-US" w:eastAsia="zh-CN"/>
        </w:rPr>
        <w:t>。</w:t>
      </w:r>
    </w:p>
    <w:p w14:paraId="19CE97A6">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（1）单机无负荷试车费用由</w:t>
      </w:r>
      <w:r>
        <w:rPr>
          <w:rFonts w:hint="eastAsia" w:ascii="宋体" w:hAnsi="宋体" w:eastAsia="宋体" w:cs="宋体"/>
          <w:color w:val="auto"/>
          <w:sz w:val="24"/>
          <w:highlight w:val="none"/>
          <w:u w:val="single"/>
          <w:lang w:val="en-US" w:eastAsia="zh-CN"/>
        </w:rPr>
        <w:t>无</w:t>
      </w:r>
      <w:r>
        <w:rPr>
          <w:rFonts w:hint="eastAsia" w:ascii="宋体" w:hAnsi="宋体" w:eastAsia="宋体" w:cs="宋体"/>
          <w:color w:val="auto"/>
          <w:kern w:val="0"/>
          <w:sz w:val="24"/>
          <w:highlight w:val="none"/>
        </w:rPr>
        <w:t>承担；</w:t>
      </w:r>
    </w:p>
    <w:p w14:paraId="5592D3C6">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（2）无负荷联动试车费用由</w:t>
      </w:r>
      <w:r>
        <w:rPr>
          <w:rFonts w:hint="eastAsia" w:ascii="宋体" w:hAnsi="宋体" w:eastAsia="宋体" w:cs="宋体"/>
          <w:color w:val="auto"/>
          <w:sz w:val="24"/>
          <w:highlight w:val="none"/>
          <w:u w:val="single"/>
          <w:lang w:val="en-US" w:eastAsia="zh-CN"/>
        </w:rPr>
        <w:t>无</w:t>
      </w:r>
      <w:r>
        <w:rPr>
          <w:rFonts w:hint="eastAsia" w:ascii="宋体" w:hAnsi="宋体" w:eastAsia="宋体" w:cs="宋体"/>
          <w:color w:val="auto"/>
          <w:kern w:val="0"/>
          <w:sz w:val="24"/>
          <w:highlight w:val="none"/>
        </w:rPr>
        <w:t>承担。</w:t>
      </w:r>
    </w:p>
    <w:p w14:paraId="35AF44BB">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13.3.3投料试车</w:t>
      </w:r>
    </w:p>
    <w:p w14:paraId="78916184">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关于投料试车相关事项的约定：</w:t>
      </w:r>
      <w:r>
        <w:rPr>
          <w:rFonts w:hint="eastAsia" w:ascii="宋体" w:hAnsi="宋体" w:eastAsia="宋体" w:cs="宋体"/>
          <w:color w:val="auto"/>
          <w:sz w:val="24"/>
          <w:highlight w:val="none"/>
          <w:u w:val="single"/>
          <w:lang w:eastAsia="zh-CN"/>
        </w:rPr>
        <w:t>无</w:t>
      </w:r>
      <w:r>
        <w:rPr>
          <w:rFonts w:hint="eastAsia" w:ascii="宋体" w:hAnsi="宋体" w:eastAsia="宋体" w:cs="宋体"/>
          <w:color w:val="auto"/>
          <w:sz w:val="24"/>
          <w:highlight w:val="none"/>
          <w:u w:val="none"/>
          <w:lang w:val="en-US" w:eastAsia="zh-CN"/>
        </w:rPr>
        <w:t>。</w:t>
      </w:r>
    </w:p>
    <w:p w14:paraId="3DF810A0">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33" w:name="_Toc24012"/>
      <w:bookmarkStart w:id="834" w:name="_Toc31729"/>
      <w:r>
        <w:rPr>
          <w:rFonts w:hint="eastAsia" w:ascii="宋体" w:hAnsi="宋体" w:eastAsia="宋体" w:cs="宋体"/>
          <w:color w:val="auto"/>
          <w:sz w:val="24"/>
          <w:highlight w:val="none"/>
        </w:rPr>
        <w:t>13.6竣工退场</w:t>
      </w:r>
      <w:bookmarkEnd w:id="833"/>
      <w:bookmarkEnd w:id="834"/>
    </w:p>
    <w:p w14:paraId="25942618">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13.6.1竣工退场</w:t>
      </w:r>
    </w:p>
    <w:p w14:paraId="6536FD55">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承包人完成竣工退场的期限：</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none"/>
          <w:lang w:val="en-US" w:eastAsia="zh-CN"/>
        </w:rPr>
        <w:t>。</w:t>
      </w:r>
    </w:p>
    <w:p w14:paraId="04D7A279">
      <w:pPr>
        <w:pStyle w:val="7"/>
        <w:pageBreakBefore w:val="0"/>
        <w:numPr>
          <w:ilvl w:val="0"/>
          <w:numId w:val="3"/>
        </w:numPr>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rPr>
      </w:pPr>
      <w:bookmarkStart w:id="835" w:name="_Toc29707"/>
      <w:bookmarkStart w:id="836" w:name="_Toc3203"/>
      <w:r>
        <w:rPr>
          <w:rFonts w:hint="eastAsia" w:ascii="宋体" w:hAnsi="宋体" w:eastAsia="宋体" w:cs="宋体"/>
          <w:b w:val="0"/>
          <w:color w:val="auto"/>
          <w:highlight w:val="none"/>
        </w:rPr>
        <w:t>竣工结算</w:t>
      </w:r>
      <w:bookmarkEnd w:id="835"/>
      <w:bookmarkEnd w:id="836"/>
    </w:p>
    <w:p w14:paraId="37CFF691">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承包人提交竣工付款申请单的期限：</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none"/>
        </w:rPr>
        <w:t>。竣工付款申请单应包括的内容：</w:t>
      </w:r>
      <w:r>
        <w:rPr>
          <w:rFonts w:hint="eastAsia" w:ascii="宋体" w:hAnsi="宋体" w:eastAsia="宋体" w:cs="宋体"/>
          <w:color w:val="auto"/>
          <w:sz w:val="24"/>
          <w:highlight w:val="none"/>
          <w:u w:val="single"/>
        </w:rPr>
        <w:t>执行通用条款</w:t>
      </w:r>
      <w:r>
        <w:rPr>
          <w:rFonts w:hint="eastAsia" w:ascii="宋体" w:hAnsi="宋体" w:eastAsia="宋体" w:cs="宋体"/>
          <w:color w:val="auto"/>
          <w:sz w:val="24"/>
          <w:highlight w:val="none"/>
          <w:u w:val="none"/>
        </w:rPr>
        <w:t>。</w:t>
      </w:r>
    </w:p>
    <w:p w14:paraId="503A5284">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37" w:name="_Toc28552"/>
      <w:r>
        <w:rPr>
          <w:rFonts w:hint="eastAsia" w:ascii="宋体" w:hAnsi="宋体" w:eastAsia="宋体" w:cs="宋体"/>
          <w:color w:val="auto"/>
          <w:sz w:val="24"/>
          <w:highlight w:val="none"/>
        </w:rPr>
        <w:t>14.1竣工结算申请</w:t>
      </w:r>
      <w:bookmarkEnd w:id="837"/>
    </w:p>
    <w:p w14:paraId="6F1DA33B">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承包人提交竣工结算申请单的期限：</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p>
    <w:p w14:paraId="16BAC884">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竣工结算申请单应包括的内容：</w:t>
      </w:r>
      <w:r>
        <w:rPr>
          <w:rFonts w:hint="eastAsia" w:ascii="宋体" w:hAnsi="宋体" w:eastAsia="宋体" w:cs="宋体"/>
          <w:color w:val="auto"/>
          <w:sz w:val="24"/>
          <w:highlight w:val="none"/>
          <w:u w:val="single"/>
          <w:lang w:val="en-US" w:eastAsia="zh-CN"/>
        </w:rPr>
        <w:t>执行通用条款</w:t>
      </w:r>
      <w:r>
        <w:rPr>
          <w:rFonts w:hint="eastAsia" w:ascii="宋体" w:hAnsi="宋体" w:eastAsia="宋体" w:cs="宋体"/>
          <w:color w:val="auto"/>
          <w:sz w:val="24"/>
          <w:highlight w:val="none"/>
          <w:u w:val="none"/>
          <w:lang w:eastAsia="zh-CN"/>
        </w:rPr>
        <w:t>。</w:t>
      </w:r>
    </w:p>
    <w:p w14:paraId="1B69F40F">
      <w:pPr>
        <w:pageBreakBefore w:val="0"/>
        <w:kinsoku/>
        <w:wordWrap/>
        <w:overflowPunct/>
        <w:topLinePunct w:val="0"/>
        <w:bidi w:val="0"/>
        <w:spacing w:line="440" w:lineRule="exact"/>
        <w:ind w:firstLine="480" w:firstLineChars="200"/>
        <w:textAlignment w:val="auto"/>
        <w:outlineLvl w:val="1"/>
        <w:rPr>
          <w:rFonts w:hint="eastAsia" w:ascii="宋体" w:hAnsi="宋体" w:eastAsia="宋体" w:cs="宋体"/>
          <w:color w:val="auto"/>
          <w:sz w:val="24"/>
          <w:highlight w:val="none"/>
        </w:rPr>
      </w:pPr>
      <w:bookmarkStart w:id="838" w:name="_Toc22074"/>
      <w:r>
        <w:rPr>
          <w:rFonts w:hint="eastAsia" w:ascii="宋体" w:hAnsi="宋体" w:eastAsia="宋体" w:cs="宋体"/>
          <w:color w:val="auto"/>
          <w:sz w:val="24"/>
          <w:highlight w:val="none"/>
        </w:rPr>
        <w:t>14.2竣工结算审核</w:t>
      </w:r>
      <w:bookmarkEnd w:id="838"/>
    </w:p>
    <w:p w14:paraId="782AF753">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发包人审批竣工付款申请单的期限：</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p>
    <w:p w14:paraId="183B6294">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发包人完成竣工付款的期限：</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p>
    <w:p w14:paraId="3D59CE7C">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关于竣工付款证书异议部分复核的方式和程序：</w:t>
      </w:r>
      <w:r>
        <w:rPr>
          <w:rFonts w:hint="eastAsia" w:ascii="宋体" w:hAnsi="宋体" w:eastAsia="宋体" w:cs="宋体"/>
          <w:color w:val="auto"/>
          <w:sz w:val="24"/>
          <w:highlight w:val="none"/>
          <w:u w:val="single"/>
          <w:lang w:eastAsia="zh-CN"/>
        </w:rPr>
        <w:t>执行通用条款</w:t>
      </w:r>
      <w:r>
        <w:rPr>
          <w:rFonts w:hint="eastAsia" w:ascii="宋体" w:hAnsi="宋体" w:eastAsia="宋体" w:cs="宋体"/>
          <w:color w:val="auto"/>
          <w:sz w:val="24"/>
          <w:highlight w:val="none"/>
          <w:u w:val="none"/>
          <w:lang w:val="en-US" w:eastAsia="zh-CN"/>
        </w:rPr>
        <w:t>。</w:t>
      </w:r>
    </w:p>
    <w:p w14:paraId="251714EC">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39" w:name="_Toc18708"/>
      <w:r>
        <w:rPr>
          <w:rFonts w:hint="eastAsia" w:ascii="宋体" w:hAnsi="宋体" w:eastAsia="宋体" w:cs="宋体"/>
          <w:color w:val="auto"/>
          <w:sz w:val="24"/>
          <w:highlight w:val="none"/>
        </w:rPr>
        <w:t>14.4最终结清</w:t>
      </w:r>
      <w:bookmarkEnd w:id="839"/>
    </w:p>
    <w:p w14:paraId="060223B6">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14.4.1最终结清申请单</w:t>
      </w:r>
    </w:p>
    <w:p w14:paraId="3253208B">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承包人提交最终结清申请单的份数：</w:t>
      </w:r>
      <w:r>
        <w:rPr>
          <w:rFonts w:hint="eastAsia" w:ascii="宋体" w:hAnsi="宋体" w:eastAsia="宋体" w:cs="宋体"/>
          <w:color w:val="auto"/>
          <w:sz w:val="24"/>
          <w:highlight w:val="none"/>
          <w:u w:val="single"/>
          <w:lang w:val="en-US" w:eastAsia="zh-CN"/>
        </w:rPr>
        <w:t>一式五份</w:t>
      </w:r>
      <w:r>
        <w:rPr>
          <w:rFonts w:hint="eastAsia" w:ascii="宋体" w:hAnsi="宋体" w:eastAsia="宋体" w:cs="宋体"/>
          <w:color w:val="auto"/>
          <w:sz w:val="24"/>
          <w:highlight w:val="none"/>
        </w:rPr>
        <w:t>。</w:t>
      </w:r>
    </w:p>
    <w:p w14:paraId="5028E910">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承包人提交最终结算申请单的期限：</w:t>
      </w:r>
      <w:r>
        <w:rPr>
          <w:rFonts w:hint="eastAsia" w:ascii="宋体" w:hAnsi="宋体" w:eastAsia="宋体" w:cs="宋体"/>
          <w:color w:val="auto"/>
          <w:sz w:val="24"/>
          <w:highlight w:val="none"/>
          <w:u w:val="single"/>
        </w:rPr>
        <w:t>质保期满7日</w:t>
      </w:r>
      <w:r>
        <w:rPr>
          <w:rFonts w:hint="eastAsia" w:ascii="宋体" w:hAnsi="宋体" w:eastAsia="宋体" w:cs="宋体"/>
          <w:color w:val="auto"/>
          <w:sz w:val="24"/>
          <w:highlight w:val="none"/>
        </w:rPr>
        <w:t>。</w:t>
      </w:r>
    </w:p>
    <w:p w14:paraId="01EF9DC8">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14.4.2最终结清证书和支付</w:t>
      </w:r>
    </w:p>
    <w:p w14:paraId="34000F69">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（1）发包人完成最终结清申请单的审批并颁发最终结清证书的期限：</w:t>
      </w:r>
      <w:r>
        <w:rPr>
          <w:rFonts w:hint="eastAsia" w:ascii="宋体" w:hAnsi="宋体" w:eastAsia="宋体" w:cs="宋体"/>
          <w:color w:val="auto"/>
          <w:sz w:val="24"/>
          <w:highlight w:val="none"/>
          <w:u w:val="single"/>
          <w:lang w:eastAsia="zh-CN"/>
        </w:rPr>
        <w:t>收到申请14天内</w:t>
      </w:r>
      <w:r>
        <w:rPr>
          <w:rFonts w:hint="eastAsia" w:ascii="宋体" w:hAnsi="宋体" w:eastAsia="宋体" w:cs="宋体"/>
          <w:color w:val="auto"/>
          <w:sz w:val="24"/>
          <w:highlight w:val="none"/>
          <w:u w:val="none"/>
          <w:lang w:val="en-US" w:eastAsia="zh-CN"/>
        </w:rPr>
        <w:t>。</w:t>
      </w:r>
    </w:p>
    <w:p w14:paraId="5B85E6D3">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（2）发包人完成支付的期限：</w:t>
      </w:r>
      <w:r>
        <w:rPr>
          <w:rFonts w:hint="eastAsia" w:ascii="宋体" w:hAnsi="宋体" w:eastAsia="宋体" w:cs="宋体"/>
          <w:color w:val="auto"/>
          <w:sz w:val="24"/>
          <w:highlight w:val="none"/>
          <w:u w:val="single"/>
          <w:lang w:eastAsia="zh-CN"/>
        </w:rPr>
        <w:t>申请签发后14日内</w:t>
      </w:r>
      <w:r>
        <w:rPr>
          <w:rFonts w:hint="eastAsia" w:ascii="宋体" w:hAnsi="宋体" w:eastAsia="宋体" w:cs="宋体"/>
          <w:color w:val="auto"/>
          <w:sz w:val="24"/>
          <w:highlight w:val="none"/>
          <w:u w:val="none"/>
          <w:lang w:val="en-US" w:eastAsia="zh-CN"/>
        </w:rPr>
        <w:t>。</w:t>
      </w:r>
    </w:p>
    <w:bookmarkEnd w:id="819"/>
    <w:bookmarkEnd w:id="820"/>
    <w:bookmarkEnd w:id="821"/>
    <w:bookmarkEnd w:id="822"/>
    <w:bookmarkEnd w:id="823"/>
    <w:bookmarkEnd w:id="824"/>
    <w:bookmarkEnd w:id="825"/>
    <w:bookmarkEnd w:id="831"/>
    <w:p w14:paraId="7754AC9B">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rPr>
      </w:pPr>
      <w:bookmarkStart w:id="840" w:name="_Toc11691"/>
      <w:bookmarkStart w:id="841" w:name="_Toc14630"/>
      <w:bookmarkStart w:id="842" w:name="_Toc267251483"/>
      <w:bookmarkStart w:id="843" w:name="_Toc267251484"/>
      <w:bookmarkStart w:id="844" w:name="_Toc267251482"/>
      <w:bookmarkStart w:id="845" w:name="_Toc267251485"/>
      <w:bookmarkStart w:id="846" w:name="_Toc267251489"/>
      <w:bookmarkStart w:id="847" w:name="_Toc267251486"/>
      <w:bookmarkStart w:id="848" w:name="_Toc267251488"/>
      <w:bookmarkStart w:id="849" w:name="_Toc267251490"/>
      <w:bookmarkStart w:id="850" w:name="_Toc267251491"/>
      <w:bookmarkStart w:id="851" w:name="_Toc267251498"/>
      <w:bookmarkStart w:id="852" w:name="_Toc267251494"/>
      <w:bookmarkStart w:id="853" w:name="_Toc267251496"/>
      <w:bookmarkStart w:id="854" w:name="_Toc267251497"/>
      <w:bookmarkStart w:id="855" w:name="_Toc267251492"/>
      <w:bookmarkStart w:id="856" w:name="_Toc267251503"/>
      <w:bookmarkStart w:id="857" w:name="_Toc267251501"/>
      <w:bookmarkStart w:id="858" w:name="_Toc267251495"/>
      <w:bookmarkStart w:id="859" w:name="_Toc267251499"/>
      <w:bookmarkStart w:id="860" w:name="_Toc267251493"/>
      <w:bookmarkStart w:id="861" w:name="_Toc267251502"/>
      <w:bookmarkStart w:id="862" w:name="_Toc267251504"/>
      <w:bookmarkStart w:id="863" w:name="_Toc267251506"/>
      <w:bookmarkStart w:id="864" w:name="_Toc267251507"/>
      <w:bookmarkStart w:id="865" w:name="_Toc267251508"/>
      <w:bookmarkStart w:id="866" w:name="_Toc267251511"/>
      <w:bookmarkStart w:id="867" w:name="_Toc267251513"/>
      <w:bookmarkStart w:id="868" w:name="_Toc267251515"/>
      <w:bookmarkStart w:id="869" w:name="_Toc267251514"/>
      <w:bookmarkStart w:id="870" w:name="_Toc267251509"/>
      <w:bookmarkStart w:id="871" w:name="_Toc267251510"/>
      <w:r>
        <w:rPr>
          <w:rFonts w:hint="eastAsia" w:ascii="宋体" w:hAnsi="宋体" w:eastAsia="宋体" w:cs="宋体"/>
          <w:b w:val="0"/>
          <w:color w:val="auto"/>
          <w:highlight w:val="none"/>
        </w:rPr>
        <w:t>15.缺陷责任期与保修</w:t>
      </w:r>
      <w:bookmarkEnd w:id="840"/>
      <w:bookmarkEnd w:id="841"/>
    </w:p>
    <w:p w14:paraId="48112AEF">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72" w:name="_Toc5829"/>
      <w:r>
        <w:rPr>
          <w:rFonts w:hint="eastAsia" w:ascii="宋体" w:hAnsi="宋体" w:eastAsia="宋体" w:cs="宋体"/>
          <w:color w:val="auto"/>
          <w:sz w:val="24"/>
          <w:highlight w:val="none"/>
        </w:rPr>
        <w:t>15.2缺陷责任期</w:t>
      </w:r>
      <w:bookmarkEnd w:id="842"/>
      <w:bookmarkEnd w:id="872"/>
    </w:p>
    <w:p w14:paraId="678A6351">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缺陷责任期的具体期限：</w:t>
      </w:r>
      <w:r>
        <w:rPr>
          <w:rFonts w:hint="eastAsia" w:ascii="宋体" w:hAnsi="宋体" w:eastAsia="宋体" w:cs="宋体"/>
          <w:color w:val="auto"/>
          <w:sz w:val="24"/>
          <w:highlight w:val="none"/>
          <w:u w:val="single"/>
          <w:lang w:eastAsia="zh-CN"/>
        </w:rPr>
        <w:t>按国家有关规定执行</w:t>
      </w:r>
      <w:r>
        <w:rPr>
          <w:rFonts w:hint="eastAsia" w:ascii="宋体" w:hAnsi="宋体" w:eastAsia="宋体" w:cs="宋体"/>
          <w:color w:val="auto"/>
          <w:sz w:val="24"/>
          <w:highlight w:val="none"/>
        </w:rPr>
        <w:t>。</w:t>
      </w:r>
    </w:p>
    <w:p w14:paraId="3FE897E0">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73" w:name="_Toc27040"/>
      <w:bookmarkStart w:id="874" w:name="_Toc7511"/>
      <w:r>
        <w:rPr>
          <w:rFonts w:hint="eastAsia" w:ascii="宋体" w:hAnsi="宋体" w:eastAsia="宋体" w:cs="宋体"/>
          <w:color w:val="auto"/>
          <w:sz w:val="24"/>
          <w:highlight w:val="none"/>
        </w:rPr>
        <w:t>15.3质量保证金</w:t>
      </w:r>
      <w:bookmarkEnd w:id="873"/>
      <w:bookmarkEnd w:id="874"/>
    </w:p>
    <w:p w14:paraId="7653043B">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关于是否扣留质量保证金的约定：</w:t>
      </w:r>
      <w:r>
        <w:rPr>
          <w:rFonts w:hint="eastAsia" w:ascii="宋体" w:hAnsi="宋体" w:eastAsia="宋体" w:cs="宋体"/>
          <w:color w:val="auto"/>
          <w:sz w:val="24"/>
          <w:highlight w:val="none"/>
          <w:u w:val="single"/>
          <w:lang w:eastAsia="zh-CN"/>
        </w:rPr>
        <w:t>扣留质保金</w:t>
      </w:r>
      <w:r>
        <w:rPr>
          <w:rFonts w:hint="eastAsia" w:ascii="宋体" w:hAnsi="宋体" w:eastAsia="宋体" w:cs="宋体"/>
          <w:color w:val="auto"/>
          <w:sz w:val="24"/>
          <w:highlight w:val="none"/>
        </w:rPr>
        <w:t>。</w:t>
      </w:r>
    </w:p>
    <w:p w14:paraId="6A445269">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bookmarkStart w:id="875" w:name="_Toc8566"/>
      <w:r>
        <w:rPr>
          <w:rFonts w:hint="eastAsia" w:ascii="宋体" w:hAnsi="宋体" w:eastAsia="宋体" w:cs="宋体"/>
          <w:color w:val="auto"/>
          <w:sz w:val="24"/>
          <w:highlight w:val="none"/>
        </w:rPr>
        <w:t>15.3.1承包人提供质量保证金的方式</w:t>
      </w:r>
      <w:bookmarkEnd w:id="875"/>
    </w:p>
    <w:p w14:paraId="163C9180">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质量保证金采用以下第</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种方式：</w:t>
      </w:r>
    </w:p>
    <w:p w14:paraId="3014675F">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（1）质量保证金保函，保证金额为：</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kern w:val="0"/>
          <w:sz w:val="24"/>
          <w:highlight w:val="none"/>
        </w:rPr>
        <w:t>；</w:t>
      </w:r>
    </w:p>
    <w:p w14:paraId="7E2842D7">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en-US" w:eastAsia="zh-CN"/>
        </w:rPr>
        <w:t>结算价</w:t>
      </w:r>
      <w:r>
        <w:rPr>
          <w:rFonts w:hint="eastAsia" w:ascii="宋体" w:hAnsi="宋体" w:eastAsia="宋体" w:cs="宋体"/>
          <w:color w:val="auto"/>
          <w:kern w:val="0"/>
          <w:sz w:val="24"/>
          <w:highlight w:val="none"/>
          <w:lang w:eastAsia="zh-CN"/>
        </w:rPr>
        <w:t>；</w:t>
      </w:r>
    </w:p>
    <w:p w14:paraId="2ADB1306">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（3）其他方式:</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none"/>
          <w:lang w:val="en-US" w:eastAsia="zh-CN"/>
        </w:rPr>
        <w:t>。</w:t>
      </w:r>
    </w:p>
    <w:p w14:paraId="22843C38">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lang w:eastAsia="zh-CN"/>
        </w:rPr>
      </w:pPr>
      <w:bookmarkStart w:id="876" w:name="_Toc1094"/>
      <w:r>
        <w:rPr>
          <w:rFonts w:hint="eastAsia" w:ascii="宋体" w:hAnsi="宋体" w:eastAsia="宋体" w:cs="宋体"/>
          <w:color w:val="auto"/>
          <w:sz w:val="24"/>
          <w:highlight w:val="none"/>
        </w:rPr>
        <w:t>15.3.2质量保证金的扣留</w:t>
      </w:r>
      <w:bookmarkEnd w:id="876"/>
    </w:p>
    <w:p w14:paraId="046E0D5A">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质量保证金的扣留采取以下第</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种方式：</w:t>
      </w:r>
    </w:p>
    <w:p w14:paraId="006F7F1F">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6B26E593">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宋体" w:hAnsi="宋体" w:eastAsia="宋体" w:cs="宋体"/>
          <w:color w:val="auto"/>
          <w:kern w:val="0"/>
          <w:sz w:val="24"/>
          <w:highlight w:val="none"/>
        </w:rPr>
      </w:pPr>
      <w:bookmarkStart w:id="877" w:name="_Toc5264"/>
      <w:r>
        <w:rPr>
          <w:rFonts w:hint="eastAsia" w:ascii="宋体" w:hAnsi="宋体" w:eastAsia="宋体" w:cs="宋体"/>
          <w:color w:val="auto"/>
          <w:kern w:val="0"/>
          <w:sz w:val="24"/>
          <w:highlight w:val="none"/>
        </w:rPr>
        <w:t>（2）工程竣工结算时一次性扣留质量保证金；</w:t>
      </w:r>
      <w:bookmarkEnd w:id="877"/>
    </w:p>
    <w:p w14:paraId="7DCCF903">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（3）其他扣留方式：</w:t>
      </w:r>
      <w:r>
        <w:rPr>
          <w:rFonts w:hint="eastAsia" w:ascii="宋体" w:hAnsi="宋体" w:eastAsia="宋体" w:cs="宋体"/>
          <w:color w:val="auto"/>
          <w:sz w:val="24"/>
          <w:highlight w:val="none"/>
          <w:u w:val="single"/>
          <w:lang w:eastAsia="zh-CN"/>
        </w:rPr>
        <w:t>执行合同通用条款规定</w:t>
      </w:r>
      <w:r>
        <w:rPr>
          <w:rFonts w:hint="eastAsia" w:ascii="宋体" w:hAnsi="宋体" w:eastAsia="宋体" w:cs="宋体"/>
          <w:color w:val="auto"/>
          <w:kern w:val="0"/>
          <w:sz w:val="24"/>
          <w:highlight w:val="none"/>
        </w:rPr>
        <w:t>。</w:t>
      </w:r>
    </w:p>
    <w:p w14:paraId="2F7B2571">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关于质量保证金的补充约定：</w:t>
      </w:r>
      <w:r>
        <w:rPr>
          <w:rFonts w:hint="eastAsia" w:ascii="宋体" w:hAnsi="宋体" w:eastAsia="宋体" w:cs="宋体"/>
          <w:color w:val="auto"/>
          <w:sz w:val="24"/>
          <w:highlight w:val="none"/>
          <w:u w:val="single"/>
          <w:lang w:eastAsia="zh-CN"/>
        </w:rPr>
        <w:t>执行合同通用条款规定</w:t>
      </w:r>
      <w:r>
        <w:rPr>
          <w:rFonts w:hint="eastAsia" w:ascii="宋体" w:hAnsi="宋体" w:eastAsia="宋体" w:cs="宋体"/>
          <w:color w:val="auto"/>
          <w:sz w:val="24"/>
          <w:highlight w:val="none"/>
          <w:u w:val="none"/>
          <w:lang w:val="en-US" w:eastAsia="zh-CN"/>
        </w:rPr>
        <w:t>。</w:t>
      </w:r>
    </w:p>
    <w:bookmarkEnd w:id="843"/>
    <w:bookmarkEnd w:id="844"/>
    <w:p w14:paraId="6BB25404">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78" w:name="_Toc28802"/>
      <w:r>
        <w:rPr>
          <w:rFonts w:hint="eastAsia" w:ascii="宋体" w:hAnsi="宋体" w:eastAsia="宋体" w:cs="宋体"/>
          <w:color w:val="auto"/>
          <w:sz w:val="24"/>
          <w:highlight w:val="none"/>
        </w:rPr>
        <w:t>15.4保修</w:t>
      </w:r>
      <w:bookmarkEnd w:id="878"/>
    </w:p>
    <w:bookmarkEnd w:id="845"/>
    <w:p w14:paraId="663EDD95">
      <w:pPr>
        <w:pageBreakBefore w:val="0"/>
        <w:kinsoku/>
        <w:wordWrap/>
        <w:overflowPunct/>
        <w:topLinePunct w:val="0"/>
        <w:bidi w:val="0"/>
        <w:spacing w:line="360" w:lineRule="auto"/>
        <w:ind w:firstLine="468" w:firstLineChars="195"/>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15.4.1保修责任</w:t>
      </w:r>
    </w:p>
    <w:p w14:paraId="08B5733A">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工程保修期为：</w:t>
      </w:r>
      <w:r>
        <w:rPr>
          <w:rFonts w:hint="eastAsia" w:ascii="宋体" w:hAnsi="宋体" w:eastAsia="宋体" w:cs="宋体"/>
          <w:color w:val="auto"/>
          <w:sz w:val="24"/>
          <w:highlight w:val="none"/>
          <w:u w:val="single"/>
          <w:lang w:eastAsia="zh-CN"/>
        </w:rPr>
        <w:t>按国家有关规定执行</w:t>
      </w:r>
      <w:r>
        <w:rPr>
          <w:rFonts w:hint="eastAsia" w:ascii="宋体" w:hAnsi="宋体" w:eastAsia="宋体" w:cs="宋体"/>
          <w:color w:val="auto"/>
          <w:sz w:val="24"/>
          <w:highlight w:val="none"/>
          <w:u w:val="none"/>
          <w:lang w:val="en-US" w:eastAsia="zh-CN"/>
        </w:rPr>
        <w:t>。</w:t>
      </w:r>
    </w:p>
    <w:p w14:paraId="24E28F48">
      <w:pPr>
        <w:pageBreakBefore w:val="0"/>
        <w:kinsoku/>
        <w:wordWrap/>
        <w:overflowPunct/>
        <w:topLinePunct w:val="0"/>
        <w:bidi w:val="0"/>
        <w:spacing w:line="360" w:lineRule="auto"/>
        <w:ind w:firstLine="468" w:firstLineChars="195"/>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15.4.3修复通知</w:t>
      </w:r>
    </w:p>
    <w:p w14:paraId="5F4CA496">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kern w:val="0"/>
          <w:sz w:val="24"/>
          <w:highlight w:val="none"/>
        </w:rPr>
        <w:t>承包人收到保修通知并到达工程现场的合理时间：</w:t>
      </w:r>
      <w:r>
        <w:rPr>
          <w:rFonts w:hint="eastAsia" w:ascii="宋体" w:hAnsi="宋体" w:eastAsia="宋体" w:cs="宋体"/>
          <w:color w:val="auto"/>
          <w:kern w:val="0"/>
          <w:sz w:val="24"/>
          <w:highlight w:val="none"/>
          <w:u w:val="single"/>
          <w:lang w:val="en-US" w:eastAsia="zh-CN"/>
        </w:rPr>
        <w:t>承包人建立应急相应机制，</w:t>
      </w:r>
      <w:r>
        <w:rPr>
          <w:rFonts w:hint="eastAsia" w:ascii="宋体" w:hAnsi="宋体" w:eastAsia="宋体" w:cs="宋体"/>
          <w:color w:val="auto"/>
          <w:sz w:val="24"/>
          <w:highlight w:val="none"/>
          <w:u w:val="single"/>
          <w:lang w:val="en-US" w:eastAsia="zh-CN"/>
        </w:rPr>
        <w:t>收到发包人关于群众投诉类问题通知后4小时内到达工程现场并及时处理；其他问题，收到通知后24小时内到达工程现场并及时处理。</w:t>
      </w:r>
    </w:p>
    <w:p w14:paraId="0327FCEB">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1.属于保修范围和内容的项目，承包人应在接到修理通知之日后7天内派人修理完毕。承包人不在约定期限内派人修理，发包人可委托其他人员修理，保修费用从质量保修金内扣除</w:t>
      </w:r>
      <w:r>
        <w:rPr>
          <w:rFonts w:hint="eastAsia" w:ascii="宋体" w:hAnsi="宋体" w:eastAsia="宋体" w:cs="宋体"/>
          <w:color w:val="auto"/>
          <w:sz w:val="24"/>
          <w:highlight w:val="none"/>
          <w:u w:val="none"/>
          <w:lang w:val="en-US" w:eastAsia="zh-CN"/>
        </w:rPr>
        <w:t>。</w:t>
      </w:r>
    </w:p>
    <w:p w14:paraId="6E0F60B7">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single"/>
          <w:lang w:val="en-US" w:eastAsia="zh-CN"/>
        </w:rPr>
        <w:t>2.发生须紧急抢修事故（如上水跑水、暖气漏水漏气、燃气漏气等），承包人接到事故通知后，应立即到达事故现场抢修</w:t>
      </w:r>
      <w:r>
        <w:rPr>
          <w:rFonts w:hint="eastAsia" w:ascii="宋体" w:hAnsi="宋体" w:eastAsia="宋体" w:cs="宋体"/>
          <w:color w:val="auto"/>
          <w:sz w:val="24"/>
          <w:highlight w:val="none"/>
          <w:u w:val="none"/>
          <w:lang w:val="en-US" w:eastAsia="zh-CN"/>
        </w:rPr>
        <w:t>。</w:t>
      </w:r>
    </w:p>
    <w:p w14:paraId="69A3425C">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lang w:val="en-US" w:eastAsia="zh-CN"/>
        </w:rPr>
        <w:t>3.质量保修完成后，由发包人和使用单位组织验收。</w:t>
      </w:r>
    </w:p>
    <w:bookmarkEnd w:id="846"/>
    <w:bookmarkEnd w:id="847"/>
    <w:bookmarkEnd w:id="848"/>
    <w:bookmarkEnd w:id="849"/>
    <w:p w14:paraId="17AE507F">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rPr>
      </w:pPr>
      <w:bookmarkStart w:id="879" w:name="_Toc13005"/>
      <w:bookmarkStart w:id="880" w:name="_Toc29299"/>
      <w:bookmarkStart w:id="881" w:name="_Toc280868717"/>
      <w:bookmarkStart w:id="882" w:name="_Toc280868718"/>
      <w:r>
        <w:rPr>
          <w:rFonts w:hint="eastAsia" w:ascii="宋体" w:hAnsi="宋体" w:eastAsia="宋体" w:cs="宋体"/>
          <w:b w:val="0"/>
          <w:color w:val="auto"/>
          <w:highlight w:val="none"/>
        </w:rPr>
        <w:t>16.违约</w:t>
      </w:r>
      <w:bookmarkEnd w:id="879"/>
      <w:bookmarkEnd w:id="880"/>
    </w:p>
    <w:p w14:paraId="627D5F8F">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83" w:name="_Toc16816"/>
      <w:bookmarkStart w:id="884" w:name="_Toc10039"/>
      <w:r>
        <w:rPr>
          <w:rFonts w:hint="eastAsia" w:ascii="宋体" w:hAnsi="宋体" w:eastAsia="宋体" w:cs="宋体"/>
          <w:color w:val="auto"/>
          <w:sz w:val="24"/>
          <w:highlight w:val="none"/>
        </w:rPr>
        <w:t>16.1发包人违约</w:t>
      </w:r>
      <w:bookmarkEnd w:id="883"/>
      <w:bookmarkEnd w:id="884"/>
    </w:p>
    <w:p w14:paraId="713DC51C">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16.1.1发包人违约的情形</w:t>
      </w:r>
    </w:p>
    <w:p w14:paraId="179ACCE2">
      <w:pPr>
        <w:pageBreakBefore w:val="0"/>
        <w:kinsoku/>
        <w:wordWrap/>
        <w:overflowPunct/>
        <w:topLinePunct w:val="0"/>
        <w:bidi w:val="0"/>
        <w:spacing w:line="360" w:lineRule="auto"/>
        <w:ind w:left="1316" w:leftChars="284" w:hanging="720" w:hangingChars="3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发包人违约的其他情形：</w:t>
      </w:r>
      <w:r>
        <w:rPr>
          <w:rFonts w:hint="eastAsia" w:ascii="宋体" w:hAnsi="宋体" w:eastAsia="宋体" w:cs="宋体"/>
          <w:color w:val="auto"/>
          <w:sz w:val="24"/>
          <w:highlight w:val="none"/>
          <w:u w:val="single"/>
          <w:lang w:eastAsia="zh-CN"/>
        </w:rPr>
        <w:t>无</w:t>
      </w:r>
      <w:r>
        <w:rPr>
          <w:rFonts w:hint="eastAsia" w:ascii="宋体" w:hAnsi="宋体" w:eastAsia="宋体" w:cs="宋体"/>
          <w:color w:val="auto"/>
          <w:sz w:val="24"/>
          <w:highlight w:val="none"/>
          <w:u w:val="none"/>
          <w:lang w:val="en-US" w:eastAsia="zh-CN"/>
        </w:rPr>
        <w:t>。</w:t>
      </w:r>
    </w:p>
    <w:p w14:paraId="61273E5A">
      <w:pPr>
        <w:pageBreakBefore w:val="0"/>
        <w:kinsoku/>
        <w:wordWrap/>
        <w:overflowPunct/>
        <w:topLinePunct w:val="0"/>
        <w:bidi w:val="0"/>
        <w:spacing w:line="360" w:lineRule="auto"/>
        <w:ind w:left="1198" w:leftChars="228" w:hanging="720" w:hangingChars="300"/>
        <w:jc w:val="left"/>
        <w:textAlignment w:val="auto"/>
        <w:outlineLvl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16.1.2发包人违约的责任</w:t>
      </w:r>
    </w:p>
    <w:p w14:paraId="6592ECE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发包人违约责任的承担方式和计算方法：</w:t>
      </w:r>
    </w:p>
    <w:p w14:paraId="4098560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rPr>
        <w:t>（1）因发包人原因未能在计划开工日期前7天内下达开工通知的违约责任：</w:t>
      </w:r>
      <w:r>
        <w:rPr>
          <w:rFonts w:hint="eastAsia" w:ascii="宋体" w:hAnsi="宋体" w:eastAsia="宋体" w:cs="宋体"/>
          <w:color w:val="auto"/>
          <w:kern w:val="0"/>
          <w:sz w:val="24"/>
          <w:highlight w:val="none"/>
          <w:u w:val="single"/>
          <w:lang w:eastAsia="zh-CN"/>
        </w:rPr>
        <w:t>协商解决</w:t>
      </w:r>
      <w:r>
        <w:rPr>
          <w:rFonts w:hint="eastAsia" w:ascii="宋体" w:hAnsi="宋体" w:eastAsia="宋体" w:cs="宋体"/>
          <w:color w:val="auto"/>
          <w:kern w:val="0"/>
          <w:sz w:val="24"/>
          <w:highlight w:val="none"/>
          <w:u w:val="none"/>
          <w:lang w:val="en-US" w:eastAsia="zh-CN"/>
        </w:rPr>
        <w:t>。</w:t>
      </w:r>
    </w:p>
    <w:p w14:paraId="19B7F70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rPr>
        <w:t>（2）因发包人原因未能按合同约定支付合同价款的违约责任：</w:t>
      </w:r>
      <w:r>
        <w:rPr>
          <w:rFonts w:hint="eastAsia" w:ascii="宋体" w:hAnsi="宋体" w:eastAsia="宋体" w:cs="宋体"/>
          <w:color w:val="auto"/>
          <w:kern w:val="0"/>
          <w:sz w:val="24"/>
          <w:highlight w:val="none"/>
          <w:u w:val="single"/>
          <w:lang w:eastAsia="zh-CN"/>
        </w:rPr>
        <w:t>协商解决</w:t>
      </w:r>
      <w:r>
        <w:rPr>
          <w:rFonts w:hint="eastAsia" w:ascii="宋体" w:hAnsi="宋体" w:eastAsia="宋体" w:cs="宋体"/>
          <w:color w:val="auto"/>
          <w:kern w:val="0"/>
          <w:sz w:val="24"/>
          <w:highlight w:val="none"/>
          <w:u w:val="none"/>
          <w:lang w:val="en-US" w:eastAsia="zh-CN"/>
        </w:rPr>
        <w:t>。</w:t>
      </w:r>
    </w:p>
    <w:p w14:paraId="6A26ABF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highlight w:val="none"/>
          <w:u w:val="single"/>
          <w:lang w:eastAsia="zh-CN"/>
        </w:rPr>
        <w:t>协商解决</w:t>
      </w:r>
      <w:r>
        <w:rPr>
          <w:rFonts w:hint="eastAsia" w:ascii="宋体" w:hAnsi="宋体" w:eastAsia="宋体" w:cs="宋体"/>
          <w:color w:val="auto"/>
          <w:kern w:val="0"/>
          <w:sz w:val="24"/>
          <w:highlight w:val="none"/>
          <w:lang w:val="en-US" w:eastAsia="zh-CN"/>
        </w:rPr>
        <w:t>。</w:t>
      </w:r>
    </w:p>
    <w:p w14:paraId="73D4A9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highlight w:val="none"/>
          <w:u w:val="single"/>
          <w:lang w:val="en-US" w:eastAsia="zh-CN"/>
        </w:rPr>
        <w:t>协商解决。</w:t>
      </w:r>
    </w:p>
    <w:p w14:paraId="3622E59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（5）因发包人违反合同约定造成暂停施工的违约责任：</w:t>
      </w:r>
      <w:r>
        <w:rPr>
          <w:rFonts w:hint="eastAsia" w:ascii="宋体" w:hAnsi="宋体" w:eastAsia="宋体" w:cs="宋体"/>
          <w:color w:val="auto"/>
          <w:kern w:val="0"/>
          <w:sz w:val="24"/>
          <w:highlight w:val="none"/>
          <w:u w:val="single"/>
          <w:lang w:val="en-US" w:eastAsia="zh-CN"/>
        </w:rPr>
        <w:t>协商解决。</w:t>
      </w:r>
    </w:p>
    <w:p w14:paraId="5456FD8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（6）发包人无正当理由没有在约定期限内发出复工指示，导致承包人无法复工的违约责任：</w:t>
      </w:r>
      <w:r>
        <w:rPr>
          <w:rFonts w:hint="eastAsia" w:ascii="宋体" w:hAnsi="宋体" w:eastAsia="宋体" w:cs="宋体"/>
          <w:color w:val="auto"/>
          <w:kern w:val="0"/>
          <w:sz w:val="24"/>
          <w:highlight w:val="none"/>
          <w:u w:val="single"/>
          <w:lang w:eastAsia="zh-CN"/>
        </w:rPr>
        <w:t>无</w:t>
      </w:r>
      <w:r>
        <w:rPr>
          <w:rFonts w:hint="eastAsia" w:ascii="宋体" w:hAnsi="宋体" w:eastAsia="宋体" w:cs="宋体"/>
          <w:color w:val="auto"/>
          <w:kern w:val="0"/>
          <w:sz w:val="24"/>
          <w:highlight w:val="none"/>
          <w:u w:val="single"/>
          <w:lang w:val="en-US" w:eastAsia="zh-CN"/>
        </w:rPr>
        <w:t>。</w:t>
      </w:r>
    </w:p>
    <w:p w14:paraId="493C658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（7）其他：</w:t>
      </w:r>
      <w:r>
        <w:rPr>
          <w:rFonts w:hint="eastAsia" w:ascii="宋体" w:hAnsi="宋体" w:eastAsia="宋体" w:cs="宋体"/>
          <w:color w:val="auto"/>
          <w:kern w:val="0"/>
          <w:sz w:val="24"/>
          <w:highlight w:val="none"/>
          <w:u w:val="single"/>
          <w:lang w:eastAsia="zh-CN"/>
        </w:rPr>
        <w:t>执行通用条款</w:t>
      </w:r>
      <w:r>
        <w:rPr>
          <w:rFonts w:hint="eastAsia" w:ascii="宋体" w:hAnsi="宋体" w:eastAsia="宋体" w:cs="宋体"/>
          <w:color w:val="auto"/>
          <w:kern w:val="0"/>
          <w:sz w:val="24"/>
          <w:highlight w:val="none"/>
          <w:u w:val="single"/>
          <w:lang w:val="en-US" w:eastAsia="zh-CN"/>
        </w:rPr>
        <w:t>。</w:t>
      </w:r>
    </w:p>
    <w:p w14:paraId="4004DF53">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16.1.3因发包人违约解除合同</w:t>
      </w:r>
    </w:p>
    <w:p w14:paraId="5178C65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承包人按16.1.1项〔发包人违约的情形〕约定暂停施工满</w:t>
      </w:r>
      <w:r>
        <w:rPr>
          <w:rFonts w:hint="eastAsia" w:ascii="宋体" w:hAnsi="宋体" w:eastAsia="宋体" w:cs="宋体"/>
          <w:color w:val="auto"/>
          <w:kern w:val="0"/>
          <w:sz w:val="24"/>
          <w:highlight w:val="none"/>
          <w:u w:val="single"/>
          <w:lang w:val="en-US" w:eastAsia="zh-CN"/>
        </w:rPr>
        <w:t>60</w:t>
      </w:r>
      <w:r>
        <w:rPr>
          <w:rFonts w:hint="eastAsia" w:ascii="宋体" w:hAnsi="宋体" w:eastAsia="宋体" w:cs="宋体"/>
          <w:color w:val="auto"/>
          <w:kern w:val="0"/>
          <w:sz w:val="24"/>
          <w:highlight w:val="none"/>
        </w:rPr>
        <w:t>天后发包人仍不纠正其违约行为并致使合同目的不能实现的，承包人有权解除合同。</w:t>
      </w:r>
    </w:p>
    <w:p w14:paraId="3F34403E">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85" w:name="_Toc3078"/>
      <w:bookmarkStart w:id="886" w:name="_Toc6586"/>
      <w:r>
        <w:rPr>
          <w:rFonts w:hint="eastAsia" w:ascii="宋体" w:hAnsi="宋体" w:eastAsia="宋体" w:cs="宋体"/>
          <w:color w:val="auto"/>
          <w:sz w:val="24"/>
          <w:highlight w:val="none"/>
        </w:rPr>
        <w:t>16.2承包人违约</w:t>
      </w:r>
      <w:bookmarkEnd w:id="885"/>
      <w:bookmarkEnd w:id="886"/>
    </w:p>
    <w:p w14:paraId="3611A16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16.2.1承包人违约的情形</w:t>
      </w:r>
    </w:p>
    <w:p w14:paraId="1D104E8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rPr>
        <w:t>承包人违约的其他情形：</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none"/>
          <w:lang w:val="en-US" w:eastAsia="zh-CN"/>
        </w:rPr>
        <w:t>。</w:t>
      </w:r>
    </w:p>
    <w:p w14:paraId="0D6DCFC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16.2.2承包人违约的责任</w:t>
      </w:r>
    </w:p>
    <w:p w14:paraId="1E816F3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承包人违约责任的承担方式和计算方法：</w:t>
      </w:r>
      <w:r>
        <w:rPr>
          <w:rFonts w:hint="eastAsia" w:ascii="宋体" w:hAnsi="宋体" w:eastAsia="宋体" w:cs="宋体"/>
          <w:color w:val="auto"/>
          <w:kern w:val="0"/>
          <w:sz w:val="24"/>
          <w:highlight w:val="none"/>
          <w:u w:val="single"/>
          <w:lang w:eastAsia="zh-CN"/>
        </w:rPr>
        <w:t>未按时提交工程竣工结算资料的、因承包人原因造成工程质量不合格的，承包人应承担全部经济责任,并按结算造价5%向发包人支付违约金。并将不合格的工程返工至合格，返工费用承包人承担。如果承包人原因造成工期延误而遇不可抗力时，责任由承包人全部承担，并按本合同7.5.2条款约定承担工程不能按期竣工的违约责任</w:t>
      </w:r>
      <w:r>
        <w:rPr>
          <w:rFonts w:hint="eastAsia" w:ascii="宋体" w:hAnsi="宋体" w:eastAsia="宋体" w:cs="宋体"/>
          <w:color w:val="auto"/>
          <w:kern w:val="0"/>
          <w:sz w:val="24"/>
          <w:highlight w:val="none"/>
          <w:u w:val="single"/>
        </w:rPr>
        <w:t>。</w:t>
      </w:r>
    </w:p>
    <w:p w14:paraId="35D7027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16.2.3因承包人违约解除合同</w:t>
      </w:r>
    </w:p>
    <w:p w14:paraId="5E37237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u w:val="none"/>
          <w:lang w:eastAsia="zh-CN"/>
        </w:rPr>
        <w:t>关于承包人违约解除合同的特别约定：</w:t>
      </w:r>
      <w:r>
        <w:rPr>
          <w:rFonts w:hint="eastAsia" w:ascii="宋体" w:hAnsi="宋体" w:eastAsia="宋体" w:cs="宋体"/>
          <w:color w:val="auto"/>
          <w:kern w:val="0"/>
          <w:sz w:val="24"/>
          <w:highlight w:val="none"/>
          <w:u w:val="single"/>
          <w:lang w:eastAsia="zh-CN"/>
        </w:rPr>
        <w:t>（1）承包人违反合同约定转包或违法分包的；（2）承包人拖欠工人工资累计超过3个月的；（3）承包人无正当理由暂停施工超过</w:t>
      </w:r>
      <w:r>
        <w:rPr>
          <w:rFonts w:hint="eastAsia" w:ascii="宋体" w:hAnsi="宋体" w:eastAsia="宋体" w:cs="宋体"/>
          <w:color w:val="auto"/>
          <w:kern w:val="0"/>
          <w:sz w:val="24"/>
          <w:highlight w:val="none"/>
          <w:u w:val="single"/>
          <w:lang w:val="en-US" w:eastAsia="zh-CN"/>
        </w:rPr>
        <w:t>7</w:t>
      </w:r>
      <w:r>
        <w:rPr>
          <w:rFonts w:hint="eastAsia" w:ascii="宋体" w:hAnsi="宋体" w:eastAsia="宋体" w:cs="宋体"/>
          <w:color w:val="auto"/>
          <w:kern w:val="0"/>
          <w:sz w:val="24"/>
          <w:highlight w:val="none"/>
          <w:u w:val="single"/>
          <w:lang w:eastAsia="zh-CN"/>
        </w:rPr>
        <w:t>天的；（4）承包人的施工质量严重不符合要求且拒不整改的。发包人因承包人违约解除合同的，有权向承包人追究违约责任。</w:t>
      </w:r>
    </w:p>
    <w:p w14:paraId="1D1424C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highlight w:val="none"/>
          <w:u w:val="single"/>
        </w:rPr>
        <w:t>无</w:t>
      </w:r>
      <w:r>
        <w:rPr>
          <w:rFonts w:hint="eastAsia" w:ascii="宋体" w:hAnsi="宋体" w:eastAsia="宋体" w:cs="宋体"/>
          <w:color w:val="auto"/>
          <w:kern w:val="0"/>
          <w:sz w:val="24"/>
          <w:highlight w:val="none"/>
        </w:rPr>
        <w:t>。</w:t>
      </w:r>
    </w:p>
    <w:p w14:paraId="5DE7CBEE">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lang w:eastAsia="zh-CN"/>
        </w:rPr>
      </w:pPr>
      <w:bookmarkStart w:id="887" w:name="_Toc31656"/>
      <w:bookmarkStart w:id="888" w:name="_Toc32525"/>
      <w:r>
        <w:rPr>
          <w:rFonts w:hint="eastAsia" w:ascii="宋体" w:hAnsi="宋体" w:eastAsia="宋体" w:cs="宋体"/>
          <w:b w:val="0"/>
          <w:color w:val="auto"/>
          <w:highlight w:val="none"/>
        </w:rPr>
        <w:t>17.不可抗力</w:t>
      </w:r>
      <w:bookmarkEnd w:id="881"/>
      <w:bookmarkEnd w:id="887"/>
      <w:bookmarkEnd w:id="888"/>
    </w:p>
    <w:p w14:paraId="061EDFD4">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89" w:name="_Toc26118"/>
      <w:r>
        <w:rPr>
          <w:rFonts w:hint="eastAsia" w:ascii="宋体" w:hAnsi="宋体" w:eastAsia="宋体" w:cs="宋体"/>
          <w:color w:val="auto"/>
          <w:sz w:val="24"/>
          <w:highlight w:val="none"/>
        </w:rPr>
        <w:t>17.1不可抗力的确认</w:t>
      </w:r>
      <w:bookmarkEnd w:id="889"/>
    </w:p>
    <w:p w14:paraId="3C1D89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除通用合同条款约定的不可抗力事件之外，视为不可抗力的其他情形：</w:t>
      </w:r>
      <w:r>
        <w:rPr>
          <w:rFonts w:hint="eastAsia" w:ascii="宋体" w:hAnsi="宋体" w:eastAsia="宋体" w:cs="宋体"/>
          <w:color w:val="auto"/>
          <w:sz w:val="24"/>
          <w:highlight w:val="none"/>
          <w:u w:val="single"/>
          <w:lang w:eastAsia="zh-CN"/>
        </w:rPr>
        <w:t>1、自然灾害如台风、地震、洪水2、社会异常事件，如战争、动乱、政府干预等，上述不可抗力因素如有发生执行通用条款</w:t>
      </w:r>
      <w:r>
        <w:rPr>
          <w:rFonts w:hint="eastAsia" w:ascii="宋体" w:hAnsi="宋体" w:eastAsia="宋体" w:cs="宋体"/>
          <w:color w:val="auto"/>
          <w:sz w:val="24"/>
          <w:highlight w:val="none"/>
          <w:u w:val="none"/>
          <w:lang w:val="en-US" w:eastAsia="zh-CN"/>
        </w:rPr>
        <w:t>。</w:t>
      </w:r>
    </w:p>
    <w:p w14:paraId="4B6906C7">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90" w:name="_Toc2739"/>
      <w:bookmarkStart w:id="891" w:name="_Toc202"/>
      <w:r>
        <w:rPr>
          <w:rFonts w:hint="eastAsia" w:ascii="宋体" w:hAnsi="宋体" w:eastAsia="宋体" w:cs="宋体"/>
          <w:color w:val="auto"/>
          <w:sz w:val="24"/>
          <w:highlight w:val="none"/>
        </w:rPr>
        <w:t>17.4因不可抗力解除合同</w:t>
      </w:r>
      <w:bookmarkEnd w:id="890"/>
      <w:bookmarkEnd w:id="891"/>
    </w:p>
    <w:p w14:paraId="3BFC6542">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合同解除后，发包人应在商定或确定发包人应支付款项后</w:t>
      </w:r>
      <w:r>
        <w:rPr>
          <w:rFonts w:hint="eastAsia" w:ascii="宋体" w:hAnsi="宋体" w:eastAsia="宋体" w:cs="宋体"/>
          <w:color w:val="auto"/>
          <w:sz w:val="24"/>
          <w:highlight w:val="none"/>
          <w:u w:val="single"/>
          <w:lang w:val="en-US" w:eastAsia="zh-CN"/>
        </w:rPr>
        <w:t>28</w:t>
      </w:r>
      <w:r>
        <w:rPr>
          <w:rFonts w:hint="eastAsia" w:ascii="宋体" w:hAnsi="宋体" w:eastAsia="宋体" w:cs="宋体"/>
          <w:color w:val="auto"/>
          <w:sz w:val="24"/>
          <w:highlight w:val="none"/>
        </w:rPr>
        <w:t>天内完成款项的支付。</w:t>
      </w:r>
    </w:p>
    <w:p w14:paraId="308B49D1">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rPr>
      </w:pPr>
      <w:bookmarkStart w:id="892" w:name="_Toc20947"/>
      <w:bookmarkStart w:id="893" w:name="_Toc26898"/>
      <w:r>
        <w:rPr>
          <w:rFonts w:hint="eastAsia" w:ascii="宋体" w:hAnsi="宋体" w:eastAsia="宋体" w:cs="宋体"/>
          <w:b w:val="0"/>
          <w:color w:val="auto"/>
          <w:highlight w:val="none"/>
        </w:rPr>
        <w:t>18.保险</w:t>
      </w:r>
      <w:bookmarkEnd w:id="892"/>
      <w:bookmarkEnd w:id="893"/>
    </w:p>
    <w:bookmarkEnd w:id="882"/>
    <w:p w14:paraId="25C1D38D">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94" w:name="_Toc11758"/>
      <w:r>
        <w:rPr>
          <w:rFonts w:hint="eastAsia" w:ascii="宋体" w:hAnsi="宋体" w:eastAsia="宋体" w:cs="宋体"/>
          <w:color w:val="auto"/>
          <w:sz w:val="24"/>
          <w:highlight w:val="none"/>
        </w:rPr>
        <w:t>18.1工程保险</w:t>
      </w:r>
      <w:bookmarkEnd w:id="894"/>
    </w:p>
    <w:p w14:paraId="20DE11C1">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关于工程保险的特别约定：</w:t>
      </w:r>
      <w:r>
        <w:rPr>
          <w:rFonts w:hint="eastAsia" w:ascii="宋体" w:hAnsi="宋体" w:eastAsia="宋体" w:cs="宋体"/>
          <w:color w:val="auto"/>
          <w:sz w:val="24"/>
          <w:highlight w:val="none"/>
          <w:u w:val="single"/>
          <w:lang w:eastAsia="zh-CN"/>
        </w:rPr>
        <w:t>执行本合同通用条款</w:t>
      </w:r>
      <w:r>
        <w:rPr>
          <w:rFonts w:hint="eastAsia" w:ascii="宋体" w:hAnsi="宋体" w:eastAsia="宋体" w:cs="宋体"/>
          <w:color w:val="auto"/>
          <w:sz w:val="24"/>
          <w:highlight w:val="none"/>
          <w:u w:val="none"/>
          <w:lang w:val="en-US" w:eastAsia="zh-CN"/>
        </w:rPr>
        <w:t>。</w:t>
      </w:r>
    </w:p>
    <w:p w14:paraId="055C0C57">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95" w:name="_Toc21096"/>
      <w:bookmarkStart w:id="896" w:name="_Toc28016"/>
      <w:r>
        <w:rPr>
          <w:rFonts w:hint="eastAsia" w:ascii="宋体" w:hAnsi="宋体" w:eastAsia="宋体" w:cs="宋体"/>
          <w:color w:val="auto"/>
          <w:sz w:val="24"/>
          <w:highlight w:val="none"/>
        </w:rPr>
        <w:t>18.3其他保险</w:t>
      </w:r>
      <w:bookmarkEnd w:id="895"/>
      <w:bookmarkEnd w:id="896"/>
    </w:p>
    <w:p w14:paraId="4B80E2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关于其他保险的约定：</w:t>
      </w:r>
      <w:r>
        <w:rPr>
          <w:rFonts w:hint="eastAsia" w:ascii="宋体" w:hAnsi="宋体" w:eastAsia="宋体" w:cs="宋体"/>
          <w:color w:val="auto"/>
          <w:sz w:val="24"/>
          <w:highlight w:val="none"/>
          <w:u w:val="single"/>
        </w:rPr>
        <w:t>执行本合同通用条款</w:t>
      </w:r>
      <w:r>
        <w:rPr>
          <w:rFonts w:hint="eastAsia" w:ascii="宋体" w:hAnsi="宋体" w:eastAsia="宋体" w:cs="宋体"/>
          <w:color w:val="auto"/>
          <w:sz w:val="24"/>
          <w:highlight w:val="none"/>
        </w:rPr>
        <w:t>。</w:t>
      </w:r>
    </w:p>
    <w:p w14:paraId="36088A5A">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承包人是否应为其施工设备等办理财产保险：</w:t>
      </w:r>
      <w:r>
        <w:rPr>
          <w:rFonts w:hint="eastAsia" w:ascii="宋体" w:hAnsi="宋体" w:eastAsia="宋体" w:cs="宋体"/>
          <w:color w:val="auto"/>
          <w:sz w:val="24"/>
          <w:highlight w:val="none"/>
          <w:u w:val="single"/>
          <w:lang w:eastAsia="zh-CN"/>
        </w:rPr>
        <w:t>执行通用条款</w:t>
      </w:r>
      <w:r>
        <w:rPr>
          <w:rFonts w:hint="eastAsia" w:ascii="宋体" w:hAnsi="宋体" w:eastAsia="宋体" w:cs="宋体"/>
          <w:color w:val="auto"/>
          <w:sz w:val="28"/>
          <w:szCs w:val="28"/>
          <w:highlight w:val="none"/>
        </w:rPr>
        <w:t>。</w:t>
      </w:r>
    </w:p>
    <w:p w14:paraId="655F47B3">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897" w:name="_Toc1863"/>
      <w:r>
        <w:rPr>
          <w:rFonts w:hint="eastAsia" w:ascii="宋体" w:hAnsi="宋体" w:eastAsia="宋体" w:cs="宋体"/>
          <w:color w:val="auto"/>
          <w:sz w:val="24"/>
          <w:highlight w:val="none"/>
        </w:rPr>
        <w:t>18.7通知义务</w:t>
      </w:r>
      <w:bookmarkEnd w:id="897"/>
    </w:p>
    <w:p w14:paraId="39509700">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30"/>
          <w:szCs w:val="32"/>
          <w:highlight w:val="none"/>
        </w:rPr>
      </w:pPr>
      <w:r>
        <w:rPr>
          <w:rFonts w:hint="eastAsia" w:ascii="宋体" w:hAnsi="宋体" w:eastAsia="宋体" w:cs="宋体"/>
          <w:color w:val="auto"/>
          <w:kern w:val="0"/>
          <w:sz w:val="24"/>
          <w:highlight w:val="none"/>
        </w:rPr>
        <w:t>关于变更保险合同时的通知义务的约定：</w:t>
      </w:r>
      <w:r>
        <w:rPr>
          <w:rFonts w:hint="eastAsia" w:ascii="宋体" w:hAnsi="宋体" w:eastAsia="宋体" w:cs="宋体"/>
          <w:color w:val="auto"/>
          <w:sz w:val="24"/>
          <w:highlight w:val="none"/>
          <w:u w:val="single"/>
          <w:lang w:eastAsia="zh-CN"/>
        </w:rPr>
        <w:t>执行通用条款。</w:t>
      </w:r>
    </w:p>
    <w:bookmarkEnd w:id="850"/>
    <w:bookmarkEnd w:id="851"/>
    <w:bookmarkEnd w:id="852"/>
    <w:bookmarkEnd w:id="853"/>
    <w:bookmarkEnd w:id="854"/>
    <w:bookmarkEnd w:id="855"/>
    <w:bookmarkEnd w:id="856"/>
    <w:bookmarkEnd w:id="857"/>
    <w:bookmarkEnd w:id="858"/>
    <w:bookmarkEnd w:id="859"/>
    <w:bookmarkEnd w:id="860"/>
    <w:bookmarkEnd w:id="861"/>
    <w:p w14:paraId="22D09129">
      <w:pPr>
        <w:pStyle w:val="7"/>
        <w:pageBreakBefore w:val="0"/>
        <w:kinsoku/>
        <w:wordWrap/>
        <w:overflowPunct/>
        <w:topLinePunct w:val="0"/>
        <w:bidi w:val="0"/>
        <w:spacing w:before="120" w:after="120" w:line="360" w:lineRule="auto"/>
        <w:textAlignment w:val="auto"/>
        <w:outlineLvl w:val="0"/>
        <w:rPr>
          <w:rFonts w:hint="eastAsia" w:ascii="宋体" w:hAnsi="宋体" w:eastAsia="宋体" w:cs="宋体"/>
          <w:b w:val="0"/>
          <w:color w:val="auto"/>
          <w:highlight w:val="none"/>
        </w:rPr>
      </w:pPr>
      <w:bookmarkStart w:id="898" w:name="_Toc23474"/>
      <w:bookmarkStart w:id="899" w:name="_Toc22423"/>
      <w:r>
        <w:rPr>
          <w:rFonts w:hint="eastAsia" w:ascii="宋体" w:hAnsi="宋体" w:eastAsia="宋体" w:cs="宋体"/>
          <w:b w:val="0"/>
          <w:color w:val="auto"/>
          <w:highlight w:val="none"/>
        </w:rPr>
        <w:t>20.争议解决</w:t>
      </w:r>
      <w:bookmarkEnd w:id="898"/>
      <w:bookmarkEnd w:id="899"/>
    </w:p>
    <w:bookmarkEnd w:id="862"/>
    <w:bookmarkEnd w:id="863"/>
    <w:p w14:paraId="11CF141E">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900" w:name="_Toc14221"/>
      <w:bookmarkStart w:id="901" w:name="_Toc29257"/>
      <w:r>
        <w:rPr>
          <w:rFonts w:hint="eastAsia" w:ascii="宋体" w:hAnsi="宋体" w:eastAsia="宋体" w:cs="宋体"/>
          <w:color w:val="auto"/>
          <w:sz w:val="24"/>
          <w:highlight w:val="none"/>
        </w:rPr>
        <w:t>20.3争</w:t>
      </w:r>
      <w:bookmarkEnd w:id="864"/>
      <w:r>
        <w:rPr>
          <w:rFonts w:hint="eastAsia" w:ascii="宋体" w:hAnsi="宋体" w:eastAsia="宋体" w:cs="宋体"/>
          <w:color w:val="auto"/>
          <w:sz w:val="24"/>
          <w:highlight w:val="none"/>
        </w:rPr>
        <w:t>议评审</w:t>
      </w:r>
      <w:bookmarkEnd w:id="900"/>
      <w:bookmarkEnd w:id="901"/>
    </w:p>
    <w:p w14:paraId="48A59FE8">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合同当事人是否同意将工程争议提交争议评审小组决定：</w:t>
      </w:r>
      <w:r>
        <w:rPr>
          <w:rFonts w:hint="eastAsia" w:ascii="宋体" w:hAnsi="宋体" w:eastAsia="宋体" w:cs="宋体"/>
          <w:color w:val="auto"/>
          <w:sz w:val="24"/>
          <w:highlight w:val="none"/>
          <w:u w:val="single"/>
          <w:lang w:eastAsia="zh-CN"/>
        </w:rPr>
        <w:t>同意</w:t>
      </w:r>
      <w:r>
        <w:rPr>
          <w:rFonts w:hint="eastAsia" w:ascii="宋体" w:hAnsi="宋体" w:eastAsia="宋体" w:cs="宋体"/>
          <w:color w:val="auto"/>
          <w:sz w:val="24"/>
          <w:highlight w:val="none"/>
        </w:rPr>
        <w:t>。</w:t>
      </w:r>
    </w:p>
    <w:p w14:paraId="61BAFA33">
      <w:pPr>
        <w:pageBreakBefore w:val="0"/>
        <w:kinsoku/>
        <w:wordWrap/>
        <w:overflowPunct/>
        <w:topLinePunct w:val="0"/>
        <w:bidi w:val="0"/>
        <w:spacing w:line="360" w:lineRule="auto"/>
        <w:ind w:firstLine="480" w:firstLineChars="200"/>
        <w:jc w:val="left"/>
        <w:textAlignment w:val="auto"/>
        <w:outlineLvl w:val="2"/>
        <w:rPr>
          <w:rFonts w:hint="eastAsia" w:ascii="宋体" w:hAnsi="宋体" w:eastAsia="宋体" w:cs="宋体"/>
          <w:color w:val="auto"/>
          <w:sz w:val="24"/>
          <w:highlight w:val="none"/>
        </w:rPr>
      </w:pPr>
      <w:bookmarkStart w:id="902" w:name="_Toc6639"/>
      <w:r>
        <w:rPr>
          <w:rFonts w:hint="eastAsia" w:ascii="宋体" w:hAnsi="宋体" w:eastAsia="宋体" w:cs="宋体"/>
          <w:color w:val="auto"/>
          <w:sz w:val="24"/>
          <w:highlight w:val="none"/>
        </w:rPr>
        <w:t>20.3.1争议评审小组的确定</w:t>
      </w:r>
      <w:bookmarkEnd w:id="902"/>
    </w:p>
    <w:p w14:paraId="691A1EFA">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争议评审小组成员的确定：</w:t>
      </w:r>
      <w:r>
        <w:rPr>
          <w:rFonts w:hint="eastAsia" w:ascii="宋体" w:hAnsi="宋体" w:eastAsia="宋体" w:cs="宋体"/>
          <w:color w:val="auto"/>
          <w:sz w:val="24"/>
          <w:highlight w:val="none"/>
          <w:u w:val="single"/>
          <w:lang w:eastAsia="zh-CN"/>
        </w:rPr>
        <w:t>监理人、建设行政主管单位、相关行业专家</w:t>
      </w:r>
      <w:r>
        <w:rPr>
          <w:rFonts w:hint="eastAsia" w:ascii="宋体" w:hAnsi="宋体" w:eastAsia="宋体" w:cs="宋体"/>
          <w:color w:val="auto"/>
          <w:sz w:val="24"/>
          <w:highlight w:val="none"/>
        </w:rPr>
        <w:t>。</w:t>
      </w:r>
    </w:p>
    <w:p w14:paraId="6D73DE5B">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选定争议评审员的期限：</w:t>
      </w:r>
      <w:r>
        <w:rPr>
          <w:rFonts w:hint="eastAsia" w:ascii="宋体" w:hAnsi="宋体" w:eastAsia="宋体" w:cs="宋体"/>
          <w:color w:val="auto"/>
          <w:sz w:val="24"/>
          <w:highlight w:val="none"/>
          <w:u w:val="single"/>
          <w:lang w:eastAsia="zh-CN"/>
        </w:rPr>
        <w:t>7个工作日</w:t>
      </w:r>
      <w:r>
        <w:rPr>
          <w:rFonts w:hint="eastAsia" w:ascii="宋体" w:hAnsi="宋体" w:eastAsia="宋体" w:cs="宋体"/>
          <w:color w:val="auto"/>
          <w:sz w:val="24"/>
          <w:highlight w:val="none"/>
        </w:rPr>
        <w:t>。</w:t>
      </w:r>
    </w:p>
    <w:p w14:paraId="197FCA00">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争议评审小组成员的报酬承担方式：</w:t>
      </w:r>
      <w:r>
        <w:rPr>
          <w:rFonts w:hint="eastAsia" w:ascii="宋体" w:hAnsi="宋体" w:eastAsia="宋体" w:cs="宋体"/>
          <w:color w:val="auto"/>
          <w:sz w:val="24"/>
          <w:highlight w:val="none"/>
          <w:u w:val="single"/>
          <w:lang w:eastAsia="zh-CN"/>
        </w:rPr>
        <w:t>争议双方共同承担</w:t>
      </w:r>
      <w:r>
        <w:rPr>
          <w:rFonts w:hint="eastAsia" w:ascii="宋体" w:hAnsi="宋体" w:eastAsia="宋体" w:cs="宋体"/>
          <w:color w:val="auto"/>
          <w:sz w:val="24"/>
          <w:highlight w:val="none"/>
          <w:u w:val="none"/>
          <w:lang w:val="en-US" w:eastAsia="zh-CN"/>
        </w:rPr>
        <w:t>。</w:t>
      </w:r>
    </w:p>
    <w:p w14:paraId="790BE217">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其他事项的约定：</w:t>
      </w:r>
      <w:r>
        <w:rPr>
          <w:rFonts w:hint="eastAsia" w:ascii="宋体" w:hAnsi="宋体" w:eastAsia="宋体" w:cs="宋体"/>
          <w:color w:val="auto"/>
          <w:sz w:val="24"/>
          <w:highlight w:val="none"/>
          <w:u w:val="single"/>
          <w:lang w:eastAsia="zh-CN"/>
        </w:rPr>
        <w:t>无</w:t>
      </w:r>
      <w:r>
        <w:rPr>
          <w:rFonts w:hint="eastAsia" w:ascii="宋体" w:hAnsi="宋体" w:eastAsia="宋体" w:cs="宋体"/>
          <w:color w:val="auto"/>
          <w:sz w:val="24"/>
          <w:highlight w:val="none"/>
          <w:u w:val="none"/>
          <w:lang w:val="en-US" w:eastAsia="zh-CN"/>
        </w:rPr>
        <w:t>。</w:t>
      </w:r>
    </w:p>
    <w:p w14:paraId="1B549150">
      <w:pPr>
        <w:pageBreakBefore w:val="0"/>
        <w:kinsoku/>
        <w:wordWrap/>
        <w:overflowPunct/>
        <w:topLinePunct w:val="0"/>
        <w:autoSpaceDE w:val="0"/>
        <w:autoSpaceDN w:val="0"/>
        <w:bidi w:val="0"/>
        <w:adjustRightInd w:val="0"/>
        <w:spacing w:line="360" w:lineRule="auto"/>
        <w:ind w:firstLine="480" w:firstLineChars="200"/>
        <w:jc w:val="left"/>
        <w:textAlignment w:val="auto"/>
        <w:outlineLvl w:val="2"/>
        <w:rPr>
          <w:rFonts w:hint="eastAsia" w:ascii="宋体" w:hAnsi="宋体" w:eastAsia="宋体" w:cs="宋体"/>
          <w:color w:val="auto"/>
          <w:kern w:val="0"/>
          <w:sz w:val="24"/>
          <w:highlight w:val="none"/>
        </w:rPr>
      </w:pPr>
      <w:bookmarkStart w:id="903" w:name="_Toc29244"/>
      <w:r>
        <w:rPr>
          <w:rFonts w:hint="eastAsia" w:ascii="宋体" w:hAnsi="宋体" w:eastAsia="宋体" w:cs="宋体"/>
          <w:color w:val="auto"/>
          <w:kern w:val="0"/>
          <w:sz w:val="24"/>
          <w:highlight w:val="none"/>
        </w:rPr>
        <w:t>20.3.2争议评审小组的决定</w:t>
      </w:r>
      <w:bookmarkEnd w:id="903"/>
    </w:p>
    <w:p w14:paraId="50FEB412">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合同当事人关于本项的约定：</w:t>
      </w:r>
      <w:r>
        <w:rPr>
          <w:rFonts w:hint="eastAsia" w:ascii="宋体" w:hAnsi="宋体" w:eastAsia="宋体" w:cs="宋体"/>
          <w:color w:val="auto"/>
          <w:sz w:val="24"/>
          <w:highlight w:val="none"/>
          <w:u w:val="single"/>
          <w:lang w:eastAsia="zh-CN"/>
        </w:rPr>
        <w:t>遵守争议评审小组的意见</w:t>
      </w:r>
      <w:r>
        <w:rPr>
          <w:rFonts w:hint="eastAsia" w:ascii="宋体" w:hAnsi="宋体" w:eastAsia="宋体" w:cs="宋体"/>
          <w:color w:val="auto"/>
          <w:sz w:val="24"/>
          <w:highlight w:val="none"/>
          <w:u w:val="none"/>
          <w:lang w:val="en-US" w:eastAsia="zh-CN"/>
        </w:rPr>
        <w:t>。</w:t>
      </w:r>
    </w:p>
    <w:p w14:paraId="7280B175">
      <w:pPr>
        <w:pageBreakBefore w:val="0"/>
        <w:kinsoku/>
        <w:wordWrap/>
        <w:overflowPunct/>
        <w:topLinePunct w:val="0"/>
        <w:bidi w:val="0"/>
        <w:spacing w:after="120" w:line="360" w:lineRule="auto"/>
        <w:ind w:firstLine="480" w:firstLineChars="200"/>
        <w:textAlignment w:val="auto"/>
        <w:outlineLvl w:val="1"/>
        <w:rPr>
          <w:rFonts w:hint="eastAsia" w:ascii="宋体" w:hAnsi="宋体" w:eastAsia="宋体" w:cs="宋体"/>
          <w:color w:val="auto"/>
          <w:sz w:val="24"/>
          <w:highlight w:val="none"/>
        </w:rPr>
      </w:pPr>
      <w:bookmarkStart w:id="904" w:name="_Toc6214"/>
      <w:bookmarkStart w:id="905" w:name="_Toc16922"/>
      <w:r>
        <w:rPr>
          <w:rFonts w:hint="eastAsia" w:ascii="宋体" w:hAnsi="宋体" w:eastAsia="宋体" w:cs="宋体"/>
          <w:color w:val="auto"/>
          <w:sz w:val="24"/>
          <w:highlight w:val="none"/>
        </w:rPr>
        <w:t>20.4仲裁或诉讼</w:t>
      </w:r>
      <w:bookmarkEnd w:id="865"/>
      <w:bookmarkEnd w:id="904"/>
      <w:bookmarkEnd w:id="905"/>
    </w:p>
    <w:p w14:paraId="069E702B">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因合同及合同有关事项发生的争议，按下列第</w:t>
      </w: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rPr>
        <w:t>种方式解决：</w:t>
      </w:r>
    </w:p>
    <w:p w14:paraId="0E2127B8">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（1）向</w:t>
      </w:r>
      <w:r>
        <w:rPr>
          <w:rFonts w:hint="eastAsia" w:ascii="宋体" w:hAnsi="宋体" w:eastAsia="宋体" w:cs="宋体"/>
          <w:color w:val="auto"/>
          <w:sz w:val="24"/>
          <w:highlight w:val="none"/>
          <w:u w:val="single"/>
        </w:rPr>
        <w:t>乌鲁木齐市</w:t>
      </w:r>
      <w:r>
        <w:rPr>
          <w:rFonts w:hint="eastAsia" w:ascii="宋体" w:hAnsi="宋体" w:eastAsia="宋体" w:cs="宋体"/>
          <w:color w:val="auto"/>
          <w:sz w:val="24"/>
          <w:highlight w:val="none"/>
        </w:rPr>
        <w:t>仲裁委员会申请仲裁；</w:t>
      </w:r>
    </w:p>
    <w:p w14:paraId="560CE030">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highlight w:val="none"/>
          <w:lang w:eastAsia="zh-CN"/>
        </w:rPr>
        <w:sectPr>
          <w:footerReference r:id="rId10" w:type="first"/>
          <w:footerReference r:id="rId9" w:type="default"/>
          <w:pgSz w:w="11906" w:h="16838"/>
          <w:pgMar w:top="1418" w:right="1531" w:bottom="1418" w:left="1554" w:header="851" w:footer="992" w:gutter="0"/>
          <w:pgNumType w:fmt="decimal"/>
          <w:cols w:space="720" w:num="1"/>
          <w:titlePg/>
          <w:docGrid w:type="linesAndChars" w:linePitch="312" w:charSpace="0"/>
        </w:sectPr>
      </w:pPr>
      <w:r>
        <w:rPr>
          <w:rFonts w:hint="eastAsia" w:ascii="宋体" w:hAnsi="宋体" w:eastAsia="宋体" w:cs="宋体"/>
          <w:color w:val="auto"/>
          <w:sz w:val="24"/>
          <w:highlight w:val="none"/>
        </w:rPr>
        <w:t>（2）向</w:t>
      </w:r>
      <w:r>
        <w:rPr>
          <w:rFonts w:hint="eastAsia" w:ascii="宋体" w:hAnsi="宋体" w:eastAsia="宋体" w:cs="宋体"/>
          <w:color w:val="auto"/>
          <w:sz w:val="24"/>
          <w:highlight w:val="none"/>
          <w:u w:val="single"/>
          <w:lang w:eastAsia="zh-CN"/>
        </w:rPr>
        <w:t>项目所在地</w:t>
      </w:r>
      <w:r>
        <w:rPr>
          <w:rFonts w:hint="eastAsia" w:ascii="宋体" w:hAnsi="宋体" w:eastAsia="宋体" w:cs="宋体"/>
          <w:color w:val="auto"/>
          <w:sz w:val="24"/>
          <w:highlight w:val="none"/>
        </w:rPr>
        <w:t>人民法院起诉</w:t>
      </w:r>
      <w:bookmarkEnd w:id="866"/>
      <w:bookmarkEnd w:id="867"/>
      <w:bookmarkEnd w:id="868"/>
      <w:bookmarkEnd w:id="869"/>
      <w:bookmarkEnd w:id="870"/>
      <w:bookmarkEnd w:id="871"/>
      <w:r>
        <w:rPr>
          <w:rFonts w:hint="eastAsia" w:ascii="宋体" w:hAnsi="宋体" w:eastAsia="宋体" w:cs="宋体"/>
          <w:color w:val="auto"/>
          <w:sz w:val="24"/>
          <w:highlight w:val="none"/>
          <w:lang w:eastAsia="zh-CN"/>
        </w:rPr>
        <w:t>；</w:t>
      </w:r>
    </w:p>
    <w:p w14:paraId="2399EC12">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p>
    <w:p w14:paraId="15288C6A">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bookmarkStart w:id="906" w:name="_Toc9234"/>
      <w:r>
        <w:rPr>
          <w:rFonts w:hint="eastAsia" w:ascii="宋体" w:hAnsi="宋体" w:eastAsia="宋体" w:cs="宋体"/>
          <w:color w:val="auto"/>
          <w:sz w:val="24"/>
          <w:highlight w:val="none"/>
        </w:rPr>
        <w:t>协议书附件：</w:t>
      </w:r>
      <w:bookmarkEnd w:id="906"/>
    </w:p>
    <w:p w14:paraId="460238C9">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附件1：承包人承揽工程项目一览表</w:t>
      </w:r>
    </w:p>
    <w:p w14:paraId="73B81B73">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专用合同条款附件：</w:t>
      </w:r>
    </w:p>
    <w:p w14:paraId="0BD8159B">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附件2：发包人供应材料设备一览表</w:t>
      </w:r>
    </w:p>
    <w:p w14:paraId="4F10F6F9">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附件3：工程质量保修书</w:t>
      </w:r>
    </w:p>
    <w:p w14:paraId="7C8C1764">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附件4：主要建设工程文件目录</w:t>
      </w:r>
    </w:p>
    <w:p w14:paraId="582B4D25">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附件5：承包人用于本工程施工的机械设备表</w:t>
      </w:r>
    </w:p>
    <w:p w14:paraId="34BA0AFC">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附件6：承包人主要施工管理人员表</w:t>
      </w:r>
    </w:p>
    <w:p w14:paraId="51049A3A">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附件7：分包人主要施工管理人员表</w:t>
      </w:r>
    </w:p>
    <w:p w14:paraId="745FC18A">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附件8：暂估价一览表</w:t>
      </w:r>
    </w:p>
    <w:p w14:paraId="40B48218">
      <w:pPr>
        <w:pageBreakBefore w:val="0"/>
        <w:kinsoku/>
        <w:wordWrap/>
        <w:overflowPunct/>
        <w:topLinePunct w:val="0"/>
        <w:bidi w:val="0"/>
        <w:spacing w:after="12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附件9：</w:t>
      </w:r>
      <w:r>
        <w:rPr>
          <w:rFonts w:hint="eastAsia" w:ascii="宋体" w:hAnsi="宋体" w:eastAsia="宋体" w:cs="宋体"/>
          <w:color w:val="auto"/>
          <w:sz w:val="24"/>
          <w:highlight w:val="none"/>
          <w:lang w:val="en-US" w:eastAsia="zh-CN"/>
        </w:rPr>
        <w:t>承诺书</w:t>
      </w:r>
    </w:p>
    <w:p w14:paraId="038C1EDE">
      <w:pPr>
        <w:pageBreakBefore w:val="0"/>
        <w:kinsoku/>
        <w:wordWrap/>
        <w:overflowPunct/>
        <w:topLinePunct w:val="0"/>
        <w:bidi w:val="0"/>
        <w:textAlignment w:val="auto"/>
        <w:rPr>
          <w:rFonts w:hint="eastAsia" w:ascii="宋体" w:hAnsi="宋体" w:eastAsia="宋体" w:cs="宋体"/>
          <w:color w:val="auto"/>
          <w:highlight w:val="none"/>
        </w:rPr>
      </w:pPr>
    </w:p>
    <w:p w14:paraId="13FDFB18">
      <w:pPr>
        <w:pageBreakBefore w:val="0"/>
        <w:kinsoku/>
        <w:wordWrap/>
        <w:overflowPunct/>
        <w:topLinePunct w:val="0"/>
        <w:bidi w:val="0"/>
        <w:textAlignment w:val="auto"/>
        <w:rPr>
          <w:rFonts w:hint="eastAsia" w:ascii="宋体" w:hAnsi="宋体" w:eastAsia="宋体" w:cs="宋体"/>
          <w:color w:val="auto"/>
          <w:highlight w:val="none"/>
        </w:rPr>
        <w:sectPr>
          <w:pgSz w:w="11906" w:h="16838"/>
          <w:pgMar w:top="1418" w:right="1531" w:bottom="1418" w:left="1554" w:header="851" w:footer="992" w:gutter="0"/>
          <w:pgNumType w:fmt="decimal"/>
          <w:cols w:space="720" w:num="1"/>
          <w:titlePg/>
          <w:docGrid w:type="linesAndChars" w:linePitch="312" w:charSpace="0"/>
        </w:sectPr>
      </w:pPr>
    </w:p>
    <w:p w14:paraId="13244D33">
      <w:pPr>
        <w:pageBreakBefore w:val="0"/>
        <w:kinsoku/>
        <w:wordWrap/>
        <w:overflowPunct/>
        <w:topLinePunct w:val="0"/>
        <w:bidi w:val="0"/>
        <w:spacing w:beforeLines="50" w:afterLines="50" w:line="440" w:lineRule="exact"/>
        <w:jc w:val="left"/>
        <w:textAlignment w:val="auto"/>
        <w:rPr>
          <w:rFonts w:hint="eastAsia" w:ascii="宋体" w:hAnsi="宋体" w:eastAsia="宋体" w:cs="宋体"/>
          <w:color w:val="auto"/>
          <w:sz w:val="28"/>
          <w:szCs w:val="28"/>
          <w:highlight w:val="none"/>
        </w:rPr>
      </w:pPr>
    </w:p>
    <w:p w14:paraId="21B757A4">
      <w:pPr>
        <w:pageBreakBefore w:val="0"/>
        <w:kinsoku/>
        <w:wordWrap/>
        <w:overflowPunct/>
        <w:topLinePunct w:val="0"/>
        <w:bidi w:val="0"/>
        <w:spacing w:beforeLines="50" w:afterLines="50" w:line="440" w:lineRule="exact"/>
        <w:jc w:val="left"/>
        <w:textAlignment w:val="auto"/>
        <w:outlineLvl w:val="0"/>
        <w:rPr>
          <w:rFonts w:hint="eastAsia" w:ascii="宋体" w:hAnsi="宋体" w:eastAsia="宋体" w:cs="宋体"/>
          <w:color w:val="auto"/>
          <w:sz w:val="28"/>
          <w:szCs w:val="28"/>
          <w:highlight w:val="none"/>
        </w:rPr>
      </w:pPr>
      <w:bookmarkStart w:id="907" w:name="_Toc3019"/>
      <w:r>
        <w:rPr>
          <w:rFonts w:hint="eastAsia" w:ascii="宋体" w:hAnsi="宋体" w:eastAsia="宋体" w:cs="宋体"/>
          <w:color w:val="auto"/>
          <w:kern w:val="2"/>
          <w:sz w:val="24"/>
          <w:szCs w:val="24"/>
          <w:highlight w:val="none"/>
          <w:lang w:val="en-US" w:eastAsia="zh-CN" w:bidi="ar-SA"/>
        </w:rPr>
        <w:t>附件1：</w:t>
      </w:r>
      <w:bookmarkEnd w:id="907"/>
    </w:p>
    <w:p w14:paraId="61B02AF2">
      <w:pPr>
        <w:pageBreakBefore w:val="0"/>
        <w:kinsoku/>
        <w:wordWrap/>
        <w:overflowPunct/>
        <w:topLinePunct w:val="0"/>
        <w:bidi w:val="0"/>
        <w:spacing w:beforeLines="50" w:afterLines="50" w:line="440" w:lineRule="exact"/>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承包人承揽工程项目一览表</w:t>
      </w:r>
    </w:p>
    <w:tbl>
      <w:tblPr>
        <w:tblStyle w:val="25"/>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1145"/>
        <w:gridCol w:w="2115"/>
        <w:gridCol w:w="1152"/>
        <w:gridCol w:w="1900"/>
        <w:gridCol w:w="2143"/>
        <w:gridCol w:w="759"/>
        <w:gridCol w:w="850"/>
      </w:tblGrid>
      <w:tr w14:paraId="08E47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35A2B4D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单位工程名称</w:t>
            </w:r>
          </w:p>
        </w:tc>
        <w:tc>
          <w:tcPr>
            <w:tcW w:w="1843" w:type="dxa"/>
            <w:tcBorders>
              <w:top w:val="single" w:color="auto" w:sz="12" w:space="0"/>
              <w:bottom w:val="double" w:color="auto" w:sz="6" w:space="0"/>
            </w:tcBorders>
            <w:vAlign w:val="center"/>
          </w:tcPr>
          <w:p w14:paraId="35AF922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建设规模</w:t>
            </w:r>
          </w:p>
        </w:tc>
        <w:tc>
          <w:tcPr>
            <w:tcW w:w="1417" w:type="dxa"/>
            <w:tcBorders>
              <w:top w:val="single" w:color="auto" w:sz="12" w:space="0"/>
              <w:bottom w:val="double" w:color="auto" w:sz="6" w:space="0"/>
            </w:tcBorders>
            <w:vAlign w:val="center"/>
          </w:tcPr>
          <w:p w14:paraId="0BDD1FC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建筑面积(平方米)</w:t>
            </w:r>
          </w:p>
        </w:tc>
        <w:tc>
          <w:tcPr>
            <w:tcW w:w="1145" w:type="dxa"/>
            <w:tcBorders>
              <w:top w:val="single" w:color="auto" w:sz="12" w:space="0"/>
              <w:bottom w:val="double" w:color="auto" w:sz="6" w:space="0"/>
            </w:tcBorders>
            <w:vAlign w:val="center"/>
          </w:tcPr>
          <w:p w14:paraId="1E11F97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结构形式</w:t>
            </w:r>
          </w:p>
        </w:tc>
        <w:tc>
          <w:tcPr>
            <w:tcW w:w="2115" w:type="dxa"/>
            <w:tcBorders>
              <w:top w:val="single" w:color="auto" w:sz="12" w:space="0"/>
              <w:bottom w:val="double" w:color="auto" w:sz="6" w:space="0"/>
            </w:tcBorders>
            <w:vAlign w:val="center"/>
          </w:tcPr>
          <w:p w14:paraId="0DD646B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层数</w:t>
            </w:r>
          </w:p>
        </w:tc>
        <w:tc>
          <w:tcPr>
            <w:tcW w:w="1152" w:type="dxa"/>
            <w:tcBorders>
              <w:top w:val="single" w:color="auto" w:sz="12" w:space="0"/>
              <w:bottom w:val="double" w:color="auto" w:sz="6" w:space="0"/>
            </w:tcBorders>
            <w:vAlign w:val="center"/>
          </w:tcPr>
          <w:p w14:paraId="2B942A2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生产能力</w:t>
            </w:r>
          </w:p>
        </w:tc>
        <w:tc>
          <w:tcPr>
            <w:tcW w:w="1900" w:type="dxa"/>
            <w:tcBorders>
              <w:top w:val="single" w:color="auto" w:sz="12" w:space="0"/>
              <w:bottom w:val="double" w:color="auto" w:sz="6" w:space="0"/>
            </w:tcBorders>
            <w:vAlign w:val="center"/>
          </w:tcPr>
          <w:p w14:paraId="29E89C6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设备安装内容</w:t>
            </w:r>
          </w:p>
        </w:tc>
        <w:tc>
          <w:tcPr>
            <w:tcW w:w="2143" w:type="dxa"/>
            <w:tcBorders>
              <w:top w:val="single" w:color="auto" w:sz="12" w:space="0"/>
              <w:bottom w:val="double" w:color="auto" w:sz="6" w:space="0"/>
            </w:tcBorders>
            <w:vAlign w:val="center"/>
          </w:tcPr>
          <w:p w14:paraId="28FF5BA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合同价格（元）</w:t>
            </w:r>
          </w:p>
        </w:tc>
        <w:tc>
          <w:tcPr>
            <w:tcW w:w="759" w:type="dxa"/>
            <w:tcBorders>
              <w:top w:val="single" w:color="auto" w:sz="12" w:space="0"/>
              <w:bottom w:val="double" w:color="auto" w:sz="6" w:space="0"/>
            </w:tcBorders>
            <w:vAlign w:val="center"/>
          </w:tcPr>
          <w:p w14:paraId="693B24A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开工日期</w:t>
            </w:r>
          </w:p>
        </w:tc>
        <w:tc>
          <w:tcPr>
            <w:tcW w:w="850" w:type="dxa"/>
            <w:tcBorders>
              <w:top w:val="single" w:color="auto" w:sz="12" w:space="0"/>
              <w:bottom w:val="double" w:color="auto" w:sz="6" w:space="0"/>
            </w:tcBorders>
            <w:vAlign w:val="center"/>
          </w:tcPr>
          <w:p w14:paraId="389E183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竣工日期</w:t>
            </w:r>
          </w:p>
        </w:tc>
      </w:tr>
      <w:tr w14:paraId="2C6A8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25" w:hRule="atLeast"/>
        </w:trPr>
        <w:tc>
          <w:tcPr>
            <w:tcW w:w="1277" w:type="dxa"/>
            <w:tcBorders>
              <w:top w:val="double" w:color="auto" w:sz="6" w:space="0"/>
              <w:bottom w:val="single" w:color="auto" w:sz="6" w:space="0"/>
            </w:tcBorders>
            <w:vAlign w:val="center"/>
          </w:tcPr>
          <w:p w14:paraId="65EFA166">
            <w:pPr>
              <w:pageBreakBefore w:val="0"/>
              <w:kinsoku/>
              <w:wordWrap/>
              <w:topLinePunct w:val="0"/>
              <w:bidi w:val="0"/>
              <w:spacing w:beforeAutospacing="0" w:afterAutospacing="0" w:line="460" w:lineRule="exact"/>
              <w:ind w:right="0"/>
              <w:rPr>
                <w:rFonts w:hint="eastAsia" w:ascii="宋体" w:hAnsi="宋体" w:eastAsia="宋体" w:cs="宋体"/>
                <w:color w:val="auto"/>
                <w:kern w:val="2"/>
                <w:sz w:val="30"/>
                <w:szCs w:val="30"/>
                <w:highlight w:val="none"/>
                <w:lang w:eastAsia="zh-CN"/>
              </w:rPr>
            </w:pPr>
            <w:r>
              <w:rPr>
                <w:rFonts w:hint="eastAsia" w:ascii="宋体" w:hAnsi="宋体" w:eastAsia="宋体" w:cs="宋体"/>
                <w:bCs/>
                <w:color w:val="auto"/>
                <w:kern w:val="0"/>
                <w:sz w:val="24"/>
                <w:szCs w:val="24"/>
                <w:highlight w:val="none"/>
                <w:lang w:eastAsia="zh-CN"/>
              </w:rPr>
              <w:t>2025年天山区市政道路附属公共消防设施日常维护项目</w:t>
            </w:r>
          </w:p>
        </w:tc>
        <w:tc>
          <w:tcPr>
            <w:tcW w:w="3260" w:type="dxa"/>
            <w:gridSpan w:val="2"/>
            <w:tcBorders>
              <w:top w:val="double" w:color="auto" w:sz="6" w:space="0"/>
              <w:bottom w:val="single" w:color="auto" w:sz="6" w:space="0"/>
            </w:tcBorders>
            <w:vAlign w:val="center"/>
          </w:tcPr>
          <w:p w14:paraId="72ED295F">
            <w:pPr>
              <w:pageBreakBefore w:val="0"/>
              <w:kinsoku/>
              <w:wordWrap/>
              <w:topLinePunct w:val="0"/>
              <w:bidi w:val="0"/>
              <w:spacing w:beforeAutospacing="0" w:afterAutospacing="0" w:line="460" w:lineRule="exact"/>
              <w:ind w:left="0" w:leftChars="0" w:right="0" w:firstLine="480" w:firstLineChars="200"/>
              <w:rPr>
                <w:rFonts w:hint="eastAsia" w:ascii="宋体" w:hAnsi="宋体" w:eastAsia="宋体" w:cs="宋体"/>
                <w:color w:val="auto"/>
                <w:kern w:val="2"/>
                <w:sz w:val="30"/>
                <w:szCs w:val="30"/>
                <w:highlight w:val="none"/>
                <w:lang w:val="en-US" w:eastAsia="zh-CN"/>
              </w:rPr>
            </w:pPr>
            <w:r>
              <w:rPr>
                <w:rFonts w:hint="eastAsia" w:ascii="宋体" w:hAnsi="宋体" w:cs="宋体"/>
                <w:bCs/>
                <w:color w:val="auto"/>
                <w:kern w:val="0"/>
                <w:sz w:val="24"/>
                <w:szCs w:val="24"/>
                <w:highlight w:val="none"/>
                <w:lang w:eastAsia="zh-CN"/>
              </w:rPr>
              <w:t>重点对辖区内29座消防水鹤、468座消火栓及后续移交市政道路的消防设施实施维修维护工作，包括更换零部件、维修消防设施、抽排消火栓井积水、清掏杂物与除锈等日常维护工作。</w:t>
            </w:r>
          </w:p>
        </w:tc>
        <w:tc>
          <w:tcPr>
            <w:tcW w:w="1145" w:type="dxa"/>
            <w:tcBorders>
              <w:top w:val="double" w:color="auto" w:sz="6" w:space="0"/>
              <w:bottom w:val="single" w:color="auto" w:sz="6" w:space="0"/>
            </w:tcBorders>
            <w:vAlign w:val="center"/>
          </w:tcPr>
          <w:p w14:paraId="70A0A2E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lang w:val="en-US" w:eastAsia="zh-CN"/>
              </w:rPr>
            </w:pPr>
            <w:r>
              <w:rPr>
                <w:rFonts w:hint="eastAsia" w:ascii="宋体" w:hAnsi="宋体" w:eastAsia="宋体" w:cs="宋体"/>
                <w:color w:val="auto"/>
                <w:kern w:val="2"/>
                <w:sz w:val="30"/>
                <w:szCs w:val="30"/>
                <w:highlight w:val="none"/>
                <w:lang w:val="en-US" w:eastAsia="zh-CN"/>
              </w:rPr>
              <w:t>/</w:t>
            </w:r>
          </w:p>
        </w:tc>
        <w:tc>
          <w:tcPr>
            <w:tcW w:w="2115" w:type="dxa"/>
            <w:tcBorders>
              <w:top w:val="double" w:color="auto" w:sz="6" w:space="0"/>
              <w:bottom w:val="single" w:color="auto" w:sz="6" w:space="0"/>
            </w:tcBorders>
            <w:vAlign w:val="center"/>
          </w:tcPr>
          <w:p w14:paraId="569A69F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lang w:val="en-US" w:eastAsia="zh-CN"/>
              </w:rPr>
            </w:pPr>
            <w:r>
              <w:rPr>
                <w:rFonts w:hint="eastAsia" w:ascii="宋体" w:hAnsi="宋体" w:eastAsia="宋体" w:cs="宋体"/>
                <w:color w:val="auto"/>
                <w:kern w:val="2"/>
                <w:sz w:val="30"/>
                <w:szCs w:val="30"/>
                <w:highlight w:val="none"/>
                <w:lang w:val="en-US" w:eastAsia="zh-CN"/>
              </w:rPr>
              <w:t>/</w:t>
            </w:r>
          </w:p>
        </w:tc>
        <w:tc>
          <w:tcPr>
            <w:tcW w:w="1152" w:type="dxa"/>
            <w:tcBorders>
              <w:top w:val="double" w:color="auto" w:sz="6" w:space="0"/>
              <w:bottom w:val="single" w:color="auto" w:sz="6" w:space="0"/>
            </w:tcBorders>
            <w:vAlign w:val="center"/>
          </w:tcPr>
          <w:p w14:paraId="07C90C7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lang w:val="en-US" w:eastAsia="zh-CN"/>
              </w:rPr>
            </w:pPr>
            <w:r>
              <w:rPr>
                <w:rFonts w:hint="eastAsia" w:ascii="宋体" w:hAnsi="宋体" w:eastAsia="宋体" w:cs="宋体"/>
                <w:color w:val="auto"/>
                <w:kern w:val="2"/>
                <w:sz w:val="30"/>
                <w:szCs w:val="30"/>
                <w:highlight w:val="none"/>
                <w:lang w:val="en-US" w:eastAsia="zh-CN"/>
              </w:rPr>
              <w:t>/</w:t>
            </w:r>
          </w:p>
        </w:tc>
        <w:tc>
          <w:tcPr>
            <w:tcW w:w="1900" w:type="dxa"/>
            <w:tcBorders>
              <w:top w:val="double" w:color="auto" w:sz="6" w:space="0"/>
              <w:bottom w:val="single" w:color="auto" w:sz="6" w:space="0"/>
            </w:tcBorders>
            <w:vAlign w:val="center"/>
          </w:tcPr>
          <w:p w14:paraId="2DB5256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lang w:val="en-US" w:eastAsia="zh-CN"/>
              </w:rPr>
            </w:pPr>
            <w:r>
              <w:rPr>
                <w:rFonts w:hint="eastAsia" w:ascii="宋体" w:hAnsi="宋体" w:eastAsia="宋体" w:cs="宋体"/>
                <w:color w:val="auto"/>
                <w:kern w:val="2"/>
                <w:sz w:val="30"/>
                <w:szCs w:val="30"/>
                <w:highlight w:val="none"/>
                <w:lang w:val="en-US" w:eastAsia="zh-CN"/>
              </w:rPr>
              <w:t>/</w:t>
            </w:r>
          </w:p>
        </w:tc>
        <w:tc>
          <w:tcPr>
            <w:tcW w:w="2143" w:type="dxa"/>
            <w:tcBorders>
              <w:top w:val="double" w:color="auto" w:sz="6" w:space="0"/>
              <w:bottom w:val="single" w:color="auto" w:sz="6" w:space="0"/>
            </w:tcBorders>
            <w:vAlign w:val="center"/>
          </w:tcPr>
          <w:p w14:paraId="6A593CF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lang w:val="en-US" w:eastAsia="zh-CN"/>
              </w:rPr>
            </w:pPr>
            <w:r>
              <w:rPr>
                <w:rFonts w:hint="eastAsia" w:ascii="宋体" w:hAnsi="宋体" w:eastAsia="宋体" w:cs="宋体"/>
                <w:color w:val="auto"/>
                <w:sz w:val="24"/>
                <w:szCs w:val="24"/>
                <w:highlight w:val="none"/>
                <w:lang w:val="en-US" w:eastAsia="zh-CN"/>
              </w:rPr>
              <w:t>680000.00</w:t>
            </w:r>
          </w:p>
        </w:tc>
        <w:tc>
          <w:tcPr>
            <w:tcW w:w="759" w:type="dxa"/>
            <w:tcBorders>
              <w:top w:val="double" w:color="auto" w:sz="6" w:space="0"/>
              <w:bottom w:val="single" w:color="auto" w:sz="6" w:space="0"/>
            </w:tcBorders>
            <w:vAlign w:val="center"/>
          </w:tcPr>
          <w:p w14:paraId="774ED79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2025年7月1日</w:t>
            </w:r>
          </w:p>
        </w:tc>
        <w:tc>
          <w:tcPr>
            <w:tcW w:w="850" w:type="dxa"/>
            <w:tcBorders>
              <w:top w:val="double" w:color="auto" w:sz="6" w:space="0"/>
              <w:bottom w:val="single" w:color="auto" w:sz="6" w:space="0"/>
            </w:tcBorders>
            <w:vAlign w:val="center"/>
          </w:tcPr>
          <w:p w14:paraId="5087D21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2026年6月31日</w:t>
            </w:r>
          </w:p>
        </w:tc>
      </w:tr>
      <w:tr w14:paraId="0E273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86E18B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843" w:type="dxa"/>
            <w:tcBorders>
              <w:top w:val="nil"/>
            </w:tcBorders>
            <w:vAlign w:val="center"/>
          </w:tcPr>
          <w:p w14:paraId="58B4E10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17" w:type="dxa"/>
            <w:tcBorders>
              <w:top w:val="nil"/>
            </w:tcBorders>
            <w:vAlign w:val="center"/>
          </w:tcPr>
          <w:p w14:paraId="124B3A4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145" w:type="dxa"/>
            <w:tcBorders>
              <w:top w:val="nil"/>
            </w:tcBorders>
            <w:vAlign w:val="center"/>
          </w:tcPr>
          <w:p w14:paraId="1CD9122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2115" w:type="dxa"/>
            <w:tcBorders>
              <w:top w:val="nil"/>
            </w:tcBorders>
            <w:vAlign w:val="center"/>
          </w:tcPr>
          <w:p w14:paraId="021AF75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152" w:type="dxa"/>
            <w:tcBorders>
              <w:top w:val="nil"/>
            </w:tcBorders>
            <w:vAlign w:val="center"/>
          </w:tcPr>
          <w:p w14:paraId="2EF5D9F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900" w:type="dxa"/>
            <w:tcBorders>
              <w:top w:val="nil"/>
            </w:tcBorders>
            <w:vAlign w:val="center"/>
          </w:tcPr>
          <w:p w14:paraId="680D203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2143" w:type="dxa"/>
            <w:tcBorders>
              <w:top w:val="nil"/>
            </w:tcBorders>
            <w:vAlign w:val="center"/>
          </w:tcPr>
          <w:p w14:paraId="2CCD0A0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759" w:type="dxa"/>
            <w:tcBorders>
              <w:top w:val="nil"/>
            </w:tcBorders>
            <w:vAlign w:val="center"/>
          </w:tcPr>
          <w:p w14:paraId="4AF1D84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0" w:type="dxa"/>
            <w:tcBorders>
              <w:top w:val="nil"/>
            </w:tcBorders>
            <w:vAlign w:val="center"/>
          </w:tcPr>
          <w:p w14:paraId="4F9D4F1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30111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608E91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843" w:type="dxa"/>
            <w:tcBorders>
              <w:top w:val="nil"/>
            </w:tcBorders>
            <w:vAlign w:val="center"/>
          </w:tcPr>
          <w:p w14:paraId="7100DA0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17" w:type="dxa"/>
            <w:tcBorders>
              <w:top w:val="nil"/>
            </w:tcBorders>
            <w:vAlign w:val="center"/>
          </w:tcPr>
          <w:p w14:paraId="2AB2523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145" w:type="dxa"/>
            <w:tcBorders>
              <w:top w:val="nil"/>
            </w:tcBorders>
            <w:vAlign w:val="center"/>
          </w:tcPr>
          <w:p w14:paraId="2101B01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2115" w:type="dxa"/>
            <w:tcBorders>
              <w:top w:val="nil"/>
            </w:tcBorders>
            <w:vAlign w:val="center"/>
          </w:tcPr>
          <w:p w14:paraId="7EFB243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152" w:type="dxa"/>
            <w:tcBorders>
              <w:top w:val="nil"/>
            </w:tcBorders>
            <w:vAlign w:val="center"/>
          </w:tcPr>
          <w:p w14:paraId="2EBF407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900" w:type="dxa"/>
            <w:tcBorders>
              <w:top w:val="nil"/>
            </w:tcBorders>
            <w:vAlign w:val="center"/>
          </w:tcPr>
          <w:p w14:paraId="6B3D955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2143" w:type="dxa"/>
            <w:tcBorders>
              <w:top w:val="nil"/>
            </w:tcBorders>
            <w:vAlign w:val="center"/>
          </w:tcPr>
          <w:p w14:paraId="44A3640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759" w:type="dxa"/>
            <w:tcBorders>
              <w:top w:val="nil"/>
            </w:tcBorders>
            <w:vAlign w:val="center"/>
          </w:tcPr>
          <w:p w14:paraId="73CFA6A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0" w:type="dxa"/>
            <w:tcBorders>
              <w:top w:val="nil"/>
            </w:tcBorders>
            <w:vAlign w:val="center"/>
          </w:tcPr>
          <w:p w14:paraId="42784A0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7687E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A785A6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843" w:type="dxa"/>
            <w:vAlign w:val="center"/>
          </w:tcPr>
          <w:p w14:paraId="4717993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17" w:type="dxa"/>
            <w:vAlign w:val="center"/>
          </w:tcPr>
          <w:p w14:paraId="344C114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145" w:type="dxa"/>
            <w:vAlign w:val="center"/>
          </w:tcPr>
          <w:p w14:paraId="1AEA738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2115" w:type="dxa"/>
            <w:vAlign w:val="center"/>
          </w:tcPr>
          <w:p w14:paraId="67C7AC3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152" w:type="dxa"/>
            <w:vAlign w:val="center"/>
          </w:tcPr>
          <w:p w14:paraId="3906F9C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900" w:type="dxa"/>
            <w:vAlign w:val="center"/>
          </w:tcPr>
          <w:p w14:paraId="3CF423D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2143" w:type="dxa"/>
            <w:vAlign w:val="center"/>
          </w:tcPr>
          <w:p w14:paraId="50BD094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759" w:type="dxa"/>
            <w:vAlign w:val="center"/>
          </w:tcPr>
          <w:p w14:paraId="01FDB53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0" w:type="dxa"/>
            <w:vAlign w:val="center"/>
          </w:tcPr>
          <w:p w14:paraId="48C4912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36DA3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22090C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843" w:type="dxa"/>
            <w:tcBorders>
              <w:top w:val="nil"/>
            </w:tcBorders>
            <w:vAlign w:val="center"/>
          </w:tcPr>
          <w:p w14:paraId="684D6B4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17" w:type="dxa"/>
            <w:tcBorders>
              <w:top w:val="nil"/>
            </w:tcBorders>
            <w:vAlign w:val="center"/>
          </w:tcPr>
          <w:p w14:paraId="203CCB4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145" w:type="dxa"/>
            <w:tcBorders>
              <w:top w:val="nil"/>
            </w:tcBorders>
            <w:vAlign w:val="center"/>
          </w:tcPr>
          <w:p w14:paraId="5D7A665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2115" w:type="dxa"/>
            <w:tcBorders>
              <w:top w:val="nil"/>
            </w:tcBorders>
            <w:vAlign w:val="center"/>
          </w:tcPr>
          <w:p w14:paraId="2E0C8C2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152" w:type="dxa"/>
            <w:tcBorders>
              <w:top w:val="nil"/>
            </w:tcBorders>
            <w:vAlign w:val="center"/>
          </w:tcPr>
          <w:p w14:paraId="5F49CDC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900" w:type="dxa"/>
            <w:tcBorders>
              <w:top w:val="nil"/>
            </w:tcBorders>
            <w:vAlign w:val="center"/>
          </w:tcPr>
          <w:p w14:paraId="579497B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2143" w:type="dxa"/>
            <w:tcBorders>
              <w:top w:val="nil"/>
            </w:tcBorders>
            <w:vAlign w:val="center"/>
          </w:tcPr>
          <w:p w14:paraId="18D4354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759" w:type="dxa"/>
            <w:tcBorders>
              <w:top w:val="nil"/>
            </w:tcBorders>
            <w:vAlign w:val="center"/>
          </w:tcPr>
          <w:p w14:paraId="617CBEF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0" w:type="dxa"/>
            <w:tcBorders>
              <w:top w:val="nil"/>
            </w:tcBorders>
            <w:vAlign w:val="center"/>
          </w:tcPr>
          <w:p w14:paraId="4DB8BFB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bl>
    <w:p w14:paraId="08F86C8D">
      <w:pPr>
        <w:pageBreakBefore w:val="0"/>
        <w:kinsoku/>
        <w:wordWrap/>
        <w:overflowPunct/>
        <w:topLinePunct w:val="0"/>
        <w:bidi w:val="0"/>
        <w:spacing w:line="440" w:lineRule="exact"/>
        <w:textAlignment w:val="auto"/>
        <w:rPr>
          <w:rFonts w:hint="eastAsia" w:ascii="宋体" w:hAnsi="宋体" w:eastAsia="宋体" w:cs="宋体"/>
          <w:b/>
          <w:color w:val="auto"/>
          <w:sz w:val="30"/>
          <w:szCs w:val="30"/>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14:paraId="44C160C7">
      <w:pPr>
        <w:pageBreakBefore w:val="0"/>
        <w:kinsoku/>
        <w:wordWrap/>
        <w:overflowPunct/>
        <w:topLinePunct w:val="0"/>
        <w:bidi w:val="0"/>
        <w:spacing w:line="440" w:lineRule="exact"/>
        <w:textAlignment w:val="auto"/>
        <w:outlineLvl w:val="0"/>
        <w:rPr>
          <w:rFonts w:hint="eastAsia" w:ascii="宋体" w:hAnsi="宋体" w:eastAsia="宋体" w:cs="宋体"/>
          <w:color w:val="auto"/>
          <w:sz w:val="28"/>
          <w:szCs w:val="28"/>
          <w:highlight w:val="none"/>
        </w:rPr>
      </w:pPr>
      <w:bookmarkStart w:id="908" w:name="_Toc26526"/>
      <w:r>
        <w:rPr>
          <w:rFonts w:hint="eastAsia" w:ascii="宋体" w:hAnsi="宋体" w:eastAsia="宋体" w:cs="宋体"/>
          <w:color w:val="auto"/>
          <w:kern w:val="2"/>
          <w:sz w:val="24"/>
          <w:szCs w:val="24"/>
          <w:highlight w:val="none"/>
          <w:lang w:val="en-US" w:eastAsia="zh-CN" w:bidi="ar-SA"/>
        </w:rPr>
        <w:t>附</w:t>
      </w:r>
      <w:bookmarkStart w:id="909" w:name="_Toc267261692"/>
      <w:bookmarkStart w:id="910" w:name="_Toc296346726"/>
      <w:bookmarkStart w:id="911" w:name="_Toc296347224"/>
      <w:bookmarkStart w:id="912" w:name="_Toc296503225"/>
      <w:bookmarkStart w:id="913" w:name="_Toc296891265"/>
      <w:bookmarkStart w:id="914" w:name="_Toc296944564"/>
      <w:bookmarkStart w:id="915" w:name="_Toc296891053"/>
      <w:r>
        <w:rPr>
          <w:rFonts w:hint="eastAsia" w:ascii="宋体" w:hAnsi="宋体" w:eastAsia="宋体" w:cs="宋体"/>
          <w:color w:val="auto"/>
          <w:kern w:val="2"/>
          <w:sz w:val="24"/>
          <w:szCs w:val="24"/>
          <w:highlight w:val="none"/>
          <w:lang w:val="en-US" w:eastAsia="zh-CN" w:bidi="ar-SA"/>
        </w:rPr>
        <w:t>件2：</w:t>
      </w:r>
      <w:bookmarkEnd w:id="908"/>
    </w:p>
    <w:bookmarkEnd w:id="909"/>
    <w:bookmarkEnd w:id="910"/>
    <w:bookmarkEnd w:id="911"/>
    <w:bookmarkEnd w:id="912"/>
    <w:bookmarkEnd w:id="913"/>
    <w:bookmarkEnd w:id="914"/>
    <w:bookmarkEnd w:id="915"/>
    <w:p w14:paraId="15CE3D0F">
      <w:pPr>
        <w:pageBreakBefore w:val="0"/>
        <w:kinsoku/>
        <w:wordWrap/>
        <w:overflowPunct/>
        <w:topLinePunct w:val="0"/>
        <w:bidi w:val="0"/>
        <w:spacing w:beforeLines="50" w:afterLines="50" w:line="440" w:lineRule="exact"/>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发包人供应材料设备一览表</w:t>
      </w:r>
    </w:p>
    <w:tbl>
      <w:tblPr>
        <w:tblStyle w:val="25"/>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06BBC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0784489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276" w:type="dxa"/>
            <w:tcBorders>
              <w:top w:val="single" w:color="auto" w:sz="12" w:space="0"/>
              <w:bottom w:val="double" w:color="auto" w:sz="6" w:space="0"/>
            </w:tcBorders>
            <w:vAlign w:val="center"/>
          </w:tcPr>
          <w:p w14:paraId="3A3ECBA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w:t>
            </w:r>
          </w:p>
          <w:p w14:paraId="6CCC20F9">
            <w:pPr>
              <w:pStyle w:val="3"/>
              <w:keepNext/>
              <w:pageBreakBefore w:val="0"/>
              <w:kinsoku/>
              <w:wordWrap/>
              <w:overflowPunct/>
              <w:topLinePunct w:val="0"/>
              <w:bidi w:val="0"/>
              <w:spacing w:after="0" w:line="440" w:lineRule="exact"/>
              <w:ind w:left="0" w:leftChars="0" w:right="63"/>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设备品种</w:t>
            </w:r>
          </w:p>
        </w:tc>
        <w:tc>
          <w:tcPr>
            <w:tcW w:w="1418" w:type="dxa"/>
            <w:tcBorders>
              <w:top w:val="single" w:color="auto" w:sz="12" w:space="0"/>
              <w:bottom w:val="double" w:color="auto" w:sz="6" w:space="0"/>
            </w:tcBorders>
            <w:vAlign w:val="center"/>
          </w:tcPr>
          <w:p w14:paraId="2D0BAE0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规格型号</w:t>
            </w:r>
          </w:p>
        </w:tc>
        <w:tc>
          <w:tcPr>
            <w:tcW w:w="940" w:type="dxa"/>
            <w:tcBorders>
              <w:top w:val="single" w:color="auto" w:sz="12" w:space="0"/>
              <w:bottom w:val="double" w:color="auto" w:sz="6" w:space="0"/>
            </w:tcBorders>
            <w:vAlign w:val="center"/>
          </w:tcPr>
          <w:p w14:paraId="2E4C6D9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单位</w:t>
            </w:r>
          </w:p>
        </w:tc>
        <w:tc>
          <w:tcPr>
            <w:tcW w:w="851" w:type="dxa"/>
            <w:tcBorders>
              <w:top w:val="single" w:color="auto" w:sz="12" w:space="0"/>
              <w:bottom w:val="double" w:color="auto" w:sz="6" w:space="0"/>
            </w:tcBorders>
            <w:vAlign w:val="center"/>
          </w:tcPr>
          <w:p w14:paraId="08BB1B7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044" w:type="dxa"/>
            <w:tcBorders>
              <w:top w:val="single" w:color="auto" w:sz="12" w:space="0"/>
              <w:bottom w:val="double" w:color="auto" w:sz="6" w:space="0"/>
            </w:tcBorders>
            <w:vAlign w:val="center"/>
          </w:tcPr>
          <w:p w14:paraId="3114517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单价（元）</w:t>
            </w:r>
          </w:p>
        </w:tc>
        <w:tc>
          <w:tcPr>
            <w:tcW w:w="992" w:type="dxa"/>
            <w:tcBorders>
              <w:top w:val="single" w:color="auto" w:sz="12" w:space="0"/>
              <w:bottom w:val="double" w:color="auto" w:sz="6" w:space="0"/>
            </w:tcBorders>
            <w:vAlign w:val="center"/>
          </w:tcPr>
          <w:p w14:paraId="1093020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质量等级</w:t>
            </w:r>
          </w:p>
        </w:tc>
        <w:tc>
          <w:tcPr>
            <w:tcW w:w="851" w:type="dxa"/>
            <w:tcBorders>
              <w:top w:val="single" w:color="auto" w:sz="12" w:space="0"/>
              <w:bottom w:val="double" w:color="auto" w:sz="6" w:space="0"/>
            </w:tcBorders>
            <w:vAlign w:val="center"/>
          </w:tcPr>
          <w:p w14:paraId="3ED3A60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供应时间</w:t>
            </w:r>
          </w:p>
        </w:tc>
        <w:tc>
          <w:tcPr>
            <w:tcW w:w="1487" w:type="dxa"/>
            <w:tcBorders>
              <w:top w:val="single" w:color="auto" w:sz="12" w:space="0"/>
              <w:bottom w:val="double" w:color="auto" w:sz="6" w:space="0"/>
            </w:tcBorders>
            <w:vAlign w:val="center"/>
          </w:tcPr>
          <w:p w14:paraId="7975ADA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送达地点</w:t>
            </w:r>
          </w:p>
        </w:tc>
        <w:tc>
          <w:tcPr>
            <w:tcW w:w="992" w:type="dxa"/>
            <w:tcBorders>
              <w:top w:val="single" w:color="auto" w:sz="12" w:space="0"/>
              <w:bottom w:val="single" w:color="auto" w:sz="4" w:space="0"/>
            </w:tcBorders>
            <w:vAlign w:val="center"/>
          </w:tcPr>
          <w:p w14:paraId="7BC13AC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5F8EB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6F66EA9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sz w:val="30"/>
                <w:highlight w:val="none"/>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-16510</wp:posOffset>
                      </wp:positionV>
                      <wp:extent cx="6731000" cy="6927850"/>
                      <wp:effectExtent l="3175" t="3175" r="9525" b="3175"/>
                      <wp:wrapNone/>
                      <wp:docPr id="13" name="直接连接符 13"/>
                      <wp:cNvGraphicFramePr/>
                      <a:graphic xmlns:a="http://schemas.openxmlformats.org/drawingml/2006/main">
                        <a:graphicData uri="http://schemas.microsoft.com/office/word/2010/wordprocessingShape">
                          <wps:wsp>
                            <wps:cNvCnPr/>
                            <wps:spPr>
                              <a:xfrm flipH="1">
                                <a:off x="3784600" y="2263775"/>
                                <a:ext cx="6731000" cy="6927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0.1pt;margin-top:-1.3pt;height:545.5pt;width:530pt;z-index:251669504;mso-width-relative:page;mso-height-relative:page;" filled="f" stroked="t" coordsize="21600,21600" o:gfxdata="UEsDBAoAAAAAAIdO4kAAAAAAAAAAAAAAAAAEAAAAZHJzL1BLAwQUAAAACACHTuJA+mrPu9cAAAAK&#10;AQAADwAAAGRycy9kb3ducmV2LnhtbE2PQU/DMAyF70j8h8hI3LakY0xtaToxJOCGxMbuWWPaao1T&#10;mnQb/x73NE629Z6ev1esL64TJxxC60lDMlcgkCpvW6o1fO1eZymIEA1Z03lCDb8YYF3e3hQmt/5M&#10;n3jaxlpwCIXcaGhi7HMpQ9WgM2HueyTWvv3gTORzqKUdzJnDXScXSq2kMy3xh8b0+NJgddyOTsNm&#10;lz282f34fvzIlvi8yZIw/uy1vr9L1BOIiJd4NcOEz+hQMtPBj2SD6DTMFmycxgrEJKvHjKscpi1N&#10;lyDLQv6vUP4BUEsDBBQAAAAIAIdO4kBLN7+N/wEAAM8DAAAOAAAAZHJzL2Uyb0RvYy54bWytU81u&#10;EzEQviPxDpbvZDdZmoRVNj00KhwQRII+gOO1dy35Tx43m7wEL4DEDU4cufdtKI/RsTeUUi494IM1&#10;9oy/me+b8er8YDTZiwDK2YZOJyUlwnLXKts19Orj5YslJRCZbZl2VjT0KICer58/Ww2+FjPXO92K&#10;QBDEQj34hvYx+roogPfCMJg4Lyw6pQuGRTyGrmgDGxDd6GJWlvNicKH1wXEBgLeb0UlPiOEpgE5K&#10;xcXG8WsjbBxRg9AsIiXolQe6ztVKKXh8LyWISHRDkWnMOyZBe5f2Yr1idReY7xU/lcCeUsIjToYp&#10;i0nvoTYsMnId1D9QRvHgwMk44c4UI5GsCLKYlo+0+dAzLzIXlBr8vejw/2D5u/02ENXiJFSUWGaw&#10;47eff/z89PXXzRfcb79/I+hBmQYPNUZf2G04ncBvQ+J8kMEQqZV/gyhZBeRFDg2tFsuX8xKlPjZ0&#10;NptXi8XZKLg4RMIxYL6opmUK4BgxfzVbLM9yS4oRNIH7APG1cIYko6Fa2aQIq9n+LUQsBEN/h6Rr&#10;6y6V1rmr2pIBUSuEJJzhpEqcEDSNR7ZgO0qY7vAL8BgyIjit2vQ64UDodhc6kD1Lg5NXKh2z/RWW&#10;Um8Y9GNcdo0MjYr4S7QyDV0+fK0tgiQpR/GStXPtMWua77HPOc1pJtMgPTzn13/+4fo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rPu9cAAAAKAQAADwAAAAAAAAABACAAAAAiAAAAZHJzL2Rvd25y&#10;ZXYueG1sUEsBAhQAFAAAAAgAh07iQEs3v43/AQAAzwMAAA4AAAAAAAAAAQAgAAAAJgEAAGRycy9l&#10;Mm9Eb2MueG1sUEsFBgAAAAAGAAYAWQEAAJcFAAAAAA==&#10;">
                      <v:fill on="f" focussize="0,0"/>
                      <v:stroke weight="0.5pt" color="#000000 [3200]" miterlimit="8" joinstyle="miter"/>
                      <v:imagedata o:title=""/>
                      <o:lock v:ext="edit" aspectratio="f"/>
                    </v:line>
                  </w:pict>
                </mc:Fallback>
              </mc:AlternateContent>
            </w:r>
          </w:p>
        </w:tc>
        <w:tc>
          <w:tcPr>
            <w:tcW w:w="1276" w:type="dxa"/>
            <w:tcBorders>
              <w:top w:val="double" w:color="auto" w:sz="6" w:space="0"/>
              <w:bottom w:val="single" w:color="auto" w:sz="6" w:space="0"/>
            </w:tcBorders>
            <w:vAlign w:val="center"/>
          </w:tcPr>
          <w:p w14:paraId="75433F3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18" w:type="dxa"/>
            <w:tcBorders>
              <w:top w:val="double" w:color="auto" w:sz="6" w:space="0"/>
              <w:bottom w:val="single" w:color="auto" w:sz="6" w:space="0"/>
            </w:tcBorders>
            <w:vAlign w:val="center"/>
          </w:tcPr>
          <w:p w14:paraId="1A3CFF1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40" w:type="dxa"/>
            <w:tcBorders>
              <w:top w:val="double" w:color="auto" w:sz="6" w:space="0"/>
              <w:bottom w:val="single" w:color="auto" w:sz="6" w:space="0"/>
            </w:tcBorders>
            <w:vAlign w:val="center"/>
          </w:tcPr>
          <w:p w14:paraId="5C6926E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tcBorders>
              <w:top w:val="double" w:color="auto" w:sz="6" w:space="0"/>
              <w:bottom w:val="single" w:color="auto" w:sz="6" w:space="0"/>
            </w:tcBorders>
            <w:vAlign w:val="center"/>
          </w:tcPr>
          <w:p w14:paraId="2E649B1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44" w:type="dxa"/>
            <w:tcBorders>
              <w:top w:val="double" w:color="auto" w:sz="6" w:space="0"/>
              <w:bottom w:val="single" w:color="auto" w:sz="6" w:space="0"/>
            </w:tcBorders>
            <w:vAlign w:val="center"/>
          </w:tcPr>
          <w:p w14:paraId="4E7A963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tcBorders>
              <w:top w:val="double" w:color="auto" w:sz="6" w:space="0"/>
              <w:bottom w:val="single" w:color="auto" w:sz="6" w:space="0"/>
            </w:tcBorders>
            <w:vAlign w:val="center"/>
          </w:tcPr>
          <w:p w14:paraId="0C213AB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tcBorders>
              <w:top w:val="double" w:color="auto" w:sz="6" w:space="0"/>
              <w:bottom w:val="single" w:color="auto" w:sz="6" w:space="0"/>
            </w:tcBorders>
            <w:vAlign w:val="center"/>
          </w:tcPr>
          <w:p w14:paraId="3E2E217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87" w:type="dxa"/>
            <w:tcBorders>
              <w:top w:val="double" w:color="auto" w:sz="6" w:space="0"/>
              <w:bottom w:val="single" w:color="auto" w:sz="6" w:space="0"/>
            </w:tcBorders>
            <w:vAlign w:val="center"/>
          </w:tcPr>
          <w:p w14:paraId="01FE1D6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tcBorders>
              <w:top w:val="single" w:color="auto" w:sz="4" w:space="0"/>
              <w:bottom w:val="single" w:color="auto" w:sz="6" w:space="0"/>
            </w:tcBorders>
            <w:vAlign w:val="center"/>
          </w:tcPr>
          <w:p w14:paraId="6F32060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6FCFB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3EBF708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6" w:type="dxa"/>
            <w:tcBorders>
              <w:top w:val="nil"/>
            </w:tcBorders>
            <w:vAlign w:val="center"/>
          </w:tcPr>
          <w:p w14:paraId="1D188AA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18" w:type="dxa"/>
            <w:tcBorders>
              <w:top w:val="nil"/>
            </w:tcBorders>
            <w:vAlign w:val="center"/>
          </w:tcPr>
          <w:p w14:paraId="1747401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40" w:type="dxa"/>
            <w:tcBorders>
              <w:top w:val="nil"/>
            </w:tcBorders>
            <w:vAlign w:val="center"/>
          </w:tcPr>
          <w:p w14:paraId="3F7F5EA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tcBorders>
              <w:top w:val="nil"/>
            </w:tcBorders>
            <w:vAlign w:val="center"/>
          </w:tcPr>
          <w:p w14:paraId="26C07EE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44" w:type="dxa"/>
            <w:tcBorders>
              <w:top w:val="nil"/>
            </w:tcBorders>
            <w:vAlign w:val="center"/>
          </w:tcPr>
          <w:p w14:paraId="7D2C713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tcBorders>
              <w:top w:val="nil"/>
            </w:tcBorders>
            <w:vAlign w:val="center"/>
          </w:tcPr>
          <w:p w14:paraId="5932D21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tcBorders>
              <w:top w:val="nil"/>
            </w:tcBorders>
            <w:vAlign w:val="center"/>
          </w:tcPr>
          <w:p w14:paraId="7443138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87" w:type="dxa"/>
            <w:tcBorders>
              <w:top w:val="nil"/>
            </w:tcBorders>
            <w:vAlign w:val="center"/>
          </w:tcPr>
          <w:p w14:paraId="1C4ED72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tcBorders>
              <w:top w:val="nil"/>
            </w:tcBorders>
            <w:vAlign w:val="center"/>
          </w:tcPr>
          <w:p w14:paraId="20E7613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693F5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11426B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6" w:type="dxa"/>
            <w:vAlign w:val="center"/>
          </w:tcPr>
          <w:p w14:paraId="5D520EB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18" w:type="dxa"/>
            <w:vAlign w:val="center"/>
          </w:tcPr>
          <w:p w14:paraId="546AB1A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40" w:type="dxa"/>
            <w:vAlign w:val="center"/>
          </w:tcPr>
          <w:p w14:paraId="2BB5A42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2DB8648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44" w:type="dxa"/>
            <w:vAlign w:val="center"/>
          </w:tcPr>
          <w:p w14:paraId="427B91A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72535F6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65C5219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87" w:type="dxa"/>
            <w:vAlign w:val="center"/>
          </w:tcPr>
          <w:p w14:paraId="36AD600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6C440D3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2A2E5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D88F6A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6" w:type="dxa"/>
            <w:vAlign w:val="center"/>
          </w:tcPr>
          <w:p w14:paraId="51818A0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18" w:type="dxa"/>
            <w:vAlign w:val="center"/>
          </w:tcPr>
          <w:p w14:paraId="3B56576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40" w:type="dxa"/>
            <w:vAlign w:val="center"/>
          </w:tcPr>
          <w:p w14:paraId="36083EC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3DCCCF0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44" w:type="dxa"/>
            <w:vAlign w:val="center"/>
          </w:tcPr>
          <w:p w14:paraId="229CA1D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4D6C4A5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417DA29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87" w:type="dxa"/>
            <w:vAlign w:val="center"/>
          </w:tcPr>
          <w:p w14:paraId="314B3E8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1A3BEF3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0C0C0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80B038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6" w:type="dxa"/>
            <w:vAlign w:val="center"/>
          </w:tcPr>
          <w:p w14:paraId="19B6BD4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18" w:type="dxa"/>
            <w:vAlign w:val="center"/>
          </w:tcPr>
          <w:p w14:paraId="396650A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40" w:type="dxa"/>
            <w:vAlign w:val="center"/>
          </w:tcPr>
          <w:p w14:paraId="300B72C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4C87D68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44" w:type="dxa"/>
            <w:vAlign w:val="center"/>
          </w:tcPr>
          <w:p w14:paraId="3D2E126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46E190D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27DA104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87" w:type="dxa"/>
            <w:vAlign w:val="center"/>
          </w:tcPr>
          <w:p w14:paraId="4467189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52EF352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16D8D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7BEA4D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6" w:type="dxa"/>
            <w:vAlign w:val="center"/>
          </w:tcPr>
          <w:p w14:paraId="4277299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18" w:type="dxa"/>
            <w:vAlign w:val="center"/>
          </w:tcPr>
          <w:p w14:paraId="4509E1A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40" w:type="dxa"/>
            <w:vAlign w:val="center"/>
          </w:tcPr>
          <w:p w14:paraId="5526FCD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343CB82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44" w:type="dxa"/>
            <w:vAlign w:val="center"/>
          </w:tcPr>
          <w:p w14:paraId="7F5E293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006103A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7BE8EEA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87" w:type="dxa"/>
            <w:vAlign w:val="center"/>
          </w:tcPr>
          <w:p w14:paraId="269C8BD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0628FEF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711FD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EE06EA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6" w:type="dxa"/>
            <w:vAlign w:val="center"/>
          </w:tcPr>
          <w:p w14:paraId="5FEE7A2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18" w:type="dxa"/>
            <w:vAlign w:val="center"/>
          </w:tcPr>
          <w:p w14:paraId="3ED65CF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40" w:type="dxa"/>
            <w:vAlign w:val="center"/>
          </w:tcPr>
          <w:p w14:paraId="4DEA0AD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4148EAE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44" w:type="dxa"/>
            <w:vAlign w:val="center"/>
          </w:tcPr>
          <w:p w14:paraId="6F28627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27AC9C8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659A5EA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87" w:type="dxa"/>
            <w:vAlign w:val="center"/>
          </w:tcPr>
          <w:p w14:paraId="325914E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2C129A8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26815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ED3BB1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6" w:type="dxa"/>
            <w:vAlign w:val="center"/>
          </w:tcPr>
          <w:p w14:paraId="1DC6014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18" w:type="dxa"/>
            <w:vAlign w:val="center"/>
          </w:tcPr>
          <w:p w14:paraId="7549565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40" w:type="dxa"/>
            <w:vAlign w:val="center"/>
          </w:tcPr>
          <w:p w14:paraId="3B12C64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48A6ABF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44" w:type="dxa"/>
            <w:vAlign w:val="center"/>
          </w:tcPr>
          <w:p w14:paraId="737CBAD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68EBE6D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352FDDC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87" w:type="dxa"/>
            <w:vAlign w:val="center"/>
          </w:tcPr>
          <w:p w14:paraId="26ACD24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2826814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1CDDA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69A6644">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276" w:type="dxa"/>
            <w:vAlign w:val="center"/>
          </w:tcPr>
          <w:p w14:paraId="256CCE82">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18" w:type="dxa"/>
            <w:vAlign w:val="center"/>
          </w:tcPr>
          <w:p w14:paraId="16F600EF">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40" w:type="dxa"/>
            <w:vAlign w:val="center"/>
          </w:tcPr>
          <w:p w14:paraId="6CC2F8A6">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55CCF93E">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044" w:type="dxa"/>
            <w:vAlign w:val="center"/>
          </w:tcPr>
          <w:p w14:paraId="2AA4CB02">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1F82D7BE">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625BA15C">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87" w:type="dxa"/>
            <w:vAlign w:val="center"/>
          </w:tcPr>
          <w:p w14:paraId="06EE2E6B">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7CB7B5FE">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r>
      <w:tr w14:paraId="38CAC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A011A3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6" w:type="dxa"/>
            <w:vAlign w:val="center"/>
          </w:tcPr>
          <w:p w14:paraId="032FE1B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18" w:type="dxa"/>
            <w:vAlign w:val="center"/>
          </w:tcPr>
          <w:p w14:paraId="7E7FC75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40" w:type="dxa"/>
            <w:vAlign w:val="center"/>
          </w:tcPr>
          <w:p w14:paraId="79640FE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0A2120D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44" w:type="dxa"/>
            <w:vAlign w:val="center"/>
          </w:tcPr>
          <w:p w14:paraId="1AD9304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6EE29D1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1" w:type="dxa"/>
            <w:vAlign w:val="center"/>
          </w:tcPr>
          <w:p w14:paraId="0A48D15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87" w:type="dxa"/>
            <w:vAlign w:val="center"/>
          </w:tcPr>
          <w:p w14:paraId="34A49F5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92" w:type="dxa"/>
            <w:vAlign w:val="center"/>
          </w:tcPr>
          <w:p w14:paraId="7858FAD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3A501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0F03F64">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276" w:type="dxa"/>
            <w:vAlign w:val="center"/>
          </w:tcPr>
          <w:p w14:paraId="22173706">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18" w:type="dxa"/>
            <w:vAlign w:val="center"/>
          </w:tcPr>
          <w:p w14:paraId="365FC887">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40" w:type="dxa"/>
            <w:vAlign w:val="center"/>
          </w:tcPr>
          <w:p w14:paraId="387C287B">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13DEC6DE">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044" w:type="dxa"/>
            <w:vAlign w:val="center"/>
          </w:tcPr>
          <w:p w14:paraId="480A745F">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4E71B60E">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2AD7E745">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87" w:type="dxa"/>
            <w:vAlign w:val="center"/>
          </w:tcPr>
          <w:p w14:paraId="446BDCEB">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50E26849">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r>
      <w:tr w14:paraId="16E37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AE9D1E2">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276" w:type="dxa"/>
            <w:vAlign w:val="center"/>
          </w:tcPr>
          <w:p w14:paraId="1304F9B3">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18" w:type="dxa"/>
            <w:vAlign w:val="center"/>
          </w:tcPr>
          <w:p w14:paraId="012680C3">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40" w:type="dxa"/>
            <w:vAlign w:val="center"/>
          </w:tcPr>
          <w:p w14:paraId="6DF12741">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0C921526">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044" w:type="dxa"/>
            <w:vAlign w:val="center"/>
          </w:tcPr>
          <w:p w14:paraId="532BAEE5">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6C63CD1F">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0AF97E42">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87" w:type="dxa"/>
            <w:vAlign w:val="center"/>
          </w:tcPr>
          <w:p w14:paraId="234E0309">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38D94329">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r>
      <w:tr w14:paraId="0DB22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37E8BC2">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276" w:type="dxa"/>
            <w:vAlign w:val="center"/>
          </w:tcPr>
          <w:p w14:paraId="3B33FD7B">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18" w:type="dxa"/>
            <w:vAlign w:val="center"/>
          </w:tcPr>
          <w:p w14:paraId="2EF02396">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40" w:type="dxa"/>
            <w:vAlign w:val="center"/>
          </w:tcPr>
          <w:p w14:paraId="5ECB94FA">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5FCA7F0E">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044" w:type="dxa"/>
            <w:vAlign w:val="center"/>
          </w:tcPr>
          <w:p w14:paraId="39846BAE">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2EA2C619">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0F7519C5">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87" w:type="dxa"/>
            <w:vAlign w:val="center"/>
          </w:tcPr>
          <w:p w14:paraId="31136477">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7788AAB6">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r>
      <w:tr w14:paraId="25F63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CC5B61C">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276" w:type="dxa"/>
            <w:vAlign w:val="center"/>
          </w:tcPr>
          <w:p w14:paraId="2E6ED9E0">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18" w:type="dxa"/>
            <w:vAlign w:val="center"/>
          </w:tcPr>
          <w:p w14:paraId="181E666F">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40" w:type="dxa"/>
            <w:vAlign w:val="center"/>
          </w:tcPr>
          <w:p w14:paraId="757D8239">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14ECB9D3">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044" w:type="dxa"/>
            <w:vAlign w:val="center"/>
          </w:tcPr>
          <w:p w14:paraId="2D4DE83E">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39F97179">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2F877F99">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87" w:type="dxa"/>
            <w:vAlign w:val="center"/>
          </w:tcPr>
          <w:p w14:paraId="5A35EE08">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28EBEC2B">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r>
      <w:tr w14:paraId="6937D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B9DD065">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276" w:type="dxa"/>
            <w:vAlign w:val="center"/>
          </w:tcPr>
          <w:p w14:paraId="33600C04">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18" w:type="dxa"/>
            <w:vAlign w:val="center"/>
          </w:tcPr>
          <w:p w14:paraId="6C80C99F">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40" w:type="dxa"/>
            <w:vAlign w:val="center"/>
          </w:tcPr>
          <w:p w14:paraId="643BB1BD">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49268822">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044" w:type="dxa"/>
            <w:vAlign w:val="center"/>
          </w:tcPr>
          <w:p w14:paraId="1A86969C">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37F96555">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423E4E3F">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87" w:type="dxa"/>
            <w:vAlign w:val="center"/>
          </w:tcPr>
          <w:p w14:paraId="31675248">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7DFB9855">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r>
      <w:tr w14:paraId="1DBFE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9FBA81B">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276" w:type="dxa"/>
            <w:vAlign w:val="center"/>
          </w:tcPr>
          <w:p w14:paraId="7CB95EC2">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18" w:type="dxa"/>
            <w:vAlign w:val="center"/>
          </w:tcPr>
          <w:p w14:paraId="7FE3141F">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40" w:type="dxa"/>
            <w:vAlign w:val="center"/>
          </w:tcPr>
          <w:p w14:paraId="16150180">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716B8425">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044" w:type="dxa"/>
            <w:vAlign w:val="center"/>
          </w:tcPr>
          <w:p w14:paraId="6A1BA2CF">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2EC409B6">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5B036FAB">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87" w:type="dxa"/>
            <w:vAlign w:val="center"/>
          </w:tcPr>
          <w:p w14:paraId="7F07DB59">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6D9D8943">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r>
      <w:tr w14:paraId="6FBC6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45D7689">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276" w:type="dxa"/>
            <w:vAlign w:val="center"/>
          </w:tcPr>
          <w:p w14:paraId="0E7D31E2">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18" w:type="dxa"/>
            <w:vAlign w:val="center"/>
          </w:tcPr>
          <w:p w14:paraId="75393E68">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40" w:type="dxa"/>
            <w:vAlign w:val="center"/>
          </w:tcPr>
          <w:p w14:paraId="2F5F3BDA">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07D081FB">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044" w:type="dxa"/>
            <w:vAlign w:val="center"/>
          </w:tcPr>
          <w:p w14:paraId="05DDB4FA">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4F6E6C52">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153313F1">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87" w:type="dxa"/>
            <w:vAlign w:val="center"/>
          </w:tcPr>
          <w:p w14:paraId="668169A7">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61C4E48D">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r>
      <w:tr w14:paraId="0D1F5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3E5626B">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276" w:type="dxa"/>
            <w:vAlign w:val="center"/>
          </w:tcPr>
          <w:p w14:paraId="571A59D2">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18" w:type="dxa"/>
            <w:vAlign w:val="center"/>
          </w:tcPr>
          <w:p w14:paraId="0BA9BCE5">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40" w:type="dxa"/>
            <w:vAlign w:val="center"/>
          </w:tcPr>
          <w:p w14:paraId="65501FBD">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558B7D6B">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044" w:type="dxa"/>
            <w:vAlign w:val="center"/>
          </w:tcPr>
          <w:p w14:paraId="0E60C48A">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0428C4E9">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851" w:type="dxa"/>
            <w:vAlign w:val="center"/>
          </w:tcPr>
          <w:p w14:paraId="5815EC4E">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1487" w:type="dxa"/>
            <w:vAlign w:val="center"/>
          </w:tcPr>
          <w:p w14:paraId="5B9259DE">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c>
          <w:tcPr>
            <w:tcW w:w="992" w:type="dxa"/>
            <w:vAlign w:val="center"/>
          </w:tcPr>
          <w:p w14:paraId="6469037F">
            <w:pPr>
              <w:pageBreakBefore w:val="0"/>
              <w:kinsoku/>
              <w:wordWrap/>
              <w:overflowPunct/>
              <w:topLinePunct w:val="0"/>
              <w:bidi w:val="0"/>
              <w:jc w:val="center"/>
              <w:textAlignment w:val="auto"/>
              <w:rPr>
                <w:rFonts w:hint="eastAsia" w:ascii="宋体" w:hAnsi="宋体" w:eastAsia="宋体" w:cs="宋体"/>
                <w:color w:val="auto"/>
                <w:sz w:val="30"/>
                <w:szCs w:val="30"/>
                <w:highlight w:val="none"/>
              </w:rPr>
            </w:pPr>
          </w:p>
        </w:tc>
      </w:tr>
    </w:tbl>
    <w:p w14:paraId="65355A6A">
      <w:pPr>
        <w:pageBreakBefore w:val="0"/>
        <w:kinsoku/>
        <w:wordWrap/>
        <w:overflowPunct/>
        <w:topLinePunct w:val="0"/>
        <w:bidi w:val="0"/>
        <w:spacing w:line="440" w:lineRule="exact"/>
        <w:textAlignment w:val="auto"/>
        <w:rPr>
          <w:rFonts w:hint="eastAsia" w:ascii="宋体" w:hAnsi="宋体" w:eastAsia="宋体" w:cs="宋体"/>
          <w:color w:val="auto"/>
          <w:sz w:val="30"/>
          <w:szCs w:val="30"/>
          <w:highlight w:val="none"/>
        </w:rPr>
      </w:pPr>
    </w:p>
    <w:p w14:paraId="6F159950">
      <w:pPr>
        <w:pageBreakBefore w:val="0"/>
        <w:kinsoku/>
        <w:wordWrap/>
        <w:overflowPunct/>
        <w:topLinePunct w:val="0"/>
        <w:bidi w:val="0"/>
        <w:spacing w:line="440" w:lineRule="exact"/>
        <w:textAlignment w:val="auto"/>
        <w:outlineLvl w:val="0"/>
        <w:rPr>
          <w:rFonts w:hint="eastAsia" w:ascii="宋体" w:hAnsi="宋体" w:eastAsia="宋体" w:cs="宋体"/>
          <w:color w:val="auto"/>
          <w:sz w:val="30"/>
          <w:szCs w:val="30"/>
          <w:highlight w:val="none"/>
          <w:lang w:eastAsia="zh-CN"/>
        </w:rPr>
      </w:pPr>
      <w:bookmarkStart w:id="916" w:name="_Toc2720"/>
      <w:r>
        <w:rPr>
          <w:rFonts w:hint="eastAsia" w:ascii="宋体" w:hAnsi="宋体" w:eastAsia="宋体" w:cs="宋体"/>
          <w:color w:val="auto"/>
          <w:kern w:val="2"/>
          <w:sz w:val="24"/>
          <w:szCs w:val="24"/>
          <w:highlight w:val="none"/>
          <w:lang w:val="en-US" w:eastAsia="zh-CN" w:bidi="ar-SA"/>
        </w:rPr>
        <w:t>附</w:t>
      </w:r>
      <w:bookmarkStart w:id="917" w:name="_Toc296503226"/>
      <w:bookmarkStart w:id="918" w:name="_Toc296891266"/>
      <w:bookmarkStart w:id="919" w:name="_Toc296347225"/>
      <w:bookmarkStart w:id="920" w:name="_Toc267261693"/>
      <w:bookmarkStart w:id="921" w:name="_Toc296891054"/>
      <w:bookmarkStart w:id="922" w:name="_Toc296346727"/>
      <w:bookmarkStart w:id="923" w:name="_Toc296944565"/>
      <w:r>
        <w:rPr>
          <w:rFonts w:hint="eastAsia" w:ascii="宋体" w:hAnsi="宋体" w:eastAsia="宋体" w:cs="宋体"/>
          <w:color w:val="auto"/>
          <w:kern w:val="2"/>
          <w:sz w:val="24"/>
          <w:szCs w:val="24"/>
          <w:highlight w:val="none"/>
          <w:lang w:val="en-US" w:eastAsia="zh-CN" w:bidi="ar-SA"/>
        </w:rPr>
        <w:t>件3：</w:t>
      </w:r>
      <w:bookmarkEnd w:id="916"/>
      <w:bookmarkEnd w:id="917"/>
      <w:bookmarkEnd w:id="918"/>
      <w:bookmarkEnd w:id="919"/>
      <w:bookmarkEnd w:id="920"/>
      <w:bookmarkEnd w:id="921"/>
      <w:bookmarkEnd w:id="922"/>
      <w:bookmarkEnd w:id="923"/>
    </w:p>
    <w:p w14:paraId="2B9FF326">
      <w:pPr>
        <w:pageBreakBefore w:val="0"/>
        <w:kinsoku/>
        <w:wordWrap/>
        <w:overflowPunct/>
        <w:topLinePunct w:val="0"/>
        <w:bidi w:val="0"/>
        <w:spacing w:beforeLines="50" w:afterLines="50" w:line="440" w:lineRule="exact"/>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工程质量保修书</w:t>
      </w:r>
    </w:p>
    <w:p w14:paraId="6E5FF693">
      <w:pPr>
        <w:pageBreakBefore w:val="0"/>
        <w:kinsoku/>
        <w:wordWrap/>
        <w:overflowPunct/>
        <w:topLinePunct w:val="0"/>
        <w:bidi w:val="0"/>
        <w:spacing w:line="440" w:lineRule="exact"/>
        <w:ind w:left="1920" w:hanging="1920" w:hangingChars="800"/>
        <w:textAlignment w:val="auto"/>
        <w:outlineLvl w:val="9"/>
        <w:rPr>
          <w:rFonts w:hint="eastAsia" w:ascii="宋体" w:hAnsi="宋体" w:eastAsia="宋体" w:cs="宋体"/>
          <w:b/>
          <w:color w:val="auto"/>
          <w:sz w:val="24"/>
          <w:highlight w:val="none"/>
          <w:u w:val="single"/>
          <w:lang w:eastAsia="zh-CN"/>
        </w:rPr>
      </w:pPr>
      <w:r>
        <w:rPr>
          <w:rFonts w:hint="eastAsia" w:ascii="宋体" w:hAnsi="宋体" w:eastAsia="宋体" w:cs="宋体"/>
          <w:color w:val="auto"/>
          <w:sz w:val="24"/>
          <w:highlight w:val="none"/>
        </w:rPr>
        <w:t>发包人（全称）：</w:t>
      </w:r>
      <w:r>
        <w:rPr>
          <w:rFonts w:hint="eastAsia" w:ascii="宋体" w:hAnsi="宋体" w:eastAsia="宋体" w:cs="宋体"/>
          <w:color w:val="auto"/>
          <w:sz w:val="24"/>
          <w:highlight w:val="none"/>
          <w:u w:val="single"/>
          <w:lang w:val="en-US" w:eastAsia="zh-CN"/>
        </w:rPr>
        <w:t>乌鲁木齐市天山区城市管理局（乌鲁木齐市天山区城市管理行政执法局）</w:t>
      </w:r>
    </w:p>
    <w:p w14:paraId="0178C468">
      <w:pPr>
        <w:pageBreakBefore w:val="0"/>
        <w:kinsoku/>
        <w:wordWrap/>
        <w:overflowPunct/>
        <w:topLinePunct w:val="0"/>
        <w:bidi w:val="0"/>
        <w:spacing w:line="440" w:lineRule="exact"/>
        <w:textAlignment w:val="auto"/>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承包人（全称）：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p>
    <w:p w14:paraId="0B6A5791">
      <w:pPr>
        <w:pageBreakBefore w:val="0"/>
        <w:kinsoku/>
        <w:wordWrap/>
        <w:overflowPunct/>
        <w:topLinePunct w:val="0"/>
        <w:bidi w:val="0"/>
        <w:spacing w:line="440" w:lineRule="exact"/>
        <w:textAlignment w:val="auto"/>
        <w:outlineLvl w:val="9"/>
        <w:rPr>
          <w:rFonts w:hint="eastAsia" w:ascii="宋体" w:hAnsi="宋体" w:eastAsia="宋体" w:cs="宋体"/>
          <w:color w:val="auto"/>
          <w:sz w:val="24"/>
          <w:highlight w:val="none"/>
        </w:rPr>
      </w:pPr>
    </w:p>
    <w:p w14:paraId="46A7DF52">
      <w:pPr>
        <w:pageBreakBefore w:val="0"/>
        <w:kinsoku/>
        <w:wordWrap/>
        <w:overflowPunct/>
        <w:topLinePunct w:val="0"/>
        <w:bidi w:val="0"/>
        <w:spacing w:line="44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发包人和承包人根据《中华人民共和国建筑法》和《建设工程质量管理条例》，经协商一致就</w:t>
      </w:r>
      <w:r>
        <w:rPr>
          <w:rFonts w:hint="eastAsia" w:ascii="宋体" w:hAnsi="宋体" w:eastAsia="宋体" w:cs="宋体"/>
          <w:color w:val="auto"/>
          <w:sz w:val="24"/>
          <w:highlight w:val="none"/>
          <w:u w:val="single"/>
          <w:lang w:val="en-US" w:eastAsia="zh-CN"/>
        </w:rPr>
        <w:t>2025年天山区市政道路附属公共消防设施日常维护项目</w:t>
      </w:r>
      <w:r>
        <w:rPr>
          <w:rFonts w:hint="eastAsia" w:ascii="宋体" w:hAnsi="宋体" w:eastAsia="宋体" w:cs="宋体"/>
          <w:color w:val="auto"/>
          <w:sz w:val="24"/>
          <w:highlight w:val="none"/>
        </w:rPr>
        <w:t>签订工程质量保修书。</w:t>
      </w:r>
    </w:p>
    <w:p w14:paraId="5945F921">
      <w:pPr>
        <w:pageBreakBefore w:val="0"/>
        <w:kinsoku/>
        <w:wordWrap/>
        <w:overflowPunct/>
        <w:topLinePunct w:val="0"/>
        <w:bidi w:val="0"/>
        <w:spacing w:line="36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bookmarkStart w:id="924" w:name="_Toc835"/>
      <w:r>
        <w:rPr>
          <w:rFonts w:hint="eastAsia" w:ascii="宋体" w:hAnsi="宋体" w:eastAsia="宋体" w:cs="宋体"/>
          <w:color w:val="auto"/>
          <w:sz w:val="24"/>
          <w:highlight w:val="none"/>
        </w:rPr>
        <w:t>一、工程质量保修范围和内容</w:t>
      </w:r>
      <w:bookmarkEnd w:id="924"/>
    </w:p>
    <w:p w14:paraId="3A68F458">
      <w:pPr>
        <w:pageBreakBefore w:val="0"/>
        <w:kinsoku/>
        <w:wordWrap/>
        <w:overflowPunct/>
        <w:topLinePunct w:val="0"/>
        <w:bidi w:val="0"/>
        <w:spacing w:line="36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承包人在质量保修期内，按照有关法律规定和合同约定，承担工程质量保修责任。</w:t>
      </w:r>
    </w:p>
    <w:p w14:paraId="77830E86">
      <w:pPr>
        <w:pageBreakBefore w:val="0"/>
        <w:kinsoku/>
        <w:wordWrap/>
        <w:overflowPunct/>
        <w:topLinePunct w:val="0"/>
        <w:bidi w:val="0"/>
        <w:spacing w:line="360" w:lineRule="auto"/>
        <w:jc w:val="left"/>
        <w:textAlignment w:val="auto"/>
        <w:outlineLvl w:val="9"/>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　　质量保修范围包括</w:t>
      </w:r>
      <w:r>
        <w:rPr>
          <w:rFonts w:hint="eastAsia" w:ascii="宋体" w:hAnsi="宋体" w:eastAsia="宋体" w:cs="宋体"/>
          <w:color w:val="auto"/>
          <w:sz w:val="24"/>
          <w:highlight w:val="none"/>
          <w:u w:val="single"/>
        </w:rPr>
        <w:t>消防设施维修、抽排消火栓井积水、清掏杂物与除锈以及双方约定的其他项目</w:t>
      </w:r>
      <w:r>
        <w:rPr>
          <w:rFonts w:hint="eastAsia" w:ascii="宋体" w:hAnsi="宋体" w:eastAsia="宋体" w:cs="宋体"/>
          <w:color w:val="auto"/>
          <w:sz w:val="24"/>
          <w:highlight w:val="none"/>
        </w:rPr>
        <w:t>。具体保修的内容，双方约定如下：</w:t>
      </w:r>
      <w:r>
        <w:rPr>
          <w:rFonts w:hint="eastAsia" w:ascii="宋体" w:hAnsi="宋体" w:eastAsia="宋体" w:cs="宋体"/>
          <w:color w:val="auto"/>
          <w:sz w:val="24"/>
          <w:highlight w:val="none"/>
          <w:u w:val="single"/>
        </w:rPr>
        <w:t>施工范围内全部内容</w:t>
      </w:r>
      <w:r>
        <w:rPr>
          <w:rFonts w:hint="eastAsia" w:ascii="宋体" w:hAnsi="宋体" w:eastAsia="宋体" w:cs="宋体"/>
          <w:color w:val="auto"/>
          <w:sz w:val="24"/>
          <w:highlight w:val="none"/>
          <w:u w:val="single"/>
          <w:lang w:eastAsia="zh-CN"/>
        </w:rPr>
        <w:t>。</w:t>
      </w:r>
    </w:p>
    <w:p w14:paraId="2BD2C3F7">
      <w:pPr>
        <w:pageBreakBefore w:val="0"/>
        <w:kinsoku/>
        <w:wordWrap/>
        <w:overflowPunct/>
        <w:topLinePunct w:val="0"/>
        <w:bidi w:val="0"/>
        <w:spacing w:line="360" w:lineRule="auto"/>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　　</w:t>
      </w:r>
      <w:bookmarkStart w:id="925" w:name="_Toc11565"/>
      <w:r>
        <w:rPr>
          <w:rFonts w:hint="eastAsia" w:ascii="宋体" w:hAnsi="宋体" w:eastAsia="宋体" w:cs="宋体"/>
          <w:color w:val="auto"/>
          <w:sz w:val="24"/>
          <w:highlight w:val="none"/>
        </w:rPr>
        <w:t>二、质量保修期</w:t>
      </w:r>
      <w:bookmarkEnd w:id="925"/>
    </w:p>
    <w:p w14:paraId="767B3F72">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根据《建设工程质量管理条例》及有关规定，工程的质量保修期如下：电气管线、给排水管道、设备安装和装修工程的最低保修期限为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w:t>
      </w:r>
    </w:p>
    <w:p w14:paraId="55578A00">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消防水鹤维护工程属于设备安装及给排水管道相关工程，通常保修期为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p>
    <w:p w14:paraId="49F4412D">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施工单位应对消防水鹤维护工程中涉及的所有施工内容和安装的设备、材料等提供质量保修。包括但不限于消防水鹤的机械结构、阀门、管道连接部位、控制系统等。</w:t>
      </w:r>
    </w:p>
    <w:p w14:paraId="56BA0F33">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．其他项目保修期限约定如下：</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lang w:val="en-US" w:eastAsia="zh-CN"/>
        </w:rPr>
        <w:t>。</w:t>
      </w:r>
    </w:p>
    <w:p w14:paraId="362BAFEE">
      <w:pPr>
        <w:pageBreakBefore w:val="0"/>
        <w:kinsoku/>
        <w:wordWrap/>
        <w:overflowPunct/>
        <w:topLinePunct w:val="0"/>
        <w:bidi w:val="0"/>
        <w:spacing w:line="36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质量保修期自工程竣工验收合格之日起计算。</w:t>
      </w:r>
    </w:p>
    <w:p w14:paraId="7FE47DA0">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rPr>
      </w:pPr>
      <w:bookmarkStart w:id="926" w:name="_Toc10305"/>
      <w:r>
        <w:rPr>
          <w:rFonts w:hint="eastAsia" w:ascii="宋体" w:hAnsi="宋体" w:eastAsia="宋体" w:cs="宋体"/>
          <w:color w:val="auto"/>
          <w:sz w:val="24"/>
          <w:highlight w:val="none"/>
        </w:rPr>
        <w:t>三、缺陷责任期</w:t>
      </w:r>
      <w:bookmarkEnd w:id="926"/>
    </w:p>
    <w:p w14:paraId="6B4898D0">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工程缺陷责任期为</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rPr>
        <w:t>个月，缺陷责任期</w:t>
      </w:r>
      <w:r>
        <w:rPr>
          <w:rFonts w:hint="eastAsia" w:ascii="宋体" w:hAnsi="宋体" w:eastAsia="宋体" w:cs="宋体"/>
          <w:color w:val="auto"/>
          <w:sz w:val="24"/>
          <w:highlight w:val="none"/>
          <w:u w:val="single"/>
        </w:rPr>
        <w:t>自工程通过竣工验收之日起</w:t>
      </w:r>
      <w:r>
        <w:rPr>
          <w:rFonts w:hint="eastAsia" w:ascii="宋体" w:hAnsi="宋体" w:eastAsia="宋体" w:cs="宋体"/>
          <w:color w:val="auto"/>
          <w:sz w:val="24"/>
          <w:highlight w:val="none"/>
        </w:rPr>
        <w:t>计算。单位工程先于全部工程进行验收，单位工程缺陷责任期自单位工程验收合格之日起算。</w:t>
      </w:r>
    </w:p>
    <w:p w14:paraId="536325EF">
      <w:pPr>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缺陷责任期终止后，发包人应退还剩余的质量保证金。</w:t>
      </w:r>
    </w:p>
    <w:p w14:paraId="192D6571">
      <w:pPr>
        <w:pageBreakBefore w:val="0"/>
        <w:kinsoku/>
        <w:wordWrap/>
        <w:overflowPunct/>
        <w:topLinePunct w:val="0"/>
        <w:bidi w:val="0"/>
        <w:spacing w:line="360" w:lineRule="auto"/>
        <w:textAlignment w:val="auto"/>
        <w:outlineLvl w:val="9"/>
        <w:rPr>
          <w:rFonts w:hint="eastAsia" w:ascii="宋体" w:hAnsi="宋体" w:eastAsia="宋体" w:cs="宋体"/>
          <w:color w:val="auto"/>
          <w:sz w:val="24"/>
          <w:highlight w:val="none"/>
        </w:rPr>
      </w:pPr>
      <w:bookmarkStart w:id="927" w:name="_Toc24642"/>
      <w:r>
        <w:rPr>
          <w:rFonts w:hint="eastAsia" w:ascii="宋体" w:hAnsi="宋体" w:eastAsia="宋体" w:cs="宋体"/>
          <w:color w:val="auto"/>
          <w:sz w:val="24"/>
          <w:highlight w:val="none"/>
        </w:rPr>
        <w:t>四、质量保修责任</w:t>
      </w:r>
      <w:bookmarkEnd w:id="927"/>
    </w:p>
    <w:p w14:paraId="27BF6098">
      <w:pPr>
        <w:pageBreakBefore w:val="0"/>
        <w:kinsoku/>
        <w:wordWrap/>
        <w:overflowPunct/>
        <w:topLinePunct w:val="0"/>
        <w:bidi w:val="0"/>
        <w:spacing w:line="360" w:lineRule="auto"/>
        <w:ind w:left="105" w:leftChars="50" w:firstLine="491" w:firstLineChars="205"/>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1．属于保修范围、内容的项目，承包人应当在接到保修通知之日起7天内派人保修。承包人不在约定期限内派人保修的，发包人可以委托他人修理。</w:t>
      </w:r>
    </w:p>
    <w:p w14:paraId="706735E2">
      <w:pPr>
        <w:pageBreakBefore w:val="0"/>
        <w:kinsoku/>
        <w:wordWrap/>
        <w:overflowPunct/>
        <w:topLinePunct w:val="0"/>
        <w:bidi w:val="0"/>
        <w:spacing w:line="360" w:lineRule="auto"/>
        <w:ind w:left="105" w:leftChars="50" w:firstLine="491" w:firstLineChars="205"/>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2．发生紧急事故需抢修的，承包人在接到事故通知后，应当立即到达事故现场抢修。</w:t>
      </w:r>
    </w:p>
    <w:p w14:paraId="4560CE54">
      <w:pPr>
        <w:pageBreakBefore w:val="0"/>
        <w:kinsoku/>
        <w:wordWrap/>
        <w:overflowPunct/>
        <w:topLinePunct w:val="0"/>
        <w:bidi w:val="0"/>
        <w:spacing w:line="360" w:lineRule="auto"/>
        <w:ind w:left="105" w:leftChars="50" w:firstLine="491" w:firstLineChars="205"/>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94F6D02">
      <w:pPr>
        <w:pageBreakBefore w:val="0"/>
        <w:kinsoku/>
        <w:wordWrap/>
        <w:overflowPunct/>
        <w:topLinePunct w:val="0"/>
        <w:bidi w:val="0"/>
        <w:spacing w:line="360" w:lineRule="auto"/>
        <w:ind w:left="420" w:leftChars="200" w:firstLine="120" w:firstLineChars="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4．质量保修完成后，由发包人组织验收。</w:t>
      </w:r>
    </w:p>
    <w:p w14:paraId="06B894E9">
      <w:pPr>
        <w:pageBreakBefore w:val="0"/>
        <w:kinsoku/>
        <w:wordWrap/>
        <w:overflowPunct/>
        <w:topLinePunct w:val="0"/>
        <w:bidi w:val="0"/>
        <w:spacing w:line="36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bookmarkStart w:id="928" w:name="_Toc16761"/>
      <w:r>
        <w:rPr>
          <w:rFonts w:hint="eastAsia" w:ascii="宋体" w:hAnsi="宋体" w:eastAsia="宋体" w:cs="宋体"/>
          <w:color w:val="auto"/>
          <w:sz w:val="24"/>
          <w:highlight w:val="none"/>
        </w:rPr>
        <w:t>五、保修费用</w:t>
      </w:r>
      <w:bookmarkEnd w:id="928"/>
    </w:p>
    <w:p w14:paraId="772C9BD7">
      <w:pPr>
        <w:pageBreakBefore w:val="0"/>
        <w:kinsoku/>
        <w:wordWrap/>
        <w:overflowPunct/>
        <w:topLinePunct w:val="0"/>
        <w:bidi w:val="0"/>
        <w:spacing w:line="36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保修费用由造成质量缺陷的责任方承担。</w:t>
      </w:r>
    </w:p>
    <w:p w14:paraId="3965654D">
      <w:pPr>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color w:val="auto"/>
          <w:sz w:val="24"/>
          <w:highlight w:val="none"/>
          <w:u w:val="single"/>
          <w:lang w:eastAsia="zh-CN"/>
        </w:rPr>
      </w:pPr>
      <w:bookmarkStart w:id="929" w:name="_Toc13139"/>
      <w:r>
        <w:rPr>
          <w:rFonts w:hint="eastAsia" w:ascii="宋体" w:hAnsi="宋体" w:eastAsia="宋体" w:cs="宋体"/>
          <w:color w:val="auto"/>
          <w:sz w:val="24"/>
          <w:highlight w:val="none"/>
        </w:rPr>
        <w:t>六、双方约定的其他工程质量保修事项：</w:t>
      </w:r>
      <w:r>
        <w:rPr>
          <w:rFonts w:hint="eastAsia" w:ascii="宋体" w:hAnsi="宋体" w:eastAsia="宋体" w:cs="宋体"/>
          <w:color w:val="auto"/>
          <w:sz w:val="24"/>
          <w:highlight w:val="none"/>
          <w:u w:val="single"/>
          <w:lang w:val="en-US" w:eastAsia="zh-CN"/>
        </w:rPr>
        <w:t>/</w:t>
      </w:r>
      <w:bookmarkEnd w:id="929"/>
    </w:p>
    <w:p w14:paraId="55CC0354">
      <w:pPr>
        <w:pageBreakBefore w:val="0"/>
        <w:kinsoku/>
        <w:wordWrap/>
        <w:overflowPunct/>
        <w:topLinePunct w:val="0"/>
        <w:bidi w:val="0"/>
        <w:spacing w:line="360" w:lineRule="auto"/>
        <w:ind w:firstLine="456" w:firstLineChars="19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工程质量保修书由发包人、承包人在工程竣工验收前共同签署，作为施工合同附件，其有效期限至保修期满。</w:t>
      </w:r>
    </w:p>
    <w:p w14:paraId="00E8A83F">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以下无正文</w:t>
      </w:r>
      <w:r>
        <w:rPr>
          <w:rFonts w:hint="eastAsia" w:ascii="宋体" w:hAnsi="宋体" w:eastAsia="宋体" w:cs="宋体"/>
          <w:color w:val="auto"/>
          <w:sz w:val="24"/>
          <w:szCs w:val="24"/>
          <w:highlight w:val="none"/>
          <w:lang w:eastAsia="zh-CN"/>
        </w:rPr>
        <w:t>）</w:t>
      </w:r>
    </w:p>
    <w:p w14:paraId="257A165E">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u w:val="single"/>
        </w:rPr>
      </w:pPr>
    </w:p>
    <w:p w14:paraId="35335E2C">
      <w:pPr>
        <w:keepNext w:val="0"/>
        <w:keepLines w:val="0"/>
        <w:pageBreakBefore w:val="0"/>
        <w:widowControl w:val="0"/>
        <w:kinsoku/>
        <w:wordWrap/>
        <w:overflowPunct/>
        <w:topLinePunct w:val="0"/>
        <w:bidi w:val="0"/>
        <w:adjustRightInd/>
        <w:spacing w:line="500" w:lineRule="exact"/>
        <w:ind w:left="0" w:leftChars="0" w:firstLine="38" w:firstLineChars="1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承包人：(公章)</w:t>
      </w:r>
    </w:p>
    <w:p w14:paraId="429DC877">
      <w:pPr>
        <w:keepNext w:val="0"/>
        <w:keepLines w:val="0"/>
        <w:pageBreakBefore w:val="0"/>
        <w:widowControl w:val="0"/>
        <w:kinsoku/>
        <w:wordWrap/>
        <w:overflowPunct/>
        <w:topLinePunct w:val="0"/>
        <w:bidi w:val="0"/>
        <w:adjustRightInd/>
        <w:spacing w:line="500" w:lineRule="exact"/>
        <w:ind w:left="4320" w:hanging="4320" w:hangingChars="18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乌鲁木齐市天山区城市管理局（乌鲁木</w:t>
      </w:r>
      <w:r>
        <w:rPr>
          <w:rFonts w:hint="eastAsia" w:ascii="宋体" w:hAnsi="宋体" w:eastAsia="宋体" w:cs="宋体"/>
          <w:color w:val="auto"/>
          <w:sz w:val="24"/>
          <w:szCs w:val="24"/>
          <w:highlight w:val="none"/>
          <w:lang w:val="en-US" w:eastAsia="zh-CN"/>
        </w:rPr>
        <w:t xml:space="preserve">       </w:t>
      </w:r>
    </w:p>
    <w:p w14:paraId="23BD0024">
      <w:pPr>
        <w:keepNext w:val="0"/>
        <w:keepLines w:val="0"/>
        <w:pageBreakBefore w:val="0"/>
        <w:widowControl w:val="0"/>
        <w:kinsoku/>
        <w:wordWrap/>
        <w:overflowPunct/>
        <w:topLinePunct w:val="0"/>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p>
    <w:p w14:paraId="0C4368A0">
      <w:pPr>
        <w:keepNext w:val="0"/>
        <w:keepLines w:val="0"/>
        <w:pageBreakBefore w:val="0"/>
        <w:widowControl w:val="0"/>
        <w:kinsoku/>
        <w:wordWrap/>
        <w:overflowPunct/>
        <w:topLinePunct w:val="0"/>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w:t>
      </w:r>
    </w:p>
    <w:p w14:paraId="3DD38679">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lang w:val="en-US" w:eastAsia="zh-CN"/>
        </w:rPr>
        <w:t xml:space="preserve">11650102742216353N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组织机构代码：</w:t>
      </w:r>
    </w:p>
    <w:p w14:paraId="1B95ED61">
      <w:pPr>
        <w:keepNext w:val="0"/>
        <w:keepLines w:val="0"/>
        <w:pageBreakBefore w:val="0"/>
        <w:widowControl w:val="0"/>
        <w:kinsoku/>
        <w:wordWrap/>
        <w:overflowPunct/>
        <w:topLinePunct w:val="0"/>
        <w:autoSpaceDE w:val="0"/>
        <w:autoSpaceDN w:val="0"/>
        <w:bidi w:val="0"/>
        <w:adjustRightInd/>
        <w:snapToGrid/>
        <w:spacing w:line="500" w:lineRule="exact"/>
        <w:ind w:left="5599" w:leftChars="0" w:hanging="5599" w:hangingChars="2333"/>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 xml:space="preserve">乌鲁木齐市和平南路456号           </w:t>
      </w:r>
      <w:r>
        <w:rPr>
          <w:rFonts w:hint="eastAsia" w:ascii="宋体" w:hAnsi="宋体" w:eastAsia="宋体" w:cs="宋体"/>
          <w:color w:val="auto"/>
          <w:sz w:val="24"/>
          <w:szCs w:val="24"/>
          <w:highlight w:val="none"/>
        </w:rPr>
        <w:t>地址：</w:t>
      </w:r>
    </w:p>
    <w:p w14:paraId="1F1FACF4">
      <w:pPr>
        <w:keepNext w:val="0"/>
        <w:keepLines w:val="0"/>
        <w:pageBreakBefore w:val="0"/>
        <w:widowControl w:val="0"/>
        <w:kinsoku/>
        <w:wordWrap/>
        <w:overflowPunct/>
        <w:topLinePunct w:val="0"/>
        <w:bidi w:val="0"/>
        <w:adjustRightIn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p>
    <w:p w14:paraId="6850676B">
      <w:pPr>
        <w:keepNext w:val="0"/>
        <w:keepLines w:val="0"/>
        <w:pageBreakBefore w:val="0"/>
        <w:widowControl w:val="0"/>
        <w:kinsoku/>
        <w:wordWrap/>
        <w:overflowPunct/>
        <w:topLinePunct w:val="0"/>
        <w:bidi w:val="0"/>
        <w:adjustRightIn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法定代表人：</w:t>
      </w:r>
    </w:p>
    <w:p w14:paraId="75D36FED">
      <w:pPr>
        <w:keepNext w:val="0"/>
        <w:keepLines w:val="0"/>
        <w:pageBreakBefore w:val="0"/>
        <w:widowControl w:val="0"/>
        <w:kinsoku/>
        <w:wordWrap/>
        <w:overflowPunct/>
        <w:topLinePunct w:val="0"/>
        <w:bidi w:val="0"/>
        <w:adjustRightIn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w:t>
      </w:r>
    </w:p>
    <w:p w14:paraId="6AAAD3B5">
      <w:pPr>
        <w:keepNext w:val="0"/>
        <w:keepLines w:val="0"/>
        <w:pageBreakBefore w:val="0"/>
        <w:widowControl w:val="0"/>
        <w:kinsoku/>
        <w:wordWrap/>
        <w:overflowPunct/>
        <w:topLinePunct w:val="0"/>
        <w:bidi w:val="0"/>
        <w:adjustRightInd/>
        <w:spacing w:line="50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w:t>
      </w:r>
    </w:p>
    <w:p w14:paraId="1B0E46EE">
      <w:pPr>
        <w:keepNext w:val="0"/>
        <w:keepLines w:val="0"/>
        <w:pageBreakBefore w:val="0"/>
        <w:widowControl w:val="0"/>
        <w:kinsoku/>
        <w:wordWrap/>
        <w:overflowPunct/>
        <w:topLinePunct w:val="0"/>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w:t>
      </w:r>
    </w:p>
    <w:p w14:paraId="291E756F">
      <w:pPr>
        <w:keepNext w:val="0"/>
        <w:keepLines w:val="0"/>
        <w:pageBreakBefore w:val="0"/>
        <w:widowControl w:val="0"/>
        <w:kinsoku/>
        <w:wordWrap/>
        <w:overflowPunct/>
        <w:topLinePunct w:val="0"/>
        <w:bidi w:val="0"/>
        <w:adjustRightIn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p>
    <w:p w14:paraId="343DAA60">
      <w:pPr>
        <w:keepNext w:val="0"/>
        <w:keepLines w:val="0"/>
        <w:pageBreakBefore w:val="0"/>
        <w:widowControl w:val="0"/>
        <w:kinsoku/>
        <w:wordWrap/>
        <w:overflowPunct/>
        <w:topLinePunct w:val="0"/>
        <w:bidi w:val="0"/>
        <w:adjustRightInd/>
        <w:spacing w:line="500" w:lineRule="exact"/>
        <w:ind w:left="5940" w:leftChars="0" w:hanging="5940" w:hangingChars="24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开户银行：</w:t>
      </w:r>
    </w:p>
    <w:p w14:paraId="7F98AD4A">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账号：</w:t>
      </w:r>
    </w:p>
    <w:p w14:paraId="4B5A1F34">
      <w:pPr>
        <w:pageBreakBefore w:val="0"/>
        <w:kinsoku/>
        <w:wordWrap/>
        <w:overflowPunct/>
        <w:topLinePunct w:val="0"/>
        <w:bidi w:val="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018D8007">
      <w:pPr>
        <w:pageBreakBefore w:val="0"/>
        <w:kinsoku/>
        <w:wordWrap/>
        <w:overflowPunct/>
        <w:topLinePunct w:val="0"/>
        <w:bidi w:val="0"/>
        <w:spacing w:line="440" w:lineRule="exact"/>
        <w:textAlignment w:val="auto"/>
        <w:outlineLvl w:val="0"/>
        <w:rPr>
          <w:rFonts w:hint="eastAsia" w:ascii="宋体" w:hAnsi="宋体" w:eastAsia="宋体" w:cs="宋体"/>
          <w:color w:val="auto"/>
          <w:kern w:val="2"/>
          <w:sz w:val="24"/>
          <w:szCs w:val="24"/>
          <w:highlight w:val="none"/>
          <w:lang w:val="en-US" w:eastAsia="zh-CN" w:bidi="ar-SA"/>
        </w:rPr>
      </w:pPr>
      <w:bookmarkStart w:id="930" w:name="_Toc6805"/>
      <w:r>
        <w:rPr>
          <w:rFonts w:hint="eastAsia" w:ascii="宋体" w:hAnsi="宋体" w:eastAsia="宋体" w:cs="宋体"/>
          <w:color w:val="auto"/>
          <w:kern w:val="2"/>
          <w:sz w:val="24"/>
          <w:szCs w:val="24"/>
          <w:highlight w:val="none"/>
          <w:lang w:val="en-US" w:eastAsia="zh-CN" w:bidi="ar-SA"/>
        </w:rPr>
        <w:t>附件4：</w:t>
      </w:r>
      <w:bookmarkEnd w:id="930"/>
    </w:p>
    <w:p w14:paraId="35BBD351">
      <w:pPr>
        <w:pageBreakBefore w:val="0"/>
        <w:kinsoku/>
        <w:wordWrap/>
        <w:overflowPunct/>
        <w:topLinePunct w:val="0"/>
        <w:bidi w:val="0"/>
        <w:spacing w:beforeLines="50" w:afterLines="50" w:line="440" w:lineRule="exact"/>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主要建设工程文件目录</w:t>
      </w:r>
    </w:p>
    <w:tbl>
      <w:tblPr>
        <w:tblStyle w:val="25"/>
        <w:tblW w:w="90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7"/>
        <w:gridCol w:w="1278"/>
        <w:gridCol w:w="1453"/>
        <w:gridCol w:w="1245"/>
        <w:gridCol w:w="1453"/>
        <w:gridCol w:w="1670"/>
      </w:tblGrid>
      <w:tr w14:paraId="499E6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5" w:hRule="atLeast"/>
          <w:jc w:val="center"/>
        </w:trPr>
        <w:tc>
          <w:tcPr>
            <w:tcW w:w="1957" w:type="dxa"/>
            <w:tcBorders>
              <w:top w:val="single" w:color="auto" w:sz="12" w:space="0"/>
              <w:bottom w:val="double" w:color="auto" w:sz="6" w:space="0"/>
            </w:tcBorders>
            <w:vAlign w:val="center"/>
          </w:tcPr>
          <w:p w14:paraId="585E8AD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文件名称</w:t>
            </w:r>
          </w:p>
        </w:tc>
        <w:tc>
          <w:tcPr>
            <w:tcW w:w="1278" w:type="dxa"/>
            <w:tcBorders>
              <w:top w:val="single" w:color="auto" w:sz="12" w:space="0"/>
              <w:bottom w:val="double" w:color="auto" w:sz="6" w:space="0"/>
            </w:tcBorders>
            <w:vAlign w:val="center"/>
          </w:tcPr>
          <w:p w14:paraId="4992F3B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套数</w:t>
            </w:r>
          </w:p>
        </w:tc>
        <w:tc>
          <w:tcPr>
            <w:tcW w:w="1453" w:type="dxa"/>
            <w:tcBorders>
              <w:top w:val="single" w:color="auto" w:sz="12" w:space="0"/>
              <w:bottom w:val="double" w:color="auto" w:sz="6" w:space="0"/>
            </w:tcBorders>
            <w:vAlign w:val="center"/>
          </w:tcPr>
          <w:p w14:paraId="2947333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费用（元）</w:t>
            </w:r>
          </w:p>
        </w:tc>
        <w:tc>
          <w:tcPr>
            <w:tcW w:w="1245" w:type="dxa"/>
            <w:tcBorders>
              <w:top w:val="single" w:color="auto" w:sz="12" w:space="0"/>
              <w:bottom w:val="double" w:color="auto" w:sz="6" w:space="0"/>
            </w:tcBorders>
            <w:vAlign w:val="center"/>
          </w:tcPr>
          <w:p w14:paraId="19FBDB3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质量</w:t>
            </w:r>
          </w:p>
        </w:tc>
        <w:tc>
          <w:tcPr>
            <w:tcW w:w="1453" w:type="dxa"/>
            <w:tcBorders>
              <w:top w:val="single" w:color="auto" w:sz="12" w:space="0"/>
              <w:bottom w:val="double" w:color="auto" w:sz="6" w:space="0"/>
            </w:tcBorders>
          </w:tcPr>
          <w:p w14:paraId="7688B67D">
            <w:pPr>
              <w:pageBreakBefore w:val="0"/>
              <w:kinsoku/>
              <w:wordWrap/>
              <w:overflowPunct/>
              <w:topLinePunct w:val="0"/>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移交时间</w:t>
            </w:r>
          </w:p>
        </w:tc>
        <w:tc>
          <w:tcPr>
            <w:tcW w:w="1670" w:type="dxa"/>
            <w:tcBorders>
              <w:top w:val="single" w:color="auto" w:sz="12" w:space="0"/>
              <w:bottom w:val="double" w:color="auto" w:sz="6" w:space="0"/>
            </w:tcBorders>
          </w:tcPr>
          <w:p w14:paraId="1A9DDDF8">
            <w:pPr>
              <w:pageBreakBefore w:val="0"/>
              <w:kinsoku/>
              <w:wordWrap/>
              <w:overflowPunct/>
              <w:topLinePunct w:val="0"/>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责任人</w:t>
            </w:r>
          </w:p>
        </w:tc>
      </w:tr>
      <w:tr w14:paraId="7EAB1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jc w:val="center"/>
        </w:trPr>
        <w:tc>
          <w:tcPr>
            <w:tcW w:w="1957" w:type="dxa"/>
            <w:tcBorders>
              <w:top w:val="double" w:color="auto" w:sz="6" w:space="0"/>
              <w:bottom w:val="single" w:color="auto" w:sz="6" w:space="0"/>
            </w:tcBorders>
            <w:vAlign w:val="center"/>
          </w:tcPr>
          <w:p w14:paraId="1A0B1B8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sz w:val="30"/>
                <w:highlight w:val="none"/>
              </w:rPr>
              <mc:AlternateContent>
                <mc:Choice Requires="wps">
                  <w:drawing>
                    <wp:anchor distT="0" distB="0" distL="114300" distR="114300" simplePos="0" relativeHeight="251668480" behindDoc="0" locked="0" layoutInCell="1" allowOverlap="1">
                      <wp:simplePos x="0" y="0"/>
                      <wp:positionH relativeFrom="column">
                        <wp:posOffset>-12700</wp:posOffset>
                      </wp:positionH>
                      <wp:positionV relativeFrom="paragraph">
                        <wp:posOffset>-26035</wp:posOffset>
                      </wp:positionV>
                      <wp:extent cx="5711825" cy="6689725"/>
                      <wp:effectExtent l="3810" t="3175" r="18415" b="12700"/>
                      <wp:wrapNone/>
                      <wp:docPr id="14" name="直接连接符 14"/>
                      <wp:cNvGraphicFramePr/>
                      <a:graphic xmlns:a="http://schemas.openxmlformats.org/drawingml/2006/main">
                        <a:graphicData uri="http://schemas.microsoft.com/office/word/2010/wordprocessingShape">
                          <wps:wsp>
                            <wps:cNvCnPr/>
                            <wps:spPr>
                              <a:xfrm flipH="1">
                                <a:off x="6504940" y="1987550"/>
                                <a:ext cx="5711825" cy="6689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pt;margin-top:-2.05pt;height:526.75pt;width:449.75pt;z-index:251668480;mso-width-relative:page;mso-height-relative:page;" filled="f" stroked="t" coordsize="21600,21600" o:gfxdata="UEsDBAoAAAAAAIdO4kAAAAAAAAAAAAAAAAAEAAAAZHJzL1BLAwQUAAAACACHTuJAs4rG1NgAAAAK&#10;AQAADwAAAGRycy9kb3ducmV2LnhtbE2PwU7DMBBE70j8g7VI3Fo7JUAd4lQUCbgh0dK7Gy9J1Hgd&#10;Yqctf89ygtNqNKPZN+Xq7HtxxDF2gQxkcwUCqQ6uo8bAx/Z5tgQRkyVn+0Bo4BsjrKrLi9IWLpzo&#10;HY+b1AguoVhYA21KQyFlrFv0Ns7DgMTeZxi9TSzHRrrRnrjc93Kh1J30tiP+0NoBn1qsD5vJG1hv&#10;9c2L202vhzed4+NaZ3H62hlzfZWpBxAJz+kvDL/4jA4VM+3DRC6K3sBswVMS3zwDwf5S39+C2HNQ&#10;5ToHWZXy/4TqB1BLAwQUAAAACACHTuJAQh7FqvwBAADPAwAADgAAAGRycy9lMm9Eb2MueG1srVNL&#10;jhMxEN0jcQfLe9JJyLeVziwmGlggiARzAMdtd1vyTy5POrkEF0BiByuW7LkNwzEou3uGYdjMgl5Y&#10;9fOreq/Lm4uT0eQoAihnKzoZjSkRlrta2aai1x+uXqwogchszbSzoqJnAfRi+/zZpvOlmLrW6VoE&#10;giAWys5XtI3Rl0UBvBWGwch5YTEpXTAsohuaog6sQ3Sji+l4vCg6F2ofHBcAGN31SToghqcAOikV&#10;FzvHb4ywsUcNQrOIlKBVHug2Tyul4PGdlCAi0RVFpjGf2ATtQzqL7YaVTWC+VXwYgT1lhEecDFMW&#10;m95D7Vhk5Caof6CM4sGBk3HEnSl6IlkRZDEZP9Lmfcu8yFxQavD3osP/g+Vvj/tAVI2bMKPEMoN/&#10;/PbT958fv/z68RnP229fCWZQps5DidWXdh8GD/w+JM4nGQyRWvnXiJJVQF7kVNHFfDxbz1DqMybW&#10;q+V8PgguTpFwLJgvJ5PVdE4Jx4rFYrVeooPoRQ+awH2A+Eo4Q5JRUa1sUoSV7PgGYl96V5LC1l0p&#10;rTHOSm1Jh6gvsSnhDDdV4oagaTyyBdtQwnSDT4DHkBHBaVWn2+kyhOZwqQM5srQ4+RsG+6sstd4x&#10;aPu6nEplrDQq4ivRylR09fC2tsguSdmLl6yDq89Z0xzH/5z5DzuZFumhn2//eYf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OKxtTYAAAACgEAAA8AAAAAAAAAAQAgAAAAIgAAAGRycy9kb3ducmV2&#10;LnhtbFBLAQIUABQAAAAIAIdO4kBCHsWq/AEAAM8DAAAOAAAAAAAAAAEAIAAAACcBAABkcnMvZTJv&#10;RG9jLnhtbFBLBQYAAAAABgAGAFkBAACVBQAAAAA=&#10;">
                      <v:fill on="f" focussize="0,0"/>
                      <v:stroke weight="0.5pt" color="#000000 [3200]" miterlimit="8" joinstyle="miter"/>
                      <v:imagedata o:title=""/>
                      <o:lock v:ext="edit" aspectratio="f"/>
                    </v:line>
                  </w:pict>
                </mc:Fallback>
              </mc:AlternateContent>
            </w:r>
          </w:p>
        </w:tc>
        <w:tc>
          <w:tcPr>
            <w:tcW w:w="1278" w:type="dxa"/>
            <w:tcBorders>
              <w:top w:val="double" w:color="auto" w:sz="6" w:space="0"/>
              <w:bottom w:val="single" w:color="auto" w:sz="6" w:space="0"/>
            </w:tcBorders>
            <w:vAlign w:val="center"/>
          </w:tcPr>
          <w:p w14:paraId="25BE810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lang w:eastAsia="zh-CN"/>
              </w:rPr>
            </w:pPr>
          </w:p>
        </w:tc>
        <w:tc>
          <w:tcPr>
            <w:tcW w:w="1453" w:type="dxa"/>
            <w:tcBorders>
              <w:top w:val="double" w:color="auto" w:sz="6" w:space="0"/>
              <w:bottom w:val="single" w:color="auto" w:sz="6" w:space="0"/>
            </w:tcBorders>
            <w:vAlign w:val="center"/>
          </w:tcPr>
          <w:p w14:paraId="5ABE4A2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lang w:eastAsia="zh-CN"/>
              </w:rPr>
            </w:pPr>
          </w:p>
        </w:tc>
        <w:tc>
          <w:tcPr>
            <w:tcW w:w="1245" w:type="dxa"/>
            <w:tcBorders>
              <w:top w:val="double" w:color="auto" w:sz="6" w:space="0"/>
              <w:bottom w:val="single" w:color="auto" w:sz="6" w:space="0"/>
            </w:tcBorders>
            <w:vAlign w:val="center"/>
          </w:tcPr>
          <w:p w14:paraId="5A5B800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lang w:eastAsia="zh-CN"/>
              </w:rPr>
            </w:pPr>
          </w:p>
        </w:tc>
        <w:tc>
          <w:tcPr>
            <w:tcW w:w="1453" w:type="dxa"/>
            <w:tcBorders>
              <w:top w:val="double" w:color="auto" w:sz="6" w:space="0"/>
              <w:bottom w:val="single" w:color="auto" w:sz="6" w:space="0"/>
            </w:tcBorders>
            <w:vAlign w:val="center"/>
          </w:tcPr>
          <w:p w14:paraId="13DC929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lang w:eastAsia="zh-CN"/>
              </w:rPr>
            </w:pPr>
          </w:p>
        </w:tc>
        <w:tc>
          <w:tcPr>
            <w:tcW w:w="1670" w:type="dxa"/>
            <w:tcBorders>
              <w:top w:val="double" w:color="auto" w:sz="6" w:space="0"/>
              <w:bottom w:val="single" w:color="auto" w:sz="6" w:space="0"/>
            </w:tcBorders>
            <w:vAlign w:val="center"/>
          </w:tcPr>
          <w:p w14:paraId="4358ADA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01B3C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 w:hRule="atLeast"/>
          <w:jc w:val="center"/>
        </w:trPr>
        <w:tc>
          <w:tcPr>
            <w:tcW w:w="1957" w:type="dxa"/>
            <w:tcBorders>
              <w:top w:val="nil"/>
            </w:tcBorders>
            <w:vAlign w:val="center"/>
          </w:tcPr>
          <w:p w14:paraId="5D216E2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8" w:type="dxa"/>
            <w:tcBorders>
              <w:top w:val="nil"/>
            </w:tcBorders>
            <w:vAlign w:val="center"/>
          </w:tcPr>
          <w:p w14:paraId="3DBCE85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tcBorders>
              <w:top w:val="nil"/>
            </w:tcBorders>
            <w:vAlign w:val="center"/>
          </w:tcPr>
          <w:p w14:paraId="3063E4A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45" w:type="dxa"/>
            <w:tcBorders>
              <w:top w:val="nil"/>
            </w:tcBorders>
            <w:vAlign w:val="center"/>
          </w:tcPr>
          <w:p w14:paraId="3443D47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tcBorders>
              <w:top w:val="nil"/>
            </w:tcBorders>
            <w:vAlign w:val="center"/>
          </w:tcPr>
          <w:p w14:paraId="2DE3C99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670" w:type="dxa"/>
            <w:tcBorders>
              <w:top w:val="nil"/>
            </w:tcBorders>
            <w:vAlign w:val="center"/>
          </w:tcPr>
          <w:p w14:paraId="3C07C70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6AE13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 w:hRule="atLeast"/>
          <w:jc w:val="center"/>
        </w:trPr>
        <w:tc>
          <w:tcPr>
            <w:tcW w:w="1957" w:type="dxa"/>
            <w:vAlign w:val="center"/>
          </w:tcPr>
          <w:p w14:paraId="542C013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8" w:type="dxa"/>
            <w:vAlign w:val="center"/>
          </w:tcPr>
          <w:p w14:paraId="265A534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72B77FD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45" w:type="dxa"/>
            <w:vAlign w:val="center"/>
          </w:tcPr>
          <w:p w14:paraId="3FA1B0A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2EF570C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670" w:type="dxa"/>
            <w:vAlign w:val="center"/>
          </w:tcPr>
          <w:p w14:paraId="6497F00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25667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 w:hRule="atLeast"/>
          <w:jc w:val="center"/>
        </w:trPr>
        <w:tc>
          <w:tcPr>
            <w:tcW w:w="1957" w:type="dxa"/>
            <w:vAlign w:val="center"/>
          </w:tcPr>
          <w:p w14:paraId="3FF2775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8" w:type="dxa"/>
            <w:vAlign w:val="center"/>
          </w:tcPr>
          <w:p w14:paraId="0A899E2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6FBFE10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45" w:type="dxa"/>
            <w:vAlign w:val="center"/>
          </w:tcPr>
          <w:p w14:paraId="662E356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0B4C938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670" w:type="dxa"/>
            <w:vAlign w:val="center"/>
          </w:tcPr>
          <w:p w14:paraId="24881C5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1E061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 w:hRule="atLeast"/>
          <w:jc w:val="center"/>
        </w:trPr>
        <w:tc>
          <w:tcPr>
            <w:tcW w:w="1957" w:type="dxa"/>
            <w:vAlign w:val="center"/>
          </w:tcPr>
          <w:p w14:paraId="62628E0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8" w:type="dxa"/>
            <w:vAlign w:val="center"/>
          </w:tcPr>
          <w:p w14:paraId="0477B3F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5409789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45" w:type="dxa"/>
            <w:vAlign w:val="center"/>
          </w:tcPr>
          <w:p w14:paraId="72083F0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19B49A7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670" w:type="dxa"/>
            <w:vAlign w:val="center"/>
          </w:tcPr>
          <w:p w14:paraId="6713A4A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105FB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 w:hRule="atLeast"/>
          <w:jc w:val="center"/>
        </w:trPr>
        <w:tc>
          <w:tcPr>
            <w:tcW w:w="1957" w:type="dxa"/>
            <w:vAlign w:val="center"/>
          </w:tcPr>
          <w:p w14:paraId="4F483EB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8" w:type="dxa"/>
            <w:vAlign w:val="center"/>
          </w:tcPr>
          <w:p w14:paraId="09C456C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3A499F3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45" w:type="dxa"/>
            <w:vAlign w:val="center"/>
          </w:tcPr>
          <w:p w14:paraId="62ACB42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3587BAB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670" w:type="dxa"/>
            <w:vAlign w:val="center"/>
          </w:tcPr>
          <w:p w14:paraId="48F6BE7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6E77F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 w:hRule="atLeast"/>
          <w:jc w:val="center"/>
        </w:trPr>
        <w:tc>
          <w:tcPr>
            <w:tcW w:w="1957" w:type="dxa"/>
            <w:vAlign w:val="center"/>
          </w:tcPr>
          <w:p w14:paraId="3C080B5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8" w:type="dxa"/>
            <w:vAlign w:val="center"/>
          </w:tcPr>
          <w:p w14:paraId="66E14C1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5A045F6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45" w:type="dxa"/>
            <w:vAlign w:val="center"/>
          </w:tcPr>
          <w:p w14:paraId="12B62E4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3C5DAD5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670" w:type="dxa"/>
            <w:vAlign w:val="center"/>
          </w:tcPr>
          <w:p w14:paraId="07A9505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3832E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 w:hRule="atLeast"/>
          <w:jc w:val="center"/>
        </w:trPr>
        <w:tc>
          <w:tcPr>
            <w:tcW w:w="1957" w:type="dxa"/>
            <w:vAlign w:val="center"/>
          </w:tcPr>
          <w:p w14:paraId="4F46995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8" w:type="dxa"/>
            <w:vAlign w:val="center"/>
          </w:tcPr>
          <w:p w14:paraId="7C36D00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767ACD4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45" w:type="dxa"/>
            <w:vAlign w:val="center"/>
          </w:tcPr>
          <w:p w14:paraId="0DE7FF5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66FE6A5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670" w:type="dxa"/>
            <w:vAlign w:val="center"/>
          </w:tcPr>
          <w:p w14:paraId="21F9EE3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75AB7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0" w:hRule="atLeast"/>
          <w:jc w:val="center"/>
        </w:trPr>
        <w:tc>
          <w:tcPr>
            <w:tcW w:w="1957" w:type="dxa"/>
          </w:tcPr>
          <w:p w14:paraId="53AE6980">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78" w:type="dxa"/>
          </w:tcPr>
          <w:p w14:paraId="3F9DB8D2">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6A0E5040">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45" w:type="dxa"/>
          </w:tcPr>
          <w:p w14:paraId="7DE0CD14">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6732FB85">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670" w:type="dxa"/>
          </w:tcPr>
          <w:p w14:paraId="60ECE12A">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6BA06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 w:hRule="atLeast"/>
          <w:jc w:val="center"/>
        </w:trPr>
        <w:tc>
          <w:tcPr>
            <w:tcW w:w="1957" w:type="dxa"/>
            <w:vAlign w:val="center"/>
          </w:tcPr>
          <w:p w14:paraId="52BAAB5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78" w:type="dxa"/>
            <w:vAlign w:val="center"/>
          </w:tcPr>
          <w:p w14:paraId="777071A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61AA343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245" w:type="dxa"/>
            <w:vAlign w:val="center"/>
          </w:tcPr>
          <w:p w14:paraId="1BAF268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53" w:type="dxa"/>
            <w:vAlign w:val="center"/>
          </w:tcPr>
          <w:p w14:paraId="5F77042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670" w:type="dxa"/>
            <w:vAlign w:val="center"/>
          </w:tcPr>
          <w:p w14:paraId="601AAC8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58D97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0" w:hRule="atLeast"/>
          <w:jc w:val="center"/>
        </w:trPr>
        <w:tc>
          <w:tcPr>
            <w:tcW w:w="1957" w:type="dxa"/>
          </w:tcPr>
          <w:p w14:paraId="719E17A7">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78" w:type="dxa"/>
          </w:tcPr>
          <w:p w14:paraId="60E4D6B1">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563162E2">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45" w:type="dxa"/>
          </w:tcPr>
          <w:p w14:paraId="019B33AE">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377A444F">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670" w:type="dxa"/>
          </w:tcPr>
          <w:p w14:paraId="67A5EC24">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59C94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0" w:hRule="atLeast"/>
          <w:jc w:val="center"/>
        </w:trPr>
        <w:tc>
          <w:tcPr>
            <w:tcW w:w="1957" w:type="dxa"/>
          </w:tcPr>
          <w:p w14:paraId="08CAA943">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78" w:type="dxa"/>
          </w:tcPr>
          <w:p w14:paraId="23723B59">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6048D370">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45" w:type="dxa"/>
          </w:tcPr>
          <w:p w14:paraId="20DE73BA">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43D388B2">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670" w:type="dxa"/>
          </w:tcPr>
          <w:p w14:paraId="5A11B113">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4B95D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0" w:hRule="atLeast"/>
          <w:jc w:val="center"/>
        </w:trPr>
        <w:tc>
          <w:tcPr>
            <w:tcW w:w="1957" w:type="dxa"/>
          </w:tcPr>
          <w:p w14:paraId="4348D001">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78" w:type="dxa"/>
          </w:tcPr>
          <w:p w14:paraId="301FA779">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18DBC212">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45" w:type="dxa"/>
          </w:tcPr>
          <w:p w14:paraId="15FF22E9">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02C87D1F">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670" w:type="dxa"/>
          </w:tcPr>
          <w:p w14:paraId="65D34D30">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4574E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0" w:hRule="atLeast"/>
          <w:jc w:val="center"/>
        </w:trPr>
        <w:tc>
          <w:tcPr>
            <w:tcW w:w="1957" w:type="dxa"/>
          </w:tcPr>
          <w:p w14:paraId="13593303">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78" w:type="dxa"/>
          </w:tcPr>
          <w:p w14:paraId="251EEE5B">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1FA76CAF">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45" w:type="dxa"/>
          </w:tcPr>
          <w:p w14:paraId="62EC7953">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0E3C8B42">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670" w:type="dxa"/>
          </w:tcPr>
          <w:p w14:paraId="00339AB7">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1A683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0" w:hRule="atLeast"/>
          <w:jc w:val="center"/>
        </w:trPr>
        <w:tc>
          <w:tcPr>
            <w:tcW w:w="1957" w:type="dxa"/>
          </w:tcPr>
          <w:p w14:paraId="6465F340">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78" w:type="dxa"/>
          </w:tcPr>
          <w:p w14:paraId="2E7F83E0">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4735633E">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45" w:type="dxa"/>
          </w:tcPr>
          <w:p w14:paraId="005241D1">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4185201C">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670" w:type="dxa"/>
          </w:tcPr>
          <w:p w14:paraId="580D0965">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6E800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0" w:hRule="atLeast"/>
          <w:jc w:val="center"/>
        </w:trPr>
        <w:tc>
          <w:tcPr>
            <w:tcW w:w="1957" w:type="dxa"/>
          </w:tcPr>
          <w:p w14:paraId="30FE817E">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78" w:type="dxa"/>
          </w:tcPr>
          <w:p w14:paraId="1D18E0E5">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18256AC1">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45" w:type="dxa"/>
          </w:tcPr>
          <w:p w14:paraId="3AB4A698">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5822D5A3">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670" w:type="dxa"/>
          </w:tcPr>
          <w:p w14:paraId="1F4E65AB">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64E44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0" w:hRule="atLeast"/>
          <w:jc w:val="center"/>
        </w:trPr>
        <w:tc>
          <w:tcPr>
            <w:tcW w:w="1957" w:type="dxa"/>
          </w:tcPr>
          <w:p w14:paraId="28A9F9E0">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78" w:type="dxa"/>
          </w:tcPr>
          <w:p w14:paraId="052EE74F">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4975B41F">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45" w:type="dxa"/>
          </w:tcPr>
          <w:p w14:paraId="096920DF">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12C99A2A">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670" w:type="dxa"/>
          </w:tcPr>
          <w:p w14:paraId="02F181CB">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70FD4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0" w:hRule="atLeast"/>
          <w:jc w:val="center"/>
        </w:trPr>
        <w:tc>
          <w:tcPr>
            <w:tcW w:w="1957" w:type="dxa"/>
          </w:tcPr>
          <w:p w14:paraId="53F9662A">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78" w:type="dxa"/>
          </w:tcPr>
          <w:p w14:paraId="4C6DFA2F">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4DA968C1">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45" w:type="dxa"/>
          </w:tcPr>
          <w:p w14:paraId="5CD11E2E">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65F97E79">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670" w:type="dxa"/>
          </w:tcPr>
          <w:p w14:paraId="1F1047CD">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2E39C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2" w:hRule="atLeast"/>
          <w:jc w:val="center"/>
        </w:trPr>
        <w:tc>
          <w:tcPr>
            <w:tcW w:w="1957" w:type="dxa"/>
          </w:tcPr>
          <w:p w14:paraId="7E53394D">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78" w:type="dxa"/>
          </w:tcPr>
          <w:p w14:paraId="12007B87">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6B96090B">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245" w:type="dxa"/>
          </w:tcPr>
          <w:p w14:paraId="0C5E570E">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53" w:type="dxa"/>
          </w:tcPr>
          <w:p w14:paraId="1A42C357">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670" w:type="dxa"/>
          </w:tcPr>
          <w:p w14:paraId="2F7A5317">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bl>
    <w:p w14:paraId="556FDD35">
      <w:pPr>
        <w:pageBreakBefore w:val="0"/>
        <w:kinsoku/>
        <w:wordWrap/>
        <w:overflowPunct/>
        <w:topLinePunct w:val="0"/>
        <w:bidi w:val="0"/>
        <w:spacing w:line="440" w:lineRule="exact"/>
        <w:textAlignment w:val="auto"/>
        <w:rPr>
          <w:rFonts w:hint="eastAsia" w:ascii="宋体" w:hAnsi="宋体" w:eastAsia="宋体" w:cs="宋体"/>
          <w:color w:val="auto"/>
          <w:sz w:val="30"/>
          <w:szCs w:val="30"/>
          <w:highlight w:val="none"/>
        </w:rPr>
      </w:pPr>
    </w:p>
    <w:p w14:paraId="3059D282">
      <w:pPr>
        <w:pageBreakBefore w:val="0"/>
        <w:kinsoku/>
        <w:wordWrap/>
        <w:overflowPunct/>
        <w:topLinePunct w:val="0"/>
        <w:bidi w:val="0"/>
        <w:spacing w:line="44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30"/>
          <w:szCs w:val="30"/>
          <w:highlight w:val="none"/>
        </w:rPr>
        <w:br w:type="page"/>
      </w:r>
      <w:bookmarkStart w:id="931" w:name="_Toc27256"/>
      <w:r>
        <w:rPr>
          <w:rFonts w:hint="eastAsia" w:ascii="宋体" w:hAnsi="宋体" w:eastAsia="宋体" w:cs="宋体"/>
          <w:color w:val="auto"/>
          <w:kern w:val="2"/>
          <w:sz w:val="24"/>
          <w:szCs w:val="24"/>
          <w:highlight w:val="none"/>
          <w:lang w:val="en-US" w:eastAsia="zh-CN" w:bidi="ar-SA"/>
        </w:rPr>
        <w:t>附</w:t>
      </w:r>
      <w:bookmarkStart w:id="932" w:name="_Toc296891055"/>
      <w:bookmarkStart w:id="933" w:name="_Toc296891267"/>
      <w:bookmarkStart w:id="934" w:name="_Toc296944566"/>
      <w:bookmarkStart w:id="935" w:name="_Toc296346728"/>
      <w:bookmarkStart w:id="936" w:name="_Toc296347226"/>
      <w:bookmarkStart w:id="937" w:name="_Toc267261698"/>
      <w:bookmarkStart w:id="938" w:name="_Toc296503227"/>
      <w:r>
        <w:rPr>
          <w:rFonts w:hint="eastAsia" w:ascii="宋体" w:hAnsi="宋体" w:eastAsia="宋体" w:cs="宋体"/>
          <w:color w:val="auto"/>
          <w:kern w:val="2"/>
          <w:sz w:val="24"/>
          <w:szCs w:val="24"/>
          <w:highlight w:val="none"/>
          <w:lang w:val="en-US" w:eastAsia="zh-CN" w:bidi="ar-SA"/>
        </w:rPr>
        <w:t>件5：</w:t>
      </w:r>
      <w:bookmarkEnd w:id="931"/>
    </w:p>
    <w:bookmarkEnd w:id="932"/>
    <w:bookmarkEnd w:id="933"/>
    <w:bookmarkEnd w:id="934"/>
    <w:bookmarkEnd w:id="935"/>
    <w:bookmarkEnd w:id="936"/>
    <w:bookmarkEnd w:id="937"/>
    <w:bookmarkEnd w:id="938"/>
    <w:p w14:paraId="4C56E8A2">
      <w:pPr>
        <w:pageBreakBefore w:val="0"/>
        <w:kinsoku/>
        <w:wordWrap/>
        <w:overflowPunct/>
        <w:topLinePunct w:val="0"/>
        <w:bidi w:val="0"/>
        <w:spacing w:beforeLines="50" w:afterLines="50" w:line="440" w:lineRule="exact"/>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承包人用于本工程施工的机械设备表</w:t>
      </w:r>
    </w:p>
    <w:tbl>
      <w:tblPr>
        <w:tblStyle w:val="25"/>
        <w:tblW w:w="98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0"/>
        <w:gridCol w:w="1428"/>
        <w:gridCol w:w="856"/>
        <w:gridCol w:w="1065"/>
        <w:gridCol w:w="886"/>
        <w:gridCol w:w="1027"/>
        <w:gridCol w:w="1490"/>
        <w:gridCol w:w="1027"/>
        <w:gridCol w:w="927"/>
      </w:tblGrid>
      <w:tr w14:paraId="5B8F2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6" w:hRule="atLeast"/>
          <w:jc w:val="center"/>
        </w:trPr>
        <w:tc>
          <w:tcPr>
            <w:tcW w:w="1170" w:type="dxa"/>
            <w:tcBorders>
              <w:top w:val="single" w:color="auto" w:sz="12" w:space="0"/>
              <w:bottom w:val="double" w:color="auto" w:sz="6" w:space="0"/>
            </w:tcBorders>
            <w:vAlign w:val="center"/>
          </w:tcPr>
          <w:p w14:paraId="21D9091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428" w:type="dxa"/>
            <w:tcBorders>
              <w:top w:val="single" w:color="auto" w:sz="12" w:space="0"/>
              <w:bottom w:val="double" w:color="auto" w:sz="6" w:space="0"/>
            </w:tcBorders>
            <w:vAlign w:val="center"/>
          </w:tcPr>
          <w:p w14:paraId="6D4FACB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机械或设备名称</w:t>
            </w:r>
          </w:p>
        </w:tc>
        <w:tc>
          <w:tcPr>
            <w:tcW w:w="856" w:type="dxa"/>
            <w:tcBorders>
              <w:top w:val="single" w:color="auto" w:sz="12" w:space="0"/>
              <w:bottom w:val="double" w:color="auto" w:sz="6" w:space="0"/>
            </w:tcBorders>
            <w:vAlign w:val="center"/>
          </w:tcPr>
          <w:p w14:paraId="4B036D3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规格型号</w:t>
            </w:r>
          </w:p>
        </w:tc>
        <w:tc>
          <w:tcPr>
            <w:tcW w:w="1065" w:type="dxa"/>
            <w:tcBorders>
              <w:top w:val="single" w:color="auto" w:sz="12" w:space="0"/>
              <w:bottom w:val="double" w:color="auto" w:sz="6" w:space="0"/>
            </w:tcBorders>
            <w:vAlign w:val="center"/>
          </w:tcPr>
          <w:p w14:paraId="1D17D92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886" w:type="dxa"/>
            <w:tcBorders>
              <w:top w:val="single" w:color="auto" w:sz="12" w:space="0"/>
              <w:bottom w:val="double" w:color="auto" w:sz="6" w:space="0"/>
            </w:tcBorders>
            <w:vAlign w:val="center"/>
          </w:tcPr>
          <w:p w14:paraId="751C7E7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产地</w:t>
            </w:r>
          </w:p>
        </w:tc>
        <w:tc>
          <w:tcPr>
            <w:tcW w:w="1027" w:type="dxa"/>
            <w:tcBorders>
              <w:top w:val="single" w:color="auto" w:sz="12" w:space="0"/>
              <w:bottom w:val="double" w:color="auto" w:sz="6" w:space="0"/>
            </w:tcBorders>
            <w:vAlign w:val="center"/>
          </w:tcPr>
          <w:p w14:paraId="025B425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制造年份</w:t>
            </w:r>
          </w:p>
        </w:tc>
        <w:tc>
          <w:tcPr>
            <w:tcW w:w="1490" w:type="dxa"/>
            <w:tcBorders>
              <w:top w:val="single" w:color="auto" w:sz="12" w:space="0"/>
              <w:bottom w:val="double" w:color="auto" w:sz="6" w:space="0"/>
            </w:tcBorders>
            <w:vAlign w:val="center"/>
          </w:tcPr>
          <w:p w14:paraId="32C6863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额定功率(kW)</w:t>
            </w:r>
          </w:p>
        </w:tc>
        <w:tc>
          <w:tcPr>
            <w:tcW w:w="1027" w:type="dxa"/>
            <w:tcBorders>
              <w:top w:val="single" w:color="auto" w:sz="12" w:space="0"/>
              <w:bottom w:val="double" w:color="auto" w:sz="6" w:space="0"/>
            </w:tcBorders>
            <w:vAlign w:val="center"/>
          </w:tcPr>
          <w:p w14:paraId="5265811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生产能力</w:t>
            </w:r>
          </w:p>
        </w:tc>
        <w:tc>
          <w:tcPr>
            <w:tcW w:w="927" w:type="dxa"/>
            <w:tcBorders>
              <w:top w:val="single" w:color="auto" w:sz="12" w:space="0"/>
              <w:bottom w:val="double" w:color="auto" w:sz="6" w:space="0"/>
            </w:tcBorders>
            <w:vAlign w:val="center"/>
          </w:tcPr>
          <w:p w14:paraId="49AA8FB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6B43A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5" w:hRule="atLeast"/>
          <w:jc w:val="center"/>
        </w:trPr>
        <w:tc>
          <w:tcPr>
            <w:tcW w:w="1170" w:type="dxa"/>
            <w:tcBorders>
              <w:top w:val="double" w:color="auto" w:sz="6" w:space="0"/>
              <w:bottom w:val="single" w:color="auto" w:sz="6" w:space="0"/>
            </w:tcBorders>
            <w:vAlign w:val="center"/>
          </w:tcPr>
          <w:p w14:paraId="51800F2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sz w:val="30"/>
                <w:highlight w:val="none"/>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-36830</wp:posOffset>
                      </wp:positionV>
                      <wp:extent cx="6202680" cy="7357110"/>
                      <wp:effectExtent l="3810" t="3175" r="3810" b="12065"/>
                      <wp:wrapNone/>
                      <wp:docPr id="15" name="直接连接符 15"/>
                      <wp:cNvGraphicFramePr/>
                      <a:graphic xmlns:a="http://schemas.openxmlformats.org/drawingml/2006/main">
                        <a:graphicData uri="http://schemas.microsoft.com/office/word/2010/wordprocessingShape">
                          <wps:wsp>
                            <wps:cNvCnPr/>
                            <wps:spPr>
                              <a:xfrm flipH="1">
                                <a:off x="6908800" y="2263775"/>
                                <a:ext cx="6202680" cy="7357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0.6pt;margin-top:-2.9pt;height:579.3pt;width:488.4pt;z-index:251667456;mso-width-relative:page;mso-height-relative:page;" filled="f" stroked="t" coordsize="21600,21600" o:gfxdata="UEsDBAoAAAAAAIdO4kAAAAAAAAAAAAAAAAAEAAAAZHJzL1BLAwQUAAAACACHTuJAXuWVQdcAAAAJ&#10;AQAADwAAAGRycy9kb3ducmV2LnhtbE2PzU7DMBCE70i8g7WVuLVOQgtJGqeiSC03JFp6d+MliRqv&#10;Q+z05+1ZTnCcndHsN8XqajtxxsG3jhTEswgEUuVMS7WCz/1mmoLwQZPRnSNUcEMPq/L+rtC5cRf6&#10;wPMu1IJLyOdaQRNCn0vpqwat9jPXI7H35QarA8uhlmbQFy63nUyi6Ela3RJ/aHSPrw1Wp91oFaz3&#10;2ePWHMa303s2x5d1Fvvx+6DUwySOliACXsNfGH7xGR1KZjq6kYwXHeuEgwqmCx7Advac8rQj3+NF&#10;koIsC/l/QfkDUEsDBBQAAAAIAIdO4kAUTFGzAAIAAM8DAAAOAAAAZHJzL2Uyb0RvYy54bWytU0uO&#10;EzEQ3SNxB8t70p2O8plWOrOYaGCBIBJwAMdtd1vyTy5POrkEF0BiByuW7LnNDMeg7M4MMGxmgRdW&#10;2VV+Ve9VeX15NJocRADlbEOnk5ISYblrle0a+uH99YsVJRCZbZl2VjT0JIBebp4/Ww++FpXrnW5F&#10;IAhioR58Q/sYfV0UwHthGEycFxad0gXDIh5DV7SBDYhudFGV5aIYXGh9cFwA4O12dNIzYngKoJNS&#10;cbF1/MYIG0fUIDSLSAl65YFucrVSCh7fSgkiEt1QZBrzjknQ3qe92KxZ3QXme8XPJbCnlPCIk2HK&#10;YtIHqC2LjNwE9Q+UUTw4cDJOuDPFSCQrgiym5SNt3vXMi8wFpQb/IDr8P1j+5rALRLU4CXNKLDPY&#10;8btP328/fvn54zPud9++EvSgTIOHGqOv7C6cT+B3IXE+ymCI1Mq/QpSsAvIix4YuLsrVqkSpTw2t&#10;qsVsucxIrBbHSHgKqMpqscIAjhHL2Xw5neaWFCNoAvcB4kvhDElGQ7WySRFWs8NriFgIht6HpGvr&#10;rpXWuavakgFTzOYJn+GkSpwQNI1HtmA7Spju8AvwGDIiOK3a9DrhQOj2VzqQA0uDk1cSAbP9FZZS&#10;bxn0Y1x2jSNlVMRfopVpKCqA6/xaWwRJUo7iJWvv2lPWNN9jn3Oa80ymQfrznF///oe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7llUHXAAAACQEAAA8AAAAAAAAAAQAgAAAAIgAAAGRycy9kb3du&#10;cmV2LnhtbFBLAQIUABQAAAAIAIdO4kAUTFGzAAIAAM8DAAAOAAAAAAAAAAEAIAAAACYBAABkcnMv&#10;ZTJvRG9jLnhtbFBLBQYAAAAABgAGAFkBAACYBQAAAAA=&#10;">
                      <v:fill on="f" focussize="0,0"/>
                      <v:stroke weight="0.5pt" color="#000000 [3200]" miterlimit="8" joinstyle="miter"/>
                      <v:imagedata o:title=""/>
                      <o:lock v:ext="edit" aspectratio="f"/>
                    </v:line>
                  </w:pict>
                </mc:Fallback>
              </mc:AlternateContent>
            </w:r>
          </w:p>
        </w:tc>
        <w:tc>
          <w:tcPr>
            <w:tcW w:w="1428" w:type="dxa"/>
            <w:tcBorders>
              <w:top w:val="double" w:color="auto" w:sz="6" w:space="0"/>
              <w:bottom w:val="single" w:color="auto" w:sz="6" w:space="0"/>
            </w:tcBorders>
            <w:vAlign w:val="center"/>
          </w:tcPr>
          <w:p w14:paraId="360B4CB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6" w:type="dxa"/>
            <w:tcBorders>
              <w:top w:val="double" w:color="auto" w:sz="6" w:space="0"/>
              <w:bottom w:val="single" w:color="auto" w:sz="6" w:space="0"/>
            </w:tcBorders>
            <w:vAlign w:val="center"/>
          </w:tcPr>
          <w:p w14:paraId="0B59262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65" w:type="dxa"/>
            <w:tcBorders>
              <w:top w:val="double" w:color="auto" w:sz="6" w:space="0"/>
              <w:bottom w:val="single" w:color="auto" w:sz="6" w:space="0"/>
            </w:tcBorders>
            <w:vAlign w:val="center"/>
          </w:tcPr>
          <w:p w14:paraId="0B7A75F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86" w:type="dxa"/>
            <w:tcBorders>
              <w:top w:val="double" w:color="auto" w:sz="6" w:space="0"/>
              <w:bottom w:val="single" w:color="auto" w:sz="6" w:space="0"/>
            </w:tcBorders>
            <w:vAlign w:val="center"/>
          </w:tcPr>
          <w:p w14:paraId="22518D2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tcBorders>
              <w:top w:val="double" w:color="auto" w:sz="6" w:space="0"/>
              <w:bottom w:val="single" w:color="auto" w:sz="6" w:space="0"/>
            </w:tcBorders>
            <w:vAlign w:val="center"/>
          </w:tcPr>
          <w:p w14:paraId="7518EC2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90" w:type="dxa"/>
            <w:tcBorders>
              <w:top w:val="double" w:color="auto" w:sz="6" w:space="0"/>
              <w:bottom w:val="single" w:color="auto" w:sz="6" w:space="0"/>
            </w:tcBorders>
            <w:vAlign w:val="center"/>
          </w:tcPr>
          <w:p w14:paraId="477D752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tcBorders>
              <w:top w:val="double" w:color="auto" w:sz="6" w:space="0"/>
              <w:bottom w:val="single" w:color="auto" w:sz="6" w:space="0"/>
            </w:tcBorders>
            <w:vAlign w:val="center"/>
          </w:tcPr>
          <w:p w14:paraId="7F583FA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27" w:type="dxa"/>
            <w:tcBorders>
              <w:top w:val="double" w:color="auto" w:sz="6" w:space="0"/>
              <w:bottom w:val="single" w:color="auto" w:sz="6" w:space="0"/>
            </w:tcBorders>
            <w:vAlign w:val="center"/>
          </w:tcPr>
          <w:p w14:paraId="1D143CA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3AC2F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170" w:type="dxa"/>
            <w:tcBorders>
              <w:top w:val="nil"/>
            </w:tcBorders>
            <w:vAlign w:val="center"/>
          </w:tcPr>
          <w:p w14:paraId="513D8B3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28" w:type="dxa"/>
            <w:tcBorders>
              <w:top w:val="nil"/>
            </w:tcBorders>
            <w:vAlign w:val="center"/>
          </w:tcPr>
          <w:p w14:paraId="4AA174C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6" w:type="dxa"/>
            <w:tcBorders>
              <w:top w:val="nil"/>
            </w:tcBorders>
            <w:vAlign w:val="center"/>
          </w:tcPr>
          <w:p w14:paraId="2605B1C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65" w:type="dxa"/>
            <w:tcBorders>
              <w:top w:val="nil"/>
            </w:tcBorders>
            <w:vAlign w:val="center"/>
          </w:tcPr>
          <w:p w14:paraId="38F7ADF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86" w:type="dxa"/>
            <w:tcBorders>
              <w:top w:val="nil"/>
            </w:tcBorders>
            <w:vAlign w:val="center"/>
          </w:tcPr>
          <w:p w14:paraId="0A4488D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tcBorders>
              <w:top w:val="nil"/>
            </w:tcBorders>
            <w:vAlign w:val="center"/>
          </w:tcPr>
          <w:p w14:paraId="0FAF618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90" w:type="dxa"/>
            <w:tcBorders>
              <w:top w:val="nil"/>
            </w:tcBorders>
            <w:vAlign w:val="center"/>
          </w:tcPr>
          <w:p w14:paraId="54CA798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tcBorders>
              <w:top w:val="nil"/>
            </w:tcBorders>
            <w:vAlign w:val="center"/>
          </w:tcPr>
          <w:p w14:paraId="3BEB23C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27" w:type="dxa"/>
            <w:tcBorders>
              <w:top w:val="nil"/>
            </w:tcBorders>
            <w:vAlign w:val="center"/>
          </w:tcPr>
          <w:p w14:paraId="67BE435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535C4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170" w:type="dxa"/>
            <w:vAlign w:val="center"/>
          </w:tcPr>
          <w:p w14:paraId="2AC4393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28" w:type="dxa"/>
            <w:vAlign w:val="center"/>
          </w:tcPr>
          <w:p w14:paraId="33E02ED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6" w:type="dxa"/>
            <w:vAlign w:val="center"/>
          </w:tcPr>
          <w:p w14:paraId="1F64A24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65" w:type="dxa"/>
            <w:vAlign w:val="center"/>
          </w:tcPr>
          <w:p w14:paraId="0197586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86" w:type="dxa"/>
            <w:vAlign w:val="center"/>
          </w:tcPr>
          <w:p w14:paraId="7FC8FE6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755DBE9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90" w:type="dxa"/>
            <w:vAlign w:val="center"/>
          </w:tcPr>
          <w:p w14:paraId="2F419B3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1EC9250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27" w:type="dxa"/>
            <w:vAlign w:val="center"/>
          </w:tcPr>
          <w:p w14:paraId="1609935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3CA7F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170" w:type="dxa"/>
            <w:vAlign w:val="center"/>
          </w:tcPr>
          <w:p w14:paraId="3901CF8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28" w:type="dxa"/>
            <w:vAlign w:val="center"/>
          </w:tcPr>
          <w:p w14:paraId="6C303DD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6" w:type="dxa"/>
            <w:vAlign w:val="center"/>
          </w:tcPr>
          <w:p w14:paraId="5F96489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65" w:type="dxa"/>
            <w:vAlign w:val="center"/>
          </w:tcPr>
          <w:p w14:paraId="3206EFB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86" w:type="dxa"/>
            <w:vAlign w:val="center"/>
          </w:tcPr>
          <w:p w14:paraId="39A1221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0E5A930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90" w:type="dxa"/>
            <w:vAlign w:val="center"/>
          </w:tcPr>
          <w:p w14:paraId="3609A4A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189CA74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27" w:type="dxa"/>
            <w:vAlign w:val="center"/>
          </w:tcPr>
          <w:p w14:paraId="23E57F0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5623B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170" w:type="dxa"/>
            <w:vAlign w:val="center"/>
          </w:tcPr>
          <w:p w14:paraId="5982A74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28" w:type="dxa"/>
            <w:vAlign w:val="center"/>
          </w:tcPr>
          <w:p w14:paraId="1FBC0FA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6" w:type="dxa"/>
            <w:vAlign w:val="center"/>
          </w:tcPr>
          <w:p w14:paraId="46DCCE4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65" w:type="dxa"/>
            <w:vAlign w:val="center"/>
          </w:tcPr>
          <w:p w14:paraId="71F3417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86" w:type="dxa"/>
            <w:vAlign w:val="center"/>
          </w:tcPr>
          <w:p w14:paraId="2E6A391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6AE7D16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90" w:type="dxa"/>
            <w:vAlign w:val="center"/>
          </w:tcPr>
          <w:p w14:paraId="67332D9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6D66E39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27" w:type="dxa"/>
            <w:vAlign w:val="center"/>
          </w:tcPr>
          <w:p w14:paraId="529B010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05D2D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170" w:type="dxa"/>
            <w:vAlign w:val="center"/>
          </w:tcPr>
          <w:p w14:paraId="4F5BB16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28" w:type="dxa"/>
            <w:vAlign w:val="center"/>
          </w:tcPr>
          <w:p w14:paraId="5030566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6" w:type="dxa"/>
            <w:vAlign w:val="center"/>
          </w:tcPr>
          <w:p w14:paraId="26FEB6C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65" w:type="dxa"/>
            <w:vAlign w:val="center"/>
          </w:tcPr>
          <w:p w14:paraId="2D4E975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86" w:type="dxa"/>
            <w:vAlign w:val="center"/>
          </w:tcPr>
          <w:p w14:paraId="64E8D03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396E45F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90" w:type="dxa"/>
            <w:vAlign w:val="center"/>
          </w:tcPr>
          <w:p w14:paraId="064C30E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656CA2F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27" w:type="dxa"/>
            <w:vAlign w:val="center"/>
          </w:tcPr>
          <w:p w14:paraId="63D9EDB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44E34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170" w:type="dxa"/>
            <w:vAlign w:val="center"/>
          </w:tcPr>
          <w:p w14:paraId="4270C91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28" w:type="dxa"/>
            <w:vAlign w:val="center"/>
          </w:tcPr>
          <w:p w14:paraId="49127F7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6" w:type="dxa"/>
            <w:vAlign w:val="center"/>
          </w:tcPr>
          <w:p w14:paraId="1A207C8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65" w:type="dxa"/>
            <w:vAlign w:val="center"/>
          </w:tcPr>
          <w:p w14:paraId="24D2451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86" w:type="dxa"/>
            <w:vAlign w:val="center"/>
          </w:tcPr>
          <w:p w14:paraId="7BCC250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54F729F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90" w:type="dxa"/>
            <w:vAlign w:val="center"/>
          </w:tcPr>
          <w:p w14:paraId="56E9059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6093E4A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27" w:type="dxa"/>
            <w:vAlign w:val="center"/>
          </w:tcPr>
          <w:p w14:paraId="3B5986B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3A64A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170" w:type="dxa"/>
            <w:vAlign w:val="center"/>
          </w:tcPr>
          <w:p w14:paraId="3D7EF75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28" w:type="dxa"/>
            <w:vAlign w:val="center"/>
          </w:tcPr>
          <w:p w14:paraId="227562B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6" w:type="dxa"/>
            <w:vAlign w:val="center"/>
          </w:tcPr>
          <w:p w14:paraId="65E1CE2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65" w:type="dxa"/>
            <w:vAlign w:val="center"/>
          </w:tcPr>
          <w:p w14:paraId="5306AE0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86" w:type="dxa"/>
            <w:vAlign w:val="center"/>
          </w:tcPr>
          <w:p w14:paraId="05B8858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2AF1BE2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90" w:type="dxa"/>
            <w:vAlign w:val="center"/>
          </w:tcPr>
          <w:p w14:paraId="6DA65BA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236FDF4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27" w:type="dxa"/>
            <w:vAlign w:val="center"/>
          </w:tcPr>
          <w:p w14:paraId="72541E6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24710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1170" w:type="dxa"/>
          </w:tcPr>
          <w:p w14:paraId="3E4CB9AB">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28" w:type="dxa"/>
          </w:tcPr>
          <w:p w14:paraId="2F172EB6">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56" w:type="dxa"/>
          </w:tcPr>
          <w:p w14:paraId="4BBBFD9C">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65" w:type="dxa"/>
          </w:tcPr>
          <w:p w14:paraId="3BDD5782">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86" w:type="dxa"/>
          </w:tcPr>
          <w:p w14:paraId="7F6191E5">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2F32E988">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90" w:type="dxa"/>
          </w:tcPr>
          <w:p w14:paraId="12D5522D">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43671C66">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927" w:type="dxa"/>
          </w:tcPr>
          <w:p w14:paraId="1A03CEA8">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54738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170" w:type="dxa"/>
            <w:vAlign w:val="center"/>
          </w:tcPr>
          <w:p w14:paraId="1A5016E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28" w:type="dxa"/>
            <w:vAlign w:val="center"/>
          </w:tcPr>
          <w:p w14:paraId="5D04BBA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56" w:type="dxa"/>
            <w:vAlign w:val="center"/>
          </w:tcPr>
          <w:p w14:paraId="52F493D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65" w:type="dxa"/>
            <w:vAlign w:val="center"/>
          </w:tcPr>
          <w:p w14:paraId="64EC2D8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886" w:type="dxa"/>
            <w:vAlign w:val="center"/>
          </w:tcPr>
          <w:p w14:paraId="1798DF6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3B3F11D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490" w:type="dxa"/>
            <w:vAlign w:val="center"/>
          </w:tcPr>
          <w:p w14:paraId="274A0F2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027" w:type="dxa"/>
            <w:vAlign w:val="center"/>
          </w:tcPr>
          <w:p w14:paraId="19FDB2E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927" w:type="dxa"/>
            <w:vAlign w:val="center"/>
          </w:tcPr>
          <w:p w14:paraId="7B6FBB8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r w14:paraId="725F7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1170" w:type="dxa"/>
          </w:tcPr>
          <w:p w14:paraId="7343C4E1">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28" w:type="dxa"/>
          </w:tcPr>
          <w:p w14:paraId="7D8A3C7C">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56" w:type="dxa"/>
          </w:tcPr>
          <w:p w14:paraId="0DC4487F">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65" w:type="dxa"/>
          </w:tcPr>
          <w:p w14:paraId="4C0BA838">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86" w:type="dxa"/>
          </w:tcPr>
          <w:p w14:paraId="2187F641">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476231AC">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90" w:type="dxa"/>
          </w:tcPr>
          <w:p w14:paraId="00A0F612">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31AB09BF">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927" w:type="dxa"/>
          </w:tcPr>
          <w:p w14:paraId="647DD3D3">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1C766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1170" w:type="dxa"/>
          </w:tcPr>
          <w:p w14:paraId="3C602479">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28" w:type="dxa"/>
          </w:tcPr>
          <w:p w14:paraId="0D70F70A">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56" w:type="dxa"/>
          </w:tcPr>
          <w:p w14:paraId="239CFE74">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65" w:type="dxa"/>
          </w:tcPr>
          <w:p w14:paraId="344B71B2">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86" w:type="dxa"/>
          </w:tcPr>
          <w:p w14:paraId="5AF1E341">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1E8FE9D6">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90" w:type="dxa"/>
          </w:tcPr>
          <w:p w14:paraId="1741C730">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05E0E718">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927" w:type="dxa"/>
          </w:tcPr>
          <w:p w14:paraId="2E0CE703">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1738E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1170" w:type="dxa"/>
          </w:tcPr>
          <w:p w14:paraId="3D36350B">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28" w:type="dxa"/>
          </w:tcPr>
          <w:p w14:paraId="3CCC0A97">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56" w:type="dxa"/>
          </w:tcPr>
          <w:p w14:paraId="061005E2">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65" w:type="dxa"/>
          </w:tcPr>
          <w:p w14:paraId="20962AAA">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86" w:type="dxa"/>
          </w:tcPr>
          <w:p w14:paraId="632CD5E7">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1E4FB313">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90" w:type="dxa"/>
          </w:tcPr>
          <w:p w14:paraId="073675B1">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30F20F90">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927" w:type="dxa"/>
          </w:tcPr>
          <w:p w14:paraId="19D78A75">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7CFFA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1170" w:type="dxa"/>
          </w:tcPr>
          <w:p w14:paraId="57F73F27">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28" w:type="dxa"/>
          </w:tcPr>
          <w:p w14:paraId="08787566">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56" w:type="dxa"/>
          </w:tcPr>
          <w:p w14:paraId="4B01B1B9">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65" w:type="dxa"/>
          </w:tcPr>
          <w:p w14:paraId="19DF488E">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86" w:type="dxa"/>
          </w:tcPr>
          <w:p w14:paraId="3EE648D5">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4BDE3BE3">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90" w:type="dxa"/>
          </w:tcPr>
          <w:p w14:paraId="396AFD4B">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10BDA572">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927" w:type="dxa"/>
          </w:tcPr>
          <w:p w14:paraId="73D3E006">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3549B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1170" w:type="dxa"/>
          </w:tcPr>
          <w:p w14:paraId="1A034B7C">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28" w:type="dxa"/>
          </w:tcPr>
          <w:p w14:paraId="1EAF0130">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56" w:type="dxa"/>
          </w:tcPr>
          <w:p w14:paraId="4A0F0F4B">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65" w:type="dxa"/>
          </w:tcPr>
          <w:p w14:paraId="1368D4EC">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86" w:type="dxa"/>
          </w:tcPr>
          <w:p w14:paraId="6A4B7D26">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0337D69B">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90" w:type="dxa"/>
          </w:tcPr>
          <w:p w14:paraId="143BA04D">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5CEDC6C9">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927" w:type="dxa"/>
          </w:tcPr>
          <w:p w14:paraId="153851E7">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4BF32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1170" w:type="dxa"/>
          </w:tcPr>
          <w:p w14:paraId="71674387">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28" w:type="dxa"/>
          </w:tcPr>
          <w:p w14:paraId="06B62155">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56" w:type="dxa"/>
          </w:tcPr>
          <w:p w14:paraId="06D710F2">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65" w:type="dxa"/>
          </w:tcPr>
          <w:p w14:paraId="0840C42E">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86" w:type="dxa"/>
          </w:tcPr>
          <w:p w14:paraId="3E462213">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264256CD">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90" w:type="dxa"/>
          </w:tcPr>
          <w:p w14:paraId="521449B8">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44398798">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927" w:type="dxa"/>
          </w:tcPr>
          <w:p w14:paraId="50ACCC96">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2EF46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1170" w:type="dxa"/>
          </w:tcPr>
          <w:p w14:paraId="7D2FEB63">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28" w:type="dxa"/>
          </w:tcPr>
          <w:p w14:paraId="01CB5970">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56" w:type="dxa"/>
          </w:tcPr>
          <w:p w14:paraId="420053AD">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65" w:type="dxa"/>
          </w:tcPr>
          <w:p w14:paraId="160B645B">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86" w:type="dxa"/>
          </w:tcPr>
          <w:p w14:paraId="11383035">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39880109">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90" w:type="dxa"/>
          </w:tcPr>
          <w:p w14:paraId="76B0F96E">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5BB8B46F">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927" w:type="dxa"/>
          </w:tcPr>
          <w:p w14:paraId="6A04474B">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60083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1170" w:type="dxa"/>
          </w:tcPr>
          <w:p w14:paraId="3FB53F86">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28" w:type="dxa"/>
          </w:tcPr>
          <w:p w14:paraId="2C4F6F05">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56" w:type="dxa"/>
          </w:tcPr>
          <w:p w14:paraId="41B33E5C">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65" w:type="dxa"/>
          </w:tcPr>
          <w:p w14:paraId="0FCB53BC">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86" w:type="dxa"/>
          </w:tcPr>
          <w:p w14:paraId="7C182085">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48264DB4">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90" w:type="dxa"/>
          </w:tcPr>
          <w:p w14:paraId="274DC34C">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4474D0A3">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927" w:type="dxa"/>
          </w:tcPr>
          <w:p w14:paraId="726DD1C7">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r w14:paraId="0D52A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0" w:hRule="atLeast"/>
          <w:jc w:val="center"/>
        </w:trPr>
        <w:tc>
          <w:tcPr>
            <w:tcW w:w="1170" w:type="dxa"/>
          </w:tcPr>
          <w:p w14:paraId="78431444">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28" w:type="dxa"/>
          </w:tcPr>
          <w:p w14:paraId="07EBBAAE">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56" w:type="dxa"/>
          </w:tcPr>
          <w:p w14:paraId="34D45BD7">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65" w:type="dxa"/>
          </w:tcPr>
          <w:p w14:paraId="26A5FCC9">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886" w:type="dxa"/>
          </w:tcPr>
          <w:p w14:paraId="00C51D1F">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4B75A952">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490" w:type="dxa"/>
          </w:tcPr>
          <w:p w14:paraId="245A455E">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1027" w:type="dxa"/>
          </w:tcPr>
          <w:p w14:paraId="315784C0">
            <w:pPr>
              <w:pageBreakBefore w:val="0"/>
              <w:kinsoku/>
              <w:wordWrap/>
              <w:overflowPunct/>
              <w:topLinePunct w:val="0"/>
              <w:bidi w:val="0"/>
              <w:textAlignment w:val="auto"/>
              <w:rPr>
                <w:rFonts w:hint="eastAsia" w:ascii="宋体" w:hAnsi="宋体" w:eastAsia="宋体" w:cs="宋体"/>
                <w:color w:val="auto"/>
                <w:sz w:val="30"/>
                <w:szCs w:val="30"/>
                <w:highlight w:val="none"/>
              </w:rPr>
            </w:pPr>
          </w:p>
        </w:tc>
        <w:tc>
          <w:tcPr>
            <w:tcW w:w="927" w:type="dxa"/>
          </w:tcPr>
          <w:p w14:paraId="5A9AA7C8">
            <w:pPr>
              <w:pageBreakBefore w:val="0"/>
              <w:kinsoku/>
              <w:wordWrap/>
              <w:overflowPunct/>
              <w:topLinePunct w:val="0"/>
              <w:bidi w:val="0"/>
              <w:textAlignment w:val="auto"/>
              <w:rPr>
                <w:rFonts w:hint="eastAsia" w:ascii="宋体" w:hAnsi="宋体" w:eastAsia="宋体" w:cs="宋体"/>
                <w:color w:val="auto"/>
                <w:sz w:val="30"/>
                <w:szCs w:val="30"/>
                <w:highlight w:val="none"/>
              </w:rPr>
            </w:pPr>
          </w:p>
        </w:tc>
      </w:tr>
    </w:tbl>
    <w:p w14:paraId="4926A1BC">
      <w:pPr>
        <w:pageBreakBefore w:val="0"/>
        <w:kinsoku/>
        <w:wordWrap/>
        <w:overflowPunct/>
        <w:topLinePunct w:val="0"/>
        <w:bidi w:val="0"/>
        <w:spacing w:line="440" w:lineRule="exact"/>
        <w:textAlignment w:val="auto"/>
        <w:outlineLvl w:val="0"/>
        <w:rPr>
          <w:rFonts w:hint="eastAsia" w:ascii="宋体" w:hAnsi="宋体" w:eastAsia="宋体" w:cs="宋体"/>
          <w:color w:val="auto"/>
          <w:kern w:val="2"/>
          <w:sz w:val="24"/>
          <w:szCs w:val="24"/>
          <w:highlight w:val="none"/>
          <w:lang w:val="en-US" w:eastAsia="zh-CN" w:bidi="ar-SA"/>
        </w:rPr>
      </w:pPr>
      <w:bookmarkStart w:id="939" w:name="_Toc31617"/>
      <w:r>
        <w:rPr>
          <w:rFonts w:hint="eastAsia" w:ascii="宋体" w:hAnsi="宋体" w:eastAsia="宋体" w:cs="宋体"/>
          <w:color w:val="auto"/>
          <w:kern w:val="2"/>
          <w:sz w:val="24"/>
          <w:szCs w:val="24"/>
          <w:highlight w:val="none"/>
          <w:lang w:val="en-US" w:eastAsia="zh-CN" w:bidi="ar-SA"/>
        </w:rPr>
        <w:t>附</w:t>
      </w:r>
      <w:bookmarkStart w:id="940" w:name="_Toc296346729"/>
      <w:bookmarkStart w:id="941" w:name="_Toc296347227"/>
      <w:bookmarkStart w:id="942" w:name="_Toc296891056"/>
      <w:bookmarkStart w:id="943" w:name="_Toc267261699"/>
      <w:bookmarkStart w:id="944" w:name="_Toc296891268"/>
      <w:bookmarkStart w:id="945" w:name="_Toc296944567"/>
      <w:bookmarkStart w:id="946" w:name="_Toc296503228"/>
      <w:r>
        <w:rPr>
          <w:rFonts w:hint="eastAsia" w:ascii="宋体" w:hAnsi="宋体" w:eastAsia="宋体" w:cs="宋体"/>
          <w:color w:val="auto"/>
          <w:kern w:val="2"/>
          <w:sz w:val="24"/>
          <w:szCs w:val="24"/>
          <w:highlight w:val="none"/>
          <w:lang w:val="en-US" w:eastAsia="zh-CN" w:bidi="ar-SA"/>
        </w:rPr>
        <w:t>件6：</w:t>
      </w:r>
      <w:bookmarkEnd w:id="939"/>
    </w:p>
    <w:bookmarkEnd w:id="940"/>
    <w:bookmarkEnd w:id="941"/>
    <w:bookmarkEnd w:id="942"/>
    <w:bookmarkEnd w:id="943"/>
    <w:bookmarkEnd w:id="944"/>
    <w:bookmarkEnd w:id="945"/>
    <w:bookmarkEnd w:id="946"/>
    <w:p w14:paraId="7691DAD6">
      <w:pPr>
        <w:pageBreakBefore w:val="0"/>
        <w:kinsoku/>
        <w:wordWrap/>
        <w:overflowPunct/>
        <w:topLinePunct w:val="0"/>
        <w:bidi w:val="0"/>
        <w:spacing w:beforeLines="50" w:afterLines="50" w:line="440" w:lineRule="exact"/>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承包人主要施工管理人员表</w:t>
      </w:r>
    </w:p>
    <w:tbl>
      <w:tblPr>
        <w:tblStyle w:val="2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457"/>
        <w:gridCol w:w="1448"/>
        <w:gridCol w:w="3615"/>
      </w:tblGrid>
      <w:tr w14:paraId="47097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70BCED1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1418" w:type="dxa"/>
            <w:tcBorders>
              <w:top w:val="single" w:color="auto" w:sz="12" w:space="0"/>
              <w:bottom w:val="double" w:color="auto" w:sz="6" w:space="0"/>
            </w:tcBorders>
            <w:vAlign w:val="center"/>
          </w:tcPr>
          <w:p w14:paraId="28E17B0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p>
        </w:tc>
        <w:tc>
          <w:tcPr>
            <w:tcW w:w="1457" w:type="dxa"/>
            <w:tcBorders>
              <w:top w:val="single" w:color="auto" w:sz="12" w:space="0"/>
              <w:bottom w:val="double" w:color="auto" w:sz="6" w:space="0"/>
            </w:tcBorders>
            <w:vAlign w:val="center"/>
          </w:tcPr>
          <w:p w14:paraId="5E1B565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职务</w:t>
            </w:r>
          </w:p>
        </w:tc>
        <w:tc>
          <w:tcPr>
            <w:tcW w:w="1448" w:type="dxa"/>
            <w:tcBorders>
              <w:top w:val="single" w:color="auto" w:sz="12" w:space="0"/>
              <w:bottom w:val="double" w:color="auto" w:sz="6" w:space="0"/>
            </w:tcBorders>
            <w:vAlign w:val="center"/>
          </w:tcPr>
          <w:p w14:paraId="4B4250E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职称</w:t>
            </w:r>
          </w:p>
        </w:tc>
        <w:tc>
          <w:tcPr>
            <w:tcW w:w="3615" w:type="dxa"/>
            <w:tcBorders>
              <w:top w:val="single" w:color="auto" w:sz="12" w:space="0"/>
              <w:bottom w:val="double" w:color="auto" w:sz="6" w:space="0"/>
            </w:tcBorders>
            <w:vAlign w:val="center"/>
          </w:tcPr>
          <w:p w14:paraId="776339A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主要资历、经验及承担过的项目</w:t>
            </w:r>
          </w:p>
        </w:tc>
      </w:tr>
      <w:tr w14:paraId="4ACCD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66170EB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一、总部人员</w:t>
            </w:r>
          </w:p>
        </w:tc>
      </w:tr>
      <w:tr w14:paraId="1B44E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94B453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项目主管</w:t>
            </w:r>
          </w:p>
        </w:tc>
        <w:tc>
          <w:tcPr>
            <w:tcW w:w="1418" w:type="dxa"/>
            <w:tcBorders>
              <w:top w:val="nil"/>
            </w:tcBorders>
            <w:vAlign w:val="center"/>
          </w:tcPr>
          <w:p w14:paraId="49C704A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457" w:type="dxa"/>
            <w:tcBorders>
              <w:top w:val="nil"/>
            </w:tcBorders>
            <w:vAlign w:val="center"/>
          </w:tcPr>
          <w:p w14:paraId="7B00535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项目经理</w:t>
            </w:r>
          </w:p>
        </w:tc>
        <w:tc>
          <w:tcPr>
            <w:tcW w:w="1448" w:type="dxa"/>
            <w:tcBorders>
              <w:top w:val="nil"/>
            </w:tcBorders>
            <w:vAlign w:val="center"/>
          </w:tcPr>
          <w:p w14:paraId="011F14FA">
            <w:pPr>
              <w:keepNext w:val="0"/>
              <w:keepLines w:val="0"/>
              <w:pageBreakBefore w:val="0"/>
              <w:widowControl/>
              <w:suppressLineNumbers w:val="0"/>
              <w:kinsoku/>
              <w:wordWrap/>
              <w:overflowPunct/>
              <w:topLinePunct w:val="0"/>
              <w:bidi w:val="0"/>
              <w:jc w:val="left"/>
              <w:textAlignment w:val="auto"/>
              <w:rPr>
                <w:rFonts w:hint="eastAsia" w:ascii="宋体" w:hAnsi="宋体" w:eastAsia="宋体" w:cs="宋体"/>
                <w:color w:val="auto"/>
                <w:kern w:val="2"/>
                <w:sz w:val="24"/>
                <w:szCs w:val="24"/>
                <w:highlight w:val="none"/>
              </w:rPr>
            </w:pPr>
          </w:p>
        </w:tc>
        <w:tc>
          <w:tcPr>
            <w:tcW w:w="3615" w:type="dxa"/>
            <w:tcBorders>
              <w:top w:val="nil"/>
            </w:tcBorders>
            <w:vAlign w:val="center"/>
          </w:tcPr>
          <w:p w14:paraId="0D4CD14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52A5D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27B0D72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418" w:type="dxa"/>
            <w:vAlign w:val="center"/>
          </w:tcPr>
          <w:p w14:paraId="2AAD5E3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1457" w:type="dxa"/>
            <w:vAlign w:val="center"/>
          </w:tcPr>
          <w:p w14:paraId="21072D1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1448" w:type="dxa"/>
            <w:vAlign w:val="center"/>
          </w:tcPr>
          <w:p w14:paraId="06314D9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3615" w:type="dxa"/>
            <w:vAlign w:val="center"/>
          </w:tcPr>
          <w:p w14:paraId="5EB99DA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r>
      <w:tr w14:paraId="7E75A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E2FA75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其他人员</w:t>
            </w:r>
          </w:p>
        </w:tc>
        <w:tc>
          <w:tcPr>
            <w:tcW w:w="1418" w:type="dxa"/>
            <w:vAlign w:val="center"/>
          </w:tcPr>
          <w:p w14:paraId="128DB53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457" w:type="dxa"/>
            <w:vAlign w:val="center"/>
          </w:tcPr>
          <w:p w14:paraId="105F568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448" w:type="dxa"/>
            <w:vAlign w:val="center"/>
          </w:tcPr>
          <w:p w14:paraId="347C74F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3615" w:type="dxa"/>
            <w:vAlign w:val="center"/>
          </w:tcPr>
          <w:p w14:paraId="4A0EB25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386FD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DE337C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418" w:type="dxa"/>
            <w:vAlign w:val="center"/>
          </w:tcPr>
          <w:p w14:paraId="200F356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457" w:type="dxa"/>
            <w:vAlign w:val="center"/>
          </w:tcPr>
          <w:p w14:paraId="263B06F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448" w:type="dxa"/>
            <w:vAlign w:val="center"/>
          </w:tcPr>
          <w:p w14:paraId="5EC84E1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3615" w:type="dxa"/>
            <w:vAlign w:val="center"/>
          </w:tcPr>
          <w:p w14:paraId="2432BF3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7B570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9809" w:type="dxa"/>
            <w:gridSpan w:val="5"/>
            <w:tcBorders>
              <w:top w:val="single" w:color="auto" w:sz="6" w:space="0"/>
              <w:bottom w:val="single" w:color="auto" w:sz="6" w:space="0"/>
            </w:tcBorders>
            <w:vAlign w:val="center"/>
          </w:tcPr>
          <w:p w14:paraId="343C6F8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二、现场人员</w:t>
            </w:r>
          </w:p>
        </w:tc>
      </w:tr>
      <w:tr w14:paraId="2A572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5BDE9A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项目经理</w:t>
            </w:r>
          </w:p>
        </w:tc>
        <w:tc>
          <w:tcPr>
            <w:tcW w:w="1418" w:type="dxa"/>
            <w:vAlign w:val="center"/>
          </w:tcPr>
          <w:p w14:paraId="7BC8F198">
            <w:pPr>
              <w:keepNext w:val="0"/>
              <w:keepLines w:val="0"/>
              <w:pageBreakBefore w:val="0"/>
              <w:widowControl/>
              <w:suppressLineNumbers w:val="0"/>
              <w:kinsoku/>
              <w:wordWrap/>
              <w:overflowPunct/>
              <w:topLinePunct w:val="0"/>
              <w:bidi w:val="0"/>
              <w:jc w:val="left"/>
              <w:textAlignment w:val="auto"/>
              <w:rPr>
                <w:rFonts w:hint="eastAsia" w:ascii="宋体" w:hAnsi="宋体" w:eastAsia="宋体" w:cs="宋体"/>
                <w:color w:val="auto"/>
                <w:kern w:val="2"/>
                <w:sz w:val="24"/>
                <w:szCs w:val="24"/>
                <w:highlight w:val="none"/>
                <w:lang w:val="en-US" w:eastAsia="zh-CN"/>
              </w:rPr>
            </w:pPr>
          </w:p>
        </w:tc>
        <w:tc>
          <w:tcPr>
            <w:tcW w:w="1457" w:type="dxa"/>
            <w:vAlign w:val="center"/>
          </w:tcPr>
          <w:p w14:paraId="468E45D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项目经理</w:t>
            </w:r>
          </w:p>
        </w:tc>
        <w:tc>
          <w:tcPr>
            <w:tcW w:w="1448" w:type="dxa"/>
            <w:vAlign w:val="center"/>
          </w:tcPr>
          <w:p w14:paraId="098795F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p>
        </w:tc>
        <w:tc>
          <w:tcPr>
            <w:tcW w:w="3615" w:type="dxa"/>
            <w:vAlign w:val="center"/>
          </w:tcPr>
          <w:p w14:paraId="37472D1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p>
        </w:tc>
      </w:tr>
      <w:tr w14:paraId="4E556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69E18C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项目副经理</w:t>
            </w:r>
          </w:p>
        </w:tc>
        <w:tc>
          <w:tcPr>
            <w:tcW w:w="1418" w:type="dxa"/>
            <w:vAlign w:val="center"/>
          </w:tcPr>
          <w:p w14:paraId="4BD260B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1457" w:type="dxa"/>
            <w:vAlign w:val="center"/>
          </w:tcPr>
          <w:p w14:paraId="3874F8F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1448" w:type="dxa"/>
            <w:vAlign w:val="center"/>
          </w:tcPr>
          <w:p w14:paraId="47B270B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3615" w:type="dxa"/>
            <w:vAlign w:val="center"/>
          </w:tcPr>
          <w:p w14:paraId="5F4243D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p>
        </w:tc>
      </w:tr>
      <w:tr w14:paraId="5E855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4A1A2C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项目工程师</w:t>
            </w:r>
          </w:p>
        </w:tc>
        <w:tc>
          <w:tcPr>
            <w:tcW w:w="1418" w:type="dxa"/>
            <w:vAlign w:val="center"/>
          </w:tcPr>
          <w:p w14:paraId="56FA9FBE">
            <w:pPr>
              <w:keepNext w:val="0"/>
              <w:keepLines w:val="0"/>
              <w:pageBreakBefore w:val="0"/>
              <w:widowControl/>
              <w:suppressLineNumbers w:val="0"/>
              <w:kinsoku/>
              <w:wordWrap/>
              <w:overflowPunct/>
              <w:topLinePunct w:val="0"/>
              <w:bidi w:val="0"/>
              <w:jc w:val="left"/>
              <w:textAlignment w:val="auto"/>
              <w:rPr>
                <w:rFonts w:hint="eastAsia" w:ascii="宋体" w:hAnsi="宋体" w:eastAsia="宋体" w:cs="宋体"/>
                <w:color w:val="auto"/>
                <w:kern w:val="2"/>
                <w:sz w:val="24"/>
                <w:szCs w:val="24"/>
                <w:highlight w:val="none"/>
                <w:lang w:val="en-US" w:eastAsia="zh-CN"/>
              </w:rPr>
            </w:pPr>
          </w:p>
        </w:tc>
        <w:tc>
          <w:tcPr>
            <w:tcW w:w="1457" w:type="dxa"/>
            <w:vAlign w:val="center"/>
          </w:tcPr>
          <w:p w14:paraId="7B07CFD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项目工程师</w:t>
            </w:r>
          </w:p>
        </w:tc>
        <w:tc>
          <w:tcPr>
            <w:tcW w:w="1448" w:type="dxa"/>
            <w:vAlign w:val="center"/>
          </w:tcPr>
          <w:p w14:paraId="2078337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p>
        </w:tc>
        <w:tc>
          <w:tcPr>
            <w:tcW w:w="3615" w:type="dxa"/>
            <w:vAlign w:val="center"/>
          </w:tcPr>
          <w:p w14:paraId="754E4EA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p>
        </w:tc>
      </w:tr>
      <w:tr w14:paraId="3D4CD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011139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造价管理</w:t>
            </w:r>
          </w:p>
        </w:tc>
        <w:tc>
          <w:tcPr>
            <w:tcW w:w="1418" w:type="dxa"/>
            <w:vAlign w:val="center"/>
          </w:tcPr>
          <w:p w14:paraId="63CFBFCD">
            <w:pPr>
              <w:keepNext w:val="0"/>
              <w:keepLines w:val="0"/>
              <w:pageBreakBefore w:val="0"/>
              <w:widowControl/>
              <w:suppressLineNumbers w:val="0"/>
              <w:kinsoku/>
              <w:wordWrap/>
              <w:overflowPunct/>
              <w:topLinePunct w:val="0"/>
              <w:bidi w:val="0"/>
              <w:jc w:val="left"/>
              <w:textAlignment w:val="auto"/>
              <w:rPr>
                <w:rFonts w:hint="eastAsia" w:ascii="宋体" w:hAnsi="宋体" w:eastAsia="宋体" w:cs="宋体"/>
                <w:color w:val="auto"/>
                <w:kern w:val="2"/>
                <w:sz w:val="24"/>
                <w:szCs w:val="24"/>
                <w:highlight w:val="none"/>
                <w:lang w:val="en-US" w:eastAsia="zh-CN"/>
              </w:rPr>
            </w:pPr>
          </w:p>
        </w:tc>
        <w:tc>
          <w:tcPr>
            <w:tcW w:w="1457" w:type="dxa"/>
            <w:vAlign w:val="center"/>
          </w:tcPr>
          <w:p w14:paraId="04B9347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造价管理</w:t>
            </w:r>
          </w:p>
        </w:tc>
        <w:tc>
          <w:tcPr>
            <w:tcW w:w="1448" w:type="dxa"/>
            <w:vAlign w:val="center"/>
          </w:tcPr>
          <w:p w14:paraId="698E442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p>
        </w:tc>
        <w:tc>
          <w:tcPr>
            <w:tcW w:w="3615" w:type="dxa"/>
            <w:vAlign w:val="center"/>
          </w:tcPr>
          <w:p w14:paraId="2C55C53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p>
        </w:tc>
      </w:tr>
      <w:tr w14:paraId="43134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60895C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质量管理</w:t>
            </w:r>
          </w:p>
        </w:tc>
        <w:tc>
          <w:tcPr>
            <w:tcW w:w="1418" w:type="dxa"/>
            <w:vAlign w:val="center"/>
          </w:tcPr>
          <w:p w14:paraId="428E10B9">
            <w:pPr>
              <w:keepNext w:val="0"/>
              <w:keepLines w:val="0"/>
              <w:pageBreakBefore w:val="0"/>
              <w:widowControl/>
              <w:suppressLineNumbers w:val="0"/>
              <w:kinsoku/>
              <w:wordWrap/>
              <w:overflowPunct/>
              <w:topLinePunct w:val="0"/>
              <w:bidi w:val="0"/>
              <w:jc w:val="left"/>
              <w:textAlignment w:val="auto"/>
              <w:rPr>
                <w:rFonts w:hint="eastAsia" w:ascii="宋体" w:hAnsi="宋体" w:eastAsia="宋体" w:cs="宋体"/>
                <w:color w:val="auto"/>
                <w:kern w:val="2"/>
                <w:sz w:val="24"/>
                <w:szCs w:val="24"/>
                <w:highlight w:val="none"/>
                <w:lang w:val="en-US" w:eastAsia="zh-CN"/>
              </w:rPr>
            </w:pPr>
          </w:p>
        </w:tc>
        <w:tc>
          <w:tcPr>
            <w:tcW w:w="1457" w:type="dxa"/>
            <w:vAlign w:val="center"/>
          </w:tcPr>
          <w:p w14:paraId="18594C8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质量管理</w:t>
            </w:r>
          </w:p>
        </w:tc>
        <w:tc>
          <w:tcPr>
            <w:tcW w:w="1448" w:type="dxa"/>
            <w:vAlign w:val="center"/>
          </w:tcPr>
          <w:p w14:paraId="4F60340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p>
        </w:tc>
        <w:tc>
          <w:tcPr>
            <w:tcW w:w="3615" w:type="dxa"/>
            <w:vAlign w:val="center"/>
          </w:tcPr>
          <w:p w14:paraId="5AC00B5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p>
        </w:tc>
      </w:tr>
      <w:tr w14:paraId="68ECF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51CED5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安全管理</w:t>
            </w:r>
          </w:p>
        </w:tc>
        <w:tc>
          <w:tcPr>
            <w:tcW w:w="1418" w:type="dxa"/>
            <w:vAlign w:val="center"/>
          </w:tcPr>
          <w:p w14:paraId="12550F74">
            <w:pPr>
              <w:keepNext w:val="0"/>
              <w:keepLines w:val="0"/>
              <w:pageBreakBefore w:val="0"/>
              <w:widowControl/>
              <w:suppressLineNumbers w:val="0"/>
              <w:kinsoku/>
              <w:wordWrap/>
              <w:overflowPunct/>
              <w:topLinePunct w:val="0"/>
              <w:bidi w:val="0"/>
              <w:jc w:val="left"/>
              <w:textAlignment w:val="auto"/>
              <w:rPr>
                <w:rFonts w:hint="eastAsia" w:ascii="宋体" w:hAnsi="宋体" w:eastAsia="宋体" w:cs="宋体"/>
                <w:color w:val="auto"/>
                <w:kern w:val="2"/>
                <w:sz w:val="24"/>
                <w:szCs w:val="24"/>
                <w:highlight w:val="none"/>
                <w:lang w:val="en-US" w:eastAsia="zh-CN"/>
              </w:rPr>
            </w:pPr>
          </w:p>
        </w:tc>
        <w:tc>
          <w:tcPr>
            <w:tcW w:w="1457" w:type="dxa"/>
            <w:vAlign w:val="center"/>
          </w:tcPr>
          <w:p w14:paraId="7A6CC88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安全管理</w:t>
            </w:r>
          </w:p>
        </w:tc>
        <w:tc>
          <w:tcPr>
            <w:tcW w:w="1448" w:type="dxa"/>
            <w:vAlign w:val="center"/>
          </w:tcPr>
          <w:p w14:paraId="122450D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p>
        </w:tc>
        <w:tc>
          <w:tcPr>
            <w:tcW w:w="3615" w:type="dxa"/>
            <w:vAlign w:val="center"/>
          </w:tcPr>
          <w:p w14:paraId="669D0F9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p>
        </w:tc>
      </w:tr>
      <w:tr w14:paraId="0862F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26E10F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其他人员</w:t>
            </w:r>
          </w:p>
        </w:tc>
        <w:tc>
          <w:tcPr>
            <w:tcW w:w="1418" w:type="dxa"/>
            <w:shd w:val="clear" w:color="auto" w:fill="auto"/>
            <w:vAlign w:val="center"/>
          </w:tcPr>
          <w:p w14:paraId="383A4A1E">
            <w:pPr>
              <w:keepNext w:val="0"/>
              <w:keepLines w:val="0"/>
              <w:pageBreakBefore w:val="0"/>
              <w:widowControl/>
              <w:suppressLineNumbers w:val="0"/>
              <w:kinsoku/>
              <w:wordWrap/>
              <w:overflowPunct/>
              <w:topLinePunct w:val="0"/>
              <w:bidi w:val="0"/>
              <w:jc w:val="left"/>
              <w:textAlignment w:val="auto"/>
              <w:rPr>
                <w:rFonts w:hint="eastAsia" w:ascii="宋体" w:hAnsi="宋体" w:eastAsia="宋体" w:cs="宋体"/>
                <w:color w:val="auto"/>
                <w:kern w:val="2"/>
                <w:sz w:val="24"/>
                <w:szCs w:val="24"/>
                <w:highlight w:val="none"/>
                <w:lang w:val="en-US" w:eastAsia="zh-CN" w:bidi="ar-SA"/>
              </w:rPr>
            </w:pPr>
          </w:p>
        </w:tc>
        <w:tc>
          <w:tcPr>
            <w:tcW w:w="1457" w:type="dxa"/>
            <w:vAlign w:val="center"/>
          </w:tcPr>
          <w:p w14:paraId="070743E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资料员</w:t>
            </w:r>
          </w:p>
        </w:tc>
        <w:tc>
          <w:tcPr>
            <w:tcW w:w="1448" w:type="dxa"/>
            <w:vAlign w:val="center"/>
          </w:tcPr>
          <w:p w14:paraId="4227150B">
            <w:pPr>
              <w:keepNext w:val="0"/>
              <w:keepLines w:val="0"/>
              <w:pageBreakBefore w:val="0"/>
              <w:widowControl/>
              <w:suppressLineNumbers w:val="0"/>
              <w:kinsoku/>
              <w:wordWrap/>
              <w:overflowPunct/>
              <w:topLinePunct w:val="0"/>
              <w:bidi w:val="0"/>
              <w:jc w:val="left"/>
              <w:textAlignment w:val="auto"/>
              <w:rPr>
                <w:rFonts w:hint="eastAsia" w:ascii="宋体" w:hAnsi="宋体" w:eastAsia="宋体" w:cs="宋体"/>
                <w:color w:val="auto"/>
                <w:kern w:val="2"/>
                <w:sz w:val="24"/>
                <w:szCs w:val="24"/>
                <w:highlight w:val="none"/>
                <w:lang w:val="en-US" w:eastAsia="zh-CN"/>
              </w:rPr>
            </w:pPr>
          </w:p>
        </w:tc>
        <w:tc>
          <w:tcPr>
            <w:tcW w:w="3615" w:type="dxa"/>
            <w:vAlign w:val="center"/>
          </w:tcPr>
          <w:p w14:paraId="41E8C9C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p>
        </w:tc>
      </w:tr>
      <w:tr w14:paraId="7B7BF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061507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eastAsia="zh-CN"/>
              </w:rPr>
            </w:pPr>
          </w:p>
        </w:tc>
        <w:tc>
          <w:tcPr>
            <w:tcW w:w="1418" w:type="dxa"/>
            <w:tcBorders>
              <w:bottom w:val="nil"/>
            </w:tcBorders>
            <w:shd w:val="clear" w:color="auto" w:fill="auto"/>
            <w:vAlign w:val="center"/>
          </w:tcPr>
          <w:p w14:paraId="58334147">
            <w:pPr>
              <w:keepNext w:val="0"/>
              <w:keepLines w:val="0"/>
              <w:pageBreakBefore w:val="0"/>
              <w:widowControl/>
              <w:suppressLineNumbers w:val="0"/>
              <w:kinsoku/>
              <w:wordWrap/>
              <w:overflowPunct/>
              <w:topLinePunct w:val="0"/>
              <w:bidi w:val="0"/>
              <w:jc w:val="left"/>
              <w:textAlignment w:val="auto"/>
              <w:rPr>
                <w:rFonts w:hint="eastAsia" w:ascii="宋体" w:hAnsi="宋体" w:eastAsia="宋体" w:cs="宋体"/>
                <w:color w:val="auto"/>
                <w:kern w:val="2"/>
                <w:sz w:val="24"/>
                <w:szCs w:val="24"/>
                <w:highlight w:val="none"/>
                <w:lang w:val="en-US" w:eastAsia="zh-CN" w:bidi="ar-SA"/>
              </w:rPr>
            </w:pPr>
          </w:p>
        </w:tc>
        <w:tc>
          <w:tcPr>
            <w:tcW w:w="1457" w:type="dxa"/>
            <w:tcBorders>
              <w:bottom w:val="nil"/>
            </w:tcBorders>
            <w:vAlign w:val="center"/>
          </w:tcPr>
          <w:p w14:paraId="6649360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施工员</w:t>
            </w:r>
          </w:p>
        </w:tc>
        <w:tc>
          <w:tcPr>
            <w:tcW w:w="1448" w:type="dxa"/>
            <w:tcBorders>
              <w:bottom w:val="nil"/>
            </w:tcBorders>
            <w:vAlign w:val="center"/>
          </w:tcPr>
          <w:p w14:paraId="4C86FE64">
            <w:pPr>
              <w:keepNext w:val="0"/>
              <w:keepLines w:val="0"/>
              <w:pageBreakBefore w:val="0"/>
              <w:widowControl/>
              <w:suppressLineNumbers w:val="0"/>
              <w:kinsoku/>
              <w:wordWrap/>
              <w:overflowPunct/>
              <w:topLinePunct w:val="0"/>
              <w:bidi w:val="0"/>
              <w:jc w:val="left"/>
              <w:textAlignment w:val="auto"/>
              <w:rPr>
                <w:rFonts w:hint="eastAsia" w:ascii="宋体" w:hAnsi="宋体" w:eastAsia="宋体" w:cs="宋体"/>
                <w:color w:val="auto"/>
                <w:kern w:val="2"/>
                <w:sz w:val="24"/>
                <w:szCs w:val="24"/>
                <w:highlight w:val="none"/>
                <w:lang w:val="en-US" w:eastAsia="zh-CN"/>
              </w:rPr>
            </w:pPr>
          </w:p>
        </w:tc>
        <w:tc>
          <w:tcPr>
            <w:tcW w:w="3615" w:type="dxa"/>
            <w:tcBorders>
              <w:bottom w:val="nil"/>
            </w:tcBorders>
            <w:vAlign w:val="center"/>
          </w:tcPr>
          <w:p w14:paraId="1F8B14C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p>
        </w:tc>
      </w:tr>
      <w:tr w14:paraId="7D24D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BDAA0D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eastAsia="zh-CN"/>
              </w:rPr>
            </w:pPr>
          </w:p>
        </w:tc>
        <w:tc>
          <w:tcPr>
            <w:tcW w:w="1418" w:type="dxa"/>
            <w:vAlign w:val="center"/>
          </w:tcPr>
          <w:p w14:paraId="7A1A28A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1457" w:type="dxa"/>
            <w:vAlign w:val="center"/>
          </w:tcPr>
          <w:p w14:paraId="435770F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施工员</w:t>
            </w:r>
          </w:p>
        </w:tc>
        <w:tc>
          <w:tcPr>
            <w:tcW w:w="1448" w:type="dxa"/>
            <w:vAlign w:val="center"/>
          </w:tcPr>
          <w:p w14:paraId="04AEF43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3615" w:type="dxa"/>
            <w:vAlign w:val="center"/>
          </w:tcPr>
          <w:p w14:paraId="1CBD1A2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r>
      <w:tr w14:paraId="4B9C9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543CE2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eastAsia="zh-CN"/>
              </w:rPr>
            </w:pPr>
          </w:p>
        </w:tc>
        <w:tc>
          <w:tcPr>
            <w:tcW w:w="1418" w:type="dxa"/>
            <w:vAlign w:val="center"/>
          </w:tcPr>
          <w:p w14:paraId="2885F71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1457" w:type="dxa"/>
            <w:vAlign w:val="center"/>
          </w:tcPr>
          <w:p w14:paraId="0D58D59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施工员</w:t>
            </w:r>
          </w:p>
        </w:tc>
        <w:tc>
          <w:tcPr>
            <w:tcW w:w="1448" w:type="dxa"/>
            <w:vAlign w:val="center"/>
          </w:tcPr>
          <w:p w14:paraId="101A72A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3615" w:type="dxa"/>
            <w:vAlign w:val="center"/>
          </w:tcPr>
          <w:p w14:paraId="23F1100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r>
      <w:tr w14:paraId="548CE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79E1E3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eastAsia="zh-CN"/>
              </w:rPr>
            </w:pPr>
          </w:p>
        </w:tc>
        <w:tc>
          <w:tcPr>
            <w:tcW w:w="1418" w:type="dxa"/>
            <w:vAlign w:val="center"/>
          </w:tcPr>
          <w:p w14:paraId="0A7BA8B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1457" w:type="dxa"/>
            <w:vAlign w:val="center"/>
          </w:tcPr>
          <w:p w14:paraId="13C2EE1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施工员</w:t>
            </w:r>
          </w:p>
        </w:tc>
        <w:tc>
          <w:tcPr>
            <w:tcW w:w="1448" w:type="dxa"/>
            <w:vAlign w:val="center"/>
          </w:tcPr>
          <w:p w14:paraId="7E19D5C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3615" w:type="dxa"/>
            <w:vAlign w:val="center"/>
          </w:tcPr>
          <w:p w14:paraId="4FF644A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r>
      <w:tr w14:paraId="04544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72C2F1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eastAsia="zh-CN"/>
              </w:rPr>
            </w:pPr>
          </w:p>
        </w:tc>
        <w:tc>
          <w:tcPr>
            <w:tcW w:w="1418" w:type="dxa"/>
            <w:tcBorders>
              <w:bottom w:val="single" w:color="auto" w:sz="12" w:space="0"/>
            </w:tcBorders>
            <w:vAlign w:val="center"/>
          </w:tcPr>
          <w:p w14:paraId="0E8C7D2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1457" w:type="dxa"/>
            <w:tcBorders>
              <w:bottom w:val="single" w:color="auto" w:sz="12" w:space="0"/>
            </w:tcBorders>
            <w:vAlign w:val="center"/>
          </w:tcPr>
          <w:p w14:paraId="672DEF0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合同商务负责人</w:t>
            </w:r>
          </w:p>
        </w:tc>
        <w:tc>
          <w:tcPr>
            <w:tcW w:w="1448" w:type="dxa"/>
            <w:tcBorders>
              <w:bottom w:val="single" w:color="auto" w:sz="12" w:space="0"/>
            </w:tcBorders>
            <w:vAlign w:val="center"/>
          </w:tcPr>
          <w:p w14:paraId="341ADCA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3615" w:type="dxa"/>
            <w:tcBorders>
              <w:bottom w:val="single" w:color="auto" w:sz="12" w:space="0"/>
            </w:tcBorders>
            <w:vAlign w:val="center"/>
          </w:tcPr>
          <w:p w14:paraId="3DA0166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lang w:val="en-US" w:eastAsia="zh-CN"/>
              </w:rPr>
            </w:pPr>
            <w:r>
              <w:rPr>
                <w:rFonts w:hint="eastAsia" w:ascii="宋体" w:hAnsi="宋体" w:eastAsia="宋体" w:cs="宋体"/>
                <w:color w:val="auto"/>
                <w:kern w:val="2"/>
                <w:sz w:val="30"/>
                <w:szCs w:val="30"/>
                <w:highlight w:val="none"/>
                <w:lang w:val="en-US" w:eastAsia="zh-CN"/>
              </w:rPr>
              <w:t>/</w:t>
            </w:r>
          </w:p>
        </w:tc>
      </w:tr>
    </w:tbl>
    <w:p w14:paraId="14A5AEF8">
      <w:pPr>
        <w:pageBreakBefore w:val="0"/>
        <w:kinsoku/>
        <w:wordWrap/>
        <w:overflowPunct/>
        <w:topLinePunct w:val="0"/>
        <w:bidi w:val="0"/>
        <w:spacing w:line="44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30"/>
          <w:szCs w:val="30"/>
          <w:highlight w:val="none"/>
        </w:rPr>
        <w:br w:type="page"/>
      </w:r>
      <w:bookmarkStart w:id="947" w:name="_Toc1663"/>
      <w:r>
        <w:rPr>
          <w:rFonts w:hint="eastAsia" w:ascii="宋体" w:hAnsi="宋体" w:eastAsia="宋体" w:cs="宋体"/>
          <w:color w:val="auto"/>
          <w:kern w:val="2"/>
          <w:sz w:val="24"/>
          <w:szCs w:val="24"/>
          <w:highlight w:val="none"/>
          <w:lang w:val="en-US" w:eastAsia="zh-CN" w:bidi="ar-SA"/>
        </w:rPr>
        <w:t>附</w:t>
      </w:r>
      <w:bookmarkStart w:id="948" w:name="_Toc296944568"/>
      <w:bookmarkStart w:id="949" w:name="_Toc296891269"/>
      <w:bookmarkStart w:id="950" w:name="_Toc296891057"/>
      <w:bookmarkStart w:id="951" w:name="_Toc296347228"/>
      <w:bookmarkStart w:id="952" w:name="_Toc296346730"/>
      <w:bookmarkStart w:id="953" w:name="_Toc296503229"/>
      <w:r>
        <w:rPr>
          <w:rFonts w:hint="eastAsia" w:ascii="宋体" w:hAnsi="宋体" w:eastAsia="宋体" w:cs="宋体"/>
          <w:color w:val="auto"/>
          <w:kern w:val="2"/>
          <w:sz w:val="24"/>
          <w:szCs w:val="24"/>
          <w:highlight w:val="none"/>
          <w:lang w:val="en-US" w:eastAsia="zh-CN" w:bidi="ar-SA"/>
        </w:rPr>
        <w:t>件7：</w:t>
      </w:r>
      <w:bookmarkEnd w:id="947"/>
    </w:p>
    <w:bookmarkEnd w:id="948"/>
    <w:bookmarkEnd w:id="949"/>
    <w:bookmarkEnd w:id="950"/>
    <w:bookmarkEnd w:id="951"/>
    <w:bookmarkEnd w:id="952"/>
    <w:bookmarkEnd w:id="953"/>
    <w:p w14:paraId="2689DB70">
      <w:pPr>
        <w:pageBreakBefore w:val="0"/>
        <w:kinsoku/>
        <w:wordWrap/>
        <w:overflowPunct/>
        <w:topLinePunct w:val="0"/>
        <w:bidi w:val="0"/>
        <w:spacing w:beforeLines="50" w:afterLines="50" w:line="440" w:lineRule="exact"/>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分包人主要施工管理人员表</w:t>
      </w:r>
    </w:p>
    <w:tbl>
      <w:tblPr>
        <w:tblStyle w:val="2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A1E6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8F3D1F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1418" w:type="dxa"/>
            <w:tcBorders>
              <w:top w:val="single" w:color="auto" w:sz="12" w:space="0"/>
              <w:bottom w:val="double" w:color="auto" w:sz="6" w:space="0"/>
            </w:tcBorders>
            <w:vAlign w:val="center"/>
          </w:tcPr>
          <w:p w14:paraId="2976DA5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p>
        </w:tc>
        <w:tc>
          <w:tcPr>
            <w:tcW w:w="1134" w:type="dxa"/>
            <w:tcBorders>
              <w:top w:val="single" w:color="auto" w:sz="12" w:space="0"/>
              <w:bottom w:val="double" w:color="auto" w:sz="6" w:space="0"/>
            </w:tcBorders>
            <w:vAlign w:val="center"/>
          </w:tcPr>
          <w:p w14:paraId="5C21B97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职务</w:t>
            </w:r>
          </w:p>
        </w:tc>
        <w:tc>
          <w:tcPr>
            <w:tcW w:w="1134" w:type="dxa"/>
            <w:tcBorders>
              <w:top w:val="single" w:color="auto" w:sz="12" w:space="0"/>
              <w:bottom w:val="double" w:color="auto" w:sz="6" w:space="0"/>
            </w:tcBorders>
            <w:vAlign w:val="center"/>
          </w:tcPr>
          <w:p w14:paraId="3BFB082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职称</w:t>
            </w:r>
          </w:p>
        </w:tc>
        <w:tc>
          <w:tcPr>
            <w:tcW w:w="4252" w:type="dxa"/>
            <w:tcBorders>
              <w:top w:val="single" w:color="auto" w:sz="12" w:space="0"/>
              <w:bottom w:val="double" w:color="auto" w:sz="6" w:space="0"/>
            </w:tcBorders>
            <w:vAlign w:val="center"/>
          </w:tcPr>
          <w:p w14:paraId="4E4DBF1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主要资历、经验及承担过的项目</w:t>
            </w:r>
          </w:p>
        </w:tc>
      </w:tr>
      <w:tr w14:paraId="2EC2C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07FB8D3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1196340</wp:posOffset>
                      </wp:positionH>
                      <wp:positionV relativeFrom="paragraph">
                        <wp:posOffset>-1905</wp:posOffset>
                      </wp:positionV>
                      <wp:extent cx="5013325" cy="1432560"/>
                      <wp:effectExtent l="1270" t="4445" r="14605" b="10795"/>
                      <wp:wrapNone/>
                      <wp:docPr id="16" name="直接连接符 16"/>
                      <wp:cNvGraphicFramePr/>
                      <a:graphic xmlns:a="http://schemas.openxmlformats.org/drawingml/2006/main">
                        <a:graphicData uri="http://schemas.microsoft.com/office/word/2010/wordprocessingShape">
                          <wps:wsp>
                            <wps:cNvCnPr/>
                            <wps:spPr>
                              <a:xfrm flipV="1">
                                <a:off x="1849120" y="3425825"/>
                                <a:ext cx="5013325" cy="1432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4.2pt;margin-top:-0.15pt;height:112.8pt;width:394.75pt;z-index:251665408;mso-width-relative:page;mso-height-relative:page;" filled="f" stroked="t" coordsize="21600,21600" o:gfxdata="UEsDBAoAAAAAAIdO4kAAAAAAAAAAAAAAAAAEAAAAZHJzL1BLAwQUAAAACACHTuJA7T1yktgAAAAJ&#10;AQAADwAAAGRycy9kb3ducmV2LnhtbE2PS0/DMBCE70j8B2uRuLXOo9AkxKkoEnBDoo+7G2+TqPE6&#10;xE5b/j3LCY6jGc18U66uthdnHH3nSEE8j0Ag1c501CjYbV9nGQgfNBndO0IF3+hhVd3elLow7kKf&#10;eN6ERnAJ+UIraEMYCil93aLVfu4GJPaObrQ6sBwbaUZ94XLbyySKHqXVHfFCqwd8abE+bSarYL3N&#10;0zezn95PH/kCn9d57KevvVL3d3H0BCLgNfyF4Ref0aFipoObyHjRs86yBUcVzFIQ7OfLZQ7ioCBJ&#10;HlKQVSn/P6h+AFBLAwQUAAAACACHTuJAt3boP/0BAADPAwAADgAAAGRycy9lMm9Eb2MueG1srVM7&#10;jhQxEM2RuIPlnOnu+WloTc8GO1oSBCPxyT1uu9uSf3J5p2cuwQWQyCAiJOc2LMeg7J79sCQb4MAq&#10;u8qv6r0qry+ORpODCKCcbWg1KSkRlrtW2a6hH95fvVhRApHZlmlnRUNPAujF5vmz9eBrMXW9060I&#10;BEEs1INvaB+jr4sCeC8Mg4nzwqJTumBYxGPoijawAdGNLqZluSwGF1ofHBcAeLsdnfSMGJ4C6KRU&#10;XGwdvzbCxhE1CM0iUoJeeaCbXK2Ugse3UoKIRDcUmca8YxK092kvNmtWd4H5XvFzCewpJTziZJiy&#10;mPQOassiI9dB/QNlFA8OnIwT7kwxEsmKIIuqfKTNu555kbmg1ODvRIf/B8vfHHaBqBYnYUmJZQY7&#10;fvP5x69PX3///IL7zfdvBD0o0+ChxuhLuwvnE/hdSJyPMhgitfIfESWrgLzIEQ+r+ctqilKfGjqb&#10;Txer6WIUXBwj4RiwKKvZDC8Jx4hqjuYyt6QYQRO4DxBfCWdIMhqqlU2KsJodXkPEQjD0NiRdW3el&#10;tM5d1ZYMDV3OFlgAZzipEicETeORLdiOEqY7/AI8howITqs2vU44ELr9pQ7kwNLg5JVKx2x/haXU&#10;Wwb9GJddI0OjIv4SrUxDVw9fa4sgScpRvGTtXXvKmuZ77HNOc57JNEgPz/n1/T/c/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PXKS2AAAAAkBAAAPAAAAAAAAAAEAIAAAACIAAABkcnMvZG93bnJl&#10;di54bWxQSwECFAAUAAAACACHTuJAt3boP/0BAADPAwAADgAAAAAAAAABACAAAAAnAQAAZHJzL2Uy&#10;b0RvYy54bWxQSwUGAAAAAAYABgBZAQAAlgUAAAAA&#10;">
                      <v:fill on="f" focussize="0,0"/>
                      <v:stroke weight="0.5pt" color="#000000 [3200]" miterlimit="8" joinstyle="miter"/>
                      <v:imagedata o:title=""/>
                      <o:lock v:ext="edit" aspectratio="f"/>
                    </v:line>
                  </w:pict>
                </mc:Fallback>
              </mc:AlternateContent>
            </w:r>
            <w:r>
              <w:rPr>
                <w:rFonts w:hint="eastAsia" w:ascii="宋体" w:hAnsi="宋体" w:eastAsia="宋体" w:cs="宋体"/>
                <w:color w:val="auto"/>
                <w:kern w:val="2"/>
                <w:sz w:val="24"/>
                <w:szCs w:val="24"/>
                <w:highlight w:val="none"/>
              </w:rPr>
              <w:t>一、总部人员</w:t>
            </w:r>
          </w:p>
        </w:tc>
      </w:tr>
      <w:tr w14:paraId="1B4A9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BF2664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项目主管</w:t>
            </w:r>
          </w:p>
        </w:tc>
        <w:tc>
          <w:tcPr>
            <w:tcW w:w="1418" w:type="dxa"/>
            <w:tcBorders>
              <w:top w:val="nil"/>
            </w:tcBorders>
            <w:vAlign w:val="center"/>
          </w:tcPr>
          <w:p w14:paraId="4104408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tcBorders>
              <w:top w:val="nil"/>
            </w:tcBorders>
            <w:vAlign w:val="center"/>
          </w:tcPr>
          <w:p w14:paraId="0815A3D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tcBorders>
              <w:top w:val="nil"/>
            </w:tcBorders>
            <w:vAlign w:val="center"/>
          </w:tcPr>
          <w:p w14:paraId="4FDA019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tcBorders>
              <w:top w:val="nil"/>
            </w:tcBorders>
            <w:vAlign w:val="center"/>
          </w:tcPr>
          <w:p w14:paraId="26129F9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1E6A7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09D86F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418" w:type="dxa"/>
            <w:vAlign w:val="center"/>
          </w:tcPr>
          <w:p w14:paraId="30B5D1E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31F9BCC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6E9252D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284D855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3C170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159DA1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其他人员</w:t>
            </w:r>
          </w:p>
        </w:tc>
        <w:tc>
          <w:tcPr>
            <w:tcW w:w="1418" w:type="dxa"/>
            <w:vAlign w:val="center"/>
          </w:tcPr>
          <w:p w14:paraId="5EAEAD5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65A337F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4AF69FE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640AFA8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41923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8F9E49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418" w:type="dxa"/>
            <w:vAlign w:val="center"/>
          </w:tcPr>
          <w:p w14:paraId="5D66AFA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6DFBB91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2826CA9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0D1339A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47B2C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5887B85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1188720</wp:posOffset>
                      </wp:positionH>
                      <wp:positionV relativeFrom="paragraph">
                        <wp:posOffset>278130</wp:posOffset>
                      </wp:positionV>
                      <wp:extent cx="5052060" cy="4048125"/>
                      <wp:effectExtent l="3175" t="3810" r="12065" b="5715"/>
                      <wp:wrapNone/>
                      <wp:docPr id="1" name="直接连接符 1"/>
                      <wp:cNvGraphicFramePr/>
                      <a:graphic xmlns:a="http://schemas.openxmlformats.org/drawingml/2006/main">
                        <a:graphicData uri="http://schemas.microsoft.com/office/word/2010/wordprocessingShape">
                          <wps:wsp>
                            <wps:cNvCnPr/>
                            <wps:spPr>
                              <a:xfrm flipH="1">
                                <a:off x="6901180" y="3715385"/>
                                <a:ext cx="5052060" cy="404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93.6pt;margin-top:21.9pt;height:318.75pt;width:397.8pt;z-index:251666432;mso-width-relative:page;mso-height-relative:page;" filled="f" stroked="t" coordsize="21600,21600" o:gfxdata="UEsDBAoAAAAAAIdO4kAAAAAAAAAAAAAAAAAEAAAAZHJzL1BLAwQUAAAACACHTuJAukz/ENcAAAAK&#10;AQAADwAAAGRycy9kb3ducmV2LnhtbE2PTU/CQBCG7yT8h82QeIPtB8G2dkvERL2ZCHJfumPb0J2t&#10;3S3gv3c86W3ezJP3o9zebC8uOPrOkYJ4FYFAqp3pqFHwcXheZiB80GR07wgVfKOHbTWflbow7krv&#10;eNmHRrAJ+UIraEMYCil93aLVfuUGJP59utHqwHJspBn1lc1tL5Mo2kirO+KEVg/41GJ93k9Wwe6Q&#10;py/mOL2e3/I1Pu7y2E9fR6XuFnH0ACLgLfzB8Fufq0PFnU5uIuNFzzq7TxhVsE55AgN5lvBxUrDJ&#10;4hRkVcr/E6ofUEsDBBQAAAAIAIdO4kB88Ux0/QEAAM0DAAAOAAAAZHJzL2Uyb0RvYy54bWytU01u&#10;EzEU3iNxB8t7MjNJE8Ioky4aFRYIIkEP4HjsGUv+k5+bSS7BBZDYwYol+96Gcow+e0IpZdMFXlj2&#10;8+fvve/z8+r8YDTZiwDK2YZWk5ISYblrle0aevXx8sWSEojMtkw7Kxp6FEDP18+frQZfi6nrnW5F&#10;IEhioR58Q/sYfV0UwHthGEycFxYPpQuGRdyGrmgDG5Dd6GJaloticKH1wXEBgNHNeEhPjOEphE5K&#10;xcXG8WsjbBxZg9AsoiTolQe6ztVKKXh8LyWISHRDUWnMMybB9S7NxXrF6i4w3yt+KoE9pYRHmgxT&#10;FpPeU21YZOQ6qH+ojOLBgZNxwp0pRiHZEVRRlY+8+dAzL7IWtBr8venw/2j5u/02ENViJ1BimcEH&#10;v/384+enr79uvuB8+/0bqZJJg4casRd2G0478NuQFB9kMERq5d8kjhRBVeTQ0MWrsqqWaPSxobOX&#10;1Xy2nI92i0MkHAHzcj4tFwjgiDgrz5bVNCOKkTRR+QDxtXCGpEVDtbLJD1az/VuIWAhCf0NS2LpL&#10;pXV+U23JgDXM5omfYZ9K7A9cGo9awXaUMN3hB+AxZEZwWrXpduKB0O0udCB7ltomj1Q6ZvsLllJv&#10;GPQjLh+NCo2K+Ee0Mg1dPrytLZIkK0fz0mrn2mP2NMfxlXOaU0emNnq4z7f//ML1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pM/xDXAAAACgEAAA8AAAAAAAAAAQAgAAAAIgAAAGRycy9kb3ducmV2&#10;LnhtbFBLAQIUABQAAAAIAIdO4kB88Ux0/QEAAM0DAAAOAAAAAAAAAAEAIAAAACYBAABkcnMvZTJv&#10;RG9jLnhtbFBLBQYAAAAABgAGAFkBAACVBQAAAAA=&#10;">
                      <v:fill on="f" focussize="0,0"/>
                      <v:stroke weight="0.5pt" color="#000000 [3200]" miterlimit="8" joinstyle="miter"/>
                      <v:imagedata o:title=""/>
                      <o:lock v:ext="edit" aspectratio="f"/>
                    </v:line>
                  </w:pict>
                </mc:Fallback>
              </mc:AlternateContent>
            </w:r>
            <w:r>
              <w:rPr>
                <w:rFonts w:hint="eastAsia" w:ascii="宋体" w:hAnsi="宋体" w:eastAsia="宋体" w:cs="宋体"/>
                <w:color w:val="auto"/>
                <w:kern w:val="2"/>
                <w:sz w:val="24"/>
                <w:szCs w:val="24"/>
                <w:highlight w:val="none"/>
              </w:rPr>
              <w:t>二、现场人员</w:t>
            </w:r>
          </w:p>
        </w:tc>
      </w:tr>
      <w:tr w14:paraId="12DD8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9B35A3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项目经理</w:t>
            </w:r>
          </w:p>
        </w:tc>
        <w:tc>
          <w:tcPr>
            <w:tcW w:w="1418" w:type="dxa"/>
            <w:vAlign w:val="center"/>
          </w:tcPr>
          <w:p w14:paraId="2C302FF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1ABFE21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2775988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533B9ED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575DF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377C4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项目副经理</w:t>
            </w:r>
          </w:p>
        </w:tc>
        <w:tc>
          <w:tcPr>
            <w:tcW w:w="1418" w:type="dxa"/>
            <w:vAlign w:val="center"/>
          </w:tcPr>
          <w:p w14:paraId="2592AF1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1245944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4EE5946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47EA3C4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07BD0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3E4A18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技术负责人</w:t>
            </w:r>
          </w:p>
        </w:tc>
        <w:tc>
          <w:tcPr>
            <w:tcW w:w="1418" w:type="dxa"/>
            <w:vAlign w:val="center"/>
          </w:tcPr>
          <w:p w14:paraId="2B2B7A1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260EC25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77C49CD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72B8865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2C9C9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B5E158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造价管理</w:t>
            </w:r>
          </w:p>
        </w:tc>
        <w:tc>
          <w:tcPr>
            <w:tcW w:w="1418" w:type="dxa"/>
            <w:vAlign w:val="center"/>
          </w:tcPr>
          <w:p w14:paraId="0D2B7D0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6F75C4D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78586B7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1FB97BB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6D7C4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C14F7C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质量管理</w:t>
            </w:r>
          </w:p>
        </w:tc>
        <w:tc>
          <w:tcPr>
            <w:tcW w:w="1418" w:type="dxa"/>
            <w:vAlign w:val="center"/>
          </w:tcPr>
          <w:p w14:paraId="4F9D36A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5DC5ECA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01284DC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27CA7CB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3CF45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F3F01F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材料管理</w:t>
            </w:r>
          </w:p>
        </w:tc>
        <w:tc>
          <w:tcPr>
            <w:tcW w:w="1418" w:type="dxa"/>
            <w:vAlign w:val="center"/>
          </w:tcPr>
          <w:p w14:paraId="26042C8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14987AD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6550EB9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4D360938">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3384B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075D84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计划管理</w:t>
            </w:r>
          </w:p>
        </w:tc>
        <w:tc>
          <w:tcPr>
            <w:tcW w:w="1418" w:type="dxa"/>
            <w:vAlign w:val="center"/>
          </w:tcPr>
          <w:p w14:paraId="2CB1A81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4976582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2EDA7D8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67CF571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6B1AD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1D2A7B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安全管理</w:t>
            </w:r>
          </w:p>
        </w:tc>
        <w:tc>
          <w:tcPr>
            <w:tcW w:w="1418" w:type="dxa"/>
            <w:vAlign w:val="center"/>
          </w:tcPr>
          <w:p w14:paraId="5FCDE99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02CB23C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5B1AF6C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2538D9E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25827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00755D7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其他人员</w:t>
            </w:r>
          </w:p>
        </w:tc>
        <w:tc>
          <w:tcPr>
            <w:tcW w:w="1418" w:type="dxa"/>
            <w:vAlign w:val="center"/>
          </w:tcPr>
          <w:p w14:paraId="2E3E666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53F3422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4A90306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526443A6">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01810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6DF127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418" w:type="dxa"/>
            <w:tcBorders>
              <w:bottom w:val="nil"/>
            </w:tcBorders>
            <w:vAlign w:val="center"/>
          </w:tcPr>
          <w:p w14:paraId="684EF28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tcBorders>
              <w:bottom w:val="nil"/>
            </w:tcBorders>
            <w:vAlign w:val="center"/>
          </w:tcPr>
          <w:p w14:paraId="3003BE2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tcBorders>
              <w:bottom w:val="nil"/>
            </w:tcBorders>
            <w:vAlign w:val="center"/>
          </w:tcPr>
          <w:p w14:paraId="5FE92507">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tcBorders>
              <w:bottom w:val="nil"/>
            </w:tcBorders>
            <w:vAlign w:val="center"/>
          </w:tcPr>
          <w:p w14:paraId="203B823D">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38392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D80B6B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418" w:type="dxa"/>
            <w:vAlign w:val="center"/>
          </w:tcPr>
          <w:p w14:paraId="72BBF31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60B90D8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74BCBD42">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3636404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084C4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16D726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418" w:type="dxa"/>
            <w:vAlign w:val="center"/>
          </w:tcPr>
          <w:p w14:paraId="44418330">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184AAA5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590C05BB">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26F4F9C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6A891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C9E6791">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418" w:type="dxa"/>
            <w:vAlign w:val="center"/>
          </w:tcPr>
          <w:p w14:paraId="2E57E91A">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12732893">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1134" w:type="dxa"/>
            <w:vAlign w:val="center"/>
          </w:tcPr>
          <w:p w14:paraId="4AE48B74">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c>
          <w:tcPr>
            <w:tcW w:w="4252" w:type="dxa"/>
            <w:vAlign w:val="center"/>
          </w:tcPr>
          <w:p w14:paraId="6F5BB5DE">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4"/>
                <w:szCs w:val="24"/>
                <w:highlight w:val="none"/>
              </w:rPr>
            </w:pPr>
          </w:p>
        </w:tc>
      </w:tr>
      <w:tr w14:paraId="79812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266D354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8"/>
                <w:szCs w:val="30"/>
                <w:highlight w:val="none"/>
              </w:rPr>
            </w:pPr>
          </w:p>
        </w:tc>
        <w:tc>
          <w:tcPr>
            <w:tcW w:w="1418" w:type="dxa"/>
            <w:tcBorders>
              <w:bottom w:val="single" w:color="auto" w:sz="12" w:space="0"/>
            </w:tcBorders>
            <w:vAlign w:val="center"/>
          </w:tcPr>
          <w:p w14:paraId="0573EB29">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28"/>
                <w:szCs w:val="30"/>
                <w:highlight w:val="none"/>
              </w:rPr>
            </w:pPr>
          </w:p>
        </w:tc>
        <w:tc>
          <w:tcPr>
            <w:tcW w:w="1134" w:type="dxa"/>
            <w:tcBorders>
              <w:bottom w:val="single" w:color="auto" w:sz="12" w:space="0"/>
            </w:tcBorders>
            <w:vAlign w:val="center"/>
          </w:tcPr>
          <w:p w14:paraId="645B9565">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1134" w:type="dxa"/>
            <w:tcBorders>
              <w:bottom w:val="single" w:color="auto" w:sz="12" w:space="0"/>
            </w:tcBorders>
            <w:vAlign w:val="center"/>
          </w:tcPr>
          <w:p w14:paraId="05FE509F">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c>
          <w:tcPr>
            <w:tcW w:w="4252" w:type="dxa"/>
            <w:tcBorders>
              <w:bottom w:val="single" w:color="auto" w:sz="12" w:space="0"/>
            </w:tcBorders>
            <w:vAlign w:val="center"/>
          </w:tcPr>
          <w:p w14:paraId="4FE754EC">
            <w:pPr>
              <w:pStyle w:val="3"/>
              <w:keepNext/>
              <w:pageBreakBefore w:val="0"/>
              <w:kinsoku/>
              <w:wordWrap/>
              <w:overflowPunct/>
              <w:topLinePunct w:val="0"/>
              <w:bidi w:val="0"/>
              <w:spacing w:after="0" w:line="440" w:lineRule="exact"/>
              <w:ind w:left="63" w:right="63"/>
              <w:textAlignment w:val="auto"/>
              <w:rPr>
                <w:rFonts w:hint="eastAsia" w:ascii="宋体" w:hAnsi="宋体" w:eastAsia="宋体" w:cs="宋体"/>
                <w:color w:val="auto"/>
                <w:kern w:val="2"/>
                <w:sz w:val="30"/>
                <w:szCs w:val="30"/>
                <w:highlight w:val="none"/>
              </w:rPr>
            </w:pPr>
          </w:p>
        </w:tc>
      </w:tr>
    </w:tbl>
    <w:p w14:paraId="1063EF0D">
      <w:pPr>
        <w:pageBreakBefore w:val="0"/>
        <w:kinsoku/>
        <w:wordWrap/>
        <w:overflowPunct/>
        <w:topLinePunct w:val="0"/>
        <w:bidi w:val="0"/>
        <w:spacing w:line="440" w:lineRule="exact"/>
        <w:textAlignment w:val="auto"/>
        <w:outlineLvl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bookmarkStart w:id="954" w:name="_Toc10922"/>
      <w:bookmarkStart w:id="955" w:name="_Toc267261701"/>
      <w:r>
        <w:rPr>
          <w:rFonts w:hint="eastAsia" w:ascii="宋体" w:hAnsi="宋体" w:eastAsia="宋体" w:cs="宋体"/>
          <w:color w:val="auto"/>
          <w:kern w:val="2"/>
          <w:sz w:val="24"/>
          <w:szCs w:val="24"/>
          <w:highlight w:val="none"/>
          <w:lang w:val="en-US" w:eastAsia="zh-CN" w:bidi="ar-SA"/>
        </w:rPr>
        <w:t>附</w:t>
      </w:r>
      <w:bookmarkStart w:id="956" w:name="_Toc296347230"/>
      <w:bookmarkStart w:id="957" w:name="_Toc296891271"/>
      <w:bookmarkStart w:id="958" w:name="_Toc296944570"/>
      <w:bookmarkStart w:id="959" w:name="_Toc296503231"/>
      <w:bookmarkStart w:id="960" w:name="_Toc296891059"/>
      <w:bookmarkStart w:id="961" w:name="_Toc296346732"/>
      <w:r>
        <w:rPr>
          <w:rFonts w:hint="eastAsia" w:ascii="宋体" w:hAnsi="宋体" w:eastAsia="宋体" w:cs="宋体"/>
          <w:color w:val="auto"/>
          <w:kern w:val="2"/>
          <w:sz w:val="24"/>
          <w:szCs w:val="24"/>
          <w:highlight w:val="none"/>
          <w:lang w:val="en-US" w:eastAsia="zh-CN" w:bidi="ar-SA"/>
        </w:rPr>
        <w:t>件8：</w:t>
      </w:r>
      <w:bookmarkEnd w:id="954"/>
    </w:p>
    <w:bookmarkEnd w:id="955"/>
    <w:bookmarkEnd w:id="956"/>
    <w:bookmarkEnd w:id="957"/>
    <w:bookmarkEnd w:id="958"/>
    <w:bookmarkEnd w:id="959"/>
    <w:bookmarkEnd w:id="960"/>
    <w:bookmarkEnd w:id="961"/>
    <w:p w14:paraId="5C9968C4">
      <w:pPr>
        <w:pStyle w:val="3"/>
        <w:pageBreakBefore w:val="0"/>
        <w:kinsoku/>
        <w:wordWrap/>
        <w:overflowPunct/>
        <w:topLinePunct w:val="0"/>
        <w:bidi w:val="0"/>
        <w:spacing w:before="171" w:line="193" w:lineRule="auto"/>
        <w:ind w:left="3313" w:leftChars="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8-1：材料暂估价表</w:t>
      </w:r>
    </w:p>
    <w:p w14:paraId="48EDB414">
      <w:pPr>
        <w:pageBreakBefore w:val="0"/>
        <w:kinsoku/>
        <w:wordWrap/>
        <w:overflowPunct/>
        <w:topLinePunct w:val="0"/>
        <w:bidi w:val="0"/>
        <w:spacing w:line="65" w:lineRule="exact"/>
        <w:textAlignment w:val="auto"/>
        <w:rPr>
          <w:rFonts w:hint="eastAsia" w:ascii="宋体" w:hAnsi="宋体" w:eastAsia="宋体" w:cs="宋体"/>
          <w:color w:val="auto"/>
          <w:highlight w:val="none"/>
        </w:rPr>
      </w:pPr>
    </w:p>
    <w:tbl>
      <w:tblPr>
        <w:tblStyle w:val="45"/>
        <w:tblW w:w="90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393D8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04" w:type="dxa"/>
            <w:tcBorders>
              <w:top w:val="single" w:color="000000" w:sz="10" w:space="0"/>
              <w:left w:val="single" w:color="000000" w:sz="10" w:space="0"/>
            </w:tcBorders>
            <w:vAlign w:val="top"/>
          </w:tcPr>
          <w:p w14:paraId="04813743">
            <w:pPr>
              <w:pStyle w:val="3"/>
              <w:pageBreakBefore w:val="0"/>
              <w:kinsoku/>
              <w:wordWrap/>
              <w:overflowPunct/>
              <w:topLinePunct w:val="0"/>
              <w:bidi w:val="0"/>
              <w:spacing w:before="171" w:line="193" w:lineRule="auto"/>
              <w:ind w:left="3313"/>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序号</w:t>
            </w:r>
          </w:p>
        </w:tc>
        <w:tc>
          <w:tcPr>
            <w:tcW w:w="1978" w:type="dxa"/>
            <w:tcBorders>
              <w:top w:val="single" w:color="000000" w:sz="10" w:space="0"/>
            </w:tcBorders>
            <w:vAlign w:val="top"/>
          </w:tcPr>
          <w:p w14:paraId="5393382B">
            <w:pPr>
              <w:pStyle w:val="3"/>
              <w:pageBreakBefore w:val="0"/>
              <w:kinsoku/>
              <w:wordWrap/>
              <w:overflowPunct/>
              <w:topLinePunct w:val="0"/>
              <w:bidi w:val="0"/>
              <w:spacing w:before="171" w:line="193" w:lineRule="auto"/>
              <w:ind w:left="3313"/>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名称</w:t>
            </w:r>
          </w:p>
        </w:tc>
        <w:tc>
          <w:tcPr>
            <w:tcW w:w="849" w:type="dxa"/>
            <w:tcBorders>
              <w:top w:val="single" w:color="000000" w:sz="10" w:space="0"/>
            </w:tcBorders>
            <w:vAlign w:val="top"/>
          </w:tcPr>
          <w:p w14:paraId="15AE50BA">
            <w:pPr>
              <w:pStyle w:val="3"/>
              <w:pageBreakBefore w:val="0"/>
              <w:kinsoku/>
              <w:wordWrap/>
              <w:overflowPunct/>
              <w:topLinePunct w:val="0"/>
              <w:bidi w:val="0"/>
              <w:spacing w:before="171" w:line="193" w:lineRule="auto"/>
              <w:ind w:left="3313"/>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单位</w:t>
            </w:r>
          </w:p>
        </w:tc>
        <w:tc>
          <w:tcPr>
            <w:tcW w:w="772" w:type="dxa"/>
            <w:tcBorders>
              <w:top w:val="single" w:color="000000" w:sz="10" w:space="0"/>
            </w:tcBorders>
            <w:vAlign w:val="top"/>
          </w:tcPr>
          <w:p w14:paraId="066B2BEA">
            <w:pPr>
              <w:pStyle w:val="3"/>
              <w:pageBreakBefore w:val="0"/>
              <w:kinsoku/>
              <w:wordWrap/>
              <w:overflowPunct/>
              <w:topLinePunct w:val="0"/>
              <w:bidi w:val="0"/>
              <w:spacing w:before="171" w:line="193" w:lineRule="auto"/>
              <w:ind w:left="3313"/>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数量</w:t>
            </w:r>
          </w:p>
        </w:tc>
        <w:tc>
          <w:tcPr>
            <w:tcW w:w="1348" w:type="dxa"/>
            <w:tcBorders>
              <w:top w:val="single" w:color="000000" w:sz="10" w:space="0"/>
            </w:tcBorders>
            <w:vAlign w:val="top"/>
          </w:tcPr>
          <w:p w14:paraId="1E1192C3">
            <w:pPr>
              <w:pStyle w:val="3"/>
              <w:pageBreakBefore w:val="0"/>
              <w:kinsoku/>
              <w:wordWrap/>
              <w:overflowPunct/>
              <w:topLinePunct w:val="0"/>
              <w:bidi w:val="0"/>
              <w:spacing w:before="171" w:line="193" w:lineRule="auto"/>
              <w:ind w:left="3313"/>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单价（元）</w:t>
            </w:r>
          </w:p>
        </w:tc>
        <w:tc>
          <w:tcPr>
            <w:tcW w:w="1414" w:type="dxa"/>
            <w:tcBorders>
              <w:top w:val="single" w:color="000000" w:sz="10" w:space="0"/>
            </w:tcBorders>
            <w:vAlign w:val="top"/>
          </w:tcPr>
          <w:p w14:paraId="7518604A">
            <w:pPr>
              <w:pStyle w:val="3"/>
              <w:pageBreakBefore w:val="0"/>
              <w:kinsoku/>
              <w:wordWrap/>
              <w:overflowPunct/>
              <w:topLinePunct w:val="0"/>
              <w:bidi w:val="0"/>
              <w:spacing w:before="171" w:line="193" w:lineRule="auto"/>
              <w:ind w:left="3313"/>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合价（元）</w:t>
            </w:r>
          </w:p>
        </w:tc>
        <w:tc>
          <w:tcPr>
            <w:tcW w:w="1711" w:type="dxa"/>
            <w:tcBorders>
              <w:top w:val="single" w:color="000000" w:sz="10" w:space="0"/>
              <w:right w:val="single" w:color="000000" w:sz="10" w:space="0"/>
            </w:tcBorders>
            <w:vAlign w:val="top"/>
          </w:tcPr>
          <w:p w14:paraId="47339A76">
            <w:pPr>
              <w:pStyle w:val="3"/>
              <w:pageBreakBefore w:val="0"/>
              <w:kinsoku/>
              <w:wordWrap/>
              <w:overflowPunct/>
              <w:topLinePunct w:val="0"/>
              <w:bidi w:val="0"/>
              <w:spacing w:before="171" w:line="193" w:lineRule="auto"/>
              <w:ind w:left="3313"/>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备注</w:t>
            </w:r>
          </w:p>
        </w:tc>
      </w:tr>
      <w:tr w14:paraId="4763D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004" w:type="dxa"/>
            <w:tcBorders>
              <w:left w:val="single" w:color="000000" w:sz="10" w:space="0"/>
            </w:tcBorders>
            <w:vAlign w:val="top"/>
          </w:tcPr>
          <w:p w14:paraId="20B249B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3C480E2C">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32774F5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2A2C699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09C043B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5FD32CB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28423640">
            <w:pPr>
              <w:pageBreakBefore w:val="0"/>
              <w:kinsoku/>
              <w:wordWrap/>
              <w:overflowPunct/>
              <w:topLinePunct w:val="0"/>
              <w:bidi w:val="0"/>
              <w:textAlignment w:val="auto"/>
              <w:rPr>
                <w:rFonts w:hint="eastAsia" w:ascii="宋体" w:hAnsi="宋体" w:eastAsia="宋体" w:cs="宋体"/>
                <w:color w:val="auto"/>
                <w:sz w:val="21"/>
                <w:highlight w:val="none"/>
              </w:rPr>
            </w:pPr>
          </w:p>
        </w:tc>
      </w:tr>
      <w:tr w14:paraId="1A854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4" w:hRule="atLeast"/>
        </w:trPr>
        <w:tc>
          <w:tcPr>
            <w:tcW w:w="1004" w:type="dxa"/>
            <w:tcBorders>
              <w:left w:val="single" w:color="000000" w:sz="10" w:space="0"/>
              <w:bottom w:val="single" w:color="000000" w:sz="10" w:space="0"/>
            </w:tcBorders>
            <w:vAlign w:val="top"/>
          </w:tcPr>
          <w:p w14:paraId="23AEE3D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tcBorders>
              <w:bottom w:val="single" w:color="000000" w:sz="10" w:space="0"/>
            </w:tcBorders>
            <w:vAlign w:val="top"/>
          </w:tcPr>
          <w:p w14:paraId="4263F69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tcBorders>
              <w:bottom w:val="single" w:color="000000" w:sz="10" w:space="0"/>
            </w:tcBorders>
            <w:vAlign w:val="top"/>
          </w:tcPr>
          <w:p w14:paraId="6C8F0BB5">
            <w:pPr>
              <w:pageBreakBefore w:val="0"/>
              <w:kinsoku/>
              <w:wordWrap/>
              <w:overflowPunct/>
              <w:topLinePunct w:val="0"/>
              <w:bidi w:val="0"/>
              <w:textAlignment w:val="auto"/>
              <w:rPr>
                <w:rFonts w:hint="eastAsia" w:ascii="宋体" w:hAnsi="宋体" w:eastAsia="宋体" w:cs="宋体"/>
                <w:color w:val="auto"/>
                <w:sz w:val="21"/>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72576" behindDoc="0" locked="0" layoutInCell="1" allowOverlap="1">
                      <wp:simplePos x="0" y="0"/>
                      <wp:positionH relativeFrom="column">
                        <wp:posOffset>-1919605</wp:posOffset>
                      </wp:positionH>
                      <wp:positionV relativeFrom="paragraph">
                        <wp:posOffset>-374650</wp:posOffset>
                      </wp:positionV>
                      <wp:extent cx="5781675" cy="5728335"/>
                      <wp:effectExtent l="3175" t="3175" r="6350" b="21590"/>
                      <wp:wrapNone/>
                      <wp:docPr id="18" name="直接连接符 18"/>
                      <wp:cNvGraphicFramePr/>
                      <a:graphic xmlns:a="http://schemas.openxmlformats.org/drawingml/2006/main">
                        <a:graphicData uri="http://schemas.microsoft.com/office/word/2010/wordprocessingShape">
                          <wps:wsp>
                            <wps:cNvCnPr/>
                            <wps:spPr>
                              <a:xfrm flipH="1">
                                <a:off x="0" y="0"/>
                                <a:ext cx="5781675" cy="5728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51.15pt;margin-top:-29.5pt;height:451.05pt;width:455.25pt;z-index:251672576;mso-width-relative:page;mso-height-relative:page;" filled="f" stroked="t" coordsize="21600,21600" o:gfxdata="UEsDBAoAAAAAAIdO4kAAAAAAAAAAAAAAAAAEAAAAZHJzL1BLAwQUAAAACACHTuJABPogtdoAAAAM&#10;AQAADwAAAGRycy9kb3ducmV2LnhtbE2PwU7DMAyG70i8Q2QkblvSdUxtaToxJOCGxMbuWWPaao1T&#10;mnQbb485jZstf/r9/eX64npxwjF0njQkcwUCqfa2o0bD5+5lloEI0ZA1vSfU8IMB1tXtTWkK68/0&#10;gadtbASHUCiMhjbGoZAy1C06E+Z+QOLblx+dibyOjbSjOXO46+VCqZV0piP+0JoBn1usj9vJadjs&#10;8vTV7qe343u+xKdNnoTpe6/1/V2iHkFEvMQrDH/6rA4VOx38RDaIXsMsVYuUWZ4ecm7FyEplCxAH&#10;DdkyTUBWpfxfovoFUEsDBBQAAAAIAIdO4kClnaKO8QEAAMMDAAAOAAAAZHJzL2Uyb0RvYy54bWyt&#10;U0uOEzEQ3SNxB8t70vkoH7XSmcVEAwsEkYADVNzubkv+yeVJJ5fgAkjsYMWSPbdh5hiU3SEMw2YW&#10;9MIq1+e53qvq9dXRaHaQAZWzFZ+MxpxJK1ytbFvxD+9vXqw4wwi2Bu2srPhJIr/aPH+27n0pp65z&#10;upaBEYjFsvcV72L0ZVGg6KQBHDkvLQUbFwxEuoa2qAP0hG50MR2PF0XvQu2DExKRvNshyM+I4SmA&#10;rmmUkFsnbo20cUANUkMkStgpj3yTu20aKeLbpkEZma44MY35pEfI3qez2KyhbAP4TolzC/CUFh5x&#10;MqAsPXqB2kIEdhvUP1BGieDQNXEknCkGIlkRYjEZP9LmXQdeZi4kNfqL6Pj/YMWbwy4wVdMm0Nwt&#10;GJr43afvPz9+uf/xmc67b18ZRUim3mNJ2dd2F8439LuQOB+bYFijlX9FKFkF4sWOWeTTRWR5jEyQ&#10;c75cTRbLOWeCYvPldDWbzRN+MQAlQB8wvpTOsGRUXCubVIASDq8xDqm/U5LbuhulNfmh1Jb1FV/M&#10;5jRfAbSdDW0FmcYTQ7QtZ6BbWnsRQ0ZEp1WdqlMxhnZ/rQM7QFqW/J0b+ystPb0F7Ia8HEppUBoV&#10;6c/QylR89bBaW2KX5BsES9be1aesY/bTbDP/8x6m5Xl4z9V//r3N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T6ILXaAAAADAEAAA8AAAAAAAAAAQAgAAAAIgAAAGRycy9kb3ducmV2LnhtbFBLAQIU&#10;ABQAAAAIAIdO4kClnaKO8QEAAMMDAAAOAAAAAAAAAAEAIAAAACkBAABkcnMvZTJvRG9jLnhtbFBL&#10;BQYAAAAABgAGAFkBAACMBQAAAAA=&#10;">
                      <v:fill on="f" focussize="0,0"/>
                      <v:stroke weight="0.5pt" color="#000000 [3200]" miterlimit="8" joinstyle="miter"/>
                      <v:imagedata o:title=""/>
                      <o:lock v:ext="edit" aspectratio="f"/>
                    </v:line>
                  </w:pict>
                </mc:Fallback>
              </mc:AlternateContent>
            </w:r>
          </w:p>
        </w:tc>
        <w:tc>
          <w:tcPr>
            <w:tcW w:w="772" w:type="dxa"/>
            <w:tcBorders>
              <w:bottom w:val="single" w:color="000000" w:sz="10" w:space="0"/>
            </w:tcBorders>
            <w:vAlign w:val="top"/>
          </w:tcPr>
          <w:p w14:paraId="3CE7A2E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tcBorders>
              <w:bottom w:val="single" w:color="000000" w:sz="10" w:space="0"/>
            </w:tcBorders>
            <w:vAlign w:val="top"/>
          </w:tcPr>
          <w:p w14:paraId="2F08DB8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tcBorders>
              <w:bottom w:val="single" w:color="000000" w:sz="10" w:space="0"/>
            </w:tcBorders>
            <w:vAlign w:val="top"/>
          </w:tcPr>
          <w:p w14:paraId="0BA6EE6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bottom w:val="single" w:color="000000" w:sz="10" w:space="0"/>
              <w:right w:val="single" w:color="000000" w:sz="10" w:space="0"/>
            </w:tcBorders>
            <w:vAlign w:val="top"/>
          </w:tcPr>
          <w:p w14:paraId="42C13F90">
            <w:pPr>
              <w:pageBreakBefore w:val="0"/>
              <w:kinsoku/>
              <w:wordWrap/>
              <w:overflowPunct/>
              <w:topLinePunct w:val="0"/>
              <w:bidi w:val="0"/>
              <w:textAlignment w:val="auto"/>
              <w:rPr>
                <w:rFonts w:hint="eastAsia" w:ascii="宋体" w:hAnsi="宋体" w:eastAsia="宋体" w:cs="宋体"/>
                <w:color w:val="auto"/>
                <w:sz w:val="21"/>
                <w:highlight w:val="none"/>
              </w:rPr>
            </w:pPr>
          </w:p>
        </w:tc>
      </w:tr>
    </w:tbl>
    <w:p w14:paraId="7AE2FB60">
      <w:pPr>
        <w:pageBreakBefore w:val="0"/>
        <w:kinsoku/>
        <w:wordWrap/>
        <w:overflowPunct/>
        <w:topLinePunct w:val="0"/>
        <w:bidi w:val="0"/>
        <w:spacing w:line="360" w:lineRule="auto"/>
        <w:ind w:left="1899" w:hanging="1899" w:hangingChars="633"/>
        <w:textAlignment w:val="auto"/>
        <w:rPr>
          <w:rFonts w:hint="eastAsia" w:ascii="宋体" w:hAnsi="宋体" w:eastAsia="宋体" w:cs="宋体"/>
          <w:color w:val="auto"/>
          <w:sz w:val="30"/>
          <w:szCs w:val="30"/>
          <w:highlight w:val="none"/>
        </w:rPr>
        <w:sectPr>
          <w:pgSz w:w="11906" w:h="16838"/>
          <w:pgMar w:top="1440" w:right="1800" w:bottom="1440" w:left="1800" w:header="851" w:footer="992" w:gutter="0"/>
          <w:pgNumType w:fmt="decimal"/>
          <w:cols w:space="425" w:num="1"/>
          <w:docGrid w:type="lines" w:linePitch="312" w:charSpace="0"/>
        </w:sectPr>
      </w:pPr>
    </w:p>
    <w:p w14:paraId="62411A54">
      <w:pPr>
        <w:pStyle w:val="3"/>
        <w:pageBreakBefore w:val="0"/>
        <w:kinsoku/>
        <w:wordWrap/>
        <w:overflowPunct/>
        <w:topLinePunct w:val="0"/>
        <w:bidi w:val="0"/>
        <w:spacing w:before="171" w:line="193" w:lineRule="auto"/>
        <w:ind w:left="3313" w:leftChars="0"/>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8-2：工程设备暂估价表</w:t>
      </w:r>
    </w:p>
    <w:p w14:paraId="3208BF0F">
      <w:pPr>
        <w:pageBreakBefore w:val="0"/>
        <w:kinsoku/>
        <w:wordWrap/>
        <w:overflowPunct/>
        <w:topLinePunct w:val="0"/>
        <w:bidi w:val="0"/>
        <w:spacing w:line="67" w:lineRule="exact"/>
        <w:textAlignment w:val="auto"/>
        <w:rPr>
          <w:rFonts w:hint="eastAsia" w:ascii="宋体" w:hAnsi="宋体" w:eastAsia="宋体" w:cs="宋体"/>
          <w:color w:val="auto"/>
          <w:highlight w:val="none"/>
        </w:rPr>
      </w:pPr>
    </w:p>
    <w:tbl>
      <w:tblPr>
        <w:tblStyle w:val="45"/>
        <w:tblW w:w="90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26860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04" w:type="dxa"/>
            <w:tcBorders>
              <w:top w:val="single" w:color="000000" w:sz="10" w:space="0"/>
              <w:left w:val="single" w:color="000000" w:sz="10" w:space="0"/>
            </w:tcBorders>
            <w:vAlign w:val="top"/>
          </w:tcPr>
          <w:p w14:paraId="70C04DE3">
            <w:pPr>
              <w:pStyle w:val="46"/>
              <w:pageBreakBefore w:val="0"/>
              <w:kinsoku/>
              <w:wordWrap/>
              <w:overflowPunct/>
              <w:topLinePunct w:val="0"/>
              <w:bidi w:val="0"/>
              <w:spacing w:before="234" w:line="163" w:lineRule="auto"/>
              <w:ind w:left="98"/>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序号</w:t>
            </w:r>
          </w:p>
        </w:tc>
        <w:tc>
          <w:tcPr>
            <w:tcW w:w="1978" w:type="dxa"/>
            <w:tcBorders>
              <w:top w:val="single" w:color="000000" w:sz="10" w:space="0"/>
            </w:tcBorders>
            <w:vAlign w:val="top"/>
          </w:tcPr>
          <w:p w14:paraId="32421DD5">
            <w:pPr>
              <w:pStyle w:val="46"/>
              <w:pageBreakBefore w:val="0"/>
              <w:kinsoku/>
              <w:wordWrap/>
              <w:overflowPunct/>
              <w:topLinePunct w:val="0"/>
              <w:bidi w:val="0"/>
              <w:spacing w:before="234" w:line="163" w:lineRule="auto"/>
              <w:ind w:left="97"/>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名称</w:t>
            </w:r>
          </w:p>
        </w:tc>
        <w:tc>
          <w:tcPr>
            <w:tcW w:w="849" w:type="dxa"/>
            <w:tcBorders>
              <w:top w:val="single" w:color="000000" w:sz="10" w:space="0"/>
            </w:tcBorders>
            <w:vAlign w:val="top"/>
          </w:tcPr>
          <w:p w14:paraId="186D4946">
            <w:pPr>
              <w:pStyle w:val="46"/>
              <w:pageBreakBefore w:val="0"/>
              <w:kinsoku/>
              <w:wordWrap/>
              <w:overflowPunct/>
              <w:topLinePunct w:val="0"/>
              <w:bidi w:val="0"/>
              <w:spacing w:before="234" w:line="163" w:lineRule="auto"/>
              <w:ind w:left="106"/>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单位</w:t>
            </w:r>
          </w:p>
        </w:tc>
        <w:tc>
          <w:tcPr>
            <w:tcW w:w="772" w:type="dxa"/>
            <w:tcBorders>
              <w:top w:val="single" w:color="000000" w:sz="10" w:space="0"/>
            </w:tcBorders>
            <w:vAlign w:val="top"/>
          </w:tcPr>
          <w:p w14:paraId="4587F137">
            <w:pPr>
              <w:pStyle w:val="46"/>
              <w:pageBreakBefore w:val="0"/>
              <w:kinsoku/>
              <w:wordWrap/>
              <w:overflowPunct/>
              <w:topLinePunct w:val="0"/>
              <w:bidi w:val="0"/>
              <w:spacing w:before="234" w:line="163" w:lineRule="auto"/>
              <w:ind w:left="102"/>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数量</w:t>
            </w:r>
          </w:p>
        </w:tc>
        <w:tc>
          <w:tcPr>
            <w:tcW w:w="1348" w:type="dxa"/>
            <w:tcBorders>
              <w:top w:val="single" w:color="000000" w:sz="10" w:space="0"/>
            </w:tcBorders>
            <w:vAlign w:val="top"/>
          </w:tcPr>
          <w:p w14:paraId="623AF9C9">
            <w:pPr>
              <w:pStyle w:val="46"/>
              <w:pageBreakBefore w:val="0"/>
              <w:kinsoku/>
              <w:wordWrap/>
              <w:overflowPunct/>
              <w:topLinePunct w:val="0"/>
              <w:bidi w:val="0"/>
              <w:spacing w:before="234" w:line="163" w:lineRule="auto"/>
              <w:jc w:val="righ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单价（元）</w:t>
            </w:r>
          </w:p>
        </w:tc>
        <w:tc>
          <w:tcPr>
            <w:tcW w:w="1414" w:type="dxa"/>
            <w:tcBorders>
              <w:top w:val="single" w:color="000000" w:sz="10" w:space="0"/>
            </w:tcBorders>
            <w:vAlign w:val="top"/>
          </w:tcPr>
          <w:p w14:paraId="3576475D">
            <w:pPr>
              <w:pStyle w:val="46"/>
              <w:pageBreakBefore w:val="0"/>
              <w:kinsoku/>
              <w:wordWrap/>
              <w:overflowPunct/>
              <w:topLinePunct w:val="0"/>
              <w:bidi w:val="0"/>
              <w:spacing w:before="234" w:line="163" w:lineRule="auto"/>
              <w:jc w:val="righ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合价（元）</w:t>
            </w:r>
          </w:p>
        </w:tc>
        <w:tc>
          <w:tcPr>
            <w:tcW w:w="1711" w:type="dxa"/>
            <w:tcBorders>
              <w:top w:val="single" w:color="000000" w:sz="10" w:space="0"/>
              <w:right w:val="single" w:color="000000" w:sz="10" w:space="0"/>
            </w:tcBorders>
            <w:vAlign w:val="top"/>
          </w:tcPr>
          <w:p w14:paraId="006F0A56">
            <w:pPr>
              <w:pStyle w:val="46"/>
              <w:pageBreakBefore w:val="0"/>
              <w:kinsoku/>
              <w:wordWrap/>
              <w:overflowPunct/>
              <w:topLinePunct w:val="0"/>
              <w:bidi w:val="0"/>
              <w:spacing w:before="234" w:line="163" w:lineRule="auto"/>
              <w:ind w:left="116"/>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备注</w:t>
            </w:r>
          </w:p>
        </w:tc>
      </w:tr>
      <w:tr w14:paraId="04F68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004" w:type="dxa"/>
            <w:tcBorders>
              <w:left w:val="single" w:color="000000" w:sz="10" w:space="0"/>
            </w:tcBorders>
            <w:vAlign w:val="top"/>
          </w:tcPr>
          <w:p w14:paraId="33E84FF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7FD400F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149B8E1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0752E0D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12D7A2C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75B2B3C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42733977">
            <w:pPr>
              <w:pageBreakBefore w:val="0"/>
              <w:kinsoku/>
              <w:wordWrap/>
              <w:overflowPunct/>
              <w:topLinePunct w:val="0"/>
              <w:bidi w:val="0"/>
              <w:textAlignment w:val="auto"/>
              <w:rPr>
                <w:rFonts w:hint="eastAsia" w:ascii="宋体" w:hAnsi="宋体" w:eastAsia="宋体" w:cs="宋体"/>
                <w:color w:val="auto"/>
                <w:sz w:val="21"/>
                <w:highlight w:val="none"/>
              </w:rPr>
            </w:pPr>
          </w:p>
        </w:tc>
      </w:tr>
      <w:tr w14:paraId="094F0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37EF2E5E">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581BD0E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560EA77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536E75C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3B31858C">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0A3A84D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0A70A52C">
            <w:pPr>
              <w:pageBreakBefore w:val="0"/>
              <w:kinsoku/>
              <w:wordWrap/>
              <w:overflowPunct/>
              <w:topLinePunct w:val="0"/>
              <w:bidi w:val="0"/>
              <w:textAlignment w:val="auto"/>
              <w:rPr>
                <w:rFonts w:hint="eastAsia" w:ascii="宋体" w:hAnsi="宋体" w:eastAsia="宋体" w:cs="宋体"/>
                <w:color w:val="auto"/>
                <w:sz w:val="21"/>
                <w:highlight w:val="none"/>
              </w:rPr>
            </w:pPr>
          </w:p>
        </w:tc>
      </w:tr>
      <w:tr w14:paraId="23FFF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4412886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451C9FCD">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39EEE07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09E5C78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02250EED">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266D1BED">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40FD7E24">
            <w:pPr>
              <w:pageBreakBefore w:val="0"/>
              <w:kinsoku/>
              <w:wordWrap/>
              <w:overflowPunct/>
              <w:topLinePunct w:val="0"/>
              <w:bidi w:val="0"/>
              <w:textAlignment w:val="auto"/>
              <w:rPr>
                <w:rFonts w:hint="eastAsia" w:ascii="宋体" w:hAnsi="宋体" w:eastAsia="宋体" w:cs="宋体"/>
                <w:color w:val="auto"/>
                <w:sz w:val="21"/>
                <w:highlight w:val="none"/>
              </w:rPr>
            </w:pPr>
          </w:p>
        </w:tc>
      </w:tr>
      <w:tr w14:paraId="39B0C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00C4F57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7BDAE19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0AFC5A3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1681A2B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3DF7950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419A2E5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2C426C40">
            <w:pPr>
              <w:pageBreakBefore w:val="0"/>
              <w:kinsoku/>
              <w:wordWrap/>
              <w:overflowPunct/>
              <w:topLinePunct w:val="0"/>
              <w:bidi w:val="0"/>
              <w:textAlignment w:val="auto"/>
              <w:rPr>
                <w:rFonts w:hint="eastAsia" w:ascii="宋体" w:hAnsi="宋体" w:eastAsia="宋体" w:cs="宋体"/>
                <w:color w:val="auto"/>
                <w:sz w:val="21"/>
                <w:highlight w:val="none"/>
              </w:rPr>
            </w:pPr>
          </w:p>
        </w:tc>
      </w:tr>
      <w:tr w14:paraId="0AB65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2ED650AC">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22713CB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311AA9F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09C3375C">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42433480">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647AC16E">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38EB18A4">
            <w:pPr>
              <w:pageBreakBefore w:val="0"/>
              <w:kinsoku/>
              <w:wordWrap/>
              <w:overflowPunct/>
              <w:topLinePunct w:val="0"/>
              <w:bidi w:val="0"/>
              <w:textAlignment w:val="auto"/>
              <w:rPr>
                <w:rFonts w:hint="eastAsia" w:ascii="宋体" w:hAnsi="宋体" w:eastAsia="宋体" w:cs="宋体"/>
                <w:color w:val="auto"/>
                <w:sz w:val="21"/>
                <w:highlight w:val="none"/>
              </w:rPr>
            </w:pPr>
          </w:p>
        </w:tc>
      </w:tr>
      <w:tr w14:paraId="775C5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07569E8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7B60646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3D6BFBD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0A4A69A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078C2EC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55BA3E3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24C7CA51">
            <w:pPr>
              <w:pageBreakBefore w:val="0"/>
              <w:kinsoku/>
              <w:wordWrap/>
              <w:overflowPunct/>
              <w:topLinePunct w:val="0"/>
              <w:bidi w:val="0"/>
              <w:textAlignment w:val="auto"/>
              <w:rPr>
                <w:rFonts w:hint="eastAsia" w:ascii="宋体" w:hAnsi="宋体" w:eastAsia="宋体" w:cs="宋体"/>
                <w:color w:val="auto"/>
                <w:sz w:val="21"/>
                <w:highlight w:val="none"/>
              </w:rPr>
            </w:pPr>
          </w:p>
        </w:tc>
      </w:tr>
      <w:tr w14:paraId="42384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1C460AD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5D13131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1F6FAC4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1E5EDFC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59DCBA4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6D254340">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2D2D3A57">
            <w:pPr>
              <w:pageBreakBefore w:val="0"/>
              <w:kinsoku/>
              <w:wordWrap/>
              <w:overflowPunct/>
              <w:topLinePunct w:val="0"/>
              <w:bidi w:val="0"/>
              <w:textAlignment w:val="auto"/>
              <w:rPr>
                <w:rFonts w:hint="eastAsia" w:ascii="宋体" w:hAnsi="宋体" w:eastAsia="宋体" w:cs="宋体"/>
                <w:color w:val="auto"/>
                <w:sz w:val="21"/>
                <w:highlight w:val="none"/>
              </w:rPr>
            </w:pPr>
          </w:p>
        </w:tc>
      </w:tr>
      <w:tr w14:paraId="62F00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40A5D4BE">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697C7B9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1439169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7AC0826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60F8A82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2DAA1E0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2C95352D">
            <w:pPr>
              <w:pageBreakBefore w:val="0"/>
              <w:kinsoku/>
              <w:wordWrap/>
              <w:overflowPunct/>
              <w:topLinePunct w:val="0"/>
              <w:bidi w:val="0"/>
              <w:textAlignment w:val="auto"/>
              <w:rPr>
                <w:rFonts w:hint="eastAsia" w:ascii="宋体" w:hAnsi="宋体" w:eastAsia="宋体" w:cs="宋体"/>
                <w:color w:val="auto"/>
                <w:sz w:val="21"/>
                <w:highlight w:val="none"/>
              </w:rPr>
            </w:pPr>
          </w:p>
        </w:tc>
      </w:tr>
      <w:tr w14:paraId="14DA1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68BEE00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1268C8E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1445CB9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57E8186D">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7F209FFE">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15569E10">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28A1DF6B">
            <w:pPr>
              <w:pageBreakBefore w:val="0"/>
              <w:kinsoku/>
              <w:wordWrap/>
              <w:overflowPunct/>
              <w:topLinePunct w:val="0"/>
              <w:bidi w:val="0"/>
              <w:textAlignment w:val="auto"/>
              <w:rPr>
                <w:rFonts w:hint="eastAsia" w:ascii="宋体" w:hAnsi="宋体" w:eastAsia="宋体" w:cs="宋体"/>
                <w:color w:val="auto"/>
                <w:sz w:val="21"/>
                <w:highlight w:val="none"/>
              </w:rPr>
            </w:pPr>
          </w:p>
        </w:tc>
      </w:tr>
      <w:tr w14:paraId="47366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2D5B6B10">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69D3A59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48EC8E5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69A09A0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5F798C4C">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47E4141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69EA0ED4">
            <w:pPr>
              <w:pageBreakBefore w:val="0"/>
              <w:kinsoku/>
              <w:wordWrap/>
              <w:overflowPunct/>
              <w:topLinePunct w:val="0"/>
              <w:bidi w:val="0"/>
              <w:textAlignment w:val="auto"/>
              <w:rPr>
                <w:rFonts w:hint="eastAsia" w:ascii="宋体" w:hAnsi="宋体" w:eastAsia="宋体" w:cs="宋体"/>
                <w:color w:val="auto"/>
                <w:sz w:val="21"/>
                <w:highlight w:val="none"/>
              </w:rPr>
            </w:pPr>
          </w:p>
        </w:tc>
      </w:tr>
      <w:tr w14:paraId="5C4F5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50B0CE1E">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510D4E0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26946F1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335736D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75086490">
            <w:pPr>
              <w:pageBreakBefore w:val="0"/>
              <w:kinsoku/>
              <w:wordWrap/>
              <w:overflowPunct/>
              <w:topLinePunct w:val="0"/>
              <w:bidi w:val="0"/>
              <w:textAlignment w:val="auto"/>
              <w:rPr>
                <w:rFonts w:hint="eastAsia" w:ascii="宋体" w:hAnsi="宋体" w:eastAsia="宋体" w:cs="宋体"/>
                <w:color w:val="auto"/>
                <w:sz w:val="21"/>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-2939415</wp:posOffset>
                      </wp:positionH>
                      <wp:positionV relativeFrom="paragraph">
                        <wp:posOffset>-3673475</wp:posOffset>
                      </wp:positionV>
                      <wp:extent cx="5772150" cy="7700010"/>
                      <wp:effectExtent l="3810" t="2540" r="15240" b="12700"/>
                      <wp:wrapNone/>
                      <wp:docPr id="19" name="直接连接符 19"/>
                      <wp:cNvGraphicFramePr/>
                      <a:graphic xmlns:a="http://schemas.openxmlformats.org/drawingml/2006/main">
                        <a:graphicData uri="http://schemas.microsoft.com/office/word/2010/wordprocessingShape">
                          <wps:wsp>
                            <wps:cNvCnPr/>
                            <wps:spPr>
                              <a:xfrm flipH="1">
                                <a:off x="0" y="0"/>
                                <a:ext cx="5772150" cy="7700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31.45pt;margin-top:-289.25pt;height:606.3pt;width:454.5pt;z-index:251671552;mso-width-relative:page;mso-height-relative:page;" filled="f" stroked="t" coordsize="21600,21600" o:gfxdata="UEsDBAoAAAAAAIdO4kAAAAAAAAAAAAAAAAAEAAAAZHJzL1BLAwQUAAAACACHTuJA02c3ydwAAAAN&#10;AQAADwAAAGRycy9kb3ducmV2LnhtbE2PwW7CMAyG75P2DpEn7QZpIHS0NEVj0rYb0mDcQ2Paiibp&#10;mhTY2887bTdb/vT7+4v1zXbsgkNovVMgpgkwdJU3rasVfO5fJ0tgIWpndOcdKvjGAOvy/q7QufFX&#10;94GXXawZhbiQawVNjH3OeagatDpMfY+Obic/WB1pHWpuBn2lcNvxWZKk3OrW0YdG9/jSYHXejVbB&#10;Zp/N38xhfD9vM4nPm0yE8eug1OODSFbAIt7iHwy/+qQOJTkd/ehMYJ2CiUxnGbE0LZ6WC2DESJkK&#10;YEcF6VwK4GXB/7cofwBQSwMEFAAAAAgAh07iQPPTnXXvAQAAwwMAAA4AAABkcnMvZTJvRG9jLnht&#10;bK1TzW4TMRC+I/EOlu9kN0FtyiqbHhoVDggiAQ8w8Xp3LflPHjebvAQvgMQNThy58zYtj8HYu4RS&#10;Lj3gg2XPzzfzfR6vLg9Gs70MqJyt+XxWciatcI2yXc0/vL9+dsEZRrANaGdlzY8S+eX66ZPV4Cu5&#10;cL3TjQyMQCxWg695H6OvigJFLw3gzHlpydm6YCDSNXRFE2AgdKOLRVmeF4MLjQ9OSESybkYnnxDD&#10;YwBd2yohN07cGGnjiBqkhkiUsFce+Tp327ZSxLdtizIyXXNiGvNORei8S3uxXkHVBfC9ElML8JgW&#10;HnAyoCwVPUFtIAK7CeofKKNEcOjaOBPOFCORrAixmJcPtHnXg5eZC0mN/iQ6/j9Y8Wa/DUw1NAkv&#10;OLNg6MXvPn2//fjl54/PtN99+8rIQzINHiuKvrLbMN3Qb0PifGiDYa1W/hWhZBWIFztkkY8nkeUh&#10;MkHGs+VyMT8j/QX5lsuyJN4JvxiBEqAPGF9KZ1g61Fwrm1SACvavMY6hv0OS2bprpTXZodKWDTU/&#10;f57xgaazpamgUsYTQ7QdZ6A7GnsRQ0ZEp1WTslMyhm53pQPbQxqWvKbG/gpLpTeA/RiXXSkMKqMi&#10;/QytTM0v7mdrS+ySfKNg6bRzzTHrmO30tpn/NIdpeO7fc/afv7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NnN8ncAAAADQEAAA8AAAAAAAAAAQAgAAAAIgAAAGRycy9kb3ducmV2LnhtbFBLAQIU&#10;ABQAAAAIAIdO4kDz05117wEAAMMDAAAOAAAAAAAAAAEAIAAAACsBAABkcnMvZTJvRG9jLnhtbFBL&#10;BQYAAAAABgAGAFkBAACMBQAAAAA=&#10;">
                      <v:fill on="f" focussize="0,0"/>
                      <v:stroke weight="0.5pt" color="#000000 [3200]" miterlimit="8" joinstyle="miter"/>
                      <v:imagedata o:title=""/>
                      <o:lock v:ext="edit" aspectratio="f"/>
                    </v:line>
                  </w:pict>
                </mc:Fallback>
              </mc:AlternateContent>
            </w:r>
          </w:p>
        </w:tc>
        <w:tc>
          <w:tcPr>
            <w:tcW w:w="1414" w:type="dxa"/>
            <w:vAlign w:val="top"/>
          </w:tcPr>
          <w:p w14:paraId="75BD3AD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434801E6">
            <w:pPr>
              <w:pageBreakBefore w:val="0"/>
              <w:kinsoku/>
              <w:wordWrap/>
              <w:overflowPunct/>
              <w:topLinePunct w:val="0"/>
              <w:bidi w:val="0"/>
              <w:textAlignment w:val="auto"/>
              <w:rPr>
                <w:rFonts w:hint="eastAsia" w:ascii="宋体" w:hAnsi="宋体" w:eastAsia="宋体" w:cs="宋体"/>
                <w:color w:val="auto"/>
                <w:sz w:val="21"/>
                <w:highlight w:val="none"/>
              </w:rPr>
            </w:pPr>
          </w:p>
        </w:tc>
      </w:tr>
      <w:tr w14:paraId="09E24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7B683E8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29B2AD1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5935E1A0">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02A3595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299FB51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69C5B8E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303B5A10">
            <w:pPr>
              <w:pageBreakBefore w:val="0"/>
              <w:kinsoku/>
              <w:wordWrap/>
              <w:overflowPunct/>
              <w:topLinePunct w:val="0"/>
              <w:bidi w:val="0"/>
              <w:textAlignment w:val="auto"/>
              <w:rPr>
                <w:rFonts w:hint="eastAsia" w:ascii="宋体" w:hAnsi="宋体" w:eastAsia="宋体" w:cs="宋体"/>
                <w:color w:val="auto"/>
                <w:sz w:val="21"/>
                <w:highlight w:val="none"/>
              </w:rPr>
            </w:pPr>
          </w:p>
        </w:tc>
      </w:tr>
      <w:tr w14:paraId="6E9F4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29E5CDB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32FE27E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731519A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13D029A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74D92C5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5BF32B5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5C3C4760">
            <w:pPr>
              <w:pageBreakBefore w:val="0"/>
              <w:kinsoku/>
              <w:wordWrap/>
              <w:overflowPunct/>
              <w:topLinePunct w:val="0"/>
              <w:bidi w:val="0"/>
              <w:textAlignment w:val="auto"/>
              <w:rPr>
                <w:rFonts w:hint="eastAsia" w:ascii="宋体" w:hAnsi="宋体" w:eastAsia="宋体" w:cs="宋体"/>
                <w:color w:val="auto"/>
                <w:sz w:val="21"/>
                <w:highlight w:val="none"/>
              </w:rPr>
            </w:pPr>
          </w:p>
        </w:tc>
      </w:tr>
      <w:tr w14:paraId="63B11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61310A7D">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5F08438D">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067CE8D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44589DE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74A8232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5141889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59EDBD0E">
            <w:pPr>
              <w:pageBreakBefore w:val="0"/>
              <w:kinsoku/>
              <w:wordWrap/>
              <w:overflowPunct/>
              <w:topLinePunct w:val="0"/>
              <w:bidi w:val="0"/>
              <w:textAlignment w:val="auto"/>
              <w:rPr>
                <w:rFonts w:hint="eastAsia" w:ascii="宋体" w:hAnsi="宋体" w:eastAsia="宋体" w:cs="宋体"/>
                <w:color w:val="auto"/>
                <w:sz w:val="21"/>
                <w:highlight w:val="none"/>
              </w:rPr>
            </w:pPr>
          </w:p>
        </w:tc>
      </w:tr>
      <w:tr w14:paraId="1525A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0AD5835C">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1F50CBD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65A6FC6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0D230D2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25F5D55E">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4FDD4BE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530F6339">
            <w:pPr>
              <w:pageBreakBefore w:val="0"/>
              <w:kinsoku/>
              <w:wordWrap/>
              <w:overflowPunct/>
              <w:topLinePunct w:val="0"/>
              <w:bidi w:val="0"/>
              <w:textAlignment w:val="auto"/>
              <w:rPr>
                <w:rFonts w:hint="eastAsia" w:ascii="宋体" w:hAnsi="宋体" w:eastAsia="宋体" w:cs="宋体"/>
                <w:color w:val="auto"/>
                <w:sz w:val="21"/>
                <w:highlight w:val="none"/>
              </w:rPr>
            </w:pPr>
          </w:p>
        </w:tc>
      </w:tr>
      <w:tr w14:paraId="78DF1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49F625D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574C330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776A1AF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16C4805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07B11FB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64F2B9C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147C975F">
            <w:pPr>
              <w:pageBreakBefore w:val="0"/>
              <w:kinsoku/>
              <w:wordWrap/>
              <w:overflowPunct/>
              <w:topLinePunct w:val="0"/>
              <w:bidi w:val="0"/>
              <w:textAlignment w:val="auto"/>
              <w:rPr>
                <w:rFonts w:hint="eastAsia" w:ascii="宋体" w:hAnsi="宋体" w:eastAsia="宋体" w:cs="宋体"/>
                <w:color w:val="auto"/>
                <w:sz w:val="21"/>
                <w:highlight w:val="none"/>
              </w:rPr>
            </w:pPr>
          </w:p>
        </w:tc>
      </w:tr>
      <w:tr w14:paraId="31953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2263296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43D0143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38902AF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334C1C1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2988787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17AD876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054B7DA4">
            <w:pPr>
              <w:pageBreakBefore w:val="0"/>
              <w:kinsoku/>
              <w:wordWrap/>
              <w:overflowPunct/>
              <w:topLinePunct w:val="0"/>
              <w:bidi w:val="0"/>
              <w:textAlignment w:val="auto"/>
              <w:rPr>
                <w:rFonts w:hint="eastAsia" w:ascii="宋体" w:hAnsi="宋体" w:eastAsia="宋体" w:cs="宋体"/>
                <w:color w:val="auto"/>
                <w:sz w:val="21"/>
                <w:highlight w:val="none"/>
              </w:rPr>
            </w:pPr>
          </w:p>
        </w:tc>
      </w:tr>
      <w:tr w14:paraId="2269A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6CA5A0DD">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7BAAE7C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54E4F6A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039CADC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547A537E">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59AD079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78CE8168">
            <w:pPr>
              <w:pageBreakBefore w:val="0"/>
              <w:kinsoku/>
              <w:wordWrap/>
              <w:overflowPunct/>
              <w:topLinePunct w:val="0"/>
              <w:bidi w:val="0"/>
              <w:textAlignment w:val="auto"/>
              <w:rPr>
                <w:rFonts w:hint="eastAsia" w:ascii="宋体" w:hAnsi="宋体" w:eastAsia="宋体" w:cs="宋体"/>
                <w:color w:val="auto"/>
                <w:sz w:val="21"/>
                <w:highlight w:val="none"/>
              </w:rPr>
            </w:pPr>
          </w:p>
        </w:tc>
      </w:tr>
      <w:tr w14:paraId="0913A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2EBBCB4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6027849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2AF0A14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58442D5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6C74272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161D284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0F90607E">
            <w:pPr>
              <w:pageBreakBefore w:val="0"/>
              <w:kinsoku/>
              <w:wordWrap/>
              <w:overflowPunct/>
              <w:topLinePunct w:val="0"/>
              <w:bidi w:val="0"/>
              <w:textAlignment w:val="auto"/>
              <w:rPr>
                <w:rFonts w:hint="eastAsia" w:ascii="宋体" w:hAnsi="宋体" w:eastAsia="宋体" w:cs="宋体"/>
                <w:color w:val="auto"/>
                <w:sz w:val="21"/>
                <w:highlight w:val="none"/>
              </w:rPr>
            </w:pPr>
          </w:p>
        </w:tc>
      </w:tr>
      <w:tr w14:paraId="261C2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0F61FAE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7C777C8E">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0350799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200E648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039FD0B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76AF567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5DBB2841">
            <w:pPr>
              <w:pageBreakBefore w:val="0"/>
              <w:kinsoku/>
              <w:wordWrap/>
              <w:overflowPunct/>
              <w:topLinePunct w:val="0"/>
              <w:bidi w:val="0"/>
              <w:textAlignment w:val="auto"/>
              <w:rPr>
                <w:rFonts w:hint="eastAsia" w:ascii="宋体" w:hAnsi="宋体" w:eastAsia="宋体" w:cs="宋体"/>
                <w:color w:val="auto"/>
                <w:sz w:val="21"/>
                <w:highlight w:val="none"/>
              </w:rPr>
            </w:pPr>
          </w:p>
        </w:tc>
      </w:tr>
      <w:tr w14:paraId="0B542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04" w:type="dxa"/>
            <w:tcBorders>
              <w:left w:val="single" w:color="000000" w:sz="10" w:space="0"/>
              <w:bottom w:val="single" w:color="000000" w:sz="10" w:space="0"/>
            </w:tcBorders>
            <w:vAlign w:val="top"/>
          </w:tcPr>
          <w:p w14:paraId="7689DFB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tcBorders>
              <w:bottom w:val="single" w:color="000000" w:sz="10" w:space="0"/>
            </w:tcBorders>
            <w:vAlign w:val="top"/>
          </w:tcPr>
          <w:p w14:paraId="6F1CF9C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tcBorders>
              <w:bottom w:val="single" w:color="000000" w:sz="10" w:space="0"/>
            </w:tcBorders>
            <w:vAlign w:val="top"/>
          </w:tcPr>
          <w:p w14:paraId="05BAFE4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tcBorders>
              <w:bottom w:val="single" w:color="000000" w:sz="10" w:space="0"/>
            </w:tcBorders>
            <w:vAlign w:val="top"/>
          </w:tcPr>
          <w:p w14:paraId="7A5F8D1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tcBorders>
              <w:bottom w:val="single" w:color="000000" w:sz="10" w:space="0"/>
            </w:tcBorders>
            <w:vAlign w:val="top"/>
          </w:tcPr>
          <w:p w14:paraId="219B130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tcBorders>
              <w:bottom w:val="single" w:color="000000" w:sz="10" w:space="0"/>
            </w:tcBorders>
            <w:vAlign w:val="top"/>
          </w:tcPr>
          <w:p w14:paraId="61B9881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bottom w:val="single" w:color="000000" w:sz="10" w:space="0"/>
              <w:right w:val="single" w:color="000000" w:sz="10" w:space="0"/>
            </w:tcBorders>
            <w:vAlign w:val="top"/>
          </w:tcPr>
          <w:p w14:paraId="0A987B4B">
            <w:pPr>
              <w:pageBreakBefore w:val="0"/>
              <w:kinsoku/>
              <w:wordWrap/>
              <w:overflowPunct/>
              <w:topLinePunct w:val="0"/>
              <w:bidi w:val="0"/>
              <w:textAlignment w:val="auto"/>
              <w:rPr>
                <w:rFonts w:hint="eastAsia" w:ascii="宋体" w:hAnsi="宋体" w:eastAsia="宋体" w:cs="宋体"/>
                <w:color w:val="auto"/>
                <w:sz w:val="21"/>
                <w:highlight w:val="none"/>
              </w:rPr>
            </w:pPr>
          </w:p>
        </w:tc>
      </w:tr>
    </w:tbl>
    <w:p w14:paraId="2B79D3E1">
      <w:pPr>
        <w:pStyle w:val="46"/>
        <w:pageBreakBefore w:val="0"/>
        <w:kinsoku/>
        <w:wordWrap/>
        <w:overflowPunct/>
        <w:topLinePunct w:val="0"/>
        <w:bidi w:val="0"/>
        <w:spacing w:before="234" w:line="163" w:lineRule="auto"/>
        <w:ind w:left="98" w:leftChars="0"/>
        <w:jc w:val="center"/>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8-3：专业工程暂估价表</w:t>
      </w:r>
    </w:p>
    <w:p w14:paraId="2949CF36">
      <w:pPr>
        <w:pageBreakBefore w:val="0"/>
        <w:kinsoku/>
        <w:wordWrap/>
        <w:overflowPunct/>
        <w:topLinePunct w:val="0"/>
        <w:bidi w:val="0"/>
        <w:spacing w:before="136"/>
        <w:textAlignment w:val="auto"/>
        <w:rPr>
          <w:rFonts w:hint="eastAsia" w:ascii="宋体" w:hAnsi="宋体" w:eastAsia="宋体" w:cs="宋体"/>
          <w:color w:val="auto"/>
          <w:highlight w:val="none"/>
        </w:rPr>
      </w:pPr>
    </w:p>
    <w:tbl>
      <w:tblPr>
        <w:tblStyle w:val="45"/>
        <w:tblW w:w="90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2A641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04" w:type="dxa"/>
            <w:tcBorders>
              <w:top w:val="single" w:color="000000" w:sz="10" w:space="0"/>
              <w:left w:val="single" w:color="000000" w:sz="10" w:space="0"/>
            </w:tcBorders>
            <w:vAlign w:val="top"/>
          </w:tcPr>
          <w:p w14:paraId="1B2A6CA8">
            <w:pPr>
              <w:pStyle w:val="46"/>
              <w:pageBreakBefore w:val="0"/>
              <w:kinsoku/>
              <w:wordWrap/>
              <w:overflowPunct/>
              <w:topLinePunct w:val="0"/>
              <w:bidi w:val="0"/>
              <w:spacing w:before="234" w:line="163" w:lineRule="auto"/>
              <w:ind w:left="98"/>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序号</w:t>
            </w:r>
          </w:p>
        </w:tc>
        <w:tc>
          <w:tcPr>
            <w:tcW w:w="1978" w:type="dxa"/>
            <w:tcBorders>
              <w:top w:val="single" w:color="000000" w:sz="10" w:space="0"/>
            </w:tcBorders>
            <w:vAlign w:val="top"/>
          </w:tcPr>
          <w:p w14:paraId="74E0A45B">
            <w:pPr>
              <w:pStyle w:val="46"/>
              <w:pageBreakBefore w:val="0"/>
              <w:kinsoku/>
              <w:wordWrap/>
              <w:overflowPunct/>
              <w:topLinePunct w:val="0"/>
              <w:bidi w:val="0"/>
              <w:spacing w:before="234" w:line="163" w:lineRule="auto"/>
              <w:ind w:left="98"/>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名称</w:t>
            </w:r>
          </w:p>
        </w:tc>
        <w:tc>
          <w:tcPr>
            <w:tcW w:w="849" w:type="dxa"/>
            <w:tcBorders>
              <w:top w:val="single" w:color="000000" w:sz="10" w:space="0"/>
            </w:tcBorders>
            <w:vAlign w:val="top"/>
          </w:tcPr>
          <w:p w14:paraId="7101131D">
            <w:pPr>
              <w:pStyle w:val="46"/>
              <w:pageBreakBefore w:val="0"/>
              <w:kinsoku/>
              <w:wordWrap/>
              <w:overflowPunct/>
              <w:topLinePunct w:val="0"/>
              <w:bidi w:val="0"/>
              <w:spacing w:before="234" w:line="163" w:lineRule="auto"/>
              <w:ind w:left="98"/>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单位</w:t>
            </w:r>
          </w:p>
        </w:tc>
        <w:tc>
          <w:tcPr>
            <w:tcW w:w="772" w:type="dxa"/>
            <w:tcBorders>
              <w:top w:val="single" w:color="000000" w:sz="10" w:space="0"/>
            </w:tcBorders>
            <w:vAlign w:val="top"/>
          </w:tcPr>
          <w:p w14:paraId="263677A4">
            <w:pPr>
              <w:pStyle w:val="46"/>
              <w:pageBreakBefore w:val="0"/>
              <w:kinsoku/>
              <w:wordWrap/>
              <w:overflowPunct/>
              <w:topLinePunct w:val="0"/>
              <w:bidi w:val="0"/>
              <w:spacing w:before="234" w:line="163" w:lineRule="auto"/>
              <w:ind w:left="98"/>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数量</w:t>
            </w:r>
          </w:p>
        </w:tc>
        <w:tc>
          <w:tcPr>
            <w:tcW w:w="1348" w:type="dxa"/>
            <w:tcBorders>
              <w:top w:val="single" w:color="000000" w:sz="10" w:space="0"/>
            </w:tcBorders>
            <w:vAlign w:val="top"/>
          </w:tcPr>
          <w:p w14:paraId="50E52616">
            <w:pPr>
              <w:pStyle w:val="46"/>
              <w:pageBreakBefore w:val="0"/>
              <w:kinsoku/>
              <w:wordWrap/>
              <w:overflowPunct/>
              <w:topLinePunct w:val="0"/>
              <w:bidi w:val="0"/>
              <w:spacing w:before="234" w:line="163" w:lineRule="auto"/>
              <w:ind w:left="98"/>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单价（元）</w:t>
            </w:r>
          </w:p>
        </w:tc>
        <w:tc>
          <w:tcPr>
            <w:tcW w:w="1414" w:type="dxa"/>
            <w:tcBorders>
              <w:top w:val="single" w:color="000000" w:sz="10" w:space="0"/>
            </w:tcBorders>
            <w:vAlign w:val="top"/>
          </w:tcPr>
          <w:p w14:paraId="18A6B821">
            <w:pPr>
              <w:pStyle w:val="46"/>
              <w:pageBreakBefore w:val="0"/>
              <w:kinsoku/>
              <w:wordWrap/>
              <w:overflowPunct/>
              <w:topLinePunct w:val="0"/>
              <w:bidi w:val="0"/>
              <w:spacing w:before="234" w:line="163" w:lineRule="auto"/>
              <w:ind w:left="98"/>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合价（元）</w:t>
            </w:r>
          </w:p>
        </w:tc>
        <w:tc>
          <w:tcPr>
            <w:tcW w:w="1711" w:type="dxa"/>
            <w:tcBorders>
              <w:top w:val="single" w:color="000000" w:sz="10" w:space="0"/>
              <w:right w:val="single" w:color="000000" w:sz="10" w:space="0"/>
            </w:tcBorders>
            <w:vAlign w:val="top"/>
          </w:tcPr>
          <w:p w14:paraId="15C50E7B">
            <w:pPr>
              <w:pStyle w:val="46"/>
              <w:pageBreakBefore w:val="0"/>
              <w:kinsoku/>
              <w:wordWrap/>
              <w:overflowPunct/>
              <w:topLinePunct w:val="0"/>
              <w:bidi w:val="0"/>
              <w:spacing w:before="234" w:line="163" w:lineRule="auto"/>
              <w:ind w:left="98"/>
              <w:jc w:val="center"/>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备注</w:t>
            </w:r>
          </w:p>
        </w:tc>
      </w:tr>
      <w:tr w14:paraId="1CE7D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004" w:type="dxa"/>
            <w:tcBorders>
              <w:left w:val="single" w:color="000000" w:sz="10" w:space="0"/>
            </w:tcBorders>
            <w:vAlign w:val="top"/>
          </w:tcPr>
          <w:p w14:paraId="4ABD49A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696E559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7544668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6975C83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2BC0FD4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03147C7E">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38C35BFE">
            <w:pPr>
              <w:pageBreakBefore w:val="0"/>
              <w:kinsoku/>
              <w:wordWrap/>
              <w:overflowPunct/>
              <w:topLinePunct w:val="0"/>
              <w:bidi w:val="0"/>
              <w:textAlignment w:val="auto"/>
              <w:rPr>
                <w:rFonts w:hint="eastAsia" w:ascii="宋体" w:hAnsi="宋体" w:eastAsia="宋体" w:cs="宋体"/>
                <w:color w:val="auto"/>
                <w:sz w:val="21"/>
                <w:highlight w:val="none"/>
              </w:rPr>
            </w:pPr>
          </w:p>
        </w:tc>
      </w:tr>
      <w:tr w14:paraId="21FFE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4DB4A3A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208D227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6FBCE44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0D1CD68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7F1C680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60A1107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4A9050F5">
            <w:pPr>
              <w:pageBreakBefore w:val="0"/>
              <w:kinsoku/>
              <w:wordWrap/>
              <w:overflowPunct/>
              <w:topLinePunct w:val="0"/>
              <w:bidi w:val="0"/>
              <w:textAlignment w:val="auto"/>
              <w:rPr>
                <w:rFonts w:hint="eastAsia" w:ascii="宋体" w:hAnsi="宋体" w:eastAsia="宋体" w:cs="宋体"/>
                <w:color w:val="auto"/>
                <w:sz w:val="21"/>
                <w:highlight w:val="none"/>
              </w:rPr>
            </w:pPr>
          </w:p>
        </w:tc>
      </w:tr>
      <w:tr w14:paraId="7339E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2AF38D8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677E9FB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24BE9B7C">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0887311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5E6436B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295CAA3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794D9F73">
            <w:pPr>
              <w:pageBreakBefore w:val="0"/>
              <w:kinsoku/>
              <w:wordWrap/>
              <w:overflowPunct/>
              <w:topLinePunct w:val="0"/>
              <w:bidi w:val="0"/>
              <w:textAlignment w:val="auto"/>
              <w:rPr>
                <w:rFonts w:hint="eastAsia" w:ascii="宋体" w:hAnsi="宋体" w:eastAsia="宋体" w:cs="宋体"/>
                <w:color w:val="auto"/>
                <w:sz w:val="21"/>
                <w:highlight w:val="none"/>
              </w:rPr>
            </w:pPr>
          </w:p>
        </w:tc>
      </w:tr>
      <w:tr w14:paraId="286A5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6697F0A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583FB86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09AE30E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1A37E0C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39F9C34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69A4FA7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353406A4">
            <w:pPr>
              <w:pageBreakBefore w:val="0"/>
              <w:kinsoku/>
              <w:wordWrap/>
              <w:overflowPunct/>
              <w:topLinePunct w:val="0"/>
              <w:bidi w:val="0"/>
              <w:textAlignment w:val="auto"/>
              <w:rPr>
                <w:rFonts w:hint="eastAsia" w:ascii="宋体" w:hAnsi="宋体" w:eastAsia="宋体" w:cs="宋体"/>
                <w:color w:val="auto"/>
                <w:sz w:val="21"/>
                <w:highlight w:val="none"/>
              </w:rPr>
            </w:pPr>
          </w:p>
        </w:tc>
      </w:tr>
      <w:tr w14:paraId="7798F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0B53901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410193E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59CA93A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5761446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5101C267">
            <w:pPr>
              <w:pageBreakBefore w:val="0"/>
              <w:kinsoku/>
              <w:wordWrap/>
              <w:overflowPunct/>
              <w:topLinePunct w:val="0"/>
              <w:bidi w:val="0"/>
              <w:textAlignment w:val="auto"/>
              <w:rPr>
                <w:rFonts w:hint="eastAsia" w:ascii="宋体" w:hAnsi="宋体" w:eastAsia="宋体" w:cs="宋体"/>
                <w:color w:val="auto"/>
                <w:sz w:val="21"/>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-2939415</wp:posOffset>
                      </wp:positionH>
                      <wp:positionV relativeFrom="paragraph">
                        <wp:posOffset>-1478280</wp:posOffset>
                      </wp:positionV>
                      <wp:extent cx="5781675" cy="6957060"/>
                      <wp:effectExtent l="3810" t="3175" r="5715" b="12065"/>
                      <wp:wrapNone/>
                      <wp:docPr id="20" name="直接连接符 20"/>
                      <wp:cNvGraphicFramePr/>
                      <a:graphic xmlns:a="http://schemas.openxmlformats.org/drawingml/2006/main">
                        <a:graphicData uri="http://schemas.microsoft.com/office/word/2010/wordprocessingShape">
                          <wps:wsp>
                            <wps:cNvCnPr/>
                            <wps:spPr>
                              <a:xfrm flipH="1">
                                <a:off x="0" y="0"/>
                                <a:ext cx="5781675" cy="6957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31.45pt;margin-top:-116.4pt;height:547.8pt;width:455.25pt;z-index:251670528;mso-width-relative:page;mso-height-relative:page;" filled="f" stroked="t" coordsize="21600,21600" o:gfxdata="UEsDBAoAAAAAAIdO4kAAAAAAAAAAAAAAAAAEAAAAZHJzL1BLAwQUAAAACACHTuJAdoak7NsAAAAN&#10;AQAADwAAAGRycy9kb3ducmV2LnhtbE2PQU/DMAyF70j8h8iTuG1pu6qspenEkIAbEhu7Z43XVmuc&#10;0qTb+PeYE7vZfk/P3yvXV9uLM46+c6QgXkQgkGpnOmoUfO1e5ysQPmgyuneECn7Qw7q6vyt1YdyF&#10;PvG8DY3gEPKFVtCGMBRS+rpFq/3CDUisHd1odeB1bKQZ9YXDbS+TKMqk1R3xh1YP+NJifdpOVsFm&#10;ly/fzH56P33kKT5v8thP33ulHmZx9AQi4DX8m+EPn9GhYqaDm8h40SuYp1mSs5enZJlwC/ak6WMG&#10;4qBglfFFVqW8bVH9AlBLAwQUAAAACACHTuJAS9l8UvMBAADDAwAADgAAAGRycy9lMm9Eb2MueG1s&#10;rVNLbtswEN0XyB0I7mvJLvyJYDmLGEkXRWug6QFoipQI8AcOY9mX6AUKdNeuuuy+t0lyjA4px03T&#10;TRbVghjODN/wPT4tL/ZGk50IoJyt6XhUUiIsd42ybU0/3Vy9XlACkdmGaWdFTQ8C6MXq7NWy95WY&#10;uM7pRgSCIBaq3te0i9FXRQG8E4bByHlhsShdMCziNrRFE1iP6EYXk7KcFb0LjQ+OCwDMrociPSKG&#10;lwA6KRUXa8dvjbBxQA1Cs4iUoFMe6CrfVkrB4wcpQUSia4pMY15xCMbbtBarJavawHyn+PEK7CVX&#10;eMbJMGVx6AlqzSIjt0H9A2UUDw6cjCPuTDEQyYogi3H5TJuPHfMic0GpwZ9Eh/8Hy9/vNoGopqYT&#10;lMQygy9+/+Xn3edvD7++4nr/4zvBCsrUe6iw+9JuwnEHfhMS570Mhkit/Fv0U1YBeZF9FvlwElns&#10;I+GYnM4X49l8SgnH2ux8Oi9nGb8YgBKgDxCvhTMkBTXVyiYVWMV27yDicGx9bElp666U1vkltSU9&#10;or6ZIhnO0J0SXYGh8cgQbEsJ0y3anseQEcFp1aTTCQdCu73UgexYMkv+EnGc9ldbGr1m0A19uTTY&#10;yKiIf4ZWpqaLp6e1RZAk3yBYirauOWQdcx7fNo85+jCZ5+k+n/7z76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aGpOzbAAAADQEAAA8AAAAAAAAAAQAgAAAAIgAAAGRycy9kb3ducmV2LnhtbFBL&#10;AQIUABQAAAAIAIdO4kBL2XxS8wEAAMMDAAAOAAAAAAAAAAEAIAAAACoBAABkcnMvZTJvRG9jLnht&#10;bFBLBQYAAAAABgAGAFkBAACPBQAAAAA=&#10;">
                      <v:fill on="f" focussize="0,0"/>
                      <v:stroke weight="0.5pt" color="#000000 [3200]" miterlimit="8" joinstyle="miter"/>
                      <v:imagedata o:title=""/>
                      <o:lock v:ext="edit" aspectratio="f"/>
                    </v:line>
                  </w:pict>
                </mc:Fallback>
              </mc:AlternateContent>
            </w:r>
          </w:p>
        </w:tc>
        <w:tc>
          <w:tcPr>
            <w:tcW w:w="1414" w:type="dxa"/>
            <w:vAlign w:val="top"/>
          </w:tcPr>
          <w:p w14:paraId="16685FB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3C98182C">
            <w:pPr>
              <w:pageBreakBefore w:val="0"/>
              <w:kinsoku/>
              <w:wordWrap/>
              <w:overflowPunct/>
              <w:topLinePunct w:val="0"/>
              <w:bidi w:val="0"/>
              <w:textAlignment w:val="auto"/>
              <w:rPr>
                <w:rFonts w:hint="eastAsia" w:ascii="宋体" w:hAnsi="宋体" w:eastAsia="宋体" w:cs="宋体"/>
                <w:color w:val="auto"/>
                <w:sz w:val="21"/>
                <w:highlight w:val="none"/>
              </w:rPr>
            </w:pPr>
          </w:p>
        </w:tc>
      </w:tr>
      <w:tr w14:paraId="1A3D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3A6F353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0A4F4FB0">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3D773ED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37687A6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26203BA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7DED796C">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6AF80B1B">
            <w:pPr>
              <w:pageBreakBefore w:val="0"/>
              <w:kinsoku/>
              <w:wordWrap/>
              <w:overflowPunct/>
              <w:topLinePunct w:val="0"/>
              <w:bidi w:val="0"/>
              <w:textAlignment w:val="auto"/>
              <w:rPr>
                <w:rFonts w:hint="eastAsia" w:ascii="宋体" w:hAnsi="宋体" w:eastAsia="宋体" w:cs="宋体"/>
                <w:color w:val="auto"/>
                <w:sz w:val="21"/>
                <w:highlight w:val="none"/>
              </w:rPr>
            </w:pPr>
          </w:p>
        </w:tc>
      </w:tr>
      <w:tr w14:paraId="65F7B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0650BA7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7ECEE83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1D23818D">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19CE882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49552C6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4FBCADE0">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4203341A">
            <w:pPr>
              <w:pageBreakBefore w:val="0"/>
              <w:kinsoku/>
              <w:wordWrap/>
              <w:overflowPunct/>
              <w:topLinePunct w:val="0"/>
              <w:bidi w:val="0"/>
              <w:textAlignment w:val="auto"/>
              <w:rPr>
                <w:rFonts w:hint="eastAsia" w:ascii="宋体" w:hAnsi="宋体" w:eastAsia="宋体" w:cs="宋体"/>
                <w:color w:val="auto"/>
                <w:sz w:val="21"/>
                <w:highlight w:val="none"/>
              </w:rPr>
            </w:pPr>
          </w:p>
        </w:tc>
      </w:tr>
      <w:tr w14:paraId="4A66F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624A9AD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7C6D139D">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17F7A7D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7007282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70D3288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0155E4E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7383489D">
            <w:pPr>
              <w:pageBreakBefore w:val="0"/>
              <w:kinsoku/>
              <w:wordWrap/>
              <w:overflowPunct/>
              <w:topLinePunct w:val="0"/>
              <w:bidi w:val="0"/>
              <w:textAlignment w:val="auto"/>
              <w:rPr>
                <w:rFonts w:hint="eastAsia" w:ascii="宋体" w:hAnsi="宋体" w:eastAsia="宋体" w:cs="宋体"/>
                <w:color w:val="auto"/>
                <w:sz w:val="21"/>
                <w:highlight w:val="none"/>
              </w:rPr>
            </w:pPr>
          </w:p>
        </w:tc>
      </w:tr>
      <w:tr w14:paraId="25ACB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784EBDA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2F2DFE8C">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7AF1B06C">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68C3225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259B77D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30B48D1E">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53FC7F7B">
            <w:pPr>
              <w:pageBreakBefore w:val="0"/>
              <w:kinsoku/>
              <w:wordWrap/>
              <w:overflowPunct/>
              <w:topLinePunct w:val="0"/>
              <w:bidi w:val="0"/>
              <w:textAlignment w:val="auto"/>
              <w:rPr>
                <w:rFonts w:hint="eastAsia" w:ascii="宋体" w:hAnsi="宋体" w:eastAsia="宋体" w:cs="宋体"/>
                <w:color w:val="auto"/>
                <w:sz w:val="21"/>
                <w:highlight w:val="none"/>
              </w:rPr>
            </w:pPr>
          </w:p>
        </w:tc>
      </w:tr>
      <w:tr w14:paraId="62760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3565EF9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2B5FDFC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1BEDC0A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25EF7A3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6610B29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1B6AAF5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4E67AC3D">
            <w:pPr>
              <w:pageBreakBefore w:val="0"/>
              <w:kinsoku/>
              <w:wordWrap/>
              <w:overflowPunct/>
              <w:topLinePunct w:val="0"/>
              <w:bidi w:val="0"/>
              <w:textAlignment w:val="auto"/>
              <w:rPr>
                <w:rFonts w:hint="eastAsia" w:ascii="宋体" w:hAnsi="宋体" w:eastAsia="宋体" w:cs="宋体"/>
                <w:color w:val="auto"/>
                <w:sz w:val="21"/>
                <w:highlight w:val="none"/>
              </w:rPr>
            </w:pPr>
          </w:p>
        </w:tc>
      </w:tr>
      <w:tr w14:paraId="6A60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143426F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5FECD14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1C7CF4C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667FAAC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6A37E46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389B2DE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5ACCDFD7">
            <w:pPr>
              <w:pageBreakBefore w:val="0"/>
              <w:kinsoku/>
              <w:wordWrap/>
              <w:overflowPunct/>
              <w:topLinePunct w:val="0"/>
              <w:bidi w:val="0"/>
              <w:textAlignment w:val="auto"/>
              <w:rPr>
                <w:rFonts w:hint="eastAsia" w:ascii="宋体" w:hAnsi="宋体" w:eastAsia="宋体" w:cs="宋体"/>
                <w:color w:val="auto"/>
                <w:sz w:val="21"/>
                <w:highlight w:val="none"/>
              </w:rPr>
            </w:pPr>
          </w:p>
        </w:tc>
      </w:tr>
      <w:tr w14:paraId="0926E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41A5F32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48AA511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76F8F2DF">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7D7137E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4169D210">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0F653C4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14590984">
            <w:pPr>
              <w:pageBreakBefore w:val="0"/>
              <w:kinsoku/>
              <w:wordWrap/>
              <w:overflowPunct/>
              <w:topLinePunct w:val="0"/>
              <w:bidi w:val="0"/>
              <w:textAlignment w:val="auto"/>
              <w:rPr>
                <w:rFonts w:hint="eastAsia" w:ascii="宋体" w:hAnsi="宋体" w:eastAsia="宋体" w:cs="宋体"/>
                <w:color w:val="auto"/>
                <w:sz w:val="21"/>
                <w:highlight w:val="none"/>
              </w:rPr>
            </w:pPr>
          </w:p>
        </w:tc>
      </w:tr>
      <w:tr w14:paraId="15F50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604DB7A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3B3DF1E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40A5B5A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3606082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54100F3D">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02E9EA2C">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19DF30B4">
            <w:pPr>
              <w:pageBreakBefore w:val="0"/>
              <w:kinsoku/>
              <w:wordWrap/>
              <w:overflowPunct/>
              <w:topLinePunct w:val="0"/>
              <w:bidi w:val="0"/>
              <w:textAlignment w:val="auto"/>
              <w:rPr>
                <w:rFonts w:hint="eastAsia" w:ascii="宋体" w:hAnsi="宋体" w:eastAsia="宋体" w:cs="宋体"/>
                <w:color w:val="auto"/>
                <w:sz w:val="21"/>
                <w:highlight w:val="none"/>
              </w:rPr>
            </w:pPr>
          </w:p>
        </w:tc>
      </w:tr>
      <w:tr w14:paraId="2BD26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4" w:type="dxa"/>
            <w:tcBorders>
              <w:left w:val="single" w:color="000000" w:sz="10" w:space="0"/>
            </w:tcBorders>
            <w:vAlign w:val="top"/>
          </w:tcPr>
          <w:p w14:paraId="340FB69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03B7ABBD">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12F62D8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5443AA9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09378C2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7FFA48E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7DF11D0A">
            <w:pPr>
              <w:pageBreakBefore w:val="0"/>
              <w:kinsoku/>
              <w:wordWrap/>
              <w:overflowPunct/>
              <w:topLinePunct w:val="0"/>
              <w:bidi w:val="0"/>
              <w:textAlignment w:val="auto"/>
              <w:rPr>
                <w:rFonts w:hint="eastAsia" w:ascii="宋体" w:hAnsi="宋体" w:eastAsia="宋体" w:cs="宋体"/>
                <w:color w:val="auto"/>
                <w:sz w:val="21"/>
                <w:highlight w:val="none"/>
              </w:rPr>
            </w:pPr>
          </w:p>
        </w:tc>
      </w:tr>
      <w:tr w14:paraId="2EBBD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69DFE12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4BD4E1C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03CECB0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00EAA263">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5323D135">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50189687">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7086CE86">
            <w:pPr>
              <w:pageBreakBefore w:val="0"/>
              <w:kinsoku/>
              <w:wordWrap/>
              <w:overflowPunct/>
              <w:topLinePunct w:val="0"/>
              <w:bidi w:val="0"/>
              <w:textAlignment w:val="auto"/>
              <w:rPr>
                <w:rFonts w:hint="eastAsia" w:ascii="宋体" w:hAnsi="宋体" w:eastAsia="宋体" w:cs="宋体"/>
                <w:color w:val="auto"/>
                <w:sz w:val="21"/>
                <w:highlight w:val="none"/>
              </w:rPr>
            </w:pPr>
          </w:p>
        </w:tc>
      </w:tr>
      <w:tr w14:paraId="5B266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4F0F3C7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0C37FBE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7DD7DFA0">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1B32AC7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2CEE96B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721500B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2E40B12E">
            <w:pPr>
              <w:pageBreakBefore w:val="0"/>
              <w:kinsoku/>
              <w:wordWrap/>
              <w:overflowPunct/>
              <w:topLinePunct w:val="0"/>
              <w:bidi w:val="0"/>
              <w:textAlignment w:val="auto"/>
              <w:rPr>
                <w:rFonts w:hint="eastAsia" w:ascii="宋体" w:hAnsi="宋体" w:eastAsia="宋体" w:cs="宋体"/>
                <w:color w:val="auto"/>
                <w:sz w:val="21"/>
                <w:highlight w:val="none"/>
              </w:rPr>
            </w:pPr>
          </w:p>
        </w:tc>
      </w:tr>
      <w:tr w14:paraId="3EF17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753BB91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1092ABE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7CE6EE2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5E2DEB5A">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0B8A4FA4">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3A582D59">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713EC851">
            <w:pPr>
              <w:pageBreakBefore w:val="0"/>
              <w:kinsoku/>
              <w:wordWrap/>
              <w:overflowPunct/>
              <w:topLinePunct w:val="0"/>
              <w:bidi w:val="0"/>
              <w:textAlignment w:val="auto"/>
              <w:rPr>
                <w:rFonts w:hint="eastAsia" w:ascii="宋体" w:hAnsi="宋体" w:eastAsia="宋体" w:cs="宋体"/>
                <w:color w:val="auto"/>
                <w:sz w:val="21"/>
                <w:highlight w:val="none"/>
              </w:rPr>
            </w:pPr>
          </w:p>
        </w:tc>
      </w:tr>
      <w:tr w14:paraId="194A2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04" w:type="dxa"/>
            <w:tcBorders>
              <w:left w:val="single" w:color="000000" w:sz="10" w:space="0"/>
            </w:tcBorders>
            <w:vAlign w:val="top"/>
          </w:tcPr>
          <w:p w14:paraId="74E3B17E">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vAlign w:val="top"/>
          </w:tcPr>
          <w:p w14:paraId="3F7E97E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vAlign w:val="top"/>
          </w:tcPr>
          <w:p w14:paraId="452CD0F8">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vAlign w:val="top"/>
          </w:tcPr>
          <w:p w14:paraId="346ED7C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vAlign w:val="top"/>
          </w:tcPr>
          <w:p w14:paraId="48B03A5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vAlign w:val="top"/>
          </w:tcPr>
          <w:p w14:paraId="74492D71">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right w:val="single" w:color="000000" w:sz="10" w:space="0"/>
            </w:tcBorders>
            <w:vAlign w:val="top"/>
          </w:tcPr>
          <w:p w14:paraId="39E432BC">
            <w:pPr>
              <w:pageBreakBefore w:val="0"/>
              <w:kinsoku/>
              <w:wordWrap/>
              <w:overflowPunct/>
              <w:topLinePunct w:val="0"/>
              <w:bidi w:val="0"/>
              <w:textAlignment w:val="auto"/>
              <w:rPr>
                <w:rFonts w:hint="eastAsia" w:ascii="宋体" w:hAnsi="宋体" w:eastAsia="宋体" w:cs="宋体"/>
                <w:color w:val="auto"/>
                <w:sz w:val="21"/>
                <w:highlight w:val="none"/>
              </w:rPr>
            </w:pPr>
          </w:p>
        </w:tc>
      </w:tr>
      <w:tr w14:paraId="06FA3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04" w:type="dxa"/>
            <w:tcBorders>
              <w:left w:val="single" w:color="000000" w:sz="10" w:space="0"/>
              <w:bottom w:val="single" w:color="000000" w:sz="10" w:space="0"/>
            </w:tcBorders>
            <w:vAlign w:val="top"/>
          </w:tcPr>
          <w:p w14:paraId="2AA70F1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978" w:type="dxa"/>
            <w:tcBorders>
              <w:bottom w:val="single" w:color="000000" w:sz="10" w:space="0"/>
            </w:tcBorders>
            <w:vAlign w:val="top"/>
          </w:tcPr>
          <w:p w14:paraId="71B06200">
            <w:pPr>
              <w:pageBreakBefore w:val="0"/>
              <w:kinsoku/>
              <w:wordWrap/>
              <w:overflowPunct/>
              <w:topLinePunct w:val="0"/>
              <w:bidi w:val="0"/>
              <w:textAlignment w:val="auto"/>
              <w:rPr>
                <w:rFonts w:hint="eastAsia" w:ascii="宋体" w:hAnsi="宋体" w:eastAsia="宋体" w:cs="宋体"/>
                <w:color w:val="auto"/>
                <w:sz w:val="21"/>
                <w:highlight w:val="none"/>
              </w:rPr>
            </w:pPr>
          </w:p>
        </w:tc>
        <w:tc>
          <w:tcPr>
            <w:tcW w:w="849" w:type="dxa"/>
            <w:tcBorders>
              <w:bottom w:val="single" w:color="000000" w:sz="10" w:space="0"/>
            </w:tcBorders>
            <w:vAlign w:val="top"/>
          </w:tcPr>
          <w:p w14:paraId="4C4F2B86">
            <w:pPr>
              <w:pageBreakBefore w:val="0"/>
              <w:kinsoku/>
              <w:wordWrap/>
              <w:overflowPunct/>
              <w:topLinePunct w:val="0"/>
              <w:bidi w:val="0"/>
              <w:textAlignment w:val="auto"/>
              <w:rPr>
                <w:rFonts w:hint="eastAsia" w:ascii="宋体" w:hAnsi="宋体" w:eastAsia="宋体" w:cs="宋体"/>
                <w:color w:val="auto"/>
                <w:sz w:val="21"/>
                <w:highlight w:val="none"/>
              </w:rPr>
            </w:pPr>
          </w:p>
        </w:tc>
        <w:tc>
          <w:tcPr>
            <w:tcW w:w="772" w:type="dxa"/>
            <w:tcBorders>
              <w:bottom w:val="single" w:color="000000" w:sz="10" w:space="0"/>
            </w:tcBorders>
            <w:vAlign w:val="top"/>
          </w:tcPr>
          <w:p w14:paraId="2994019B">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348" w:type="dxa"/>
            <w:tcBorders>
              <w:bottom w:val="single" w:color="000000" w:sz="10" w:space="0"/>
            </w:tcBorders>
            <w:vAlign w:val="top"/>
          </w:tcPr>
          <w:p w14:paraId="56C9981E">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414" w:type="dxa"/>
            <w:tcBorders>
              <w:bottom w:val="single" w:color="000000" w:sz="10" w:space="0"/>
            </w:tcBorders>
            <w:vAlign w:val="top"/>
          </w:tcPr>
          <w:p w14:paraId="4F6D4642">
            <w:pPr>
              <w:pageBreakBefore w:val="0"/>
              <w:kinsoku/>
              <w:wordWrap/>
              <w:overflowPunct/>
              <w:topLinePunct w:val="0"/>
              <w:bidi w:val="0"/>
              <w:textAlignment w:val="auto"/>
              <w:rPr>
                <w:rFonts w:hint="eastAsia" w:ascii="宋体" w:hAnsi="宋体" w:eastAsia="宋体" w:cs="宋体"/>
                <w:color w:val="auto"/>
                <w:sz w:val="21"/>
                <w:highlight w:val="none"/>
              </w:rPr>
            </w:pPr>
          </w:p>
        </w:tc>
        <w:tc>
          <w:tcPr>
            <w:tcW w:w="1711" w:type="dxa"/>
            <w:tcBorders>
              <w:bottom w:val="single" w:color="000000" w:sz="10" w:space="0"/>
              <w:right w:val="single" w:color="000000" w:sz="10" w:space="0"/>
            </w:tcBorders>
            <w:vAlign w:val="top"/>
          </w:tcPr>
          <w:p w14:paraId="4401D435">
            <w:pPr>
              <w:pageBreakBefore w:val="0"/>
              <w:kinsoku/>
              <w:wordWrap/>
              <w:overflowPunct/>
              <w:topLinePunct w:val="0"/>
              <w:bidi w:val="0"/>
              <w:textAlignment w:val="auto"/>
              <w:rPr>
                <w:rFonts w:hint="eastAsia" w:ascii="宋体" w:hAnsi="宋体" w:eastAsia="宋体" w:cs="宋体"/>
                <w:color w:val="auto"/>
                <w:sz w:val="21"/>
                <w:highlight w:val="none"/>
              </w:rPr>
            </w:pPr>
          </w:p>
        </w:tc>
      </w:tr>
    </w:tbl>
    <w:p w14:paraId="7B1BB565">
      <w:pPr>
        <w:pageBreakBefore w:val="0"/>
        <w:kinsoku/>
        <w:wordWrap/>
        <w:overflowPunct/>
        <w:topLinePunct w:val="0"/>
        <w:bidi w:val="0"/>
        <w:textAlignment w:val="auto"/>
        <w:rPr>
          <w:rFonts w:hint="eastAsia" w:ascii="宋体" w:hAnsi="宋体" w:eastAsia="宋体" w:cs="宋体"/>
          <w:color w:val="auto"/>
          <w:highlight w:val="none"/>
        </w:rPr>
      </w:pPr>
    </w:p>
    <w:p w14:paraId="0A1FCFF0">
      <w:pPr>
        <w:pageBreakBefore w:val="0"/>
        <w:kinsoku/>
        <w:wordWrap/>
        <w:overflowPunct/>
        <w:topLinePunct w:val="0"/>
        <w:bidi w:val="0"/>
        <w:textAlignment w:val="auto"/>
        <w:rPr>
          <w:rFonts w:hint="eastAsia" w:ascii="宋体" w:hAnsi="宋体" w:eastAsia="宋体" w:cs="宋体"/>
          <w:color w:val="auto"/>
          <w:highlight w:val="none"/>
        </w:rPr>
      </w:pPr>
    </w:p>
    <w:p w14:paraId="727C853D">
      <w:pPr>
        <w:pageBreakBefore w:val="0"/>
        <w:kinsoku/>
        <w:wordWrap/>
        <w:overflowPunct/>
        <w:topLinePunct w:val="0"/>
        <w:bidi w:val="0"/>
        <w:textAlignment w:val="auto"/>
        <w:rPr>
          <w:rFonts w:hint="eastAsia" w:ascii="宋体" w:hAnsi="宋体" w:eastAsia="宋体" w:cs="宋体"/>
          <w:color w:val="auto"/>
          <w:highlight w:val="none"/>
        </w:rPr>
      </w:pPr>
    </w:p>
    <w:p w14:paraId="74E0035B">
      <w:pPr>
        <w:pStyle w:val="5"/>
        <w:pageBreakBefore w:val="0"/>
        <w:kinsoku/>
        <w:wordWrap/>
        <w:overflowPunct/>
        <w:topLinePunct w:val="0"/>
        <w:bidi w:val="0"/>
        <w:jc w:val="left"/>
        <w:textAlignment w:val="auto"/>
        <w:outlineLvl w:val="0"/>
        <w:rPr>
          <w:rFonts w:hint="eastAsia" w:ascii="宋体" w:hAnsi="宋体" w:eastAsia="宋体" w:cs="宋体"/>
          <w:b w:val="0"/>
          <w:color w:val="auto"/>
          <w:kern w:val="2"/>
          <w:sz w:val="28"/>
          <w:szCs w:val="28"/>
          <w:highlight w:val="none"/>
          <w:lang w:val="en-US" w:eastAsia="zh-CN" w:bidi="ar-SA"/>
        </w:rPr>
      </w:pPr>
      <w:bookmarkStart w:id="962" w:name="_Toc12394"/>
      <w:r>
        <w:rPr>
          <w:rFonts w:hint="eastAsia" w:ascii="宋体" w:hAnsi="宋体" w:eastAsia="宋体" w:cs="宋体"/>
          <w:b w:val="0"/>
          <w:color w:val="auto"/>
          <w:kern w:val="2"/>
          <w:sz w:val="28"/>
          <w:szCs w:val="28"/>
          <w:highlight w:val="none"/>
          <w:lang w:val="en-US" w:eastAsia="zh-CN" w:bidi="ar-SA"/>
        </w:rPr>
        <w:t>附件9</w:t>
      </w:r>
      <w:bookmarkEnd w:id="962"/>
    </w:p>
    <w:p w14:paraId="36B89380">
      <w:pPr>
        <w:pStyle w:val="6"/>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承诺书</w:t>
      </w:r>
    </w:p>
    <w:p w14:paraId="7F95B9D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乌鲁木齐市天山区城市管理局（乌鲁木齐市天山区城市管理行政执法局）：</w:t>
      </w:r>
    </w:p>
    <w:p w14:paraId="01BACF6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为认真执行国务院令《保障农民工工资支付条例》（国令第724号），解决拖欠农民工工资问题，保障农民工工资支付，维护社会稳定，特作如下承诺：</w:t>
      </w:r>
    </w:p>
    <w:p w14:paraId="41D3B98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1、农民工工资以货币形式发放，通过银行转账或者现金支付给农民工本人，不以实物或者有价证券等其他形式替代。</w:t>
      </w:r>
    </w:p>
    <w:p w14:paraId="2BE6BC0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eastAsia="宋体" w:cs="宋体"/>
          <w:b w:val="0"/>
          <w:color w:val="auto"/>
          <w:kern w:val="2"/>
          <w:sz w:val="28"/>
          <w:szCs w:val="28"/>
          <w:highlight w:val="none"/>
          <w:lang w:val="en-US" w:eastAsia="zh-CN" w:bidi="ar-SA"/>
        </w:rPr>
      </w:pPr>
      <w:bookmarkStart w:id="963" w:name="_Toc6068"/>
      <w:r>
        <w:rPr>
          <w:rFonts w:hint="eastAsia" w:ascii="宋体" w:hAnsi="宋体" w:eastAsia="宋体" w:cs="宋体"/>
          <w:b w:val="0"/>
          <w:color w:val="auto"/>
          <w:kern w:val="2"/>
          <w:sz w:val="28"/>
          <w:szCs w:val="28"/>
          <w:highlight w:val="none"/>
          <w:lang w:val="en-US" w:eastAsia="zh-CN" w:bidi="ar-SA"/>
        </w:rPr>
        <w:t>2、与农民工书面签订用工合同，对未签订劳动合同的施工人员坚决不予进入现场施工。</w:t>
      </w:r>
      <w:bookmarkEnd w:id="963"/>
    </w:p>
    <w:p w14:paraId="423417C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3、合同约定工资支付周期和支付日期，建立三方监管账户，专项用于支付该工程建设项目农民工工资。</w:t>
      </w:r>
    </w:p>
    <w:p w14:paraId="46D4590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4、向建设单位申请工程进度款时须提供工资支付台账，内容包含农民工姓名、身份证号、联系电话、工种、银行卡号、发放时间、银行代发工资凭证或确认签字等基本信息，并至少保存3年。</w:t>
      </w:r>
    </w:p>
    <w:p w14:paraId="6BEF4DB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5、发包人在承包人通过银行转账或者现金支付给农民工本人后28天内退还扣留的作为农民工保证金的工程价款；农民工保证金为合同价款总额的2%。</w:t>
      </w:r>
    </w:p>
    <w:p w14:paraId="3EFACC6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6、若因我单位施工项目引起劳务纠纷，欠薪，导致发生农民工投诉、上访等恶性事件的，我单位将自愿放弃参与贵公司今后新项目投标工作。</w:t>
      </w:r>
    </w:p>
    <w:p w14:paraId="42F8EA2D">
      <w:pPr>
        <w:keepNext w:val="0"/>
        <w:keepLines w:val="0"/>
        <w:pageBreakBefore w:val="0"/>
        <w:widowControl w:val="0"/>
        <w:kinsoku/>
        <w:wordWrap/>
        <w:overflowPunct/>
        <w:topLinePunct w:val="0"/>
        <w:autoSpaceDE/>
        <w:autoSpaceDN/>
        <w:bidi w:val="0"/>
        <w:adjustRightInd/>
        <w:snapToGrid/>
        <w:spacing w:line="400" w:lineRule="exact"/>
        <w:ind w:left="559" w:leftChars="266" w:firstLine="0" w:firstLineChars="0"/>
        <w:textAlignment w:val="auto"/>
        <w:outlineLvl w:val="9"/>
        <w:rPr>
          <w:rFonts w:hint="eastAsia" w:ascii="宋体" w:hAnsi="宋体" w:eastAsia="宋体" w:cs="宋体"/>
          <w:b w:val="0"/>
          <w:bCs w:val="0"/>
          <w:color w:val="auto"/>
          <w:kern w:val="2"/>
          <w:sz w:val="28"/>
          <w:szCs w:val="28"/>
          <w:highlight w:val="none"/>
          <w:lang w:val="en-US" w:eastAsia="zh-CN" w:bidi="ar-SA"/>
        </w:rPr>
      </w:pPr>
      <w:bookmarkStart w:id="964" w:name="_Toc27242"/>
      <w:r>
        <w:rPr>
          <w:rFonts w:hint="eastAsia" w:ascii="宋体" w:hAnsi="宋体" w:eastAsia="宋体" w:cs="宋体"/>
          <w:b w:val="0"/>
          <w:color w:val="auto"/>
          <w:kern w:val="2"/>
          <w:sz w:val="28"/>
          <w:szCs w:val="28"/>
          <w:highlight w:val="none"/>
          <w:lang w:val="en-US" w:eastAsia="zh-CN" w:bidi="ar-SA"/>
        </w:rPr>
        <w:t>7、若违反相关规定，自愿接受相关部分依法作出的处理决定。</w:t>
      </w:r>
      <w:bookmarkEnd w:id="964"/>
      <w:r>
        <w:rPr>
          <w:rFonts w:hint="eastAsia" w:ascii="宋体" w:hAnsi="宋体" w:eastAsia="宋体" w:cs="宋体"/>
          <w:b w:val="0"/>
          <w:color w:val="auto"/>
          <w:kern w:val="2"/>
          <w:sz w:val="28"/>
          <w:szCs w:val="28"/>
          <w:highlight w:val="none"/>
          <w:lang w:val="en-US" w:eastAsia="zh-CN" w:bidi="ar-SA"/>
        </w:rPr>
        <w:t xml:space="preserve">   </w:t>
      </w:r>
      <w:r>
        <w:rPr>
          <w:rFonts w:hint="eastAsia" w:ascii="宋体" w:hAnsi="宋体" w:eastAsia="宋体" w:cs="宋体"/>
          <w:b w:val="0"/>
          <w:bCs w:val="0"/>
          <w:color w:val="auto"/>
          <w:kern w:val="2"/>
          <w:sz w:val="28"/>
          <w:szCs w:val="28"/>
          <w:highlight w:val="none"/>
          <w:lang w:val="en-US" w:eastAsia="zh-CN" w:bidi="ar-SA"/>
        </w:rPr>
        <w:t>8、承包人在施工期间不得以发包人未支付工程款为由拖欠工人工资。</w:t>
      </w:r>
    </w:p>
    <w:p w14:paraId="15C8B42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color w:val="auto"/>
          <w:kern w:val="2"/>
          <w:sz w:val="28"/>
          <w:szCs w:val="28"/>
          <w:highlight w:val="none"/>
          <w:lang w:val="en-US" w:eastAsia="zh-CN" w:bidi="ar-SA"/>
        </w:rPr>
      </w:pPr>
    </w:p>
    <w:p w14:paraId="2357867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color w:val="auto"/>
          <w:kern w:val="2"/>
          <w:sz w:val="28"/>
          <w:szCs w:val="28"/>
          <w:highlight w:val="none"/>
          <w:lang w:val="en-US" w:eastAsia="zh-CN" w:bidi="ar-SA"/>
        </w:rPr>
      </w:pPr>
    </w:p>
    <w:p w14:paraId="760C23B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承诺单位（章）承诺人∶                 联系电话∶</w:t>
      </w:r>
    </w:p>
    <w:p w14:paraId="686A083F">
      <w:pPr>
        <w:pageBreakBefore w:val="0"/>
        <w:widowControl w:val="0"/>
        <w:kinsoku/>
        <w:wordWrap/>
        <w:overflowPunct/>
        <w:topLinePunct w:val="0"/>
        <w:autoSpaceDE/>
        <w:autoSpaceDN/>
        <w:bidi w:val="0"/>
        <w:adjustRightInd/>
        <w:snapToGrid/>
        <w:spacing w:line="15" w:lineRule="auto"/>
        <w:textAlignment w:val="auto"/>
        <w:outlineLvl w:val="9"/>
        <w:rPr>
          <w:rFonts w:ascii="Times New Roman" w:hAnsi="Times New Roman" w:eastAsia="仿宋_GB2312" w:cstheme="minorBidi"/>
          <w:b w:val="0"/>
          <w:color w:val="auto"/>
          <w:kern w:val="2"/>
          <w:sz w:val="28"/>
          <w:szCs w:val="28"/>
          <w:highlight w:val="none"/>
          <w:lang w:val="en-US" w:eastAsia="zh-CN" w:bidi="ar-SA"/>
        </w:rPr>
      </w:pPr>
    </w:p>
    <w:p w14:paraId="150A574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color w:val="auto"/>
          <w:kern w:val="2"/>
          <w:sz w:val="24"/>
          <w:szCs w:val="24"/>
          <w:highlight w:val="none"/>
          <w:lang w:val="en-US" w:eastAsia="zh-CN" w:bidi="ar-SA"/>
        </w:rPr>
      </w:pPr>
    </w:p>
    <w:p w14:paraId="6BC0ACA6">
      <w:pPr>
        <w:pageBreakBefore w:val="0"/>
        <w:kinsoku/>
        <w:wordWrap/>
        <w:topLinePunct w:val="0"/>
        <w:bidi w:val="0"/>
        <w:spacing w:beforeAutospacing="0" w:afterAutospacing="0" w:line="460" w:lineRule="exact"/>
        <w:jc w:val="center"/>
        <w:textAlignment w:val="auto"/>
        <w:outlineLvl w:val="9"/>
        <w:rPr>
          <w:rFonts w:hint="eastAsia" w:ascii="宋体" w:hAnsi="宋体" w:eastAsia="宋体" w:cs="宋体"/>
          <w:b/>
          <w:bCs/>
          <w:color w:val="auto"/>
          <w:sz w:val="28"/>
          <w:szCs w:val="28"/>
          <w:highlight w:val="none"/>
        </w:rPr>
        <w:sectPr>
          <w:footerReference r:id="rId11" w:type="default"/>
          <w:pgSz w:w="11906" w:h="16838"/>
          <w:pgMar w:top="1276" w:right="1276" w:bottom="1440" w:left="1559" w:header="851" w:footer="992" w:gutter="0"/>
          <w:pgNumType w:fmt="decimal"/>
          <w:cols w:space="720" w:num="1"/>
          <w:docGrid w:linePitch="312" w:charSpace="0"/>
        </w:sectPr>
      </w:pPr>
    </w:p>
    <w:p w14:paraId="7396E24C">
      <w:pPr>
        <w:bidi w:val="0"/>
        <w:jc w:val="center"/>
        <w:outlineLvl w:val="0"/>
        <w:rPr>
          <w:rFonts w:hint="eastAsia" w:ascii="宋体" w:hAnsi="宋体" w:eastAsia="宋体" w:cs="宋体"/>
          <w:b/>
          <w:bCs/>
          <w:color w:val="auto"/>
          <w:sz w:val="32"/>
          <w:szCs w:val="28"/>
          <w:highlight w:val="none"/>
          <w:lang w:val="en-US" w:eastAsia="zh-CN"/>
        </w:rPr>
      </w:pPr>
      <w:bookmarkStart w:id="965" w:name="_Toc21107"/>
      <w:bookmarkStart w:id="966" w:name="_Toc19883"/>
      <w:bookmarkStart w:id="967" w:name="_Toc468707225"/>
      <w:bookmarkStart w:id="968" w:name="_Toc28337"/>
      <w:bookmarkStart w:id="969" w:name="_Toc349637926"/>
      <w:bookmarkStart w:id="970" w:name="_Toc349573127"/>
      <w:bookmarkStart w:id="971" w:name="_Toc298240411"/>
      <w:r>
        <w:rPr>
          <w:rFonts w:hint="eastAsia" w:ascii="宋体" w:hAnsi="宋体" w:eastAsia="宋体" w:cs="宋体"/>
          <w:b/>
          <w:bCs/>
          <w:color w:val="auto"/>
          <w:sz w:val="32"/>
          <w:szCs w:val="28"/>
          <w:highlight w:val="none"/>
        </w:rPr>
        <w:t>第四部分</w:t>
      </w:r>
      <w:r>
        <w:rPr>
          <w:rFonts w:hint="eastAsia" w:ascii="宋体" w:hAnsi="宋体" w:eastAsia="宋体" w:cs="宋体"/>
          <w:b/>
          <w:bCs/>
          <w:color w:val="auto"/>
          <w:sz w:val="32"/>
          <w:szCs w:val="28"/>
          <w:highlight w:val="none"/>
          <w:lang w:val="en-US" w:eastAsia="zh-CN"/>
        </w:rPr>
        <w:t xml:space="preserve">  </w:t>
      </w:r>
      <w:r>
        <w:rPr>
          <w:rFonts w:hint="eastAsia" w:ascii="宋体" w:hAnsi="宋体" w:eastAsia="宋体" w:cs="宋体"/>
          <w:b/>
          <w:bCs/>
          <w:color w:val="auto"/>
          <w:sz w:val="32"/>
          <w:szCs w:val="28"/>
          <w:highlight w:val="none"/>
        </w:rPr>
        <w:t>技术要求</w:t>
      </w:r>
      <w:bookmarkEnd w:id="965"/>
      <w:bookmarkEnd w:id="966"/>
      <w:bookmarkEnd w:id="967"/>
      <w:bookmarkEnd w:id="968"/>
      <w:bookmarkEnd w:id="969"/>
      <w:bookmarkEnd w:id="970"/>
      <w:bookmarkEnd w:id="971"/>
      <w:bookmarkStart w:id="972" w:name="_Toc267301295"/>
    </w:p>
    <w:bookmarkEnd w:id="972"/>
    <w:p w14:paraId="66BE6F6E">
      <w:pPr>
        <w:pageBreakBefore w:val="0"/>
        <w:kinsoku/>
        <w:wordWrap/>
        <w:topLinePunct w:val="0"/>
        <w:bidi w:val="0"/>
        <w:spacing w:beforeAutospacing="0" w:afterAutospacing="0" w:line="500" w:lineRule="exact"/>
        <w:ind w:left="0" w:leftChars="0" w:right="0" w:firstLine="480" w:firstLineChars="200"/>
        <w:rPr>
          <w:rFonts w:hint="eastAsia" w:ascii="宋体" w:hAnsi="宋体" w:eastAsia="宋体" w:cs="宋体"/>
          <w:bCs/>
          <w:color w:val="auto"/>
          <w:kern w:val="0"/>
          <w:sz w:val="24"/>
          <w:szCs w:val="24"/>
          <w:highlight w:val="none"/>
          <w:lang w:val="en-US" w:eastAsia="zh-CN"/>
        </w:rPr>
      </w:pPr>
    </w:p>
    <w:p w14:paraId="39CC349C">
      <w:pPr>
        <w:pageBreakBefore w:val="0"/>
        <w:kinsoku/>
        <w:wordWrap/>
        <w:topLinePunct w:val="0"/>
        <w:bidi w:val="0"/>
        <w:spacing w:beforeAutospacing="0" w:afterAutospacing="0" w:line="500" w:lineRule="exact"/>
        <w:ind w:left="0" w:leftChars="0" w:right="0"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1.1、本工程完成必须符合国家和地方现行相关质量评定标准和施工技术规范、工程量清单。</w:t>
      </w:r>
    </w:p>
    <w:p w14:paraId="3646F333">
      <w:pPr>
        <w:pageBreakBefore w:val="0"/>
        <w:kinsoku/>
        <w:wordWrap/>
        <w:topLinePunct w:val="0"/>
        <w:bidi w:val="0"/>
        <w:spacing w:beforeAutospacing="0" w:afterAutospacing="0" w:line="500" w:lineRule="exact"/>
        <w:ind w:left="0" w:leftChars="0" w:right="0"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1.2、本工程的材料检验和质量、工艺试验按国家、地方现行相关规定执行</w:t>
      </w:r>
    </w:p>
    <w:p w14:paraId="14B7915A">
      <w:pPr>
        <w:pageBreakBefore w:val="0"/>
        <w:kinsoku/>
        <w:wordWrap/>
        <w:topLinePunct w:val="0"/>
        <w:bidi w:val="0"/>
        <w:spacing w:beforeAutospacing="0" w:afterAutospacing="0" w:line="500" w:lineRule="exact"/>
        <w:ind w:left="0" w:leftChars="0" w:right="0"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1.3、本工程相关施工要求：</w:t>
      </w:r>
    </w:p>
    <w:p w14:paraId="0B1CD53E">
      <w:pPr>
        <w:pageBreakBefore w:val="0"/>
        <w:kinsoku/>
        <w:wordWrap/>
        <w:topLinePunct w:val="0"/>
        <w:bidi w:val="0"/>
        <w:spacing w:beforeAutospacing="0" w:afterAutospacing="0" w:line="500" w:lineRule="exact"/>
        <w:ind w:left="0" w:leftChars="0" w:right="0" w:firstLine="480" w:firstLineChars="200"/>
        <w:rPr>
          <w:rFonts w:hint="eastAsia" w:ascii="宋体" w:hAnsi="宋体" w:eastAsia="宋体" w:cs="宋体"/>
          <w:bCs/>
          <w:color w:val="auto"/>
          <w:kern w:val="0"/>
          <w:sz w:val="24"/>
          <w:szCs w:val="24"/>
          <w:highlight w:val="none"/>
          <w:lang w:val="en-US" w:eastAsia="zh-CN"/>
        </w:rPr>
      </w:pPr>
    </w:p>
    <w:p w14:paraId="6332B71E">
      <w:pPr>
        <w:pageBreakBefore w:val="0"/>
        <w:kinsoku/>
        <w:wordWrap/>
        <w:topLinePunct w:val="0"/>
        <w:bidi w:val="0"/>
        <w:spacing w:beforeAutospacing="0" w:afterAutospacing="0" w:line="500" w:lineRule="exact"/>
        <w:ind w:left="0" w:leftChars="0" w:right="0" w:firstLine="480" w:firstLineChars="200"/>
        <w:rPr>
          <w:rFonts w:hint="eastAsia" w:ascii="宋体" w:hAnsi="宋体" w:eastAsia="宋体" w:cs="宋体"/>
          <w:bCs/>
          <w:color w:val="auto"/>
          <w:kern w:val="0"/>
          <w:sz w:val="24"/>
          <w:szCs w:val="24"/>
          <w:highlight w:val="none"/>
          <w:lang w:val="en-US" w:eastAsia="zh-CN"/>
        </w:rPr>
      </w:pPr>
    </w:p>
    <w:p w14:paraId="22257373">
      <w:pP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br w:type="page"/>
      </w:r>
    </w:p>
    <w:p w14:paraId="397E5DD5">
      <w:pPr>
        <w:pageBreakBefore w:val="0"/>
        <w:kinsoku/>
        <w:wordWrap/>
        <w:topLinePunct w:val="0"/>
        <w:bidi w:val="0"/>
        <w:spacing w:beforeAutospacing="0" w:afterAutospacing="0" w:line="500" w:lineRule="exact"/>
        <w:ind w:right="0"/>
        <w:jc w:val="center"/>
        <w:rPr>
          <w:rFonts w:hint="eastAsia" w:ascii="宋体" w:hAnsi="宋体" w:eastAsia="宋体" w:cs="宋体"/>
          <w:b/>
          <w:bCs/>
          <w:color w:val="auto"/>
          <w:sz w:val="32"/>
          <w:szCs w:val="28"/>
          <w:highlight w:val="none"/>
          <w:lang w:val="en-US" w:eastAsia="zh-CN"/>
        </w:rPr>
      </w:pPr>
    </w:p>
    <w:p w14:paraId="2C860DDF">
      <w:pPr>
        <w:pageBreakBefore w:val="0"/>
        <w:kinsoku/>
        <w:wordWrap/>
        <w:topLinePunct w:val="0"/>
        <w:bidi w:val="0"/>
        <w:spacing w:beforeAutospacing="0" w:afterAutospacing="0" w:line="500" w:lineRule="exact"/>
        <w:ind w:right="0"/>
        <w:jc w:val="center"/>
        <w:rPr>
          <w:rFonts w:hint="eastAsia" w:ascii="宋体" w:hAnsi="宋体" w:eastAsia="宋体" w:cs="宋体"/>
          <w:b/>
          <w:bCs/>
          <w:color w:val="auto"/>
          <w:sz w:val="32"/>
          <w:szCs w:val="28"/>
          <w:highlight w:val="none"/>
          <w:lang w:val="en-US" w:eastAsia="zh-CN"/>
        </w:rPr>
      </w:pPr>
    </w:p>
    <w:p w14:paraId="0E565E7E">
      <w:pPr>
        <w:pageBreakBefore w:val="0"/>
        <w:kinsoku/>
        <w:wordWrap/>
        <w:topLinePunct w:val="0"/>
        <w:bidi w:val="0"/>
        <w:spacing w:beforeAutospacing="0" w:afterAutospacing="0" w:line="500" w:lineRule="exact"/>
        <w:ind w:right="0"/>
        <w:jc w:val="center"/>
        <w:rPr>
          <w:rFonts w:hint="eastAsia" w:ascii="宋体" w:hAnsi="宋体" w:eastAsia="宋体" w:cs="宋体"/>
          <w:b/>
          <w:bCs/>
          <w:color w:val="auto"/>
          <w:sz w:val="32"/>
          <w:szCs w:val="28"/>
          <w:highlight w:val="none"/>
          <w:lang w:val="en-US" w:eastAsia="zh-CN"/>
        </w:rPr>
      </w:pPr>
    </w:p>
    <w:p w14:paraId="0AEFD041">
      <w:pPr>
        <w:pageBreakBefore w:val="0"/>
        <w:kinsoku/>
        <w:wordWrap/>
        <w:topLinePunct w:val="0"/>
        <w:bidi w:val="0"/>
        <w:spacing w:beforeAutospacing="0" w:afterAutospacing="0" w:line="500" w:lineRule="exact"/>
        <w:ind w:right="0"/>
        <w:jc w:val="center"/>
        <w:rPr>
          <w:rFonts w:hint="eastAsia" w:ascii="宋体" w:hAnsi="宋体" w:eastAsia="宋体" w:cs="宋体"/>
          <w:b/>
          <w:bCs/>
          <w:color w:val="auto"/>
          <w:sz w:val="32"/>
          <w:szCs w:val="28"/>
          <w:highlight w:val="none"/>
          <w:lang w:val="en-US" w:eastAsia="zh-CN"/>
        </w:rPr>
      </w:pPr>
    </w:p>
    <w:p w14:paraId="2D3D1D9F">
      <w:pPr>
        <w:pageBreakBefore w:val="0"/>
        <w:kinsoku/>
        <w:wordWrap/>
        <w:topLinePunct w:val="0"/>
        <w:bidi w:val="0"/>
        <w:spacing w:beforeAutospacing="0" w:afterAutospacing="0" w:line="500" w:lineRule="exact"/>
        <w:ind w:right="0"/>
        <w:jc w:val="center"/>
        <w:rPr>
          <w:rFonts w:hint="eastAsia" w:ascii="宋体" w:hAnsi="宋体" w:eastAsia="宋体" w:cs="宋体"/>
          <w:b/>
          <w:bCs/>
          <w:color w:val="auto"/>
          <w:sz w:val="32"/>
          <w:szCs w:val="28"/>
          <w:highlight w:val="none"/>
          <w:lang w:val="en-US" w:eastAsia="zh-CN"/>
        </w:rPr>
      </w:pPr>
    </w:p>
    <w:p w14:paraId="08B4BDDD">
      <w:pPr>
        <w:pageBreakBefore w:val="0"/>
        <w:kinsoku/>
        <w:wordWrap/>
        <w:topLinePunct w:val="0"/>
        <w:bidi w:val="0"/>
        <w:spacing w:beforeAutospacing="0" w:afterAutospacing="0" w:line="500" w:lineRule="exact"/>
        <w:ind w:right="0"/>
        <w:jc w:val="center"/>
        <w:rPr>
          <w:rFonts w:hint="eastAsia" w:ascii="宋体" w:hAnsi="宋体" w:eastAsia="宋体" w:cs="宋体"/>
          <w:b/>
          <w:bCs/>
          <w:color w:val="auto"/>
          <w:sz w:val="32"/>
          <w:szCs w:val="28"/>
          <w:highlight w:val="none"/>
          <w:lang w:val="en-US" w:eastAsia="zh-CN"/>
        </w:rPr>
      </w:pPr>
    </w:p>
    <w:p w14:paraId="4A54DA86">
      <w:pPr>
        <w:pageBreakBefore w:val="0"/>
        <w:kinsoku/>
        <w:wordWrap/>
        <w:topLinePunct w:val="0"/>
        <w:bidi w:val="0"/>
        <w:spacing w:beforeAutospacing="0" w:afterAutospacing="0" w:line="500" w:lineRule="exact"/>
        <w:ind w:right="0"/>
        <w:jc w:val="center"/>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lang w:val="en-US" w:eastAsia="zh-CN"/>
        </w:rPr>
        <w:t xml:space="preserve">第五部分  </w:t>
      </w:r>
      <w:r>
        <w:rPr>
          <w:rFonts w:hint="eastAsia" w:ascii="宋体" w:hAnsi="宋体" w:eastAsia="宋体" w:cs="宋体"/>
          <w:b/>
          <w:bCs/>
          <w:color w:val="auto"/>
          <w:sz w:val="32"/>
          <w:szCs w:val="28"/>
          <w:highlight w:val="none"/>
        </w:rPr>
        <w:t>范</w:t>
      </w:r>
      <w:r>
        <w:rPr>
          <w:rFonts w:hint="eastAsia" w:ascii="宋体" w:hAnsi="宋体" w:eastAsia="宋体" w:cs="宋体"/>
          <w:b/>
          <w:bCs/>
          <w:color w:val="auto"/>
          <w:sz w:val="32"/>
          <w:szCs w:val="28"/>
          <w:highlight w:val="none"/>
          <w:lang w:val="en-US" w:eastAsia="zh-CN"/>
        </w:rPr>
        <w:t xml:space="preserve"> </w:t>
      </w:r>
      <w:r>
        <w:rPr>
          <w:rFonts w:hint="eastAsia" w:ascii="宋体" w:hAnsi="宋体" w:eastAsia="宋体" w:cs="宋体"/>
          <w:b/>
          <w:bCs/>
          <w:color w:val="auto"/>
          <w:sz w:val="32"/>
          <w:szCs w:val="28"/>
          <w:highlight w:val="none"/>
        </w:rPr>
        <w:t>本</w:t>
      </w:r>
      <w:r>
        <w:rPr>
          <w:rFonts w:hint="eastAsia" w:ascii="宋体" w:hAnsi="宋体" w:eastAsia="宋体" w:cs="宋体"/>
          <w:b/>
          <w:bCs/>
          <w:color w:val="auto"/>
          <w:sz w:val="32"/>
          <w:szCs w:val="28"/>
          <w:highlight w:val="none"/>
          <w:lang w:val="en-US" w:eastAsia="zh-CN"/>
        </w:rPr>
        <w:t xml:space="preserve"> </w:t>
      </w:r>
      <w:r>
        <w:rPr>
          <w:rFonts w:hint="eastAsia" w:ascii="宋体" w:hAnsi="宋体" w:eastAsia="宋体" w:cs="宋体"/>
          <w:b/>
          <w:bCs/>
          <w:color w:val="auto"/>
          <w:sz w:val="32"/>
          <w:szCs w:val="28"/>
          <w:highlight w:val="none"/>
        </w:rPr>
        <w:t>格</w:t>
      </w:r>
      <w:r>
        <w:rPr>
          <w:rFonts w:hint="eastAsia" w:ascii="宋体" w:hAnsi="宋体" w:eastAsia="宋体" w:cs="宋体"/>
          <w:b/>
          <w:bCs/>
          <w:color w:val="auto"/>
          <w:sz w:val="32"/>
          <w:szCs w:val="28"/>
          <w:highlight w:val="none"/>
          <w:lang w:val="en-US" w:eastAsia="zh-CN"/>
        </w:rPr>
        <w:t xml:space="preserve"> </w:t>
      </w:r>
      <w:r>
        <w:rPr>
          <w:rFonts w:hint="eastAsia" w:ascii="宋体" w:hAnsi="宋体" w:eastAsia="宋体" w:cs="宋体"/>
          <w:b/>
          <w:bCs/>
          <w:color w:val="auto"/>
          <w:sz w:val="32"/>
          <w:szCs w:val="28"/>
          <w:highlight w:val="none"/>
        </w:rPr>
        <w:t>式</w:t>
      </w:r>
    </w:p>
    <w:p w14:paraId="5EA0547B">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bookmarkStart w:id="973" w:name="_Toc420348768"/>
      <w:bookmarkStart w:id="974" w:name="_Toc4487_WPSOffice_Level1"/>
    </w:p>
    <w:p w14:paraId="61C7CE91">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51643438">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6AE5E545">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1FE960D3">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274AA16F">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3FDE04FD">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4630ACF0">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4409333E">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22B5DAB5">
      <w:pPr>
        <w:pageBreakBefore w:val="0"/>
        <w:kinsoku/>
        <w:wordWrap/>
        <w:topLinePunct w:val="0"/>
        <w:bidi w:val="0"/>
        <w:snapToGrid w:val="0"/>
        <w:spacing w:beforeAutospacing="0" w:afterAutospacing="0" w:line="460" w:lineRule="exact"/>
        <w:rPr>
          <w:rFonts w:hint="eastAsia" w:ascii="宋体" w:hAnsi="宋体" w:eastAsia="宋体" w:cs="宋体"/>
          <w:b/>
          <w:color w:val="auto"/>
          <w:sz w:val="28"/>
          <w:szCs w:val="28"/>
          <w:highlight w:val="none"/>
          <w:u w:val="single"/>
        </w:rPr>
      </w:pPr>
    </w:p>
    <w:p w14:paraId="5594596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411CBA7C">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3865D709">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29F9A36D">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225FEB39">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u w:val="single"/>
        </w:rPr>
        <w:t xml:space="preserve">(项目名称)       </w:t>
      </w:r>
      <w:r>
        <w:rPr>
          <w:rFonts w:hint="eastAsia" w:ascii="宋体" w:hAnsi="宋体" w:eastAsia="宋体" w:cs="宋体"/>
          <w:b/>
          <w:color w:val="auto"/>
          <w:sz w:val="32"/>
          <w:szCs w:val="32"/>
          <w:highlight w:val="none"/>
        </w:rPr>
        <w:t>工程施工招标</w:t>
      </w:r>
    </w:p>
    <w:p w14:paraId="1EC762F9">
      <w:pPr>
        <w:rPr>
          <w:rFonts w:hint="eastAsia" w:ascii="宋体" w:hAnsi="宋体" w:eastAsia="宋体" w:cs="宋体"/>
          <w:color w:val="auto"/>
          <w:highlight w:val="none"/>
        </w:rPr>
      </w:pPr>
    </w:p>
    <w:p w14:paraId="081D24AF">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2B8D98EE">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3B7F9D54">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7BACD14E">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2FC816C3">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投标文件商务标</w:t>
      </w:r>
    </w:p>
    <w:p w14:paraId="2C0BF2C9">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7392D393">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4F302820">
      <w:pPr>
        <w:pageBreakBefore w:val="0"/>
        <w:kinsoku/>
        <w:wordWrap/>
        <w:topLinePunct w:val="0"/>
        <w:bidi w:val="0"/>
        <w:spacing w:beforeAutospacing="0" w:afterAutospacing="0" w:line="460" w:lineRule="exact"/>
        <w:jc w:val="center"/>
        <w:rPr>
          <w:rFonts w:hint="eastAsia" w:ascii="宋体" w:hAnsi="宋体" w:eastAsia="宋体" w:cs="宋体"/>
          <w:b/>
          <w:color w:val="auto"/>
          <w:sz w:val="24"/>
          <w:highlight w:val="none"/>
        </w:rPr>
      </w:pPr>
    </w:p>
    <w:p w14:paraId="103CCCB7">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p>
    <w:p w14:paraId="33918C28">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  标  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（盖公章）        </w:t>
      </w:r>
    </w:p>
    <w:p w14:paraId="372D8D87">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p>
    <w:p w14:paraId="4119D065">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 定 代 表 人</w:t>
      </w:r>
    </w:p>
    <w:p w14:paraId="34BCD45A">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p>
    <w:p w14:paraId="7B7FB472">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或其委托代理人：</w:t>
      </w:r>
      <w:r>
        <w:rPr>
          <w:rFonts w:hint="eastAsia" w:ascii="宋体" w:hAnsi="宋体" w:eastAsia="宋体" w:cs="宋体"/>
          <w:b/>
          <w:color w:val="auto"/>
          <w:sz w:val="28"/>
          <w:szCs w:val="28"/>
          <w:highlight w:val="none"/>
          <w:u w:val="single"/>
        </w:rPr>
        <w:t xml:space="preserve">        （签字或盖章）          </w:t>
      </w:r>
    </w:p>
    <w:p w14:paraId="6398ECE8">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p>
    <w:p w14:paraId="2E74AEE2">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p>
    <w:p w14:paraId="7620AF09">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月</w:t>
      </w:r>
      <w:r>
        <w:rPr>
          <w:rFonts w:hint="eastAsia" w:ascii="宋体" w:hAnsi="宋体" w:eastAsia="宋体" w:cs="宋体"/>
          <w:b/>
          <w:color w:val="auto"/>
          <w:sz w:val="28"/>
          <w:szCs w:val="28"/>
          <w:highlight w:val="none"/>
          <w:u w:val="single"/>
        </w:rPr>
        <w:t xml:space="preserve">    </w:t>
      </w:r>
    </w:p>
    <w:p w14:paraId="10967DCC">
      <w:pPr>
        <w:pageBreakBefore w:val="0"/>
        <w:kinsoku/>
        <w:wordWrap/>
        <w:topLinePunct w:val="0"/>
        <w:bidi w:val="0"/>
        <w:snapToGrid w:val="0"/>
        <w:spacing w:beforeAutospacing="0" w:afterAutospacing="0" w:line="460" w:lineRule="exact"/>
        <w:rPr>
          <w:rFonts w:hint="eastAsia" w:ascii="宋体" w:hAnsi="宋体" w:eastAsia="宋体" w:cs="宋体"/>
          <w:b/>
          <w:color w:val="auto"/>
          <w:sz w:val="28"/>
          <w:szCs w:val="28"/>
          <w:highlight w:val="none"/>
          <w:u w:val="single"/>
        </w:rPr>
      </w:pPr>
    </w:p>
    <w:p w14:paraId="6DDC763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0B9EB0E8">
      <w:pPr>
        <w:pageBreakBefore w:val="0"/>
        <w:kinsoku/>
        <w:wordWrap/>
        <w:topLinePunct w:val="0"/>
        <w:autoSpaceDE w:val="0"/>
        <w:autoSpaceDN w:val="0"/>
        <w:bidi w:val="0"/>
        <w:adjustRightInd w:val="0"/>
        <w:spacing w:beforeAutospacing="0" w:afterAutospacing="0" w:line="460" w:lineRule="exact"/>
        <w:jc w:val="center"/>
        <w:rPr>
          <w:rFonts w:hint="eastAsia" w:ascii="宋体" w:hAnsi="宋体" w:eastAsia="宋体" w:cs="宋体"/>
          <w:color w:val="auto"/>
          <w:sz w:val="28"/>
          <w:szCs w:val="28"/>
          <w:highlight w:val="none"/>
          <w:lang w:eastAsia="zh-CN"/>
        </w:rPr>
      </w:pPr>
      <w:bookmarkStart w:id="975" w:name="_Toc514163609"/>
      <w:bookmarkStart w:id="976" w:name="_Toc514163722"/>
      <w:r>
        <w:rPr>
          <w:rFonts w:hint="eastAsia" w:ascii="宋体" w:hAnsi="宋体" w:eastAsia="宋体" w:cs="宋体"/>
          <w:color w:val="auto"/>
          <w:sz w:val="28"/>
          <w:szCs w:val="28"/>
          <w:highlight w:val="none"/>
        </w:rPr>
        <w:t>商务标目录</w:t>
      </w:r>
      <w:bookmarkEnd w:id="975"/>
      <w:bookmarkEnd w:id="976"/>
    </w:p>
    <w:p w14:paraId="1D657973">
      <w:pPr>
        <w:pStyle w:val="34"/>
        <w:pageBreakBefore w:val="0"/>
        <w:numPr>
          <w:ilvl w:val="0"/>
          <w:numId w:val="0"/>
        </w:numPr>
        <w:kinsoku/>
        <w:wordWrap/>
        <w:topLinePunct w:val="0"/>
        <w:bidi w:val="0"/>
        <w:spacing w:beforeAutospacing="0" w:afterAutospacing="0" w:line="46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一、投标承诺书（一）</w:t>
      </w:r>
    </w:p>
    <w:p w14:paraId="31193CAE">
      <w:pPr>
        <w:pStyle w:val="34"/>
        <w:pageBreakBefore w:val="0"/>
        <w:numPr>
          <w:ilvl w:val="0"/>
          <w:numId w:val="0"/>
        </w:numPr>
        <w:kinsoku/>
        <w:wordWrap/>
        <w:topLinePunct w:val="0"/>
        <w:bidi w:val="0"/>
        <w:spacing w:beforeAutospacing="0" w:afterAutospacing="0" w:line="460" w:lineRule="exact"/>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投标承诺书（二）</w:t>
      </w:r>
    </w:p>
    <w:p w14:paraId="05957020">
      <w:pPr>
        <w:pStyle w:val="34"/>
        <w:pageBreakBefore w:val="0"/>
        <w:numPr>
          <w:ilvl w:val="0"/>
          <w:numId w:val="0"/>
        </w:numPr>
        <w:kinsoku/>
        <w:wordWrap/>
        <w:topLinePunct w:val="0"/>
        <w:bidi w:val="0"/>
        <w:spacing w:beforeAutospacing="0" w:afterAutospacing="0" w:line="46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二、投标函</w:t>
      </w:r>
    </w:p>
    <w:p w14:paraId="79F1A801">
      <w:pPr>
        <w:pStyle w:val="34"/>
        <w:pageBreakBefore w:val="0"/>
        <w:numPr>
          <w:ilvl w:val="0"/>
          <w:numId w:val="0"/>
        </w:numPr>
        <w:kinsoku/>
        <w:wordWrap/>
        <w:topLinePunct w:val="0"/>
        <w:bidi w:val="0"/>
        <w:spacing w:beforeAutospacing="0" w:afterAutospacing="0" w:line="46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三、法定代表人身份证明书</w:t>
      </w:r>
    </w:p>
    <w:p w14:paraId="7EAFC2FA">
      <w:pPr>
        <w:pStyle w:val="3"/>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四、法定代表人授权委托书</w:t>
      </w:r>
    </w:p>
    <w:p w14:paraId="50C24A23">
      <w:pPr>
        <w:pStyle w:val="3"/>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Style w:val="28"/>
          <w:rFonts w:hint="eastAsia" w:ascii="宋体" w:hAnsi="宋体" w:eastAsia="宋体" w:cs="宋体"/>
          <w:b w:val="0"/>
          <w:bCs w:val="0"/>
          <w:color w:val="auto"/>
          <w:kern w:val="2"/>
          <w:sz w:val="24"/>
          <w:szCs w:val="24"/>
          <w:highlight w:val="none"/>
          <w:lang w:val="zh-CN" w:eastAsia="zh-CN" w:bidi="zh-CN"/>
        </w:rPr>
      </w:pPr>
      <w:r>
        <w:rPr>
          <w:rFonts w:hint="eastAsia" w:ascii="宋体" w:hAnsi="宋体" w:eastAsia="宋体" w:cs="宋体"/>
          <w:color w:val="auto"/>
          <w:sz w:val="24"/>
          <w:szCs w:val="24"/>
          <w:highlight w:val="none"/>
          <w:lang w:eastAsia="zh-CN"/>
        </w:rPr>
        <w:t>五</w:t>
      </w:r>
      <w:r>
        <w:rPr>
          <w:rStyle w:val="28"/>
          <w:rFonts w:hint="eastAsia" w:ascii="宋体" w:hAnsi="宋体" w:eastAsia="宋体" w:cs="宋体"/>
          <w:b w:val="0"/>
          <w:bCs w:val="0"/>
          <w:color w:val="auto"/>
          <w:kern w:val="2"/>
          <w:sz w:val="24"/>
          <w:szCs w:val="24"/>
          <w:highlight w:val="none"/>
          <w:lang w:val="zh-CN" w:eastAsia="zh-CN" w:bidi="zh-CN"/>
        </w:rPr>
        <w:t>、投标人资格说明</w:t>
      </w:r>
    </w:p>
    <w:p w14:paraId="755B896F">
      <w:pPr>
        <w:pStyle w:val="3"/>
        <w:keepNext w:val="0"/>
        <w:keepLines w:val="0"/>
        <w:pageBreakBefore w:val="0"/>
        <w:widowControl w:val="0"/>
        <w:kinsoku/>
        <w:wordWrap/>
        <w:overflowPunct/>
        <w:topLinePunct w:val="0"/>
        <w:autoSpaceDE w:val="0"/>
        <w:autoSpaceDN w:val="0"/>
        <w:bidi w:val="0"/>
        <w:adjustRightInd w:val="0"/>
        <w:snapToGrid w:val="0"/>
        <w:spacing w:line="400" w:lineRule="exact"/>
        <w:ind w:firstLine="240" w:firstLineChars="100"/>
        <w:jc w:val="left"/>
        <w:textAlignment w:val="auto"/>
        <w:rPr>
          <w:rStyle w:val="28"/>
          <w:rFonts w:hint="eastAsia" w:ascii="宋体" w:hAnsi="宋体" w:eastAsia="宋体" w:cs="宋体"/>
          <w:b w:val="0"/>
          <w:bCs w:val="0"/>
          <w:color w:val="auto"/>
          <w:kern w:val="2"/>
          <w:sz w:val="24"/>
          <w:szCs w:val="24"/>
          <w:highlight w:val="none"/>
          <w:lang w:val="en-US" w:eastAsia="zh-CN" w:bidi="zh-CN"/>
        </w:rPr>
      </w:pPr>
      <w:r>
        <w:rPr>
          <w:rStyle w:val="28"/>
          <w:rFonts w:hint="eastAsia" w:ascii="宋体" w:hAnsi="宋体" w:eastAsia="宋体" w:cs="宋体"/>
          <w:b w:val="0"/>
          <w:bCs w:val="0"/>
          <w:color w:val="auto"/>
          <w:kern w:val="2"/>
          <w:sz w:val="24"/>
          <w:szCs w:val="24"/>
          <w:highlight w:val="none"/>
          <w:lang w:val="en-US" w:eastAsia="zh-CN" w:bidi="zh-CN"/>
        </w:rPr>
        <w:t xml:space="preserve">5-1 </w:t>
      </w:r>
      <w:r>
        <w:rPr>
          <w:rStyle w:val="28"/>
          <w:rFonts w:hint="eastAsia" w:ascii="宋体" w:hAnsi="宋体" w:eastAsia="宋体" w:cs="宋体"/>
          <w:b w:val="0"/>
          <w:bCs w:val="0"/>
          <w:color w:val="auto"/>
          <w:kern w:val="2"/>
          <w:sz w:val="24"/>
          <w:szCs w:val="24"/>
          <w:highlight w:val="none"/>
          <w:lang w:val="zh-CN" w:eastAsia="zh-CN" w:bidi="zh-CN"/>
        </w:rPr>
        <w:t>供应商基本情况表</w:t>
      </w:r>
    </w:p>
    <w:p w14:paraId="32CF36D9">
      <w:pPr>
        <w:pStyle w:val="3"/>
        <w:keepNext w:val="0"/>
        <w:keepLines w:val="0"/>
        <w:pageBreakBefore w:val="0"/>
        <w:widowControl w:val="0"/>
        <w:kinsoku/>
        <w:wordWrap/>
        <w:overflowPunct/>
        <w:topLinePunct w:val="0"/>
        <w:autoSpaceDE w:val="0"/>
        <w:autoSpaceDN w:val="0"/>
        <w:bidi w:val="0"/>
        <w:adjustRightInd w:val="0"/>
        <w:snapToGrid w:val="0"/>
        <w:spacing w:line="400" w:lineRule="exact"/>
        <w:ind w:firstLine="240" w:firstLineChars="100"/>
        <w:jc w:val="left"/>
        <w:textAlignment w:val="auto"/>
        <w:rPr>
          <w:rStyle w:val="28"/>
          <w:rFonts w:hint="eastAsia" w:ascii="宋体" w:hAnsi="宋体" w:eastAsia="宋体" w:cs="宋体"/>
          <w:b w:val="0"/>
          <w:bCs w:val="0"/>
          <w:color w:val="auto"/>
          <w:kern w:val="2"/>
          <w:sz w:val="24"/>
          <w:szCs w:val="24"/>
          <w:highlight w:val="none"/>
          <w:lang w:val="zh-CN" w:eastAsia="zh-CN" w:bidi="zh-CN"/>
        </w:rPr>
      </w:pPr>
      <w:r>
        <w:rPr>
          <w:rStyle w:val="28"/>
          <w:rFonts w:hint="eastAsia" w:ascii="宋体" w:hAnsi="宋体" w:eastAsia="宋体" w:cs="宋体"/>
          <w:b w:val="0"/>
          <w:bCs w:val="0"/>
          <w:color w:val="auto"/>
          <w:kern w:val="2"/>
          <w:sz w:val="24"/>
          <w:szCs w:val="24"/>
          <w:highlight w:val="none"/>
          <w:lang w:val="en-US" w:eastAsia="zh-CN" w:bidi="zh-CN"/>
        </w:rPr>
        <w:t xml:space="preserve">5-2 </w:t>
      </w:r>
      <w:r>
        <w:rPr>
          <w:rStyle w:val="28"/>
          <w:rFonts w:hint="eastAsia" w:ascii="宋体" w:hAnsi="宋体" w:eastAsia="宋体" w:cs="宋体"/>
          <w:b w:val="0"/>
          <w:bCs w:val="0"/>
          <w:color w:val="auto"/>
          <w:kern w:val="2"/>
          <w:sz w:val="24"/>
          <w:szCs w:val="24"/>
          <w:highlight w:val="none"/>
          <w:lang w:val="zh-CN" w:eastAsia="zh-CN" w:bidi="zh-CN"/>
        </w:rPr>
        <w:t>磋商响应保证金汇款凭证</w:t>
      </w:r>
    </w:p>
    <w:p w14:paraId="16804287">
      <w:pPr>
        <w:pStyle w:val="3"/>
        <w:keepNext w:val="0"/>
        <w:keepLines w:val="0"/>
        <w:pageBreakBefore w:val="0"/>
        <w:widowControl w:val="0"/>
        <w:kinsoku/>
        <w:wordWrap/>
        <w:overflowPunct/>
        <w:topLinePunct w:val="0"/>
        <w:autoSpaceDE w:val="0"/>
        <w:autoSpaceDN w:val="0"/>
        <w:bidi w:val="0"/>
        <w:adjustRightInd w:val="0"/>
        <w:snapToGrid w:val="0"/>
        <w:spacing w:line="400" w:lineRule="exact"/>
        <w:ind w:firstLine="240" w:firstLineChars="100"/>
        <w:jc w:val="left"/>
        <w:textAlignment w:val="auto"/>
        <w:rPr>
          <w:rStyle w:val="28"/>
          <w:rFonts w:hint="eastAsia" w:ascii="宋体" w:hAnsi="宋体" w:eastAsia="宋体" w:cs="宋体"/>
          <w:b w:val="0"/>
          <w:bCs w:val="0"/>
          <w:color w:val="auto"/>
          <w:kern w:val="2"/>
          <w:sz w:val="24"/>
          <w:szCs w:val="24"/>
          <w:highlight w:val="none"/>
          <w:lang w:val="en-US" w:eastAsia="zh-CN" w:bidi="zh-CN"/>
        </w:rPr>
      </w:pPr>
      <w:r>
        <w:rPr>
          <w:rStyle w:val="28"/>
          <w:rFonts w:hint="eastAsia" w:ascii="宋体" w:hAnsi="宋体" w:eastAsia="宋体" w:cs="宋体"/>
          <w:b w:val="0"/>
          <w:bCs w:val="0"/>
          <w:color w:val="auto"/>
          <w:kern w:val="2"/>
          <w:sz w:val="24"/>
          <w:szCs w:val="24"/>
          <w:highlight w:val="none"/>
          <w:lang w:val="en-US" w:eastAsia="zh-CN" w:bidi="zh-CN"/>
        </w:rPr>
        <w:t>5-3 具有良好的商业信誉和健全的财务会计制度</w:t>
      </w:r>
      <w:r>
        <w:rPr>
          <w:rFonts w:hint="eastAsia" w:ascii="宋体" w:hAnsi="宋体" w:eastAsia="宋体" w:cs="宋体"/>
          <w:color w:val="auto"/>
          <w:sz w:val="24"/>
          <w:szCs w:val="24"/>
          <w:highlight w:val="none"/>
          <w:lang w:val="en-US" w:eastAsia="zh-CN"/>
        </w:rPr>
        <w:t>的相关材料</w:t>
      </w:r>
    </w:p>
    <w:p w14:paraId="1B94BA28">
      <w:pPr>
        <w:pStyle w:val="3"/>
        <w:keepNext w:val="0"/>
        <w:keepLines w:val="0"/>
        <w:pageBreakBefore w:val="0"/>
        <w:widowControl w:val="0"/>
        <w:kinsoku/>
        <w:wordWrap/>
        <w:overflowPunct/>
        <w:topLinePunct w:val="0"/>
        <w:autoSpaceDE w:val="0"/>
        <w:autoSpaceDN w:val="0"/>
        <w:bidi w:val="0"/>
        <w:adjustRightInd w:val="0"/>
        <w:snapToGrid w:val="0"/>
        <w:spacing w:line="40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 依法缴纳税收和社会保障资金的相关材料</w:t>
      </w:r>
    </w:p>
    <w:p w14:paraId="2814113A">
      <w:pPr>
        <w:pStyle w:val="3"/>
        <w:keepNext w:val="0"/>
        <w:keepLines w:val="0"/>
        <w:pageBreakBefore w:val="0"/>
        <w:widowControl w:val="0"/>
        <w:kinsoku/>
        <w:wordWrap/>
        <w:overflowPunct/>
        <w:topLinePunct w:val="0"/>
        <w:autoSpaceDE w:val="0"/>
        <w:autoSpaceDN w:val="0"/>
        <w:bidi w:val="0"/>
        <w:adjustRightInd w:val="0"/>
        <w:snapToGrid w:val="0"/>
        <w:spacing w:line="400" w:lineRule="exact"/>
        <w:ind w:firstLine="240" w:firstLineChars="1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5-5 具备履行合同所必需的设备和专业技术能力的证明材料</w:t>
      </w:r>
    </w:p>
    <w:p w14:paraId="5941B201">
      <w:pPr>
        <w:pStyle w:val="3"/>
        <w:keepNext w:val="0"/>
        <w:keepLines w:val="0"/>
        <w:pageBreakBefore w:val="0"/>
        <w:widowControl w:val="0"/>
        <w:kinsoku/>
        <w:wordWrap/>
        <w:overflowPunct/>
        <w:topLinePunct w:val="0"/>
        <w:autoSpaceDE w:val="0"/>
        <w:autoSpaceDN w:val="0"/>
        <w:bidi w:val="0"/>
        <w:adjustRightInd w:val="0"/>
        <w:snapToGrid w:val="0"/>
        <w:spacing w:line="400" w:lineRule="exact"/>
        <w:ind w:firstLine="240" w:firstLineChars="1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5-6 参加政府采购活动前三年内在经营活动中没有重大违法记录的书面声明</w:t>
      </w:r>
    </w:p>
    <w:p w14:paraId="133E0BB2">
      <w:pPr>
        <w:pStyle w:val="3"/>
        <w:keepNext w:val="0"/>
        <w:keepLines w:val="0"/>
        <w:pageBreakBefore w:val="0"/>
        <w:widowControl w:val="0"/>
        <w:kinsoku/>
        <w:wordWrap/>
        <w:overflowPunct/>
        <w:topLinePunct w:val="0"/>
        <w:autoSpaceDE w:val="0"/>
        <w:autoSpaceDN w:val="0"/>
        <w:bidi w:val="0"/>
        <w:adjustRightInd w:val="0"/>
        <w:snapToGrid w:val="0"/>
        <w:spacing w:line="400" w:lineRule="exact"/>
        <w:ind w:firstLine="240" w:firstLineChars="1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5-7 提供符合采购政策的证明材料</w:t>
      </w:r>
    </w:p>
    <w:p w14:paraId="11C62781">
      <w:pPr>
        <w:pStyle w:val="3"/>
        <w:keepNext w:val="0"/>
        <w:keepLines w:val="0"/>
        <w:pageBreakBefore w:val="0"/>
        <w:widowControl w:val="0"/>
        <w:kinsoku/>
        <w:wordWrap/>
        <w:overflowPunct/>
        <w:topLinePunct w:val="0"/>
        <w:autoSpaceDE w:val="0"/>
        <w:autoSpaceDN w:val="0"/>
        <w:bidi w:val="0"/>
        <w:adjustRightInd w:val="0"/>
        <w:snapToGrid w:val="0"/>
        <w:spacing w:line="400" w:lineRule="exact"/>
        <w:ind w:firstLine="240" w:firstLineChars="1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5-8 声明函</w:t>
      </w:r>
    </w:p>
    <w:p w14:paraId="777575F5">
      <w:pPr>
        <w:pStyle w:val="3"/>
        <w:keepNext w:val="0"/>
        <w:keepLines w:val="0"/>
        <w:pageBreakBefore w:val="0"/>
        <w:widowControl w:val="0"/>
        <w:kinsoku/>
        <w:wordWrap/>
        <w:overflowPunct/>
        <w:topLinePunct w:val="0"/>
        <w:autoSpaceDE w:val="0"/>
        <w:autoSpaceDN w:val="0"/>
        <w:bidi w:val="0"/>
        <w:adjustRightInd w:val="0"/>
        <w:snapToGrid w:val="0"/>
        <w:spacing w:line="400" w:lineRule="exact"/>
        <w:ind w:firstLine="240" w:firstLineChars="100"/>
        <w:jc w:val="left"/>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六、供应商近三年（2022年1月1日-至今）类似业绩证明材料</w:t>
      </w:r>
    </w:p>
    <w:p w14:paraId="0A7FF3B1">
      <w:pPr>
        <w:pStyle w:val="3"/>
        <w:keepNext w:val="0"/>
        <w:keepLines w:val="0"/>
        <w:pageBreakBefore w:val="0"/>
        <w:widowControl w:val="0"/>
        <w:kinsoku/>
        <w:wordWrap/>
        <w:overflowPunct/>
        <w:topLinePunct w:val="0"/>
        <w:autoSpaceDE w:val="0"/>
        <w:autoSpaceDN w:val="0"/>
        <w:bidi w:val="0"/>
        <w:adjustRightInd w:val="0"/>
        <w:snapToGrid w:val="0"/>
        <w:spacing w:line="40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zh-CN"/>
        </w:rPr>
        <w:t>七、项目负责人简</w:t>
      </w:r>
      <w:r>
        <w:rPr>
          <w:rFonts w:hint="eastAsia" w:ascii="宋体" w:hAnsi="宋体" w:eastAsia="宋体" w:cs="宋体"/>
          <w:color w:val="auto"/>
          <w:sz w:val="24"/>
          <w:szCs w:val="24"/>
          <w:highlight w:val="none"/>
          <w:lang w:val="en-US" w:eastAsia="zh-CN"/>
        </w:rPr>
        <w:t>历</w:t>
      </w:r>
    </w:p>
    <w:p w14:paraId="3C13489E">
      <w:pPr>
        <w:pStyle w:val="3"/>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八、拟投入本项目的主要成员表</w:t>
      </w:r>
    </w:p>
    <w:p w14:paraId="2238BB92">
      <w:pPr>
        <w:pStyle w:val="3"/>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九、反商业贿赂承诺书</w:t>
      </w:r>
    </w:p>
    <w:p w14:paraId="0B93B8C8">
      <w:pPr>
        <w:pStyle w:val="3"/>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十、商务条款响应及偏离表</w:t>
      </w:r>
    </w:p>
    <w:p w14:paraId="0C7A5395">
      <w:pPr>
        <w:pStyle w:val="3"/>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投标企业认为有必要提供的其他资料。</w:t>
      </w:r>
    </w:p>
    <w:p w14:paraId="566DB0BA">
      <w:pPr>
        <w:rPr>
          <w:rFonts w:hint="eastAsia" w:ascii="宋体" w:hAnsi="宋体" w:eastAsia="宋体" w:cs="宋体"/>
          <w:bCs/>
          <w:color w:val="auto"/>
          <w:sz w:val="24"/>
          <w:szCs w:val="24"/>
          <w:highlight w:val="none"/>
        </w:rPr>
      </w:pPr>
    </w:p>
    <w:p w14:paraId="2AE61DFD">
      <w:pPr>
        <w:rPr>
          <w:rFonts w:hint="eastAsia" w:ascii="宋体" w:hAnsi="宋体" w:eastAsia="宋体" w:cs="宋体"/>
          <w:bCs/>
          <w:color w:val="auto"/>
          <w:sz w:val="24"/>
          <w:szCs w:val="24"/>
          <w:highlight w:val="none"/>
        </w:rPr>
      </w:pPr>
    </w:p>
    <w:p w14:paraId="641CA55D">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注：为了便于查找，请按上述顺序编排商务标内容，并在目录中标明每项内容的起始页码。</w:t>
      </w:r>
    </w:p>
    <w:p w14:paraId="016933FF">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3D4B1DF6">
      <w:pPr>
        <w:pageBreakBefore w:val="0"/>
        <w:kinsoku/>
        <w:wordWrap/>
        <w:topLinePunct w:val="0"/>
        <w:autoSpaceDE w:val="0"/>
        <w:autoSpaceDN w:val="0"/>
        <w:bidi w:val="0"/>
        <w:adjustRightInd w:val="0"/>
        <w:spacing w:beforeAutospacing="0" w:afterAutospacing="0" w:line="460" w:lineRule="exact"/>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lang w:val="zh-CN"/>
        </w:rPr>
        <w:t>一、投标承诺书（一）</w:t>
      </w:r>
      <w:bookmarkEnd w:id="973"/>
      <w:bookmarkEnd w:id="974"/>
    </w:p>
    <w:p w14:paraId="6364D902">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招标人：</w:t>
      </w:r>
      <w:r>
        <w:rPr>
          <w:rFonts w:hint="eastAsia" w:ascii="宋体" w:hAnsi="宋体" w:eastAsia="宋体" w:cs="宋体"/>
          <w:color w:val="auto"/>
          <w:sz w:val="24"/>
          <w:highlight w:val="none"/>
          <w:u w:val="single"/>
        </w:rPr>
        <w:t xml:space="preserve">                 </w:t>
      </w:r>
    </w:p>
    <w:p w14:paraId="56799CCE">
      <w:pPr>
        <w:pageBreakBefore w:val="0"/>
        <w:kinsoku/>
        <w:wordWrap/>
        <w:topLinePunct w:val="0"/>
        <w:autoSpaceDE w:val="0"/>
        <w:autoSpaceDN w:val="0"/>
        <w:bidi w:val="0"/>
        <w:adjustRightInd w:val="0"/>
        <w:spacing w:beforeAutospacing="0" w:afterAutospacing="0" w:line="46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、根据已收到的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项目的磋商文件，我单位经考察现场和研究贵方的磋商文件后，将接受该工程磋商文件中各条款内容并且以经济标中所报投标价格承包本磋商范围内的工程。</w:t>
      </w:r>
    </w:p>
    <w:p w14:paraId="5C68A01D">
      <w:pPr>
        <w:pageBreakBefore w:val="0"/>
        <w:kinsoku/>
        <w:wordWrap/>
        <w:topLinePunct w:val="0"/>
        <w:autoSpaceDE w:val="0"/>
        <w:autoSpaceDN w:val="0"/>
        <w:bidi w:val="0"/>
        <w:adjustRightInd w:val="0"/>
        <w:spacing w:beforeAutospacing="0" w:afterAutospacing="0" w:line="46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、如果我方中标，非业主原因，我方保证将在下列日期内组织施工。</w:t>
      </w:r>
    </w:p>
    <w:p w14:paraId="0E936483">
      <w:pPr>
        <w:pageBreakBefore w:val="0"/>
        <w:kinsoku/>
        <w:wordWrap/>
        <w:topLinePunct w:val="0"/>
        <w:autoSpaceDE w:val="0"/>
        <w:autoSpaceDN w:val="0"/>
        <w:bidi w:val="0"/>
        <w:adjustRightInd w:val="0"/>
        <w:spacing w:beforeAutospacing="0" w:afterAutospacing="0" w:line="460" w:lineRule="exact"/>
        <w:ind w:firstLine="720" w:firstLineChars="3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zh-CN"/>
        </w:rPr>
        <w:t>工程工期：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lang w:eastAsia="zh-CN"/>
        </w:rPr>
        <w:t>工程保修期：</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 xml:space="preserve">  </w:t>
      </w:r>
    </w:p>
    <w:p w14:paraId="38345565">
      <w:pPr>
        <w:pageBreakBefore w:val="0"/>
        <w:kinsoku/>
        <w:wordWrap/>
        <w:topLinePunct w:val="0"/>
        <w:autoSpaceDE w:val="0"/>
        <w:autoSpaceDN w:val="0"/>
        <w:bidi w:val="0"/>
        <w:adjustRightInd w:val="0"/>
        <w:spacing w:beforeAutospacing="0" w:afterAutospacing="0" w:line="46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、如果我方中标，非业主原因，我方保证将按下列质量等级完成本工程。</w:t>
      </w:r>
    </w:p>
    <w:p w14:paraId="5BC21D32">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zh-CN"/>
        </w:rPr>
        <w:t>质量等级：</w:t>
      </w:r>
      <w:r>
        <w:rPr>
          <w:rFonts w:hint="eastAsia" w:ascii="宋体" w:hAnsi="宋体" w:eastAsia="宋体" w:cs="宋体"/>
          <w:color w:val="auto"/>
          <w:sz w:val="24"/>
          <w:highlight w:val="none"/>
          <w:u w:val="single"/>
        </w:rPr>
        <w:t xml:space="preserve">        </w:t>
      </w:r>
    </w:p>
    <w:p w14:paraId="49E4A621">
      <w:pPr>
        <w:pageBreakBefore w:val="0"/>
        <w:numPr>
          <w:ilvl w:val="0"/>
          <w:numId w:val="4"/>
        </w:numPr>
        <w:kinsoku/>
        <w:wordWrap/>
        <w:topLinePunct w:val="0"/>
        <w:autoSpaceDE w:val="0"/>
        <w:autoSpaceDN w:val="0"/>
        <w:bidi w:val="0"/>
        <w:adjustRightInd w:val="0"/>
        <w:spacing w:beforeAutospacing="0" w:afterAutospacing="0" w:line="460" w:lineRule="exact"/>
        <w:ind w:firstLine="42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如果我方中标，我方将按磋商文件规定的时间内签订承包合同。如果我方违约，除投标保证金外，我方还将以中标价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作为赔偿金，同时贵方有权终止我方中标并选择其它成交人。</w:t>
      </w:r>
    </w:p>
    <w:p w14:paraId="694D8CBA">
      <w:pPr>
        <w:pageBreakBefore w:val="0"/>
        <w:kinsoku/>
        <w:wordWrap/>
        <w:topLinePunct w:val="0"/>
        <w:autoSpaceDE w:val="0"/>
        <w:autoSpaceDN w:val="0"/>
        <w:bidi w:val="0"/>
        <w:adjustRightInd w:val="0"/>
        <w:spacing w:beforeAutospacing="0" w:afterAutospacing="0" w:line="46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、贵方的磋商文件、中标通知书、我方的投标文件将构成约束双方的合同一部分。</w:t>
      </w:r>
    </w:p>
    <w:p w14:paraId="6C4C7235">
      <w:pPr>
        <w:pageBreakBefore w:val="0"/>
        <w:kinsoku/>
        <w:wordWrap/>
        <w:topLinePunct w:val="0"/>
        <w:autoSpaceDE w:val="0"/>
        <w:autoSpaceDN w:val="0"/>
        <w:bidi w:val="0"/>
        <w:adjustRightInd w:val="0"/>
        <w:spacing w:beforeAutospacing="0" w:afterAutospacing="0" w:line="46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、如果我方未中标，贵方没有必要对我方做出任何解释和说明，我方将充分尊重和理解贵方的选择。</w:t>
      </w:r>
    </w:p>
    <w:p w14:paraId="597312ED">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p>
    <w:p w14:paraId="2D0BE1E4">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投标人：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（盖章）</w:t>
      </w:r>
    </w:p>
    <w:p w14:paraId="146C7FF3">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lang w:val="zh-CN"/>
        </w:rPr>
      </w:pPr>
    </w:p>
    <w:p w14:paraId="728A48F0">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法定代表人或其委托代理人：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（签字或盖章）</w:t>
      </w:r>
    </w:p>
    <w:p w14:paraId="595290AD">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p>
    <w:p w14:paraId="1589F7C4">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 xml:space="preserve"> </w:t>
      </w:r>
    </w:p>
    <w:p w14:paraId="32638DCA">
      <w:pPr>
        <w:pageBreakBefore w:val="0"/>
        <w:kinsoku/>
        <w:wordWrap/>
        <w:topLinePunct w:val="0"/>
        <w:autoSpaceDE w:val="0"/>
        <w:autoSpaceDN w:val="0"/>
        <w:bidi w:val="0"/>
        <w:adjustRightInd w:val="0"/>
        <w:spacing w:beforeAutospacing="0" w:afterAutospacing="0" w:line="46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bookmarkStart w:id="977" w:name="_Toc25569_WPSOffice_Level1"/>
      <w:bookmarkStart w:id="978" w:name="_Toc420348769"/>
      <w:r>
        <w:rPr>
          <w:rFonts w:hint="eastAsia" w:ascii="宋体" w:hAnsi="宋体" w:eastAsia="宋体" w:cs="宋体"/>
          <w:b/>
          <w:bCs/>
          <w:color w:val="auto"/>
          <w:sz w:val="32"/>
          <w:szCs w:val="32"/>
          <w:highlight w:val="none"/>
          <w:lang w:val="zh-CN"/>
        </w:rPr>
        <w:t>投标承诺书（二）</w:t>
      </w:r>
      <w:bookmarkEnd w:id="977"/>
      <w:bookmarkEnd w:id="978"/>
    </w:p>
    <w:p w14:paraId="0330DBF1">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招标人：</w:t>
      </w:r>
      <w:r>
        <w:rPr>
          <w:rFonts w:hint="eastAsia" w:ascii="宋体" w:hAnsi="宋体" w:eastAsia="宋体" w:cs="宋体"/>
          <w:color w:val="auto"/>
          <w:sz w:val="24"/>
          <w:highlight w:val="none"/>
          <w:u w:val="single"/>
        </w:rPr>
        <w:t xml:space="preserve">                 </w:t>
      </w:r>
    </w:p>
    <w:p w14:paraId="4B5484B0">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如果我方中标，施工项目负责人为：</w:t>
      </w:r>
    </w:p>
    <w:tbl>
      <w:tblPr>
        <w:tblStyle w:val="25"/>
        <w:tblW w:w="91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395"/>
        <w:gridCol w:w="2390"/>
        <w:gridCol w:w="2396"/>
        <w:gridCol w:w="2011"/>
      </w:tblGrid>
      <w:tr w14:paraId="635C0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96" w:hRule="atLeast"/>
        </w:trPr>
        <w:tc>
          <w:tcPr>
            <w:tcW w:w="2395" w:type="dxa"/>
            <w:tcBorders>
              <w:top w:val="single" w:color="auto" w:sz="4" w:space="0"/>
              <w:bottom w:val="single" w:color="auto" w:sz="4" w:space="0"/>
              <w:right w:val="single" w:color="auto" w:sz="4" w:space="0"/>
            </w:tcBorders>
            <w:noWrap w:val="0"/>
            <w:vAlign w:val="top"/>
          </w:tcPr>
          <w:p w14:paraId="6DA6A8B7">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姓名</w:t>
            </w:r>
          </w:p>
        </w:tc>
        <w:tc>
          <w:tcPr>
            <w:tcW w:w="2390" w:type="dxa"/>
            <w:tcBorders>
              <w:top w:val="single" w:color="auto" w:sz="4" w:space="0"/>
              <w:left w:val="single" w:color="auto" w:sz="4" w:space="0"/>
              <w:bottom w:val="single" w:color="auto" w:sz="4" w:space="0"/>
              <w:right w:val="single" w:color="auto" w:sz="4" w:space="0"/>
            </w:tcBorders>
            <w:noWrap w:val="0"/>
            <w:vAlign w:val="top"/>
          </w:tcPr>
          <w:p w14:paraId="03F89FAB">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tc>
        <w:tc>
          <w:tcPr>
            <w:tcW w:w="2396" w:type="dxa"/>
            <w:tcBorders>
              <w:top w:val="single" w:color="auto" w:sz="4" w:space="0"/>
              <w:left w:val="single" w:color="auto" w:sz="4" w:space="0"/>
              <w:bottom w:val="single" w:color="auto" w:sz="4" w:space="0"/>
              <w:right w:val="single" w:color="auto" w:sz="4" w:space="0"/>
            </w:tcBorders>
            <w:noWrap w:val="0"/>
            <w:vAlign w:val="top"/>
          </w:tcPr>
          <w:p w14:paraId="6EAF7264">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职称</w:t>
            </w:r>
          </w:p>
        </w:tc>
        <w:tc>
          <w:tcPr>
            <w:tcW w:w="2011" w:type="dxa"/>
            <w:tcBorders>
              <w:top w:val="single" w:color="auto" w:sz="4" w:space="0"/>
              <w:left w:val="single" w:color="auto" w:sz="4" w:space="0"/>
              <w:bottom w:val="single" w:color="auto" w:sz="4" w:space="0"/>
            </w:tcBorders>
            <w:noWrap w:val="0"/>
            <w:vAlign w:val="top"/>
          </w:tcPr>
          <w:p w14:paraId="0AC5F555">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tc>
      </w:tr>
      <w:tr w14:paraId="1FFED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7" w:hRule="atLeast"/>
        </w:trPr>
        <w:tc>
          <w:tcPr>
            <w:tcW w:w="2395" w:type="dxa"/>
            <w:tcBorders>
              <w:top w:val="single" w:color="auto" w:sz="4" w:space="0"/>
              <w:bottom w:val="single" w:color="auto" w:sz="4" w:space="0"/>
              <w:right w:val="single" w:color="auto" w:sz="4" w:space="0"/>
            </w:tcBorders>
            <w:noWrap w:val="0"/>
            <w:vAlign w:val="top"/>
          </w:tcPr>
          <w:p w14:paraId="3589C68E">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注册建造师等级</w:t>
            </w:r>
          </w:p>
        </w:tc>
        <w:tc>
          <w:tcPr>
            <w:tcW w:w="2390" w:type="dxa"/>
            <w:tcBorders>
              <w:top w:val="single" w:color="auto" w:sz="4" w:space="0"/>
              <w:left w:val="single" w:color="auto" w:sz="4" w:space="0"/>
              <w:bottom w:val="single" w:color="auto" w:sz="4" w:space="0"/>
              <w:right w:val="single" w:color="auto" w:sz="4" w:space="0"/>
            </w:tcBorders>
            <w:noWrap w:val="0"/>
            <w:vAlign w:val="top"/>
          </w:tcPr>
          <w:p w14:paraId="5E635AA0">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tc>
        <w:tc>
          <w:tcPr>
            <w:tcW w:w="2396" w:type="dxa"/>
            <w:tcBorders>
              <w:top w:val="single" w:color="auto" w:sz="4" w:space="0"/>
              <w:left w:val="single" w:color="auto" w:sz="4" w:space="0"/>
              <w:bottom w:val="single" w:color="auto" w:sz="4" w:space="0"/>
              <w:right w:val="single" w:color="auto" w:sz="4" w:space="0"/>
            </w:tcBorders>
            <w:noWrap w:val="0"/>
            <w:vAlign w:val="top"/>
          </w:tcPr>
          <w:p w14:paraId="32502391">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注册建造师证书编号</w:t>
            </w:r>
          </w:p>
        </w:tc>
        <w:tc>
          <w:tcPr>
            <w:tcW w:w="2011" w:type="dxa"/>
            <w:tcBorders>
              <w:top w:val="single" w:color="auto" w:sz="4" w:space="0"/>
              <w:left w:val="single" w:color="auto" w:sz="4" w:space="0"/>
              <w:bottom w:val="single" w:color="auto" w:sz="4" w:space="0"/>
            </w:tcBorders>
            <w:noWrap w:val="0"/>
            <w:vAlign w:val="top"/>
          </w:tcPr>
          <w:p w14:paraId="2C4E5AE9">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tc>
      </w:tr>
      <w:tr w14:paraId="5E116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60" w:hRule="atLeast"/>
        </w:trPr>
        <w:tc>
          <w:tcPr>
            <w:tcW w:w="2395" w:type="dxa"/>
            <w:tcBorders>
              <w:top w:val="single" w:color="auto" w:sz="4" w:space="0"/>
              <w:bottom w:val="single" w:color="auto" w:sz="4" w:space="0"/>
              <w:right w:val="single" w:color="auto" w:sz="4" w:space="0"/>
            </w:tcBorders>
            <w:noWrap w:val="0"/>
            <w:vAlign w:val="top"/>
          </w:tcPr>
          <w:p w14:paraId="3B2206D6">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身份证号码</w:t>
            </w:r>
          </w:p>
        </w:tc>
        <w:tc>
          <w:tcPr>
            <w:tcW w:w="6797" w:type="dxa"/>
            <w:gridSpan w:val="3"/>
            <w:tcBorders>
              <w:top w:val="single" w:color="auto" w:sz="4" w:space="0"/>
              <w:left w:val="single" w:color="auto" w:sz="4" w:space="0"/>
              <w:bottom w:val="single" w:color="auto" w:sz="4" w:space="0"/>
            </w:tcBorders>
            <w:noWrap w:val="0"/>
            <w:vAlign w:val="top"/>
          </w:tcPr>
          <w:p w14:paraId="65180B80">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tc>
      </w:tr>
    </w:tbl>
    <w:p w14:paraId="045AC8A5">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p>
    <w:p w14:paraId="4FFC88F9">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作为赔偿金。</w:t>
      </w:r>
    </w:p>
    <w:p w14:paraId="14897CD4">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p>
    <w:p w14:paraId="00BD47D9">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p>
    <w:p w14:paraId="078B3CDF">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投标人：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（盖章）</w:t>
      </w:r>
    </w:p>
    <w:p w14:paraId="27CF31D9">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lang w:val="zh-CN"/>
        </w:rPr>
      </w:pPr>
    </w:p>
    <w:p w14:paraId="53E8AEF4">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法定代表人或其委托代理人：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（签字或盖章）</w:t>
      </w:r>
    </w:p>
    <w:p w14:paraId="00AFCD11">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p>
    <w:p w14:paraId="1421B6F8">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 xml:space="preserve"> </w:t>
      </w:r>
    </w:p>
    <w:p w14:paraId="2E26974B">
      <w:pPr>
        <w:pStyle w:val="35"/>
        <w:pageBreakBefore w:val="0"/>
        <w:kinsoku/>
        <w:wordWrap/>
        <w:topLinePunct w:val="0"/>
        <w:bidi w:val="0"/>
        <w:spacing w:beforeAutospacing="0" w:afterAutospacing="0" w:line="460" w:lineRule="exact"/>
        <w:jc w:val="both"/>
        <w:rPr>
          <w:rFonts w:hint="eastAsia" w:ascii="宋体" w:hAnsi="宋体" w:eastAsia="宋体" w:cs="宋体"/>
          <w:b/>
          <w:color w:val="auto"/>
          <w:highlight w:val="none"/>
        </w:rPr>
      </w:pPr>
    </w:p>
    <w:p w14:paraId="51C8AE34">
      <w:pPr>
        <w:pStyle w:val="35"/>
        <w:pageBreakBefore w:val="0"/>
        <w:kinsoku/>
        <w:wordWrap/>
        <w:topLinePunct w:val="0"/>
        <w:bidi w:val="0"/>
        <w:spacing w:beforeAutospacing="0" w:afterAutospacing="0" w:line="460" w:lineRule="exact"/>
        <w:jc w:val="both"/>
        <w:rPr>
          <w:rFonts w:hint="eastAsia" w:ascii="宋体" w:hAnsi="宋体" w:eastAsia="宋体" w:cs="宋体"/>
          <w:b/>
          <w:color w:val="auto"/>
          <w:highlight w:val="none"/>
        </w:rPr>
      </w:pPr>
    </w:p>
    <w:p w14:paraId="65D6B15A">
      <w:pPr>
        <w:pStyle w:val="35"/>
        <w:pageBreakBefore w:val="0"/>
        <w:kinsoku/>
        <w:wordWrap/>
        <w:topLinePunct w:val="0"/>
        <w:bidi w:val="0"/>
        <w:spacing w:beforeAutospacing="0" w:afterAutospacing="0" w:line="460" w:lineRule="exact"/>
        <w:jc w:val="both"/>
        <w:rPr>
          <w:rFonts w:hint="eastAsia" w:ascii="宋体" w:hAnsi="宋体" w:eastAsia="宋体" w:cs="宋体"/>
          <w:b/>
          <w:color w:val="auto"/>
          <w:highlight w:val="none"/>
        </w:rPr>
      </w:pPr>
    </w:p>
    <w:p w14:paraId="06B16AD8">
      <w:pPr>
        <w:pStyle w:val="35"/>
        <w:pageBreakBefore w:val="0"/>
        <w:kinsoku/>
        <w:wordWrap/>
        <w:topLinePunct w:val="0"/>
        <w:bidi w:val="0"/>
        <w:spacing w:beforeAutospacing="0" w:afterAutospacing="0" w:line="460" w:lineRule="exact"/>
        <w:jc w:val="both"/>
        <w:rPr>
          <w:rFonts w:hint="eastAsia" w:ascii="宋体" w:hAnsi="宋体" w:eastAsia="宋体" w:cs="宋体"/>
          <w:b/>
          <w:color w:val="auto"/>
          <w:highlight w:val="none"/>
        </w:rPr>
      </w:pPr>
    </w:p>
    <w:p w14:paraId="0AA61CB0">
      <w:pPr>
        <w:pStyle w:val="35"/>
        <w:pageBreakBefore w:val="0"/>
        <w:kinsoku/>
        <w:wordWrap/>
        <w:topLinePunct w:val="0"/>
        <w:bidi w:val="0"/>
        <w:spacing w:beforeAutospacing="0" w:afterAutospacing="0" w:line="460" w:lineRule="exact"/>
        <w:jc w:val="both"/>
        <w:rPr>
          <w:rFonts w:hint="eastAsia" w:ascii="宋体" w:hAnsi="宋体" w:eastAsia="宋体" w:cs="宋体"/>
          <w:b/>
          <w:color w:val="auto"/>
          <w:highlight w:val="none"/>
        </w:rPr>
      </w:pPr>
    </w:p>
    <w:p w14:paraId="3BD81B1D">
      <w:pPr>
        <w:pStyle w:val="35"/>
        <w:pageBreakBefore w:val="0"/>
        <w:kinsoku/>
        <w:wordWrap/>
        <w:topLinePunct w:val="0"/>
        <w:bidi w:val="0"/>
        <w:spacing w:beforeAutospacing="0" w:afterAutospacing="0" w:line="460" w:lineRule="exact"/>
        <w:jc w:val="both"/>
        <w:rPr>
          <w:rFonts w:hint="eastAsia" w:ascii="宋体" w:hAnsi="宋体" w:eastAsia="宋体" w:cs="宋体"/>
          <w:b/>
          <w:color w:val="auto"/>
          <w:highlight w:val="none"/>
        </w:rPr>
      </w:pPr>
    </w:p>
    <w:p w14:paraId="2E11C667">
      <w:pPr>
        <w:pStyle w:val="35"/>
        <w:pageBreakBefore w:val="0"/>
        <w:kinsoku/>
        <w:wordWrap/>
        <w:topLinePunct w:val="0"/>
        <w:bidi w:val="0"/>
        <w:spacing w:beforeAutospacing="0" w:afterAutospacing="0" w:line="460" w:lineRule="exact"/>
        <w:jc w:val="both"/>
        <w:rPr>
          <w:rFonts w:hint="eastAsia" w:ascii="宋体" w:hAnsi="宋体" w:eastAsia="宋体" w:cs="宋体"/>
          <w:b/>
          <w:color w:val="auto"/>
          <w:highlight w:val="none"/>
        </w:rPr>
      </w:pPr>
    </w:p>
    <w:p w14:paraId="6D3E2070">
      <w:pPr>
        <w:pStyle w:val="35"/>
        <w:pageBreakBefore w:val="0"/>
        <w:kinsoku/>
        <w:wordWrap/>
        <w:topLinePunct w:val="0"/>
        <w:bidi w:val="0"/>
        <w:spacing w:beforeAutospacing="0" w:afterAutospacing="0" w:line="460" w:lineRule="exact"/>
        <w:jc w:val="both"/>
        <w:rPr>
          <w:rFonts w:hint="eastAsia" w:ascii="宋体" w:hAnsi="宋体" w:eastAsia="宋体" w:cs="宋体"/>
          <w:b/>
          <w:color w:val="auto"/>
          <w:highlight w:val="none"/>
        </w:rPr>
      </w:pPr>
    </w:p>
    <w:p w14:paraId="1B76F980">
      <w:pPr>
        <w:pStyle w:val="35"/>
        <w:pageBreakBefore w:val="0"/>
        <w:kinsoku/>
        <w:wordWrap/>
        <w:topLinePunct w:val="0"/>
        <w:bidi w:val="0"/>
        <w:spacing w:beforeAutospacing="0" w:afterAutospacing="0" w:line="460" w:lineRule="exact"/>
        <w:jc w:val="both"/>
        <w:rPr>
          <w:rFonts w:hint="eastAsia" w:ascii="宋体" w:hAnsi="宋体" w:eastAsia="宋体" w:cs="宋体"/>
          <w:b/>
          <w:color w:val="auto"/>
          <w:highlight w:val="none"/>
        </w:rPr>
      </w:pPr>
    </w:p>
    <w:p w14:paraId="3F10B9AE">
      <w:pPr>
        <w:pStyle w:val="35"/>
        <w:pageBreakBefore w:val="0"/>
        <w:kinsoku/>
        <w:wordWrap/>
        <w:topLinePunct w:val="0"/>
        <w:bidi w:val="0"/>
        <w:spacing w:beforeAutospacing="0" w:afterAutospacing="0" w:line="460" w:lineRule="exact"/>
        <w:jc w:val="both"/>
        <w:rPr>
          <w:rFonts w:hint="eastAsia" w:ascii="宋体" w:hAnsi="宋体" w:eastAsia="宋体" w:cs="宋体"/>
          <w:b/>
          <w:color w:val="auto"/>
          <w:highlight w:val="none"/>
        </w:rPr>
      </w:pPr>
    </w:p>
    <w:p w14:paraId="466AC4DE">
      <w:pPr>
        <w:pStyle w:val="35"/>
        <w:pageBreakBefore w:val="0"/>
        <w:kinsoku/>
        <w:wordWrap/>
        <w:topLinePunct w:val="0"/>
        <w:bidi w:val="0"/>
        <w:spacing w:beforeAutospacing="0" w:afterAutospacing="0" w:line="460" w:lineRule="exact"/>
        <w:jc w:val="both"/>
        <w:rPr>
          <w:rFonts w:hint="eastAsia" w:ascii="宋体" w:hAnsi="宋体" w:eastAsia="宋体" w:cs="宋体"/>
          <w:b/>
          <w:color w:val="auto"/>
          <w:highlight w:val="none"/>
        </w:rPr>
      </w:pPr>
    </w:p>
    <w:p w14:paraId="1D2A77A8">
      <w:pPr>
        <w:pStyle w:val="35"/>
        <w:pageBreakBefore w:val="0"/>
        <w:kinsoku/>
        <w:wordWrap/>
        <w:topLinePunct w:val="0"/>
        <w:bidi w:val="0"/>
        <w:spacing w:beforeAutospacing="0" w:afterAutospacing="0" w:line="460" w:lineRule="exact"/>
        <w:jc w:val="both"/>
        <w:rPr>
          <w:rFonts w:hint="eastAsia" w:ascii="宋体" w:hAnsi="宋体" w:eastAsia="宋体" w:cs="宋体"/>
          <w:b/>
          <w:color w:val="auto"/>
          <w:highlight w:val="none"/>
        </w:rPr>
      </w:pPr>
    </w:p>
    <w:p w14:paraId="24D87EFB">
      <w:pPr>
        <w:pStyle w:val="35"/>
        <w:pageBreakBefore w:val="0"/>
        <w:kinsoku/>
        <w:wordWrap/>
        <w:topLinePunct w:val="0"/>
        <w:bidi w:val="0"/>
        <w:spacing w:beforeAutospacing="0" w:afterAutospacing="0" w:line="460" w:lineRule="exact"/>
        <w:jc w:val="both"/>
        <w:rPr>
          <w:rFonts w:hint="eastAsia" w:ascii="宋体" w:hAnsi="宋体" w:eastAsia="宋体" w:cs="宋体"/>
          <w:b/>
          <w:color w:val="auto"/>
          <w:highlight w:val="none"/>
        </w:rPr>
      </w:pPr>
    </w:p>
    <w:p w14:paraId="3252BB53">
      <w:pPr>
        <w:pStyle w:val="35"/>
        <w:pageBreakBefore w:val="0"/>
        <w:kinsoku/>
        <w:wordWrap/>
        <w:topLinePunct w:val="0"/>
        <w:bidi w:val="0"/>
        <w:spacing w:beforeAutospacing="0" w:afterAutospacing="0" w:line="460" w:lineRule="exact"/>
        <w:jc w:val="center"/>
        <w:rPr>
          <w:rFonts w:hint="eastAsia" w:ascii="宋体" w:hAnsi="宋体" w:eastAsia="宋体" w:cs="宋体"/>
          <w:b/>
          <w:bCs/>
          <w:color w:val="auto"/>
          <w:kern w:val="2"/>
          <w:sz w:val="32"/>
          <w:szCs w:val="32"/>
          <w:highlight w:val="none"/>
          <w:lang w:val="zh-CN" w:eastAsia="zh-CN" w:bidi="ar-SA"/>
        </w:rPr>
      </w:pPr>
    </w:p>
    <w:p w14:paraId="65F4E4E8">
      <w:pPr>
        <w:pStyle w:val="35"/>
        <w:pageBreakBefore w:val="0"/>
        <w:kinsoku/>
        <w:wordWrap/>
        <w:topLinePunct w:val="0"/>
        <w:bidi w:val="0"/>
        <w:spacing w:beforeAutospacing="0" w:afterAutospacing="0" w:line="460" w:lineRule="exact"/>
        <w:jc w:val="center"/>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32"/>
          <w:szCs w:val="32"/>
          <w:highlight w:val="none"/>
          <w:lang w:val="zh-CN" w:eastAsia="zh-CN" w:bidi="ar-SA"/>
        </w:rPr>
        <w:t>二、投标函</w:t>
      </w:r>
    </w:p>
    <w:p w14:paraId="034AD657">
      <w:pPr>
        <w:pStyle w:val="35"/>
        <w:pageBreakBefore w:val="0"/>
        <w:kinsoku/>
        <w:wordWrap/>
        <w:topLinePunct w:val="0"/>
        <w:bidi w:val="0"/>
        <w:spacing w:beforeAutospacing="0" w:afterAutospacing="0" w:line="46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新疆申辉项目管理有限公司</w:t>
      </w:r>
      <w:r>
        <w:rPr>
          <w:rFonts w:hint="eastAsia" w:ascii="宋体" w:hAnsi="宋体" w:eastAsia="宋体" w:cs="宋体"/>
          <w:color w:val="auto"/>
          <w:highlight w:val="none"/>
        </w:rPr>
        <w:t>：</w:t>
      </w:r>
    </w:p>
    <w:p w14:paraId="0922D293">
      <w:pPr>
        <w:pStyle w:val="35"/>
        <w:pageBreakBefore w:val="0"/>
        <w:kinsoku/>
        <w:wordWrap/>
        <w:topLinePunct w:val="0"/>
        <w:bidi w:val="0"/>
        <w:spacing w:beforeAutospacing="0" w:afterAutospacing="0" w:line="46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收到</w:t>
      </w:r>
      <w:r>
        <w:rPr>
          <w:rFonts w:hint="eastAsia" w:ascii="宋体" w:hAnsi="宋体" w:eastAsia="宋体" w:cs="宋体"/>
          <w:color w:val="auto"/>
          <w:highlight w:val="none"/>
          <w:lang w:val="en-US" w:eastAsia="zh-CN"/>
        </w:rPr>
        <w:t>你方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eastAsia="zh-CN"/>
        </w:rPr>
        <w:t>(项目名称)</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文件，经认真研究，我们决定参加投标。</w:t>
      </w:r>
    </w:p>
    <w:p w14:paraId="06C7DC04">
      <w:pPr>
        <w:pStyle w:val="35"/>
        <w:pageBreakBefore w:val="0"/>
        <w:kinsoku/>
        <w:wordWrap/>
        <w:topLinePunct w:val="0"/>
        <w:bidi w:val="0"/>
        <w:spacing w:beforeAutospacing="0" w:afterAutospacing="0" w:line="460" w:lineRule="exact"/>
        <w:ind w:firstLine="567"/>
        <w:jc w:val="left"/>
        <w:rPr>
          <w:rFonts w:hint="eastAsia" w:ascii="宋体" w:hAnsi="宋体" w:eastAsia="宋体" w:cs="宋体"/>
          <w:color w:val="auto"/>
          <w:highlight w:val="none"/>
        </w:rPr>
      </w:pPr>
      <w:r>
        <w:rPr>
          <w:rFonts w:hint="eastAsia" w:ascii="宋体" w:hAnsi="宋体" w:eastAsia="宋体" w:cs="宋体"/>
          <w:color w:val="auto"/>
          <w:highlight w:val="none"/>
        </w:rPr>
        <w:t>⒈按照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文件中的一切要求，提供</w:t>
      </w:r>
      <w:r>
        <w:rPr>
          <w:rFonts w:hint="eastAsia" w:ascii="宋体" w:hAnsi="宋体" w:eastAsia="宋体" w:cs="宋体"/>
          <w:color w:val="auto"/>
          <w:highlight w:val="none"/>
          <w:lang w:eastAsia="zh-CN"/>
        </w:rPr>
        <w:t>工程</w:t>
      </w:r>
      <w:r>
        <w:rPr>
          <w:rFonts w:hint="eastAsia" w:ascii="宋体" w:hAnsi="宋体" w:eastAsia="宋体" w:cs="宋体"/>
          <w:color w:val="auto"/>
          <w:highlight w:val="none"/>
        </w:rPr>
        <w:t>投标总价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rPr>
        <w:t>），本价格含</w:t>
      </w:r>
      <w:r>
        <w:rPr>
          <w:rFonts w:hint="eastAsia" w:ascii="宋体" w:hAnsi="宋体" w:eastAsia="宋体" w:cs="宋体"/>
          <w:color w:val="auto"/>
          <w:highlight w:val="none"/>
          <w:lang w:eastAsia="zh-CN"/>
        </w:rPr>
        <w:t>材料</w:t>
      </w:r>
      <w:r>
        <w:rPr>
          <w:rFonts w:hint="eastAsia" w:ascii="宋体" w:hAnsi="宋体" w:eastAsia="宋体" w:cs="宋体"/>
          <w:color w:val="auto"/>
          <w:highlight w:val="none"/>
        </w:rPr>
        <w:t>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安装调试费</w:t>
      </w:r>
      <w:r>
        <w:rPr>
          <w:rFonts w:hint="eastAsia" w:ascii="宋体" w:hAnsi="宋体" w:eastAsia="宋体" w:cs="宋体"/>
          <w:color w:val="auto"/>
          <w:highlight w:val="none"/>
        </w:rPr>
        <w:t>、包装费、运输费、人工费、服务费、税费等一切费用。</w:t>
      </w:r>
    </w:p>
    <w:p w14:paraId="157D6CA7">
      <w:pPr>
        <w:pStyle w:val="35"/>
        <w:pageBreakBefore w:val="0"/>
        <w:kinsoku/>
        <w:wordWrap/>
        <w:topLinePunct w:val="0"/>
        <w:bidi w:val="0"/>
        <w:spacing w:beforeAutospacing="0" w:afterAutospacing="0" w:line="46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⒉如果</w:t>
      </w: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投标书被接受，我们将履行招标文件中规定的每一项要求，按期、按质、按量完成交货和完工任务。</w:t>
      </w:r>
    </w:p>
    <w:p w14:paraId="752C9111">
      <w:pPr>
        <w:pStyle w:val="35"/>
        <w:pageBreakBefore w:val="0"/>
        <w:kinsoku/>
        <w:wordWrap/>
        <w:topLinePunct w:val="0"/>
        <w:bidi w:val="0"/>
        <w:spacing w:beforeAutospacing="0" w:afterAutospacing="0" w:line="46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⒊</w:t>
      </w: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同意按</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文件的规定，</w:t>
      </w:r>
      <w:r>
        <w:rPr>
          <w:rFonts w:hint="eastAsia" w:ascii="宋体" w:hAnsi="宋体" w:eastAsia="宋体" w:cs="宋体"/>
          <w:color w:val="auto"/>
          <w:highlight w:val="none"/>
          <w:lang w:eastAsia="zh-CN"/>
        </w:rPr>
        <w:t>本项目磋商响应</w:t>
      </w:r>
      <w:r>
        <w:rPr>
          <w:rFonts w:hint="eastAsia" w:ascii="宋体" w:hAnsi="宋体" w:eastAsia="宋体" w:cs="宋体"/>
          <w:color w:val="auto"/>
          <w:highlight w:val="none"/>
        </w:rPr>
        <w:t>有效期为开标后</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天。</w:t>
      </w:r>
    </w:p>
    <w:p w14:paraId="52C3D315">
      <w:pPr>
        <w:pStyle w:val="35"/>
        <w:pageBreakBefore w:val="0"/>
        <w:kinsoku/>
        <w:wordWrap/>
        <w:topLinePunct w:val="0"/>
        <w:bidi w:val="0"/>
        <w:spacing w:beforeAutospacing="0" w:afterAutospacing="0" w:line="46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⒋</w:t>
      </w: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愿意提供</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人在招标文件中要求的所有资料。</w:t>
      </w:r>
    </w:p>
    <w:p w14:paraId="3A5ADCBD">
      <w:pPr>
        <w:pStyle w:val="35"/>
        <w:pageBreakBefore w:val="0"/>
        <w:kinsoku/>
        <w:wordWrap/>
        <w:topLinePunct w:val="0"/>
        <w:bidi w:val="0"/>
        <w:spacing w:beforeAutospacing="0" w:afterAutospacing="0" w:line="46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⒌</w:t>
      </w: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认为</w:t>
      </w:r>
      <w:r>
        <w:rPr>
          <w:rFonts w:hint="eastAsia" w:ascii="宋体" w:hAnsi="宋体" w:eastAsia="宋体" w:cs="宋体"/>
          <w:color w:val="auto"/>
          <w:highlight w:val="none"/>
          <w:lang w:val="en-US" w:eastAsia="zh-CN"/>
        </w:rPr>
        <w:t>你方</w:t>
      </w:r>
      <w:r>
        <w:rPr>
          <w:rFonts w:hint="eastAsia" w:ascii="宋体" w:hAnsi="宋体" w:eastAsia="宋体" w:cs="宋体"/>
          <w:color w:val="auto"/>
          <w:highlight w:val="none"/>
        </w:rPr>
        <w:t>有选择或拒绝任何投标者中标的权力。我们理解，最低报价不是中标的唯一条件。</w:t>
      </w:r>
    </w:p>
    <w:p w14:paraId="54BCC83D">
      <w:pPr>
        <w:pStyle w:val="35"/>
        <w:pageBreakBefore w:val="0"/>
        <w:kinsoku/>
        <w:wordWrap/>
        <w:topLinePunct w:val="0"/>
        <w:bidi w:val="0"/>
        <w:spacing w:beforeAutospacing="0" w:afterAutospacing="0" w:line="46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⒍</w:t>
      </w: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愿按</w:t>
      </w:r>
      <w:r>
        <w:rPr>
          <w:rFonts w:hint="eastAsia" w:ascii="宋体" w:hAnsi="宋体" w:eastAsia="宋体" w:cs="宋体"/>
          <w:color w:val="auto"/>
          <w:highlight w:val="none"/>
          <w:lang w:eastAsia="zh-CN"/>
        </w:rPr>
        <w:t>民法典</w:t>
      </w:r>
      <w:r>
        <w:rPr>
          <w:rFonts w:hint="eastAsia" w:ascii="宋体" w:hAnsi="宋体" w:eastAsia="宋体" w:cs="宋体"/>
          <w:color w:val="auto"/>
          <w:highlight w:val="none"/>
        </w:rPr>
        <w:t>履行自己的全部责任。</w:t>
      </w:r>
    </w:p>
    <w:p w14:paraId="6D862007">
      <w:pPr>
        <w:pStyle w:val="35"/>
        <w:pageBreakBefore w:val="0"/>
        <w:kinsoku/>
        <w:wordWrap/>
        <w:topLinePunct w:val="0"/>
        <w:bidi w:val="0"/>
        <w:spacing w:beforeAutospacing="0" w:afterAutospacing="0" w:line="46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⒎我方愿意遵守国家有关规定及</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文件中规定的收费标准，承付中标服务费。</w:t>
      </w:r>
    </w:p>
    <w:p w14:paraId="254615CA">
      <w:pPr>
        <w:pStyle w:val="35"/>
        <w:pageBreakBefore w:val="0"/>
        <w:kinsoku/>
        <w:wordWrap/>
        <w:topLinePunct w:val="0"/>
        <w:bidi w:val="0"/>
        <w:spacing w:beforeAutospacing="0" w:afterAutospacing="0" w:line="46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⒏该项投标在开标后的全过程中保持有效，不作任何更改和变动。</w:t>
      </w:r>
    </w:p>
    <w:p w14:paraId="1CEA5529">
      <w:pPr>
        <w:pStyle w:val="35"/>
        <w:pageBreakBefore w:val="0"/>
        <w:kinsoku/>
        <w:wordWrap/>
        <w:topLinePunct w:val="0"/>
        <w:bidi w:val="0"/>
        <w:spacing w:beforeAutospacing="0" w:afterAutospacing="0" w:line="46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⒐</w:t>
      </w: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同意按</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文件规定，交纳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万元的投标保证金。</w:t>
      </w:r>
    </w:p>
    <w:p w14:paraId="01D0F20C">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Cs w:val="21"/>
          <w:highlight w:val="none"/>
        </w:rPr>
      </w:pPr>
    </w:p>
    <w:p w14:paraId="3A947389">
      <w:pPr>
        <w:pageBreakBefore w:val="0"/>
        <w:kinsoku/>
        <w:wordWrap/>
        <w:topLinePunct w:val="0"/>
        <w:bidi w:val="0"/>
        <w:spacing w:beforeAutospacing="0" w:afterAutospacing="0" w:line="460" w:lineRule="exact"/>
        <w:jc w:val="center"/>
        <w:rPr>
          <w:rFonts w:hint="eastAsia" w:ascii="宋体" w:hAnsi="宋体" w:eastAsia="宋体" w:cs="宋体"/>
          <w:color w:val="auto"/>
          <w:sz w:val="24"/>
          <w:highlight w:val="none"/>
          <w:lang w:val="zh-CN"/>
        </w:rPr>
      </w:pPr>
      <w:bookmarkStart w:id="979" w:name="_Toc522121739"/>
      <w:bookmarkStart w:id="980" w:name="_Toc420348770"/>
    </w:p>
    <w:p w14:paraId="7A65C434">
      <w:pPr>
        <w:pageBreakBefore w:val="0"/>
        <w:kinsoku/>
        <w:wordWrap/>
        <w:topLinePunct w:val="0"/>
        <w:bidi w:val="0"/>
        <w:spacing w:beforeAutospacing="0" w:afterAutospacing="0" w:line="460" w:lineRule="exact"/>
        <w:jc w:val="center"/>
        <w:rPr>
          <w:rFonts w:hint="eastAsia" w:ascii="宋体" w:hAnsi="宋体" w:eastAsia="宋体" w:cs="宋体"/>
          <w:color w:val="auto"/>
          <w:sz w:val="24"/>
          <w:highlight w:val="none"/>
          <w:lang w:val="zh-CN"/>
        </w:rPr>
      </w:pPr>
    </w:p>
    <w:p w14:paraId="5B349D90">
      <w:pPr>
        <w:pStyle w:val="34"/>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         （盖章）</w:t>
      </w:r>
    </w:p>
    <w:p w14:paraId="1B143878">
      <w:pPr>
        <w:pStyle w:val="34"/>
        <w:rPr>
          <w:rFonts w:hint="eastAsia" w:ascii="宋体" w:hAnsi="宋体" w:eastAsia="宋体" w:cs="宋体"/>
          <w:color w:val="auto"/>
          <w:sz w:val="24"/>
          <w:highlight w:val="none"/>
          <w:lang w:val="zh-CN"/>
        </w:rPr>
      </w:pPr>
    </w:p>
    <w:p w14:paraId="642440B6">
      <w:pPr>
        <w:pStyle w:val="34"/>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法定代表人或其委托代理人：            （签字或盖章）</w:t>
      </w:r>
    </w:p>
    <w:p w14:paraId="60B507BA">
      <w:pPr>
        <w:pStyle w:val="34"/>
        <w:rPr>
          <w:rFonts w:hint="eastAsia" w:ascii="宋体" w:hAnsi="宋体" w:eastAsia="宋体" w:cs="宋体"/>
          <w:color w:val="auto"/>
          <w:sz w:val="24"/>
          <w:highlight w:val="none"/>
          <w:lang w:val="zh-CN"/>
        </w:rPr>
      </w:pPr>
    </w:p>
    <w:p w14:paraId="5CD8A1FC">
      <w:pPr>
        <w:pStyle w:val="34"/>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日期：        年    月    日 </w:t>
      </w:r>
    </w:p>
    <w:p w14:paraId="2DB8EC47">
      <w:pPr>
        <w:pStyle w:val="34"/>
        <w:rPr>
          <w:rFonts w:hint="eastAsia" w:ascii="宋体" w:hAnsi="宋体" w:eastAsia="宋体" w:cs="宋体"/>
          <w:color w:val="auto"/>
          <w:sz w:val="24"/>
          <w:highlight w:val="none"/>
          <w:lang w:val="zh-CN"/>
        </w:rPr>
      </w:pPr>
    </w:p>
    <w:p w14:paraId="7E6662AC">
      <w:pPr>
        <w:pStyle w:val="34"/>
        <w:rPr>
          <w:rFonts w:hint="eastAsia" w:ascii="宋体" w:hAnsi="宋体" w:eastAsia="宋体" w:cs="宋体"/>
          <w:color w:val="auto"/>
          <w:sz w:val="24"/>
          <w:highlight w:val="none"/>
          <w:lang w:val="zh-CN"/>
        </w:rPr>
      </w:pPr>
    </w:p>
    <w:p w14:paraId="02598B30">
      <w:pPr>
        <w:pageBreakBefore w:val="0"/>
        <w:kinsoku/>
        <w:wordWrap/>
        <w:topLinePunct w:val="0"/>
        <w:bidi w:val="0"/>
        <w:spacing w:beforeAutospacing="0" w:afterAutospacing="0" w:line="460" w:lineRule="exact"/>
        <w:jc w:val="center"/>
        <w:rPr>
          <w:rFonts w:hint="eastAsia" w:ascii="宋体" w:hAnsi="宋体" w:eastAsia="宋体" w:cs="宋体"/>
          <w:color w:val="auto"/>
          <w:sz w:val="24"/>
          <w:highlight w:val="none"/>
          <w:lang w:val="zh-CN"/>
        </w:rPr>
      </w:pPr>
    </w:p>
    <w:p w14:paraId="388BB1FC">
      <w:pPr>
        <w:rPr>
          <w:rFonts w:hint="eastAsia" w:ascii="宋体" w:hAnsi="宋体" w:eastAsia="宋体" w:cs="宋体"/>
          <w:b/>
          <w:bCs/>
          <w:color w:val="auto"/>
          <w:sz w:val="32"/>
          <w:szCs w:val="22"/>
          <w:highlight w:val="none"/>
          <w:lang w:val="zh-CN"/>
        </w:rPr>
      </w:pPr>
      <w:r>
        <w:rPr>
          <w:rFonts w:hint="eastAsia" w:ascii="宋体" w:hAnsi="宋体" w:eastAsia="宋体" w:cs="宋体"/>
          <w:b/>
          <w:bCs/>
          <w:color w:val="auto"/>
          <w:sz w:val="32"/>
          <w:szCs w:val="22"/>
          <w:highlight w:val="none"/>
          <w:lang w:val="zh-CN"/>
        </w:rPr>
        <w:br w:type="page"/>
      </w:r>
    </w:p>
    <w:p w14:paraId="6CFB0ACE">
      <w:pPr>
        <w:pageBreakBefore w:val="0"/>
        <w:kinsoku/>
        <w:wordWrap/>
        <w:topLinePunct w:val="0"/>
        <w:bidi w:val="0"/>
        <w:spacing w:beforeAutospacing="0" w:afterAutospacing="0" w:line="460" w:lineRule="exact"/>
        <w:jc w:val="center"/>
        <w:rPr>
          <w:rFonts w:hint="eastAsia" w:ascii="宋体" w:hAnsi="宋体" w:eastAsia="宋体" w:cs="宋体"/>
          <w:b/>
          <w:bCs/>
          <w:color w:val="auto"/>
          <w:sz w:val="32"/>
          <w:szCs w:val="22"/>
          <w:highlight w:val="none"/>
        </w:rPr>
      </w:pPr>
      <w:r>
        <w:rPr>
          <w:rFonts w:hint="eastAsia" w:ascii="宋体" w:hAnsi="宋体" w:eastAsia="宋体" w:cs="宋体"/>
          <w:b/>
          <w:bCs/>
          <w:color w:val="auto"/>
          <w:sz w:val="32"/>
          <w:szCs w:val="22"/>
          <w:highlight w:val="none"/>
          <w:lang w:val="zh-CN"/>
        </w:rPr>
        <w:t>三、法定代表人身份证明书</w:t>
      </w:r>
      <w:bookmarkEnd w:id="979"/>
      <w:bookmarkEnd w:id="980"/>
    </w:p>
    <w:p w14:paraId="018D95A1">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Cs w:val="21"/>
          <w:highlight w:val="none"/>
        </w:rPr>
      </w:pPr>
    </w:p>
    <w:p w14:paraId="6FB67C54">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Cs w:val="21"/>
          <w:highlight w:val="none"/>
        </w:rPr>
      </w:pPr>
    </w:p>
    <w:p w14:paraId="667BDBBF">
      <w:pPr>
        <w:spacing w:line="360" w:lineRule="auto"/>
        <w:jc w:val="both"/>
        <w:rPr>
          <w:rFonts w:hint="eastAsia" w:ascii="宋体" w:hAnsi="宋体" w:eastAsia="宋体" w:cs="宋体"/>
          <w:b w:val="0"/>
          <w:bCs w:val="0"/>
          <w:color w:val="auto"/>
          <w:sz w:val="24"/>
          <w:szCs w:val="24"/>
          <w:highlight w:val="none"/>
          <w:lang w:val="en-US" w:eastAsia="zh-CN"/>
        </w:rPr>
      </w:pPr>
    </w:p>
    <w:p w14:paraId="14CEAEFE">
      <w:pPr>
        <w:spacing w:line="360" w:lineRule="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单位名称：</w:t>
      </w:r>
    </w:p>
    <w:p w14:paraId="3DF50622">
      <w:pPr>
        <w:spacing w:line="360" w:lineRule="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类型：</w:t>
      </w:r>
    </w:p>
    <w:p w14:paraId="09066410">
      <w:pPr>
        <w:spacing w:line="360" w:lineRule="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地址：</w:t>
      </w:r>
    </w:p>
    <w:p w14:paraId="65B392C8">
      <w:pPr>
        <w:spacing w:line="360" w:lineRule="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营业期限：</w:t>
      </w:r>
    </w:p>
    <w:p w14:paraId="69DE61B6">
      <w:pPr>
        <w:spacing w:line="360" w:lineRule="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成立时间：</w:t>
      </w:r>
    </w:p>
    <w:p w14:paraId="527CBCBC">
      <w:pPr>
        <w:spacing w:line="360" w:lineRule="auto"/>
        <w:rPr>
          <w:rFonts w:hint="eastAsia" w:ascii="宋体" w:hAnsi="宋体" w:eastAsia="宋体" w:cs="宋体"/>
          <w:b w:val="0"/>
          <w:bCs w:val="0"/>
          <w:color w:val="auto"/>
          <w:sz w:val="24"/>
          <w:szCs w:val="24"/>
          <w:highlight w:val="none"/>
          <w:u w:val="single"/>
        </w:rPr>
      </w:pPr>
    </w:p>
    <w:p w14:paraId="612B7E7C">
      <w:pPr>
        <w:spacing w:line="360" w:lineRule="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姓名：性别：年龄：职务：</w:t>
      </w:r>
    </w:p>
    <w:p w14:paraId="4DFC86D8">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系</w:t>
      </w:r>
      <w:r>
        <w:rPr>
          <w:rFonts w:hint="eastAsia" w:ascii="宋体" w:hAnsi="宋体" w:eastAsia="宋体" w:cs="宋体"/>
          <w:b w:val="0"/>
          <w:bCs w:val="0"/>
          <w:color w:val="auto"/>
          <w:sz w:val="24"/>
          <w:szCs w:val="24"/>
          <w:highlight w:val="none"/>
          <w:u w:val="single"/>
        </w:rPr>
        <w:t>（供应商名称）</w:t>
      </w:r>
      <w:r>
        <w:rPr>
          <w:rFonts w:hint="eastAsia" w:ascii="宋体" w:hAnsi="宋体" w:eastAsia="宋体" w:cs="宋体"/>
          <w:b w:val="0"/>
          <w:bCs w:val="0"/>
          <w:color w:val="auto"/>
          <w:sz w:val="24"/>
          <w:szCs w:val="24"/>
          <w:highlight w:val="none"/>
        </w:rPr>
        <w:t>的法定代表人。</w:t>
      </w:r>
    </w:p>
    <w:p w14:paraId="409FBD63">
      <w:pPr>
        <w:spacing w:line="360" w:lineRule="auto"/>
        <w:rPr>
          <w:rFonts w:hint="eastAsia" w:ascii="宋体" w:hAnsi="宋体" w:eastAsia="宋体" w:cs="宋体"/>
          <w:b w:val="0"/>
          <w:bCs w:val="0"/>
          <w:color w:val="auto"/>
          <w:sz w:val="24"/>
          <w:szCs w:val="24"/>
          <w:highlight w:val="none"/>
        </w:rPr>
      </w:pPr>
    </w:p>
    <w:p w14:paraId="6D0410C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特此证明。</w:t>
      </w:r>
    </w:p>
    <w:tbl>
      <w:tblPr>
        <w:tblStyle w:val="25"/>
        <w:tblW w:w="0" w:type="auto"/>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0"/>
        <w:gridCol w:w="3969"/>
      </w:tblGrid>
      <w:tr w14:paraId="5A4E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4050" w:type="dxa"/>
            <w:noWrap w:val="0"/>
            <w:vAlign w:val="top"/>
          </w:tcPr>
          <w:p w14:paraId="3F0D81CE">
            <w:pPr>
              <w:spacing w:line="360" w:lineRule="auto"/>
              <w:rPr>
                <w:rFonts w:hint="eastAsia" w:ascii="宋体" w:hAnsi="宋体" w:eastAsia="宋体" w:cs="宋体"/>
                <w:b w:val="0"/>
                <w:bCs w:val="0"/>
                <w:color w:val="auto"/>
                <w:sz w:val="24"/>
                <w:szCs w:val="24"/>
                <w:highlight w:val="none"/>
              </w:rPr>
            </w:pPr>
          </w:p>
          <w:p w14:paraId="166F8041">
            <w:pPr>
              <w:spacing w:line="360" w:lineRule="auto"/>
              <w:rPr>
                <w:rFonts w:hint="eastAsia" w:ascii="宋体" w:hAnsi="宋体" w:eastAsia="宋体" w:cs="宋体"/>
                <w:b w:val="0"/>
                <w:bCs w:val="0"/>
                <w:color w:val="auto"/>
                <w:sz w:val="24"/>
                <w:szCs w:val="24"/>
                <w:highlight w:val="none"/>
              </w:rPr>
            </w:pPr>
          </w:p>
          <w:p w14:paraId="1A2D8C6A">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法定代表人身份证正面</w:t>
            </w:r>
          </w:p>
        </w:tc>
        <w:tc>
          <w:tcPr>
            <w:tcW w:w="3969" w:type="dxa"/>
            <w:noWrap w:val="0"/>
            <w:vAlign w:val="top"/>
          </w:tcPr>
          <w:p w14:paraId="792B9273">
            <w:pPr>
              <w:spacing w:line="360" w:lineRule="auto"/>
              <w:rPr>
                <w:rFonts w:hint="eastAsia" w:ascii="宋体" w:hAnsi="宋体" w:eastAsia="宋体" w:cs="宋体"/>
                <w:b w:val="0"/>
                <w:bCs w:val="0"/>
                <w:color w:val="auto"/>
                <w:sz w:val="24"/>
                <w:szCs w:val="24"/>
                <w:highlight w:val="none"/>
              </w:rPr>
            </w:pPr>
          </w:p>
          <w:p w14:paraId="6AD5214F">
            <w:pPr>
              <w:spacing w:line="360" w:lineRule="auto"/>
              <w:rPr>
                <w:rFonts w:hint="eastAsia" w:ascii="宋体" w:hAnsi="宋体" w:eastAsia="宋体" w:cs="宋体"/>
                <w:b w:val="0"/>
                <w:bCs w:val="0"/>
                <w:color w:val="auto"/>
                <w:sz w:val="24"/>
                <w:szCs w:val="24"/>
                <w:highlight w:val="none"/>
              </w:rPr>
            </w:pPr>
          </w:p>
          <w:p w14:paraId="0DBDDB30">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法定代表人身份证反面</w:t>
            </w:r>
          </w:p>
        </w:tc>
      </w:tr>
    </w:tbl>
    <w:p w14:paraId="553D6BB5">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lang w:val="zh-CN"/>
        </w:rPr>
      </w:pPr>
    </w:p>
    <w:p w14:paraId="21C7E86D">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lang w:val="zh-CN"/>
        </w:rPr>
      </w:pPr>
    </w:p>
    <w:p w14:paraId="21273326">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法定代表人或其委托代理人（签字或盖章）</w:t>
      </w:r>
    </w:p>
    <w:p w14:paraId="6E74C499">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供应商名称：              （盖章）</w:t>
      </w:r>
    </w:p>
    <w:p w14:paraId="2E8FDB55">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期：</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日</w:t>
      </w:r>
    </w:p>
    <w:p w14:paraId="7530248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38798B8">
      <w:pPr>
        <w:pageBreakBefore w:val="0"/>
        <w:kinsoku/>
        <w:wordWrap/>
        <w:topLinePunct w:val="0"/>
        <w:autoSpaceDE w:val="0"/>
        <w:autoSpaceDN w:val="0"/>
        <w:bidi w:val="0"/>
        <w:adjustRightInd w:val="0"/>
        <w:spacing w:beforeAutospacing="0" w:afterAutospacing="0" w:line="460" w:lineRule="exact"/>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32"/>
          <w:szCs w:val="22"/>
          <w:highlight w:val="none"/>
          <w:lang w:val="en-US" w:eastAsia="zh-CN"/>
        </w:rPr>
        <w:t>四、</w:t>
      </w:r>
      <w:r>
        <w:rPr>
          <w:rFonts w:hint="eastAsia" w:ascii="宋体" w:hAnsi="宋体" w:eastAsia="宋体" w:cs="宋体"/>
          <w:b/>
          <w:bCs/>
          <w:color w:val="auto"/>
          <w:sz w:val="32"/>
          <w:szCs w:val="22"/>
          <w:highlight w:val="none"/>
          <w:lang w:val="zh-CN"/>
        </w:rPr>
        <w:t>法定代表人授权委托书</w:t>
      </w:r>
    </w:p>
    <w:p w14:paraId="3AB5B07C">
      <w:pPr>
        <w:pageBreakBefore w:val="0"/>
        <w:kinsoku/>
        <w:wordWrap/>
        <w:topLinePunct w:val="0"/>
        <w:bidi w:val="0"/>
        <w:spacing w:beforeAutospacing="0" w:afterAutospacing="0" w:line="460" w:lineRule="exact"/>
        <w:ind w:firstLine="610"/>
        <w:jc w:val="center"/>
        <w:rPr>
          <w:rFonts w:hint="eastAsia" w:ascii="宋体" w:hAnsi="宋体" w:eastAsia="宋体" w:cs="宋体"/>
          <w:b/>
          <w:color w:val="auto"/>
          <w:sz w:val="28"/>
          <w:szCs w:val="28"/>
          <w:highlight w:val="none"/>
        </w:rPr>
      </w:pPr>
    </w:p>
    <w:p w14:paraId="0623D646">
      <w:pPr>
        <w:pageBreakBefore w:val="0"/>
        <w:kinsoku/>
        <w:wordWrap/>
        <w:topLinePunct w:val="0"/>
        <w:bidi w:val="0"/>
        <w:spacing w:beforeAutospacing="0" w:afterAutospacing="0" w:line="460" w:lineRule="exact"/>
        <w:ind w:firstLine="612"/>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标段施工投标文件、签订合同和处理有关事宜，其法律后果由我方承担。</w:t>
      </w:r>
    </w:p>
    <w:p w14:paraId="21AEB90A">
      <w:pPr>
        <w:pageBreakBefore w:val="0"/>
        <w:kinsoku/>
        <w:wordWrap/>
        <w:topLinePunct w:val="0"/>
        <w:bidi w:val="0"/>
        <w:spacing w:beforeAutospacing="0" w:afterAutospacing="0" w:line="460" w:lineRule="exact"/>
        <w:ind w:firstLine="612"/>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F13016D">
      <w:pPr>
        <w:pageBreakBefore w:val="0"/>
        <w:kinsoku/>
        <w:wordWrap/>
        <w:topLinePunct w:val="0"/>
        <w:bidi w:val="0"/>
        <w:spacing w:beforeAutospacing="0" w:afterAutospacing="0" w:line="460" w:lineRule="exact"/>
        <w:ind w:firstLine="612"/>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5AD326A5">
      <w:pPr>
        <w:spacing w:line="360" w:lineRule="auto"/>
        <w:rPr>
          <w:rFonts w:hint="eastAsia" w:ascii="宋体" w:hAnsi="宋体" w:eastAsia="宋体" w:cs="宋体"/>
          <w:b w:val="0"/>
          <w:bCs w:val="0"/>
          <w:color w:val="auto"/>
          <w:sz w:val="24"/>
          <w:szCs w:val="24"/>
          <w:highlight w:val="none"/>
        </w:rPr>
      </w:pPr>
    </w:p>
    <w:p w14:paraId="0FDA4E68">
      <w:pPr>
        <w:spacing w:line="360" w:lineRule="auto"/>
        <w:ind w:firstLine="43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本授权书于2</w:t>
      </w:r>
      <w:r>
        <w:rPr>
          <w:rFonts w:hint="eastAsia" w:ascii="宋体" w:hAnsi="宋体" w:eastAsia="宋体" w:cs="宋体"/>
          <w:b w:val="0"/>
          <w:bCs w:val="0"/>
          <w:color w:val="auto"/>
          <w:sz w:val="24"/>
          <w:szCs w:val="24"/>
          <w:highlight w:val="none"/>
          <w:lang w:val="en-US" w:eastAsia="zh-CN"/>
        </w:rPr>
        <w:t>024</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日签字生效，特此声明。</w:t>
      </w:r>
    </w:p>
    <w:tbl>
      <w:tblPr>
        <w:tblStyle w:val="25"/>
        <w:tblW w:w="0" w:type="auto"/>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4"/>
        <w:gridCol w:w="4465"/>
      </w:tblGrid>
      <w:tr w14:paraId="3911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6" w:hRule="atLeast"/>
        </w:trPr>
        <w:tc>
          <w:tcPr>
            <w:tcW w:w="4464" w:type="dxa"/>
            <w:noWrap w:val="0"/>
            <w:vAlign w:val="top"/>
          </w:tcPr>
          <w:p w14:paraId="56F2D9B3">
            <w:pPr>
              <w:spacing w:line="360" w:lineRule="auto"/>
              <w:ind w:firstLine="435"/>
              <w:rPr>
                <w:rFonts w:hint="eastAsia" w:ascii="宋体" w:hAnsi="宋体" w:eastAsia="宋体" w:cs="宋体"/>
                <w:b w:val="0"/>
                <w:bCs w:val="0"/>
                <w:color w:val="auto"/>
                <w:sz w:val="24"/>
                <w:szCs w:val="24"/>
                <w:highlight w:val="none"/>
              </w:rPr>
            </w:pPr>
          </w:p>
          <w:p w14:paraId="31D9F1D0">
            <w:pPr>
              <w:spacing w:line="360" w:lineRule="auto"/>
              <w:ind w:firstLine="435"/>
              <w:rPr>
                <w:rFonts w:hint="eastAsia" w:ascii="宋体" w:hAnsi="宋体" w:eastAsia="宋体" w:cs="宋体"/>
                <w:b w:val="0"/>
                <w:bCs w:val="0"/>
                <w:color w:val="auto"/>
                <w:sz w:val="24"/>
                <w:szCs w:val="24"/>
                <w:highlight w:val="none"/>
              </w:rPr>
            </w:pPr>
          </w:p>
          <w:p w14:paraId="1172BA9B">
            <w:pPr>
              <w:spacing w:line="360" w:lineRule="auto"/>
              <w:ind w:firstLine="43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法定代表人身份证正面</w:t>
            </w:r>
          </w:p>
        </w:tc>
        <w:tc>
          <w:tcPr>
            <w:tcW w:w="4465" w:type="dxa"/>
            <w:noWrap w:val="0"/>
            <w:vAlign w:val="top"/>
          </w:tcPr>
          <w:p w14:paraId="1562E803">
            <w:pPr>
              <w:spacing w:line="360" w:lineRule="auto"/>
              <w:ind w:firstLine="435"/>
              <w:rPr>
                <w:rFonts w:hint="eastAsia" w:ascii="宋体" w:hAnsi="宋体" w:eastAsia="宋体" w:cs="宋体"/>
                <w:b w:val="0"/>
                <w:bCs w:val="0"/>
                <w:color w:val="auto"/>
                <w:sz w:val="24"/>
                <w:szCs w:val="24"/>
                <w:highlight w:val="none"/>
              </w:rPr>
            </w:pPr>
          </w:p>
          <w:p w14:paraId="075BD160">
            <w:pPr>
              <w:spacing w:line="360" w:lineRule="auto"/>
              <w:ind w:firstLine="435"/>
              <w:rPr>
                <w:rFonts w:hint="eastAsia" w:ascii="宋体" w:hAnsi="宋体" w:eastAsia="宋体" w:cs="宋体"/>
                <w:b w:val="0"/>
                <w:bCs w:val="0"/>
                <w:color w:val="auto"/>
                <w:sz w:val="24"/>
                <w:szCs w:val="24"/>
                <w:highlight w:val="none"/>
              </w:rPr>
            </w:pPr>
          </w:p>
          <w:p w14:paraId="35249648">
            <w:pPr>
              <w:spacing w:line="360" w:lineRule="auto"/>
              <w:ind w:firstLine="43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法定代表人身份证反面</w:t>
            </w:r>
          </w:p>
        </w:tc>
      </w:tr>
    </w:tbl>
    <w:p w14:paraId="36346C46">
      <w:pPr>
        <w:spacing w:line="360" w:lineRule="auto"/>
        <w:ind w:firstLine="435"/>
        <w:rPr>
          <w:rFonts w:hint="eastAsia" w:ascii="宋体" w:hAnsi="宋体" w:eastAsia="宋体" w:cs="宋体"/>
          <w:b w:val="0"/>
          <w:bCs w:val="0"/>
          <w:color w:val="auto"/>
          <w:sz w:val="24"/>
          <w:szCs w:val="24"/>
          <w:highlight w:val="none"/>
        </w:rPr>
      </w:pPr>
    </w:p>
    <w:tbl>
      <w:tblPr>
        <w:tblStyle w:val="25"/>
        <w:tblW w:w="0" w:type="auto"/>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5"/>
        <w:gridCol w:w="4394"/>
      </w:tblGrid>
      <w:tr w14:paraId="0B58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4475" w:type="dxa"/>
            <w:noWrap w:val="0"/>
            <w:vAlign w:val="top"/>
          </w:tcPr>
          <w:p w14:paraId="0BBA934C">
            <w:pPr>
              <w:spacing w:line="360" w:lineRule="auto"/>
              <w:ind w:firstLine="435"/>
              <w:rPr>
                <w:rFonts w:hint="eastAsia" w:ascii="宋体" w:hAnsi="宋体" w:eastAsia="宋体" w:cs="宋体"/>
                <w:b w:val="0"/>
                <w:bCs w:val="0"/>
                <w:color w:val="auto"/>
                <w:sz w:val="24"/>
                <w:szCs w:val="24"/>
                <w:highlight w:val="none"/>
              </w:rPr>
            </w:pPr>
          </w:p>
          <w:p w14:paraId="5BACA6B3">
            <w:pPr>
              <w:spacing w:line="360" w:lineRule="auto"/>
              <w:ind w:firstLine="435"/>
              <w:rPr>
                <w:rFonts w:hint="eastAsia" w:ascii="宋体" w:hAnsi="宋体" w:eastAsia="宋体" w:cs="宋体"/>
                <w:b w:val="0"/>
                <w:bCs w:val="0"/>
                <w:color w:val="auto"/>
                <w:sz w:val="24"/>
                <w:szCs w:val="24"/>
                <w:highlight w:val="none"/>
              </w:rPr>
            </w:pPr>
          </w:p>
          <w:p w14:paraId="0D08FE76">
            <w:pPr>
              <w:spacing w:line="360" w:lineRule="auto"/>
              <w:ind w:firstLine="43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被授权人身份证正面</w:t>
            </w:r>
          </w:p>
        </w:tc>
        <w:tc>
          <w:tcPr>
            <w:tcW w:w="4394" w:type="dxa"/>
            <w:noWrap w:val="0"/>
            <w:vAlign w:val="top"/>
          </w:tcPr>
          <w:p w14:paraId="7D4CB7F9">
            <w:pPr>
              <w:spacing w:line="360" w:lineRule="auto"/>
              <w:ind w:firstLine="435"/>
              <w:rPr>
                <w:rFonts w:hint="eastAsia" w:ascii="宋体" w:hAnsi="宋体" w:eastAsia="宋体" w:cs="宋体"/>
                <w:b w:val="0"/>
                <w:bCs w:val="0"/>
                <w:color w:val="auto"/>
                <w:sz w:val="24"/>
                <w:szCs w:val="24"/>
                <w:highlight w:val="none"/>
              </w:rPr>
            </w:pPr>
          </w:p>
          <w:p w14:paraId="1A6C9AD4">
            <w:pPr>
              <w:spacing w:line="360" w:lineRule="auto"/>
              <w:ind w:firstLine="435"/>
              <w:rPr>
                <w:rFonts w:hint="eastAsia" w:ascii="宋体" w:hAnsi="宋体" w:eastAsia="宋体" w:cs="宋体"/>
                <w:b w:val="0"/>
                <w:bCs w:val="0"/>
                <w:color w:val="auto"/>
                <w:sz w:val="24"/>
                <w:szCs w:val="24"/>
                <w:highlight w:val="none"/>
              </w:rPr>
            </w:pPr>
          </w:p>
          <w:p w14:paraId="4B72F80D">
            <w:pPr>
              <w:spacing w:line="360" w:lineRule="auto"/>
              <w:ind w:firstLine="43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被授权人身份证反面</w:t>
            </w:r>
          </w:p>
        </w:tc>
      </w:tr>
    </w:tbl>
    <w:p w14:paraId="1E9C81C9">
      <w:pPr>
        <w:pageBreakBefore w:val="0"/>
        <w:kinsoku/>
        <w:wordWrap/>
        <w:topLinePunct w:val="0"/>
        <w:bidi w:val="0"/>
        <w:spacing w:beforeAutospacing="0" w:afterAutospacing="0" w:line="460" w:lineRule="exact"/>
        <w:ind w:firstLine="612"/>
        <w:jc w:val="center"/>
        <w:rPr>
          <w:rFonts w:hint="eastAsia" w:ascii="宋体" w:hAnsi="宋体" w:eastAsia="宋体" w:cs="宋体"/>
          <w:color w:val="auto"/>
          <w:sz w:val="24"/>
          <w:highlight w:val="none"/>
        </w:rPr>
      </w:pPr>
    </w:p>
    <w:p w14:paraId="7C995187">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法定代表人或其委托代理人（签字或盖章）</w:t>
      </w:r>
    </w:p>
    <w:p w14:paraId="6F5CA439">
      <w:pPr>
        <w:pageBreakBefore w:val="0"/>
        <w:kinsoku/>
        <w:wordWrap/>
        <w:topLinePunct w:val="0"/>
        <w:bidi w:val="0"/>
        <w:spacing w:beforeAutospacing="0" w:afterAutospacing="0" w:line="500" w:lineRule="exact"/>
        <w:ind w:left="0" w:leftChars="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供应商名称：              （盖章）</w:t>
      </w:r>
    </w:p>
    <w:p w14:paraId="1FAD3D54">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期：</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日</w:t>
      </w:r>
    </w:p>
    <w:p w14:paraId="0067859D">
      <w:pPr>
        <w:pageBreakBefore w:val="0"/>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3D41C3E">
      <w:pPr>
        <w:pStyle w:val="37"/>
        <w:pageBreakBefore w:val="0"/>
        <w:kinsoku/>
        <w:wordWrap/>
        <w:topLinePunct w:val="0"/>
        <w:bidi w:val="0"/>
        <w:spacing w:beforeAutospacing="0" w:afterAutospacing="0" w:line="460" w:lineRule="exact"/>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br w:type="page"/>
      </w:r>
      <w:bookmarkStart w:id="981" w:name="_Toc498343982"/>
    </w:p>
    <w:p w14:paraId="6C708724">
      <w:pPr>
        <w:pageBreakBefore w:val="0"/>
        <w:kinsoku/>
        <w:wordWrap/>
        <w:topLinePunct w:val="0"/>
        <w:bidi w:val="0"/>
        <w:spacing w:beforeAutospacing="0" w:afterAutospacing="0" w:line="460" w:lineRule="exact"/>
        <w:jc w:val="center"/>
        <w:outlineLvl w:val="9"/>
        <w:rPr>
          <w:rFonts w:hint="eastAsia" w:ascii="宋体" w:hAnsi="宋体" w:eastAsia="宋体" w:cs="宋体"/>
          <w:b/>
          <w:bCs/>
          <w:color w:val="auto"/>
          <w:sz w:val="24"/>
          <w:szCs w:val="24"/>
          <w:highlight w:val="none"/>
        </w:rPr>
      </w:pPr>
    </w:p>
    <w:bookmarkEnd w:id="981"/>
    <w:p w14:paraId="53958D6C">
      <w:pPr>
        <w:pageBreakBefore w:val="0"/>
        <w:numPr>
          <w:ilvl w:val="0"/>
          <w:numId w:val="0"/>
        </w:numPr>
        <w:kinsoku/>
        <w:wordWrap/>
        <w:topLinePunct w:val="0"/>
        <w:bidi w:val="0"/>
        <w:spacing w:beforeAutospacing="0" w:afterAutospacing="0" w:line="46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eastAsia="zh-CN"/>
        </w:rPr>
        <w:t>五、</w:t>
      </w:r>
      <w:r>
        <w:rPr>
          <w:rFonts w:hint="eastAsia" w:ascii="宋体" w:hAnsi="宋体" w:eastAsia="宋体" w:cs="宋体"/>
          <w:b/>
          <w:bCs w:val="0"/>
          <w:color w:val="auto"/>
          <w:sz w:val="32"/>
          <w:szCs w:val="32"/>
          <w:highlight w:val="none"/>
        </w:rPr>
        <w:t>投标人概况</w:t>
      </w:r>
    </w:p>
    <w:p w14:paraId="28481994">
      <w:pPr>
        <w:pStyle w:val="34"/>
        <w:numPr>
          <w:ilvl w:val="0"/>
          <w:numId w:val="0"/>
        </w:numPr>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5-1投标人概况表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14:paraId="7BB1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0"/>
            <w:vAlign w:val="center"/>
          </w:tcPr>
          <w:p w14:paraId="44C34573">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6897" w:type="dxa"/>
            <w:gridSpan w:val="9"/>
            <w:noWrap w:val="0"/>
            <w:vAlign w:val="center"/>
          </w:tcPr>
          <w:p w14:paraId="0C96FC9E">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r w14:paraId="0496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0"/>
            <w:vAlign w:val="center"/>
          </w:tcPr>
          <w:p w14:paraId="6C664FFE">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385" w:type="dxa"/>
            <w:gridSpan w:val="5"/>
            <w:noWrap w:val="0"/>
            <w:vAlign w:val="center"/>
          </w:tcPr>
          <w:p w14:paraId="55873BA9">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1244" w:type="dxa"/>
            <w:noWrap w:val="0"/>
            <w:vAlign w:val="center"/>
          </w:tcPr>
          <w:p w14:paraId="35243CA6">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68" w:type="dxa"/>
            <w:gridSpan w:val="3"/>
            <w:noWrap w:val="0"/>
            <w:vAlign w:val="center"/>
          </w:tcPr>
          <w:p w14:paraId="592D45B6">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r w14:paraId="7ED6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noWrap w:val="0"/>
            <w:vAlign w:val="center"/>
          </w:tcPr>
          <w:p w14:paraId="2C91DB71">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897" w:type="dxa"/>
            <w:noWrap w:val="0"/>
            <w:vAlign w:val="center"/>
          </w:tcPr>
          <w:p w14:paraId="0B2C86C0">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488" w:type="dxa"/>
            <w:gridSpan w:val="4"/>
            <w:noWrap w:val="0"/>
            <w:vAlign w:val="center"/>
          </w:tcPr>
          <w:p w14:paraId="5D57AFDA">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1244" w:type="dxa"/>
            <w:noWrap w:val="0"/>
            <w:vAlign w:val="center"/>
          </w:tcPr>
          <w:p w14:paraId="544039AD">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268" w:type="dxa"/>
            <w:gridSpan w:val="3"/>
            <w:noWrap w:val="0"/>
            <w:vAlign w:val="center"/>
          </w:tcPr>
          <w:p w14:paraId="5CAF2805">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r w14:paraId="3C88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noWrap w:val="0"/>
            <w:vAlign w:val="center"/>
          </w:tcPr>
          <w:p w14:paraId="7D1FEEA8">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897" w:type="dxa"/>
            <w:noWrap w:val="0"/>
            <w:vAlign w:val="center"/>
          </w:tcPr>
          <w:p w14:paraId="2753640E">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488" w:type="dxa"/>
            <w:gridSpan w:val="4"/>
            <w:noWrap w:val="0"/>
            <w:vAlign w:val="center"/>
          </w:tcPr>
          <w:p w14:paraId="6763A9F0">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1244" w:type="dxa"/>
            <w:noWrap w:val="0"/>
            <w:vAlign w:val="center"/>
          </w:tcPr>
          <w:p w14:paraId="5B440527">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268" w:type="dxa"/>
            <w:gridSpan w:val="3"/>
            <w:noWrap w:val="0"/>
            <w:vAlign w:val="center"/>
          </w:tcPr>
          <w:p w14:paraId="47680271">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r w14:paraId="4FE5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0"/>
            <w:vAlign w:val="center"/>
          </w:tcPr>
          <w:p w14:paraId="259BFF30">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6897" w:type="dxa"/>
            <w:gridSpan w:val="9"/>
            <w:noWrap w:val="0"/>
            <w:vAlign w:val="center"/>
          </w:tcPr>
          <w:p w14:paraId="416935A5">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r w14:paraId="0E57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0"/>
            <w:vAlign w:val="center"/>
          </w:tcPr>
          <w:p w14:paraId="1373F92B">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897" w:type="dxa"/>
            <w:noWrap w:val="0"/>
            <w:vAlign w:val="center"/>
          </w:tcPr>
          <w:p w14:paraId="5C0F26CD">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19" w:type="dxa"/>
            <w:noWrap w:val="0"/>
            <w:vAlign w:val="center"/>
          </w:tcPr>
          <w:p w14:paraId="565BEC11">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1275" w:type="dxa"/>
            <w:gridSpan w:val="2"/>
            <w:noWrap w:val="0"/>
            <w:vAlign w:val="center"/>
          </w:tcPr>
          <w:p w14:paraId="40A7B9D9">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699" w:type="dxa"/>
            <w:gridSpan w:val="3"/>
            <w:noWrap w:val="0"/>
            <w:vAlign w:val="center"/>
          </w:tcPr>
          <w:p w14:paraId="1CAF8739">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707" w:type="dxa"/>
            <w:noWrap w:val="0"/>
            <w:vAlign w:val="center"/>
          </w:tcPr>
          <w:p w14:paraId="41A4F730">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300" w:type="dxa"/>
            <w:noWrap w:val="0"/>
            <w:vAlign w:val="center"/>
          </w:tcPr>
          <w:p w14:paraId="0E4114C3">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r w14:paraId="7EDA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0"/>
            <w:vAlign w:val="center"/>
          </w:tcPr>
          <w:p w14:paraId="1CD71E1B">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897" w:type="dxa"/>
            <w:noWrap w:val="0"/>
            <w:vAlign w:val="center"/>
          </w:tcPr>
          <w:p w14:paraId="0EBF074D">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19" w:type="dxa"/>
            <w:noWrap w:val="0"/>
            <w:vAlign w:val="center"/>
          </w:tcPr>
          <w:p w14:paraId="5BA9E703">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1275" w:type="dxa"/>
            <w:gridSpan w:val="2"/>
            <w:noWrap w:val="0"/>
            <w:vAlign w:val="center"/>
          </w:tcPr>
          <w:p w14:paraId="66307492">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699" w:type="dxa"/>
            <w:gridSpan w:val="3"/>
            <w:noWrap w:val="0"/>
            <w:vAlign w:val="center"/>
          </w:tcPr>
          <w:p w14:paraId="4B4F0209">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707" w:type="dxa"/>
            <w:noWrap w:val="0"/>
            <w:vAlign w:val="center"/>
          </w:tcPr>
          <w:p w14:paraId="181CECEB">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300" w:type="dxa"/>
            <w:noWrap w:val="0"/>
            <w:vAlign w:val="center"/>
          </w:tcPr>
          <w:p w14:paraId="42D97C33">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r w14:paraId="7BC2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0"/>
            <w:vAlign w:val="center"/>
          </w:tcPr>
          <w:p w14:paraId="3AD6DFF9">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916" w:type="dxa"/>
            <w:gridSpan w:val="2"/>
            <w:noWrap w:val="0"/>
            <w:vAlign w:val="center"/>
          </w:tcPr>
          <w:p w14:paraId="16530FB4">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4981" w:type="dxa"/>
            <w:gridSpan w:val="7"/>
            <w:noWrap w:val="0"/>
            <w:vAlign w:val="center"/>
          </w:tcPr>
          <w:p w14:paraId="585F1FEE">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502A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0"/>
            <w:vAlign w:val="center"/>
          </w:tcPr>
          <w:p w14:paraId="5A39C557">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1916" w:type="dxa"/>
            <w:gridSpan w:val="2"/>
            <w:noWrap w:val="0"/>
            <w:vAlign w:val="center"/>
          </w:tcPr>
          <w:p w14:paraId="54C4B0E6">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992" w:type="dxa"/>
            <w:vMerge w:val="restart"/>
            <w:noWrap w:val="0"/>
            <w:vAlign w:val="center"/>
          </w:tcPr>
          <w:p w14:paraId="6BB459EA">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982" w:type="dxa"/>
            <w:gridSpan w:val="4"/>
            <w:noWrap w:val="0"/>
            <w:vAlign w:val="center"/>
          </w:tcPr>
          <w:p w14:paraId="7C799151">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2007" w:type="dxa"/>
            <w:gridSpan w:val="2"/>
            <w:noWrap w:val="0"/>
            <w:vAlign w:val="center"/>
          </w:tcPr>
          <w:p w14:paraId="528D42C1">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r w14:paraId="7A9D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0"/>
            <w:vAlign w:val="center"/>
          </w:tcPr>
          <w:p w14:paraId="76E7D58D">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1916" w:type="dxa"/>
            <w:gridSpan w:val="2"/>
            <w:noWrap w:val="0"/>
            <w:vAlign w:val="center"/>
          </w:tcPr>
          <w:p w14:paraId="745FF94D">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992" w:type="dxa"/>
            <w:vMerge w:val="continue"/>
            <w:noWrap w:val="0"/>
            <w:vAlign w:val="center"/>
          </w:tcPr>
          <w:p w14:paraId="57344F2D">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1982" w:type="dxa"/>
            <w:gridSpan w:val="4"/>
            <w:noWrap w:val="0"/>
            <w:vAlign w:val="center"/>
          </w:tcPr>
          <w:p w14:paraId="3EE0D5B9">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007" w:type="dxa"/>
            <w:gridSpan w:val="2"/>
            <w:noWrap w:val="0"/>
            <w:vAlign w:val="center"/>
          </w:tcPr>
          <w:p w14:paraId="52B76A31">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r w14:paraId="0D09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0"/>
            <w:vAlign w:val="center"/>
          </w:tcPr>
          <w:p w14:paraId="1015F9F9">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916" w:type="dxa"/>
            <w:gridSpan w:val="2"/>
            <w:noWrap w:val="0"/>
            <w:vAlign w:val="center"/>
          </w:tcPr>
          <w:p w14:paraId="0B8AEFFF">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992" w:type="dxa"/>
            <w:vMerge w:val="continue"/>
            <w:noWrap w:val="0"/>
            <w:vAlign w:val="center"/>
          </w:tcPr>
          <w:p w14:paraId="359236B3">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1982" w:type="dxa"/>
            <w:gridSpan w:val="4"/>
            <w:noWrap w:val="0"/>
            <w:vAlign w:val="center"/>
          </w:tcPr>
          <w:p w14:paraId="3AB6ADE7">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007" w:type="dxa"/>
            <w:gridSpan w:val="2"/>
            <w:noWrap w:val="0"/>
            <w:vAlign w:val="center"/>
          </w:tcPr>
          <w:p w14:paraId="48894BD4">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r w14:paraId="3CE6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0"/>
            <w:vAlign w:val="center"/>
          </w:tcPr>
          <w:p w14:paraId="2559BF9B">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916" w:type="dxa"/>
            <w:gridSpan w:val="2"/>
            <w:noWrap w:val="0"/>
            <w:vAlign w:val="center"/>
          </w:tcPr>
          <w:p w14:paraId="22ABA47F">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992" w:type="dxa"/>
            <w:vMerge w:val="continue"/>
            <w:noWrap w:val="0"/>
            <w:vAlign w:val="center"/>
          </w:tcPr>
          <w:p w14:paraId="3247DABB">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1982" w:type="dxa"/>
            <w:gridSpan w:val="4"/>
            <w:noWrap w:val="0"/>
            <w:vAlign w:val="center"/>
          </w:tcPr>
          <w:p w14:paraId="28967BA0">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007" w:type="dxa"/>
            <w:gridSpan w:val="2"/>
            <w:noWrap w:val="0"/>
            <w:vAlign w:val="center"/>
          </w:tcPr>
          <w:p w14:paraId="1F14E3B6">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r w14:paraId="7B0F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0"/>
            <w:vAlign w:val="center"/>
          </w:tcPr>
          <w:p w14:paraId="5D05DB99">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1916" w:type="dxa"/>
            <w:gridSpan w:val="2"/>
            <w:noWrap w:val="0"/>
            <w:vAlign w:val="center"/>
          </w:tcPr>
          <w:p w14:paraId="0A8CFD27">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992" w:type="dxa"/>
            <w:vMerge w:val="continue"/>
            <w:noWrap w:val="0"/>
            <w:vAlign w:val="center"/>
          </w:tcPr>
          <w:p w14:paraId="2BE0E848">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c>
          <w:tcPr>
            <w:tcW w:w="1982" w:type="dxa"/>
            <w:gridSpan w:val="4"/>
            <w:noWrap w:val="0"/>
            <w:vAlign w:val="center"/>
          </w:tcPr>
          <w:p w14:paraId="3AA160B4">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工</w:t>
            </w:r>
          </w:p>
        </w:tc>
        <w:tc>
          <w:tcPr>
            <w:tcW w:w="2007" w:type="dxa"/>
            <w:gridSpan w:val="2"/>
            <w:noWrap w:val="0"/>
            <w:vAlign w:val="center"/>
          </w:tcPr>
          <w:p w14:paraId="419B2945">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r w14:paraId="56C4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625" w:type="dxa"/>
            <w:noWrap w:val="0"/>
            <w:vAlign w:val="center"/>
          </w:tcPr>
          <w:p w14:paraId="7B0938DA">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897" w:type="dxa"/>
            <w:gridSpan w:val="9"/>
            <w:noWrap w:val="0"/>
            <w:vAlign w:val="center"/>
          </w:tcPr>
          <w:p w14:paraId="11EEDCB1">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r w14:paraId="68D4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0"/>
            <w:vAlign w:val="center"/>
          </w:tcPr>
          <w:p w14:paraId="07993306">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97" w:type="dxa"/>
            <w:gridSpan w:val="9"/>
            <w:noWrap w:val="0"/>
            <w:vAlign w:val="center"/>
          </w:tcPr>
          <w:p w14:paraId="45C913A2">
            <w:pPr>
              <w:pageBreakBefore w:val="0"/>
              <w:kinsoku/>
              <w:wordWrap/>
              <w:topLinePunct w:val="0"/>
              <w:bidi w:val="0"/>
              <w:spacing w:beforeAutospacing="0" w:afterAutospacing="0" w:line="460" w:lineRule="exact"/>
              <w:jc w:val="center"/>
              <w:rPr>
                <w:rFonts w:hint="eastAsia" w:ascii="宋体" w:hAnsi="宋体" w:eastAsia="宋体" w:cs="宋体"/>
                <w:color w:val="auto"/>
                <w:sz w:val="24"/>
                <w:szCs w:val="24"/>
                <w:highlight w:val="none"/>
              </w:rPr>
            </w:pPr>
          </w:p>
        </w:tc>
      </w:tr>
    </w:tbl>
    <w:p w14:paraId="0F65044D">
      <w:pPr>
        <w:spacing w:line="50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b w:val="0"/>
          <w:bCs/>
          <w:color w:val="auto"/>
          <w:sz w:val="24"/>
          <w:szCs w:val="24"/>
          <w:highlight w:val="none"/>
          <w:lang w:val="en-US" w:eastAsia="zh-CN"/>
        </w:rPr>
        <w:t>1、有效的营业执照或事业单位法人证书或执业许可证证明材料或个体工商户营业执照或有效的自然人身份证明（复印件加盖公章）；</w:t>
      </w:r>
    </w:p>
    <w:p w14:paraId="6AC43D8E">
      <w:pPr>
        <w:keepNext w:val="0"/>
        <w:keepLines w:val="0"/>
        <w:pageBreakBefore w:val="0"/>
        <w:widowControl w:val="0"/>
        <w:kinsoku w:val="0"/>
        <w:wordWrap/>
        <w:overflowPunct w:val="0"/>
        <w:topLinePunct w:val="0"/>
        <w:autoSpaceDE w:val="0"/>
        <w:autoSpaceDN w:val="0"/>
        <w:bidi w:val="0"/>
        <w:adjustRightInd/>
        <w:snapToGrid/>
        <w:spacing w:beforeAutospacing="0" w:afterAutospacing="0" w:line="5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color w:val="auto"/>
          <w:sz w:val="24"/>
          <w:szCs w:val="24"/>
          <w:highlight w:val="none"/>
          <w:lang w:val="en-US" w:eastAsia="zh-CN"/>
        </w:rPr>
        <w:t>供应商须具备</w:t>
      </w:r>
      <w:r>
        <w:rPr>
          <w:rFonts w:hint="eastAsia" w:ascii="宋体" w:hAnsi="宋体" w:eastAsia="宋体" w:cs="宋体"/>
          <w:color w:val="auto"/>
          <w:kern w:val="2"/>
          <w:sz w:val="24"/>
          <w:szCs w:val="24"/>
          <w:highlight w:val="none"/>
          <w:lang w:val="en-US" w:eastAsia="zh-CN" w:bidi="ar-SA"/>
        </w:rPr>
        <w:t>消防设施工程专业承包二级及以上资质。</w:t>
      </w:r>
      <w:r>
        <w:rPr>
          <w:rFonts w:hint="eastAsia" w:ascii="宋体" w:hAnsi="宋体" w:eastAsia="宋体" w:cs="宋体"/>
          <w:color w:val="auto"/>
          <w:sz w:val="24"/>
          <w:szCs w:val="24"/>
          <w:highlight w:val="none"/>
          <w:lang w:val="en-US" w:eastAsia="zh-CN"/>
        </w:rPr>
        <w:t>；</w:t>
      </w:r>
    </w:p>
    <w:p w14:paraId="0CEF068B">
      <w:pPr>
        <w:pageBreakBefore w:val="0"/>
        <w:numPr>
          <w:ilvl w:val="0"/>
          <w:numId w:val="0"/>
        </w:numPr>
        <w:kinsoku/>
        <w:wordWrap/>
        <w:topLinePunct w:val="0"/>
        <w:bidi w:val="0"/>
        <w:spacing w:beforeAutospacing="0" w:afterAutospacing="0" w:line="500" w:lineRule="exact"/>
        <w:ind w:leftChars="200" w:right="0" w:rightChars="0"/>
        <w:rPr>
          <w:rFonts w:hint="eastAsia" w:ascii="宋体" w:hAnsi="宋体" w:eastAsia="宋体" w:cs="宋体"/>
          <w:color w:val="auto"/>
          <w:highlight w:val="none"/>
          <w:lang w:val="en-US" w:eastAsia="zh-CN"/>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color w:val="auto"/>
          <w:sz w:val="24"/>
          <w:szCs w:val="24"/>
          <w:highlight w:val="none"/>
          <w:lang w:val="en-US" w:eastAsia="zh-CN"/>
        </w:rPr>
        <w:t>具有有由住房和城乡建设部门颁发并在有效期内的《安全生产许可证》；</w:t>
      </w:r>
    </w:p>
    <w:p w14:paraId="2098981E">
      <w:pPr>
        <w:spacing w:line="500" w:lineRule="exact"/>
        <w:ind w:firstLine="480" w:firstLineChars="200"/>
        <w:rPr>
          <w:rFonts w:hint="eastAsia" w:ascii="宋体" w:hAnsi="宋体" w:eastAsia="宋体" w:cs="宋体"/>
          <w:color w:val="auto"/>
          <w:highlight w:val="none"/>
        </w:rPr>
        <w:sectPr>
          <w:pgSz w:w="11910" w:h="16840"/>
          <w:pgMar w:top="1134" w:right="1430" w:bottom="1134" w:left="1680" w:header="720" w:footer="720" w:gutter="0"/>
          <w:pgNumType w:fmt="decimal"/>
          <w:cols w:space="720" w:num="1"/>
        </w:sectPr>
      </w:pPr>
      <w:r>
        <w:rPr>
          <w:rFonts w:hint="eastAsia" w:ascii="宋体" w:hAnsi="宋体" w:eastAsia="宋体" w:cs="宋体"/>
          <w:b w:val="0"/>
          <w:bCs/>
          <w:color w:val="auto"/>
          <w:sz w:val="24"/>
          <w:szCs w:val="24"/>
          <w:highlight w:val="none"/>
          <w:lang w:val="en-US" w:eastAsia="zh-CN"/>
        </w:rPr>
        <w:t>4、供应商认为可提供的其他资料。</w:t>
      </w:r>
    </w:p>
    <w:p w14:paraId="230E18CF">
      <w:pPr>
        <w:pStyle w:val="3"/>
        <w:keepNext w:val="0"/>
        <w:keepLines w:val="0"/>
        <w:pageBreakBefore w:val="0"/>
        <w:widowControl w:val="0"/>
        <w:kinsoku/>
        <w:wordWrap/>
        <w:overflowPunct/>
        <w:topLinePunct w:val="0"/>
        <w:autoSpaceDE w:val="0"/>
        <w:autoSpaceDN w:val="0"/>
        <w:bidi w:val="0"/>
        <w:adjustRightInd w:val="0"/>
        <w:snapToGrid w:val="0"/>
        <w:spacing w:line="400" w:lineRule="exact"/>
        <w:ind w:firstLine="723" w:firstLineChars="300"/>
        <w:jc w:val="center"/>
        <w:textAlignment w:val="auto"/>
        <w:outlineLvl w:val="2"/>
        <w:rPr>
          <w:rStyle w:val="28"/>
          <w:rFonts w:hint="eastAsia" w:ascii="宋体" w:hAnsi="宋体" w:eastAsia="宋体" w:cs="宋体"/>
          <w:b/>
          <w:bCs/>
          <w:color w:val="auto"/>
          <w:kern w:val="2"/>
          <w:sz w:val="24"/>
          <w:szCs w:val="24"/>
          <w:highlight w:val="none"/>
          <w:lang w:val="zh-CN" w:eastAsia="zh-CN" w:bidi="zh-CN"/>
        </w:rPr>
      </w:pPr>
      <w:r>
        <w:rPr>
          <w:rStyle w:val="28"/>
          <w:rFonts w:hint="eastAsia" w:ascii="宋体" w:hAnsi="宋体" w:eastAsia="宋体" w:cs="宋体"/>
          <w:b/>
          <w:bCs/>
          <w:color w:val="auto"/>
          <w:kern w:val="2"/>
          <w:sz w:val="24"/>
          <w:szCs w:val="24"/>
          <w:highlight w:val="none"/>
          <w:lang w:val="en-US" w:eastAsia="zh-CN" w:bidi="zh-CN"/>
        </w:rPr>
        <w:t xml:space="preserve">5-2 </w:t>
      </w:r>
      <w:r>
        <w:rPr>
          <w:rStyle w:val="28"/>
          <w:rFonts w:hint="eastAsia" w:ascii="宋体" w:hAnsi="宋体" w:eastAsia="宋体" w:cs="宋体"/>
          <w:b/>
          <w:bCs/>
          <w:color w:val="auto"/>
          <w:kern w:val="2"/>
          <w:sz w:val="24"/>
          <w:szCs w:val="24"/>
          <w:highlight w:val="none"/>
          <w:lang w:val="zh-CN" w:eastAsia="zh-CN" w:bidi="zh-CN"/>
        </w:rPr>
        <w:t>响应保证金汇款凭证</w:t>
      </w:r>
    </w:p>
    <w:p w14:paraId="2368FD87">
      <w:pPr>
        <w:pStyle w:val="10"/>
        <w:pageBreakBefore w:val="0"/>
        <w:kinsoku/>
        <w:wordWrap/>
        <w:topLinePunct w:val="0"/>
        <w:bidi w:val="0"/>
        <w:spacing w:before="0" w:beforeAutospacing="0" w:afterAutospacing="0" w:line="500" w:lineRule="exact"/>
        <w:ind w:left="0" w:leftChars="0" w:right="0"/>
        <w:jc w:val="center"/>
        <w:rPr>
          <w:rFonts w:hint="eastAsia" w:ascii="宋体" w:hAnsi="宋体" w:eastAsia="宋体" w:cs="宋体"/>
          <w:color w:val="auto"/>
          <w:highlight w:val="none"/>
        </w:rPr>
      </w:pPr>
      <w:r>
        <w:rPr>
          <w:rFonts w:hint="eastAsia" w:ascii="宋体" w:hAnsi="宋体" w:eastAsia="宋体" w:cs="宋体"/>
          <w:color w:val="auto"/>
          <w:highlight w:val="none"/>
        </w:rPr>
        <w:t>保证金汇款声明函</w:t>
      </w:r>
    </w:p>
    <w:p w14:paraId="58020460">
      <w:pPr>
        <w:pStyle w:val="10"/>
        <w:pageBreakBefore w:val="0"/>
        <w:kinsoku/>
        <w:wordWrap/>
        <w:topLinePunct w:val="0"/>
        <w:bidi w:val="0"/>
        <w:spacing w:before="0" w:beforeAutospacing="0" w:afterAutospacing="0" w:line="500" w:lineRule="exact"/>
        <w:ind w:left="0" w:leftChars="0" w:right="0"/>
        <w:jc w:val="both"/>
        <w:rPr>
          <w:rFonts w:hint="eastAsia" w:ascii="宋体" w:hAnsi="宋体" w:eastAsia="宋体" w:cs="宋体"/>
          <w:color w:val="auto"/>
          <w:highlight w:val="none"/>
        </w:rPr>
      </w:pPr>
      <w:r>
        <w:rPr>
          <w:rFonts w:hint="eastAsia" w:ascii="宋体" w:hAnsi="宋体" w:eastAsia="宋体" w:cs="宋体"/>
          <w:color w:val="auto"/>
          <w:highlight w:val="none"/>
        </w:rPr>
        <w:t>致：____________(招标人或采购代理机构)</w:t>
      </w:r>
    </w:p>
    <w:p w14:paraId="361754B5">
      <w:pPr>
        <w:pStyle w:val="10"/>
        <w:pageBreakBefore w:val="0"/>
        <w:kinsoku/>
        <w:wordWrap/>
        <w:topLinePunct w:val="0"/>
        <w:bidi w:val="0"/>
        <w:spacing w:before="0" w:beforeAutospacing="0" w:afterAutospacing="0" w:line="500" w:lineRule="exact"/>
        <w:ind w:left="0" w:leftChars="0" w:right="0"/>
        <w:jc w:val="both"/>
        <w:rPr>
          <w:rFonts w:hint="eastAsia" w:ascii="宋体" w:hAnsi="宋体" w:eastAsia="宋体" w:cs="宋体"/>
          <w:color w:val="auto"/>
          <w:highlight w:val="none"/>
        </w:rPr>
      </w:pPr>
      <w:r>
        <w:rPr>
          <w:rFonts w:hint="eastAsia" w:ascii="宋体" w:hAnsi="宋体" w:eastAsia="宋体" w:cs="宋体"/>
          <w:color w:val="auto"/>
          <w:highlight w:val="none"/>
        </w:rPr>
        <w:t>我方为____________(项目名称)(项目编号：_______)递交保证金人民币________元(大写(人民币　　元)已于______年____月____日以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形式缴纳</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保证金，详见附件。</w:t>
      </w:r>
    </w:p>
    <w:p w14:paraId="28808D29">
      <w:pPr>
        <w:pStyle w:val="10"/>
        <w:pageBreakBefore w:val="0"/>
        <w:kinsoku/>
        <w:wordWrap/>
        <w:topLinePunct w:val="0"/>
        <w:bidi w:val="0"/>
        <w:spacing w:before="0" w:beforeAutospacing="0" w:afterAutospacing="0" w:line="500" w:lineRule="exact"/>
        <w:ind w:left="0" w:leftChars="0" w:right="0"/>
        <w:jc w:val="both"/>
        <w:rPr>
          <w:rFonts w:hint="eastAsia" w:ascii="宋体" w:hAnsi="宋体" w:eastAsia="宋体" w:cs="宋体"/>
          <w:color w:val="auto"/>
          <w:highlight w:val="none"/>
        </w:rPr>
      </w:pPr>
      <w:r>
        <w:rPr>
          <w:rFonts w:hint="eastAsia" w:ascii="宋体" w:hAnsi="宋体" w:eastAsia="宋体" w:cs="宋体"/>
          <w:color w:val="auto"/>
          <w:highlight w:val="none"/>
        </w:rPr>
        <w:t>详见附件：</w:t>
      </w:r>
      <w:r>
        <w:rPr>
          <w:rFonts w:hint="eastAsia" w:ascii="宋体" w:hAnsi="宋体" w:eastAsia="宋体" w:cs="宋体"/>
          <w:color w:val="auto"/>
          <w:highlight w:val="none"/>
          <w:lang w:eastAsia="zh-CN"/>
        </w:rPr>
        <w:t>保证金</w:t>
      </w:r>
      <w:r>
        <w:rPr>
          <w:rFonts w:hint="eastAsia" w:ascii="宋体" w:hAnsi="宋体" w:eastAsia="宋体" w:cs="宋体"/>
          <w:color w:val="auto"/>
          <w:highlight w:val="none"/>
        </w:rPr>
        <w:t>凭证复印件。</w:t>
      </w:r>
    </w:p>
    <w:p w14:paraId="7C92019E">
      <w:pPr>
        <w:pStyle w:val="10"/>
        <w:pageBreakBefore w:val="0"/>
        <w:kinsoku/>
        <w:wordWrap/>
        <w:topLinePunct w:val="0"/>
        <w:bidi w:val="0"/>
        <w:spacing w:before="0" w:beforeAutospacing="0" w:afterAutospacing="0" w:line="500" w:lineRule="exact"/>
        <w:ind w:left="0" w:leftChars="0" w:right="0"/>
        <w:jc w:val="both"/>
        <w:rPr>
          <w:rFonts w:hint="eastAsia" w:ascii="宋体" w:hAnsi="宋体" w:eastAsia="宋体" w:cs="宋体"/>
          <w:color w:val="auto"/>
          <w:highlight w:val="none"/>
        </w:rPr>
      </w:pPr>
      <w:r>
        <w:rPr>
          <w:rFonts w:hint="eastAsia" w:ascii="宋体" w:hAnsi="宋体" w:eastAsia="宋体" w:cs="宋体"/>
          <w:color w:val="auto"/>
          <w:highlight w:val="none"/>
        </w:rPr>
        <w:t>投标人(公章)：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w:t>
      </w:r>
    </w:p>
    <w:p w14:paraId="0DFBB651">
      <w:pPr>
        <w:pStyle w:val="10"/>
        <w:pageBreakBefore w:val="0"/>
        <w:kinsoku/>
        <w:wordWrap/>
        <w:topLinePunct w:val="0"/>
        <w:bidi w:val="0"/>
        <w:spacing w:before="0" w:beforeAutospacing="0" w:afterAutospacing="0" w:line="500" w:lineRule="exact"/>
        <w:ind w:left="0" w:leftChars="0" w:right="0"/>
        <w:jc w:val="both"/>
        <w:rPr>
          <w:rFonts w:hint="eastAsia" w:ascii="宋体" w:hAnsi="宋体" w:eastAsia="宋体" w:cs="宋体"/>
          <w:color w:val="auto"/>
          <w:highlight w:val="none"/>
        </w:rPr>
      </w:pPr>
      <w:r>
        <w:rPr>
          <w:rFonts w:hint="eastAsia" w:ascii="宋体" w:hAnsi="宋体" w:eastAsia="宋体" w:cs="宋体"/>
          <w:color w:val="auto"/>
          <w:highlight w:val="none"/>
        </w:rPr>
        <w:t>地址：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w:t>
      </w:r>
    </w:p>
    <w:p w14:paraId="43322131">
      <w:pPr>
        <w:pStyle w:val="10"/>
        <w:pageBreakBefore w:val="0"/>
        <w:kinsoku/>
        <w:wordWrap/>
        <w:topLinePunct w:val="0"/>
        <w:bidi w:val="0"/>
        <w:spacing w:before="0" w:beforeAutospacing="0" w:afterAutospacing="0" w:line="500" w:lineRule="exact"/>
        <w:ind w:left="0" w:leftChars="0" w:right="0"/>
        <w:jc w:val="both"/>
        <w:rPr>
          <w:rFonts w:hint="eastAsia" w:ascii="宋体" w:hAnsi="宋体" w:eastAsia="宋体" w:cs="宋体"/>
          <w:color w:val="auto"/>
          <w:highlight w:val="none"/>
        </w:rPr>
      </w:pPr>
      <w:r>
        <w:rPr>
          <w:rFonts w:hint="eastAsia" w:ascii="宋体" w:hAnsi="宋体" w:eastAsia="宋体" w:cs="宋体"/>
          <w:color w:val="auto"/>
          <w:highlight w:val="none"/>
        </w:rPr>
        <w:t>项目联系人：</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w:t>
      </w:r>
    </w:p>
    <w:p w14:paraId="38696BA7">
      <w:pPr>
        <w:pStyle w:val="10"/>
        <w:pageBreakBefore w:val="0"/>
        <w:kinsoku/>
        <w:wordWrap/>
        <w:topLinePunct w:val="0"/>
        <w:bidi w:val="0"/>
        <w:spacing w:before="0" w:beforeAutospacing="0" w:afterAutospacing="0" w:line="500" w:lineRule="exact"/>
        <w:ind w:left="0" w:leftChars="0" w:right="0"/>
        <w:jc w:val="both"/>
        <w:rPr>
          <w:rFonts w:hint="eastAsia" w:ascii="宋体" w:hAnsi="宋体" w:eastAsia="宋体" w:cs="宋体"/>
          <w:color w:val="auto"/>
          <w:highlight w:val="none"/>
        </w:rPr>
      </w:pPr>
      <w:r>
        <w:rPr>
          <w:rFonts w:hint="eastAsia" w:ascii="宋体" w:hAnsi="宋体" w:eastAsia="宋体" w:cs="宋体"/>
          <w:color w:val="auto"/>
          <w:highlight w:val="none"/>
        </w:rPr>
        <w:t>联系方式：　　　</w:t>
      </w:r>
      <w:r>
        <w:rPr>
          <w:rFonts w:hint="eastAsia" w:ascii="宋体" w:hAnsi="宋体" w:eastAsia="宋体" w:cs="宋体"/>
          <w:color w:val="auto"/>
          <w:highlight w:val="none"/>
        </w:rPr>
        <w:tab/>
      </w:r>
      <w:r>
        <w:rPr>
          <w:rFonts w:hint="eastAsia" w:ascii="宋体" w:hAnsi="宋体" w:eastAsia="宋体" w:cs="宋体"/>
          <w:color w:val="auto"/>
          <w:highlight w:val="none"/>
        </w:rPr>
        <w:tab/>
      </w:r>
    </w:p>
    <w:p w14:paraId="7CD22544">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14:paraId="594DD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6" w:hRule="atLeast"/>
          <w:jc w:val="center"/>
        </w:trPr>
        <w:tc>
          <w:tcPr>
            <w:tcW w:w="5913" w:type="dxa"/>
            <w:tcBorders>
              <w:top w:val="single" w:color="auto" w:sz="4" w:space="0"/>
              <w:bottom w:val="single" w:color="auto" w:sz="4" w:space="0"/>
            </w:tcBorders>
            <w:noWrap w:val="0"/>
            <w:vAlign w:val="center"/>
          </w:tcPr>
          <w:p w14:paraId="224696C7">
            <w:pPr>
              <w:pStyle w:val="10"/>
              <w:pageBreakBefore w:val="0"/>
              <w:kinsoku/>
              <w:wordWrap/>
              <w:topLinePunct w:val="0"/>
              <w:bidi w:val="0"/>
              <w:spacing w:before="0" w:beforeAutospacing="0" w:afterAutospacing="0" w:line="500" w:lineRule="exact"/>
              <w:ind w:left="0" w:leftChars="0" w:right="0"/>
              <w:jc w:val="center"/>
              <w:rPr>
                <w:rFonts w:hint="eastAsia" w:ascii="宋体" w:hAnsi="宋体" w:eastAsia="宋体" w:cs="宋体"/>
                <w:color w:val="auto"/>
                <w:highlight w:val="none"/>
              </w:rPr>
            </w:pPr>
            <w:r>
              <w:rPr>
                <w:rFonts w:hint="eastAsia" w:ascii="宋体" w:hAnsi="宋体" w:eastAsia="宋体" w:cs="宋体"/>
                <w:color w:val="auto"/>
                <w:highlight w:val="none"/>
              </w:rPr>
              <w:t>凭证复印件</w:t>
            </w:r>
          </w:p>
        </w:tc>
      </w:tr>
      <w:tr w14:paraId="370F1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0" w:hRule="atLeast"/>
          <w:jc w:val="center"/>
        </w:trPr>
        <w:tc>
          <w:tcPr>
            <w:tcW w:w="5913" w:type="dxa"/>
            <w:tcBorders>
              <w:top w:val="single" w:color="auto" w:sz="4" w:space="0"/>
              <w:bottom w:val="single" w:color="auto" w:sz="4" w:space="0"/>
            </w:tcBorders>
            <w:noWrap w:val="0"/>
            <w:vAlign w:val="center"/>
          </w:tcPr>
          <w:p w14:paraId="16D90796">
            <w:pPr>
              <w:pStyle w:val="10"/>
              <w:pageBreakBefore w:val="0"/>
              <w:kinsoku/>
              <w:wordWrap/>
              <w:topLinePunct w:val="0"/>
              <w:bidi w:val="0"/>
              <w:spacing w:before="0" w:beforeAutospacing="0" w:afterAutospacing="0" w:line="500" w:lineRule="exact"/>
              <w:ind w:left="0" w:leftChars="0"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开户许可证</w:t>
            </w:r>
          </w:p>
        </w:tc>
      </w:tr>
    </w:tbl>
    <w:p w14:paraId="30ED7205">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rPr>
      </w:pPr>
    </w:p>
    <w:p w14:paraId="188E9FC5">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rPr>
      </w:pPr>
    </w:p>
    <w:p w14:paraId="66AEE7F5">
      <w:pPr>
        <w:pageBreakBefore w:val="0"/>
        <w:kinsoku/>
        <w:wordWrap/>
        <w:topLinePunct w:val="0"/>
        <w:bidi w:val="0"/>
        <w:spacing w:beforeAutospacing="0" w:afterAutospacing="0" w:line="500" w:lineRule="exact"/>
        <w:ind w:left="0" w:leftChars="0" w:right="0"/>
        <w:rPr>
          <w:rFonts w:hint="eastAsia" w:ascii="宋体" w:hAnsi="宋体" w:eastAsia="宋体" w:cs="宋体"/>
          <w:color w:val="auto"/>
          <w:sz w:val="24"/>
          <w:highlight w:val="none"/>
        </w:rPr>
      </w:pPr>
    </w:p>
    <w:p w14:paraId="005CD464">
      <w:pPr>
        <w:pStyle w:val="15"/>
        <w:ind w:firstLine="840" w:firstLineChars="300"/>
        <w:rPr>
          <w:rStyle w:val="28"/>
          <w:rFonts w:hint="eastAsia" w:ascii="宋体" w:hAnsi="宋体" w:eastAsia="宋体" w:cs="宋体"/>
          <w:b w:val="0"/>
          <w:bCs w:val="0"/>
          <w:color w:val="auto"/>
          <w:kern w:val="2"/>
          <w:sz w:val="28"/>
          <w:szCs w:val="28"/>
          <w:highlight w:val="none"/>
          <w:lang w:val="en-US" w:eastAsia="zh-CN" w:bidi="zh-CN"/>
        </w:rPr>
      </w:pPr>
    </w:p>
    <w:p w14:paraId="07E4603B">
      <w:pPr>
        <w:pStyle w:val="15"/>
        <w:keepNext w:val="0"/>
        <w:keepLines w:val="0"/>
        <w:pageBreakBefore w:val="0"/>
        <w:widowControl w:val="0"/>
        <w:kinsoku/>
        <w:wordWrap/>
        <w:overflowPunct/>
        <w:topLinePunct w:val="0"/>
        <w:autoSpaceDE/>
        <w:autoSpaceDN/>
        <w:bidi w:val="0"/>
        <w:adjustRightInd/>
        <w:snapToGrid/>
        <w:ind w:left="102" w:firstLine="1928" w:firstLineChars="800"/>
        <w:jc w:val="both"/>
        <w:textAlignment w:val="auto"/>
        <w:outlineLvl w:val="9"/>
        <w:rPr>
          <w:rStyle w:val="28"/>
          <w:rFonts w:hint="eastAsia" w:ascii="宋体" w:hAnsi="宋体" w:eastAsia="宋体" w:cs="宋体"/>
          <w:b/>
          <w:bCs/>
          <w:color w:val="auto"/>
          <w:kern w:val="2"/>
          <w:sz w:val="24"/>
          <w:szCs w:val="24"/>
          <w:highlight w:val="none"/>
          <w:lang w:val="en-US" w:eastAsia="zh-CN" w:bidi="zh-CN"/>
        </w:rPr>
      </w:pPr>
    </w:p>
    <w:p w14:paraId="6A11D2A0">
      <w:pPr>
        <w:rPr>
          <w:rStyle w:val="28"/>
          <w:rFonts w:hint="eastAsia" w:ascii="宋体" w:hAnsi="宋体" w:eastAsia="宋体" w:cs="宋体"/>
          <w:b/>
          <w:bCs/>
          <w:color w:val="auto"/>
          <w:kern w:val="2"/>
          <w:sz w:val="24"/>
          <w:szCs w:val="24"/>
          <w:highlight w:val="none"/>
          <w:lang w:val="en-US" w:eastAsia="zh-CN" w:bidi="zh-CN"/>
        </w:rPr>
      </w:pPr>
      <w:r>
        <w:rPr>
          <w:rStyle w:val="28"/>
          <w:rFonts w:hint="eastAsia" w:ascii="宋体" w:hAnsi="宋体" w:eastAsia="宋体" w:cs="宋体"/>
          <w:b/>
          <w:bCs/>
          <w:color w:val="auto"/>
          <w:kern w:val="2"/>
          <w:sz w:val="24"/>
          <w:szCs w:val="24"/>
          <w:highlight w:val="none"/>
          <w:lang w:val="en-US" w:eastAsia="zh-CN" w:bidi="zh-CN"/>
        </w:rPr>
        <w:br w:type="page"/>
      </w:r>
    </w:p>
    <w:p w14:paraId="20353CB1">
      <w:pPr>
        <w:pStyle w:val="15"/>
        <w:jc w:val="center"/>
        <w:rPr>
          <w:rStyle w:val="28"/>
          <w:rFonts w:hint="eastAsia" w:ascii="宋体" w:hAnsi="宋体" w:eastAsia="宋体" w:cs="宋体"/>
          <w:b/>
          <w:bCs/>
          <w:color w:val="auto"/>
          <w:kern w:val="2"/>
          <w:sz w:val="24"/>
          <w:szCs w:val="24"/>
          <w:highlight w:val="none"/>
          <w:lang w:val="en-US" w:eastAsia="zh-CN" w:bidi="zh-CN"/>
        </w:rPr>
      </w:pPr>
      <w:r>
        <w:rPr>
          <w:rStyle w:val="28"/>
          <w:rFonts w:hint="eastAsia" w:ascii="宋体" w:hAnsi="宋体" w:eastAsia="宋体" w:cs="宋体"/>
          <w:b/>
          <w:bCs/>
          <w:color w:val="auto"/>
          <w:kern w:val="2"/>
          <w:sz w:val="24"/>
          <w:szCs w:val="24"/>
          <w:highlight w:val="none"/>
          <w:lang w:val="en-US" w:eastAsia="zh-CN" w:bidi="zh-CN"/>
        </w:rPr>
        <w:t>5-3 具有良好的商业信誉和健全的财务会计制度的相关材料</w:t>
      </w:r>
    </w:p>
    <w:p w14:paraId="18662CB6">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rPr>
      </w:pPr>
    </w:p>
    <w:p w14:paraId="68C7270A">
      <w:pPr>
        <w:pageBreakBefore w:val="0"/>
        <w:kinsoku/>
        <w:wordWrap/>
        <w:topLinePunct w:val="0"/>
        <w:bidi w:val="0"/>
        <w:spacing w:beforeAutospacing="0" w:afterAutospacing="0" w:line="500" w:lineRule="exact"/>
        <w:ind w:left="0" w:leftChars="0" w:right="0"/>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复印件加盖公章</w:t>
      </w:r>
      <w:r>
        <w:rPr>
          <w:rFonts w:hint="eastAsia" w:ascii="宋体" w:hAnsi="宋体" w:eastAsia="宋体" w:cs="宋体"/>
          <w:color w:val="auto"/>
          <w:sz w:val="24"/>
          <w:highlight w:val="none"/>
        </w:rPr>
        <w:t>）</w:t>
      </w:r>
    </w:p>
    <w:p w14:paraId="76D21A97">
      <w:pPr>
        <w:pageBreakBefore w:val="0"/>
        <w:kinsoku/>
        <w:wordWrap/>
        <w:topLinePunct w:val="0"/>
        <w:bidi w:val="0"/>
        <w:spacing w:beforeAutospacing="0" w:afterAutospacing="0" w:line="500" w:lineRule="exact"/>
        <w:ind w:left="0" w:leftChars="0" w:right="0"/>
        <w:rPr>
          <w:rFonts w:hint="eastAsia" w:ascii="宋体" w:hAnsi="宋体" w:eastAsia="宋体" w:cs="宋体"/>
          <w:color w:val="auto"/>
          <w:sz w:val="24"/>
          <w:highlight w:val="none"/>
        </w:rPr>
      </w:pPr>
    </w:p>
    <w:p w14:paraId="4B8C6B14">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rPr>
      </w:pPr>
    </w:p>
    <w:p w14:paraId="38C26D7A">
      <w:pPr>
        <w:pageBreakBefore w:val="0"/>
        <w:kinsoku/>
        <w:wordWrap/>
        <w:topLinePunct w:val="0"/>
        <w:bidi w:val="0"/>
        <w:spacing w:beforeAutospacing="0" w:afterAutospacing="0" w:line="500" w:lineRule="exact"/>
        <w:ind w:left="0" w:leftChars="0" w:right="0"/>
        <w:rPr>
          <w:rFonts w:hint="eastAsia" w:ascii="宋体" w:hAnsi="宋体" w:eastAsia="宋体" w:cs="宋体"/>
          <w:color w:val="auto"/>
          <w:sz w:val="24"/>
          <w:highlight w:val="none"/>
        </w:rPr>
      </w:pPr>
    </w:p>
    <w:p w14:paraId="16707690">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rPr>
      </w:pPr>
    </w:p>
    <w:p w14:paraId="28ACAF05">
      <w:pPr>
        <w:pageBreakBefore w:val="0"/>
        <w:kinsoku/>
        <w:wordWrap/>
        <w:topLinePunct w:val="0"/>
        <w:bidi w:val="0"/>
        <w:spacing w:beforeAutospacing="0" w:afterAutospacing="0" w:line="500" w:lineRule="exact"/>
        <w:ind w:left="0" w:leftChars="0" w:right="0"/>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5-4 依法缴纳税收和社会保障资金的相关材料</w:t>
      </w:r>
    </w:p>
    <w:p w14:paraId="3F043B41">
      <w:pPr>
        <w:pStyle w:val="1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6A514A5B">
      <w:pPr>
        <w:pStyle w:val="10"/>
        <w:spacing w:line="360" w:lineRule="auto"/>
        <w:rPr>
          <w:rFonts w:hint="eastAsia" w:ascii="宋体" w:hAnsi="宋体" w:eastAsia="宋体" w:cs="宋体"/>
          <w:color w:val="auto"/>
          <w:highlight w:val="none"/>
        </w:rPr>
      </w:pPr>
      <w:r>
        <w:rPr>
          <w:rFonts w:hint="eastAsia" w:ascii="宋体" w:hAnsi="宋体" w:eastAsia="宋体" w:cs="宋体"/>
          <w:b w:val="0"/>
          <w:bCs w:val="0"/>
          <w:color w:val="auto"/>
          <w:kern w:val="2"/>
          <w:sz w:val="24"/>
          <w:szCs w:val="24"/>
          <w:highlight w:val="none"/>
          <w:lang w:val="en-US" w:eastAsia="zh-CN" w:bidi="ar-SA"/>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p w14:paraId="2927FB30">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rPr>
      </w:pPr>
    </w:p>
    <w:p w14:paraId="3109CF03">
      <w:pPr>
        <w:pageBreakBefore w:val="0"/>
        <w:kinsoku/>
        <w:wordWrap/>
        <w:topLinePunct w:val="0"/>
        <w:bidi w:val="0"/>
        <w:spacing w:beforeAutospacing="0" w:afterAutospacing="0" w:line="500" w:lineRule="exact"/>
        <w:ind w:left="0" w:leftChars="0" w:right="0"/>
        <w:rPr>
          <w:rFonts w:hint="eastAsia" w:ascii="宋体" w:hAnsi="宋体" w:eastAsia="宋体" w:cs="宋体"/>
          <w:color w:val="auto"/>
          <w:sz w:val="24"/>
          <w:highlight w:val="none"/>
        </w:rPr>
      </w:pPr>
    </w:p>
    <w:p w14:paraId="78615ECB">
      <w:pPr>
        <w:pStyle w:val="10"/>
        <w:pageBreakBefore w:val="0"/>
        <w:kinsoku/>
        <w:wordWrap/>
        <w:topLinePunct w:val="0"/>
        <w:bidi w:val="0"/>
        <w:spacing w:before="0" w:beforeAutospacing="0" w:afterAutospacing="0" w:line="500" w:lineRule="exact"/>
        <w:ind w:left="0" w:leftChars="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复印件加盖公章</w:t>
      </w:r>
      <w:r>
        <w:rPr>
          <w:rFonts w:hint="eastAsia" w:ascii="宋体" w:hAnsi="宋体" w:eastAsia="宋体" w:cs="宋体"/>
          <w:color w:val="auto"/>
          <w:highlight w:val="none"/>
        </w:rPr>
        <w:t>）</w:t>
      </w:r>
    </w:p>
    <w:p w14:paraId="23556011">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lang w:val="en-US"/>
        </w:rPr>
      </w:pPr>
    </w:p>
    <w:p w14:paraId="26A12B5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3C9181FF">
      <w:pPr>
        <w:pStyle w:val="10"/>
        <w:keepNext w:val="0"/>
        <w:keepLines w:val="0"/>
        <w:pageBreakBefore w:val="0"/>
        <w:widowControl w:val="0"/>
        <w:kinsoku/>
        <w:wordWrap/>
        <w:overflowPunct/>
        <w:topLinePunct w:val="0"/>
        <w:autoSpaceDE/>
        <w:autoSpaceDN/>
        <w:bidi w:val="0"/>
        <w:adjustRightInd/>
        <w:snapToGrid/>
        <w:spacing w:before="0" w:beforeAutospacing="0" w:afterAutospacing="0" w:line="500" w:lineRule="exact"/>
        <w:ind w:left="0" w:leftChars="0" w:right="0"/>
        <w:textAlignment w:val="auto"/>
        <w:outlineLvl w:val="2"/>
        <w:rPr>
          <w:rFonts w:hint="eastAsia" w:ascii="宋体" w:hAnsi="宋体" w:eastAsia="宋体" w:cs="宋体"/>
          <w:b/>
          <w:bCs/>
          <w:color w:val="auto"/>
          <w:highlight w:val="none"/>
          <w:lang w:val="zh-CN" w:eastAsia="zh-CN"/>
        </w:rPr>
      </w:pPr>
      <w:r>
        <w:rPr>
          <w:rFonts w:hint="eastAsia" w:ascii="宋体" w:hAnsi="宋体" w:eastAsia="宋体" w:cs="宋体"/>
          <w:b/>
          <w:bCs/>
          <w:color w:val="auto"/>
          <w:highlight w:val="none"/>
          <w:lang w:val="en-US" w:eastAsia="zh-CN"/>
        </w:rPr>
        <w:t>5-5  具备履行合同所必需的设备和专业技术能力的证明材料（提供承诺函）</w:t>
      </w:r>
    </w:p>
    <w:p w14:paraId="6EEEB9BC">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rPr>
      </w:pPr>
    </w:p>
    <w:p w14:paraId="50B532C3">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我单位郑重声明：我单位具备履行本项采购合同所必需的设备和专业技术能力，为履行本项采购合同我公司具备如下主要设备和主要专业技术能力：</w:t>
      </w:r>
    </w:p>
    <w:p w14:paraId="116B9B23">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主要设备有：</w:t>
      </w:r>
      <w:r>
        <w:rPr>
          <w:rFonts w:hint="eastAsia" w:ascii="宋体" w:hAnsi="宋体" w:eastAsia="宋体" w:cs="宋体"/>
          <w:color w:val="auto"/>
          <w:highlight w:val="none"/>
          <w:u w:val="single"/>
          <w:lang w:val="zh-CN"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zh-CN" w:eastAsia="zh-CN"/>
        </w:rPr>
        <w:t>。</w:t>
      </w:r>
    </w:p>
    <w:p w14:paraId="29CF609C">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主要专业技术能力有：</w:t>
      </w:r>
      <w:r>
        <w:rPr>
          <w:rFonts w:hint="eastAsia" w:ascii="宋体" w:hAnsi="宋体" w:eastAsia="宋体" w:cs="宋体"/>
          <w:color w:val="auto"/>
          <w:highlight w:val="none"/>
          <w:u w:val="single"/>
          <w:lang w:val="zh-CN" w:eastAsia="zh-CN"/>
        </w:rPr>
        <w:t xml:space="preserve">                                  </w:t>
      </w:r>
      <w:r>
        <w:rPr>
          <w:rFonts w:hint="eastAsia" w:ascii="宋体" w:hAnsi="宋体" w:eastAsia="宋体" w:cs="宋体"/>
          <w:color w:val="auto"/>
          <w:highlight w:val="none"/>
          <w:lang w:val="zh-CN" w:eastAsia="zh-CN"/>
        </w:rPr>
        <w:t>。</w:t>
      </w:r>
    </w:p>
    <w:p w14:paraId="14A9F2B6">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lang w:val="zh-CN"/>
        </w:rPr>
      </w:pPr>
      <w:bookmarkStart w:id="982" w:name="_Toc25767"/>
    </w:p>
    <w:p w14:paraId="1D927E37">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lang w:val="zh-CN"/>
        </w:rPr>
      </w:pPr>
    </w:p>
    <w:p w14:paraId="361B07B7">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法定代表人或其委托代理人（签字或盖章）</w:t>
      </w:r>
    </w:p>
    <w:p w14:paraId="66FDBA47">
      <w:pPr>
        <w:pageBreakBefore w:val="0"/>
        <w:kinsoku/>
        <w:wordWrap/>
        <w:topLinePunct w:val="0"/>
        <w:bidi w:val="0"/>
        <w:spacing w:beforeAutospacing="0" w:afterAutospacing="0" w:line="500" w:lineRule="exact"/>
        <w:ind w:left="0" w:leftChars="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供应商名称：              （盖章）</w:t>
      </w:r>
    </w:p>
    <w:p w14:paraId="37342262">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期：</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日</w:t>
      </w:r>
    </w:p>
    <w:p w14:paraId="54CE2AA7">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rPr>
      </w:pPr>
    </w:p>
    <w:p w14:paraId="32DB0218">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lang w:val="en-US" w:eastAsia="zh-CN"/>
        </w:rPr>
      </w:pPr>
    </w:p>
    <w:p w14:paraId="22E60B55">
      <w:pPr>
        <w:rPr>
          <w:rFonts w:hint="eastAsia" w:ascii="宋体" w:hAnsi="宋体" w:eastAsia="宋体" w:cs="宋体"/>
          <w:color w:val="auto"/>
          <w:highlight w:val="none"/>
          <w:lang w:val="en-US" w:eastAsia="zh-CN"/>
        </w:rPr>
      </w:pPr>
    </w:p>
    <w:p w14:paraId="1F8273A4">
      <w:pPr>
        <w:rPr>
          <w:rFonts w:hint="eastAsia" w:ascii="宋体" w:hAnsi="宋体" w:eastAsia="宋体" w:cs="宋体"/>
          <w:color w:val="auto"/>
          <w:highlight w:val="none"/>
          <w:lang w:val="en-US" w:eastAsia="zh-CN"/>
        </w:rPr>
      </w:pPr>
    </w:p>
    <w:p w14:paraId="4D92F066">
      <w:pPr>
        <w:rPr>
          <w:rFonts w:hint="eastAsia" w:ascii="宋体" w:hAnsi="宋体" w:eastAsia="宋体" w:cs="宋体"/>
          <w:color w:val="auto"/>
          <w:highlight w:val="none"/>
          <w:lang w:val="en-US" w:eastAsia="zh-CN"/>
        </w:rPr>
      </w:pPr>
    </w:p>
    <w:p w14:paraId="3A98B650">
      <w:pPr>
        <w:rPr>
          <w:rFonts w:hint="eastAsia" w:ascii="宋体" w:hAnsi="宋体" w:eastAsia="宋体" w:cs="宋体"/>
          <w:color w:val="auto"/>
          <w:highlight w:val="none"/>
          <w:lang w:val="en-US" w:eastAsia="zh-CN"/>
        </w:rPr>
      </w:pPr>
    </w:p>
    <w:p w14:paraId="3FA0B83F">
      <w:pPr>
        <w:rPr>
          <w:rFonts w:hint="eastAsia" w:ascii="宋体" w:hAnsi="宋体" w:eastAsia="宋体" w:cs="宋体"/>
          <w:color w:val="auto"/>
          <w:highlight w:val="none"/>
          <w:lang w:val="en-US" w:eastAsia="zh-CN"/>
        </w:rPr>
      </w:pPr>
    </w:p>
    <w:p w14:paraId="6552EEDE">
      <w:pPr>
        <w:rPr>
          <w:rFonts w:hint="eastAsia" w:ascii="宋体" w:hAnsi="宋体" w:eastAsia="宋体" w:cs="宋体"/>
          <w:color w:val="auto"/>
          <w:highlight w:val="none"/>
          <w:lang w:val="en-US" w:eastAsia="zh-CN"/>
        </w:rPr>
      </w:pPr>
    </w:p>
    <w:p w14:paraId="40C24759">
      <w:pPr>
        <w:rPr>
          <w:rFonts w:hint="eastAsia" w:ascii="宋体" w:hAnsi="宋体" w:eastAsia="宋体" w:cs="宋体"/>
          <w:color w:val="auto"/>
          <w:highlight w:val="none"/>
          <w:lang w:val="en-US" w:eastAsia="zh-CN"/>
        </w:rPr>
      </w:pPr>
    </w:p>
    <w:p w14:paraId="025C7066">
      <w:pPr>
        <w:rPr>
          <w:rFonts w:hint="eastAsia" w:ascii="宋体" w:hAnsi="宋体" w:eastAsia="宋体" w:cs="宋体"/>
          <w:color w:val="auto"/>
          <w:highlight w:val="none"/>
          <w:lang w:val="en-US" w:eastAsia="zh-CN"/>
        </w:rPr>
      </w:pPr>
    </w:p>
    <w:p w14:paraId="387945D9">
      <w:pPr>
        <w:rPr>
          <w:rFonts w:hint="eastAsia" w:ascii="宋体" w:hAnsi="宋体" w:eastAsia="宋体" w:cs="宋体"/>
          <w:color w:val="auto"/>
          <w:highlight w:val="none"/>
          <w:lang w:val="en-US" w:eastAsia="zh-CN"/>
        </w:rPr>
      </w:pPr>
    </w:p>
    <w:p w14:paraId="5EB6004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49BCFA39">
      <w:pPr>
        <w:pStyle w:val="10"/>
        <w:keepNext w:val="0"/>
        <w:keepLines w:val="0"/>
        <w:pageBreakBefore w:val="0"/>
        <w:widowControl w:val="0"/>
        <w:kinsoku/>
        <w:wordWrap/>
        <w:overflowPunct/>
        <w:topLinePunct w:val="0"/>
        <w:autoSpaceDE/>
        <w:autoSpaceDN/>
        <w:bidi w:val="0"/>
        <w:adjustRightInd/>
        <w:snapToGrid/>
        <w:spacing w:before="0" w:beforeAutospacing="0" w:afterAutospacing="0" w:line="500" w:lineRule="exact"/>
        <w:ind w:left="0" w:leftChars="0" w:right="0"/>
        <w:textAlignment w:val="auto"/>
        <w:outlineLvl w:val="2"/>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5-6参加政府采购活动前三年内在经营活动中没有重大违法记录的书面声明</w:t>
      </w:r>
    </w:p>
    <w:p w14:paraId="4FDFB74E">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rPr>
      </w:pPr>
    </w:p>
    <w:p w14:paraId="535F3EBF">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 xml:space="preserve">    我单位郑重声明：参加本次政府采购活动前三年内，我单位在经营活动中没有因违法经营受到刑事处罚或者责令停产停业、吊销许可证或者执照、较大数额罚款等行政处罚。</w:t>
      </w:r>
    </w:p>
    <w:p w14:paraId="668C0EF1">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法定代表人或其委托代理人（签字或盖章）</w:t>
      </w:r>
    </w:p>
    <w:p w14:paraId="2064E9AE">
      <w:pPr>
        <w:pageBreakBefore w:val="0"/>
        <w:kinsoku/>
        <w:wordWrap/>
        <w:topLinePunct w:val="0"/>
        <w:bidi w:val="0"/>
        <w:spacing w:beforeAutospacing="0" w:afterAutospacing="0" w:line="500" w:lineRule="exact"/>
        <w:ind w:left="0" w:leftChars="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供应商名称：              （盖章）</w:t>
      </w:r>
    </w:p>
    <w:p w14:paraId="4F177453">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期：</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日</w:t>
      </w:r>
    </w:p>
    <w:p w14:paraId="35CB2F72">
      <w:pPr>
        <w:pStyle w:val="2"/>
        <w:rPr>
          <w:rFonts w:hint="eastAsia" w:ascii="宋体" w:hAnsi="宋体" w:eastAsia="宋体" w:cs="宋体"/>
          <w:color w:val="auto"/>
          <w:highlight w:val="none"/>
        </w:rPr>
      </w:pPr>
    </w:p>
    <w:p w14:paraId="3F96C9C8">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highlight w:val="none"/>
          <w:lang w:val="en-US" w:eastAsia="zh-CN"/>
        </w:rPr>
        <w:t>注：可附未被“信用中国”网站（www.creditchina.gov.cn）列入失信被执行人、重大税收违法失信主体、政府采购严重失信行为记录名单的证明材料；未被“中国政府采购网"(www.ccgp.gov.cn)列入政府采购严重失信行为记录名单的证明材料。</w:t>
      </w:r>
      <w:r>
        <w:rPr>
          <w:rFonts w:hint="eastAsia" w:ascii="宋体" w:hAnsi="宋体" w:eastAsia="宋体" w:cs="宋体"/>
          <w:b/>
          <w:bCs/>
          <w:color w:val="auto"/>
          <w:highlight w:val="none"/>
          <w:lang w:val="en-US" w:eastAsia="zh-CN"/>
        </w:rPr>
        <w:br w:type="page"/>
      </w:r>
      <w:bookmarkEnd w:id="982"/>
    </w:p>
    <w:p w14:paraId="2C307903">
      <w:pPr>
        <w:pStyle w:val="3"/>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2"/>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5-7提供符合采购政策的证明材料</w:t>
      </w:r>
    </w:p>
    <w:p w14:paraId="4F833D5A">
      <w:pPr>
        <w:rPr>
          <w:rFonts w:hint="eastAsia" w:ascii="宋体" w:hAnsi="宋体" w:eastAsia="宋体" w:cs="宋体"/>
          <w:b/>
          <w:bCs/>
          <w:color w:val="auto"/>
          <w:sz w:val="24"/>
          <w:szCs w:val="24"/>
          <w:highlight w:val="none"/>
        </w:rPr>
      </w:pPr>
    </w:p>
    <w:p w14:paraId="395AE523">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中小企业声明函</w:t>
      </w:r>
      <w:r>
        <w:rPr>
          <w:rFonts w:hint="eastAsia" w:ascii="宋体" w:hAnsi="宋体" w:eastAsia="宋体" w:cs="宋体"/>
          <w:b/>
          <w:bCs/>
          <w:color w:val="auto"/>
          <w:sz w:val="24"/>
          <w:szCs w:val="24"/>
          <w:highlight w:val="none"/>
          <w:lang w:eastAsia="zh-CN"/>
        </w:rPr>
        <w:t>（工程、服务）</w:t>
      </w:r>
    </w:p>
    <w:p w14:paraId="257B2793">
      <w:pPr>
        <w:rPr>
          <w:rFonts w:hint="eastAsia" w:ascii="宋体" w:hAnsi="宋体" w:eastAsia="宋体" w:cs="宋体"/>
          <w:color w:val="auto"/>
          <w:sz w:val="24"/>
          <w:szCs w:val="24"/>
          <w:highlight w:val="none"/>
        </w:rPr>
      </w:pPr>
    </w:p>
    <w:p w14:paraId="2778DEFE">
      <w:pPr>
        <w:keepNext w:val="0"/>
        <w:keepLines w:val="0"/>
        <w:widowControl/>
        <w:suppressLineNumbers w:val="0"/>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本公司郑重声明，根据《政府采购促进中小企业发展管理办法》（财库﹝2020﹞46号）的规定，本公司参加</w:t>
      </w:r>
      <w:r>
        <w:rPr>
          <w:rFonts w:hint="eastAsia" w:ascii="宋体" w:hAnsi="宋体" w:eastAsia="宋体" w:cs="宋体"/>
          <w:b w:val="0"/>
          <w:bCs w:val="0"/>
          <w:color w:val="auto"/>
          <w:kern w:val="0"/>
          <w:sz w:val="24"/>
          <w:szCs w:val="24"/>
          <w:highlight w:val="none"/>
          <w:u w:val="single"/>
          <w:lang w:val="en-US" w:eastAsia="zh-CN" w:bidi="ar"/>
        </w:rPr>
        <w:t xml:space="preserve">（单位名称） </w:t>
      </w:r>
      <w:r>
        <w:rPr>
          <w:rFonts w:hint="eastAsia" w:ascii="宋体" w:hAnsi="宋体" w:eastAsia="宋体" w:cs="宋体"/>
          <w:b w:val="0"/>
          <w:bCs w:val="0"/>
          <w:color w:val="auto"/>
          <w:kern w:val="0"/>
          <w:sz w:val="24"/>
          <w:szCs w:val="24"/>
          <w:highlight w:val="none"/>
          <w:lang w:val="en-US" w:eastAsia="zh-CN" w:bidi="ar"/>
        </w:rPr>
        <w:t xml:space="preserve"> 的</w:t>
      </w:r>
      <w:r>
        <w:rPr>
          <w:rFonts w:hint="eastAsia" w:ascii="宋体" w:hAnsi="宋体" w:eastAsia="宋体" w:cs="宋体"/>
          <w:b w:val="0"/>
          <w:bCs w:val="0"/>
          <w:color w:val="auto"/>
          <w:kern w:val="0"/>
          <w:sz w:val="24"/>
          <w:szCs w:val="24"/>
          <w:highlight w:val="none"/>
          <w:u w:val="single"/>
          <w:lang w:val="en-US" w:eastAsia="zh-CN" w:bidi="ar"/>
        </w:rPr>
        <w:t xml:space="preserve">（项目名称） </w:t>
      </w:r>
      <w:r>
        <w:rPr>
          <w:rFonts w:hint="eastAsia" w:ascii="宋体" w:hAnsi="宋体" w:eastAsia="宋体" w:cs="宋体"/>
          <w:b w:val="0"/>
          <w:bCs w:val="0"/>
          <w:color w:val="auto"/>
          <w:kern w:val="0"/>
          <w:sz w:val="24"/>
          <w:szCs w:val="24"/>
          <w:highlight w:val="none"/>
          <w:lang w:val="en-US" w:eastAsia="zh-CN" w:bidi="ar"/>
        </w:rPr>
        <w:t>采购活动，工程全部由符合政策要求的中小企业承接。相关企业的具体情况如下：</w:t>
      </w:r>
    </w:p>
    <w:p w14:paraId="1D4B0402">
      <w:pPr>
        <w:keepNext w:val="0"/>
        <w:keepLines w:val="0"/>
        <w:widowControl/>
        <w:suppressLineNumbers w:val="0"/>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1. </w:t>
      </w:r>
      <w:r>
        <w:rPr>
          <w:rFonts w:hint="eastAsia" w:ascii="宋体" w:hAnsi="宋体" w:eastAsia="宋体" w:cs="宋体"/>
          <w:b w:val="0"/>
          <w:bCs w:val="0"/>
          <w:color w:val="auto"/>
          <w:kern w:val="0"/>
          <w:sz w:val="24"/>
          <w:szCs w:val="24"/>
          <w:highlight w:val="none"/>
          <w:u w:val="single"/>
          <w:lang w:val="en-US" w:eastAsia="zh-CN" w:bidi="ar"/>
        </w:rPr>
        <w:t xml:space="preserve">（标的名称）    </w:t>
      </w:r>
      <w:r>
        <w:rPr>
          <w:rFonts w:hint="eastAsia" w:ascii="宋体" w:hAnsi="宋体" w:eastAsia="宋体" w:cs="宋体"/>
          <w:b w:val="0"/>
          <w:bCs w:val="0"/>
          <w:color w:val="auto"/>
          <w:kern w:val="0"/>
          <w:sz w:val="24"/>
          <w:szCs w:val="24"/>
          <w:highlight w:val="none"/>
          <w:lang w:val="en-US" w:eastAsia="zh-CN" w:bidi="ar"/>
        </w:rPr>
        <w:t>，属于</w:t>
      </w:r>
      <w:r>
        <w:rPr>
          <w:rFonts w:hint="eastAsia" w:ascii="宋体" w:hAnsi="宋体" w:eastAsia="宋体" w:cs="宋体"/>
          <w:b w:val="0"/>
          <w:bCs w:val="0"/>
          <w:color w:val="auto"/>
          <w:kern w:val="0"/>
          <w:sz w:val="24"/>
          <w:szCs w:val="24"/>
          <w:highlight w:val="none"/>
          <w:u w:val="single"/>
          <w:lang w:val="en-US" w:eastAsia="zh-CN" w:bidi="ar"/>
        </w:rPr>
        <w:t>（   ）</w:t>
      </w:r>
      <w:r>
        <w:rPr>
          <w:rFonts w:hint="eastAsia" w:ascii="宋体" w:hAnsi="宋体" w:eastAsia="宋体" w:cs="宋体"/>
          <w:b w:val="0"/>
          <w:bCs w:val="0"/>
          <w:color w:val="auto"/>
          <w:kern w:val="0"/>
          <w:sz w:val="24"/>
          <w:szCs w:val="24"/>
          <w:highlight w:val="none"/>
          <w:lang w:val="en-US" w:eastAsia="zh-CN" w:bidi="ar"/>
        </w:rPr>
        <w:t>；承接企业为（企业名称），从业人员</w:t>
      </w:r>
      <w:r>
        <w:rPr>
          <w:rFonts w:hint="eastAsia" w:ascii="宋体" w:hAnsi="宋体" w:eastAsia="宋体" w:cs="宋体"/>
          <w:b w:val="0"/>
          <w:bCs w:val="0"/>
          <w:color w:val="auto"/>
          <w:kern w:val="0"/>
          <w:sz w:val="24"/>
          <w:szCs w:val="24"/>
          <w:highlight w:val="none"/>
          <w:u w:val="singl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人，营业收入为</w:t>
      </w:r>
      <w:r>
        <w:rPr>
          <w:rFonts w:hint="eastAsia" w:ascii="宋体" w:hAnsi="宋体" w:eastAsia="宋体" w:cs="宋体"/>
          <w:b w:val="0"/>
          <w:bCs w:val="0"/>
          <w:color w:val="auto"/>
          <w:kern w:val="0"/>
          <w:sz w:val="24"/>
          <w:szCs w:val="24"/>
          <w:highlight w:val="none"/>
          <w:u w:val="singl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 xml:space="preserve"> 万元，资产总额为</w:t>
      </w:r>
      <w:r>
        <w:rPr>
          <w:rFonts w:hint="eastAsia" w:ascii="宋体" w:hAnsi="宋体" w:eastAsia="宋体" w:cs="宋体"/>
          <w:b w:val="0"/>
          <w:bCs w:val="0"/>
          <w:color w:val="auto"/>
          <w:kern w:val="0"/>
          <w:sz w:val="24"/>
          <w:szCs w:val="24"/>
          <w:highlight w:val="none"/>
          <w:u w:val="singl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万元，属于</w:t>
      </w:r>
      <w:r>
        <w:rPr>
          <w:rFonts w:hint="eastAsia" w:ascii="宋体" w:hAnsi="宋体" w:eastAsia="宋体" w:cs="宋体"/>
          <w:b w:val="0"/>
          <w:bCs w:val="0"/>
          <w:color w:val="auto"/>
          <w:kern w:val="0"/>
          <w:sz w:val="24"/>
          <w:szCs w:val="24"/>
          <w:highlight w:val="none"/>
          <w:u w:val="singl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（中型企业、小型企业、微型企业）；</w:t>
      </w:r>
    </w:p>
    <w:p w14:paraId="4D1E7E5A">
      <w:pPr>
        <w:keepNext w:val="0"/>
        <w:keepLines w:val="0"/>
        <w:widowControl/>
        <w:suppressLineNumbers w:val="0"/>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2. </w:t>
      </w:r>
      <w:r>
        <w:rPr>
          <w:rFonts w:hint="eastAsia" w:ascii="宋体" w:hAnsi="宋体" w:eastAsia="宋体" w:cs="宋体"/>
          <w:b w:val="0"/>
          <w:bCs w:val="0"/>
          <w:color w:val="auto"/>
          <w:kern w:val="0"/>
          <w:sz w:val="24"/>
          <w:szCs w:val="24"/>
          <w:highlight w:val="none"/>
          <w:u w:val="single"/>
          <w:lang w:val="en-US" w:eastAsia="zh-CN" w:bidi="ar"/>
        </w:rPr>
        <w:t xml:space="preserve">（标的名称）    </w:t>
      </w:r>
      <w:r>
        <w:rPr>
          <w:rFonts w:hint="eastAsia" w:ascii="宋体" w:hAnsi="宋体" w:eastAsia="宋体" w:cs="宋体"/>
          <w:b w:val="0"/>
          <w:bCs w:val="0"/>
          <w:color w:val="auto"/>
          <w:kern w:val="0"/>
          <w:sz w:val="24"/>
          <w:szCs w:val="24"/>
          <w:highlight w:val="none"/>
          <w:lang w:val="en-US" w:eastAsia="zh-CN" w:bidi="ar"/>
        </w:rPr>
        <w:t>，属于</w:t>
      </w:r>
      <w:r>
        <w:rPr>
          <w:rFonts w:hint="eastAsia" w:ascii="宋体" w:hAnsi="宋体" w:eastAsia="宋体" w:cs="宋体"/>
          <w:b w:val="0"/>
          <w:bCs w:val="0"/>
          <w:color w:val="auto"/>
          <w:kern w:val="0"/>
          <w:sz w:val="24"/>
          <w:szCs w:val="24"/>
          <w:highlight w:val="none"/>
          <w:u w:val="single"/>
          <w:lang w:val="en-US" w:eastAsia="zh-CN" w:bidi="ar"/>
        </w:rPr>
        <w:t>（    ）</w:t>
      </w:r>
      <w:r>
        <w:rPr>
          <w:rFonts w:hint="eastAsia" w:ascii="宋体" w:hAnsi="宋体" w:eastAsia="宋体" w:cs="宋体"/>
          <w:b w:val="0"/>
          <w:bCs w:val="0"/>
          <w:color w:val="auto"/>
          <w:kern w:val="0"/>
          <w:sz w:val="24"/>
          <w:szCs w:val="24"/>
          <w:highlight w:val="none"/>
          <w:lang w:val="en-US" w:eastAsia="zh-CN" w:bidi="ar"/>
        </w:rPr>
        <w:t>；承接企业为（企业名称），从业人员</w:t>
      </w:r>
      <w:r>
        <w:rPr>
          <w:rFonts w:hint="eastAsia" w:ascii="宋体" w:hAnsi="宋体" w:eastAsia="宋体" w:cs="宋体"/>
          <w:b w:val="0"/>
          <w:bCs w:val="0"/>
          <w:color w:val="auto"/>
          <w:kern w:val="0"/>
          <w:sz w:val="24"/>
          <w:szCs w:val="24"/>
          <w:highlight w:val="none"/>
          <w:u w:val="singl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人，营业收入为</w:t>
      </w:r>
      <w:r>
        <w:rPr>
          <w:rFonts w:hint="eastAsia" w:ascii="宋体" w:hAnsi="宋体" w:eastAsia="宋体" w:cs="宋体"/>
          <w:b w:val="0"/>
          <w:bCs w:val="0"/>
          <w:color w:val="auto"/>
          <w:kern w:val="0"/>
          <w:sz w:val="24"/>
          <w:szCs w:val="24"/>
          <w:highlight w:val="none"/>
          <w:u w:val="singl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 xml:space="preserve"> 万元，资产总额为</w:t>
      </w:r>
      <w:r>
        <w:rPr>
          <w:rFonts w:hint="eastAsia" w:ascii="宋体" w:hAnsi="宋体" w:eastAsia="宋体" w:cs="宋体"/>
          <w:b w:val="0"/>
          <w:bCs w:val="0"/>
          <w:color w:val="auto"/>
          <w:kern w:val="0"/>
          <w:sz w:val="24"/>
          <w:szCs w:val="24"/>
          <w:highlight w:val="none"/>
          <w:u w:val="singl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万元，属于</w:t>
      </w:r>
      <w:r>
        <w:rPr>
          <w:rFonts w:hint="eastAsia" w:ascii="宋体" w:hAnsi="宋体" w:eastAsia="宋体" w:cs="宋体"/>
          <w:b w:val="0"/>
          <w:bCs w:val="0"/>
          <w:color w:val="auto"/>
          <w:kern w:val="0"/>
          <w:sz w:val="24"/>
          <w:szCs w:val="24"/>
          <w:highlight w:val="none"/>
          <w:u w:val="singl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（中型企业、小型企业、微型企业）；</w:t>
      </w:r>
    </w:p>
    <w:p w14:paraId="796B0944">
      <w:pPr>
        <w:keepNext w:val="0"/>
        <w:keepLines w:val="0"/>
        <w:widowControl/>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w:t>
      </w:r>
    </w:p>
    <w:p w14:paraId="121E266A">
      <w:pPr>
        <w:keepNext w:val="0"/>
        <w:keepLines w:val="0"/>
        <w:widowControl/>
        <w:suppressLineNumbers w:val="0"/>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14:paraId="37A3389F">
      <w:pPr>
        <w:keepNext w:val="0"/>
        <w:keepLines w:val="0"/>
        <w:widowControl/>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本企业对上述声明内容的真实性负责。如有虚假，将依法承担相应责任。</w:t>
      </w:r>
    </w:p>
    <w:p w14:paraId="5BB5BAD5">
      <w:pPr>
        <w:pStyle w:val="3"/>
        <w:spacing w:line="360" w:lineRule="auto"/>
        <w:rPr>
          <w:rFonts w:hint="eastAsia" w:ascii="宋体" w:hAnsi="宋体" w:eastAsia="宋体" w:cs="宋体"/>
          <w:color w:val="auto"/>
          <w:highlight w:val="none"/>
          <w:lang w:val="en-US" w:eastAsia="zh-CN"/>
        </w:rPr>
      </w:pPr>
    </w:p>
    <w:p w14:paraId="7835F8D5">
      <w:pPr>
        <w:pageBreakBefore w:val="0"/>
        <w:kinsoku/>
        <w:wordWrap/>
        <w:topLinePunct w:val="0"/>
        <w:bidi w:val="0"/>
        <w:spacing w:beforeAutospacing="0" w:afterAutospacing="0" w:line="360" w:lineRule="auto"/>
        <w:ind w:left="0" w:leftChars="0" w:right="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法定代表人或其委托代理人（签字或盖章）</w:t>
      </w:r>
    </w:p>
    <w:p w14:paraId="30297A79">
      <w:pPr>
        <w:pageBreakBefore w:val="0"/>
        <w:kinsoku/>
        <w:wordWrap/>
        <w:topLinePunct w:val="0"/>
        <w:bidi w:val="0"/>
        <w:spacing w:beforeAutospacing="0" w:afterAutospacing="0" w:line="360" w:lineRule="auto"/>
        <w:ind w:left="0" w:leftChars="0" w:right="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供应商名称：              （盖章）</w:t>
      </w:r>
    </w:p>
    <w:p w14:paraId="750E885B">
      <w:pPr>
        <w:pageBreakBefore w:val="0"/>
        <w:kinsoku/>
        <w:wordWrap/>
        <w:topLinePunct w:val="0"/>
        <w:bidi w:val="0"/>
        <w:spacing w:beforeAutospacing="0" w:afterAutospacing="0" w:line="360" w:lineRule="auto"/>
        <w:ind w:left="0" w:leftChars="0" w:right="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期：</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日</w:t>
      </w:r>
    </w:p>
    <w:p w14:paraId="17B9BD8A">
      <w:pPr>
        <w:rPr>
          <w:rFonts w:hint="eastAsia" w:ascii="宋体" w:hAnsi="宋体" w:eastAsia="宋体" w:cs="宋体"/>
          <w:color w:val="auto"/>
          <w:highlight w:val="none"/>
          <w:lang w:val="en-US" w:eastAsia="zh-CN"/>
        </w:rPr>
      </w:pPr>
    </w:p>
    <w:p w14:paraId="5DF94302">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p>
    <w:p w14:paraId="2A063C67">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注：1、从业人员、营业收入、资产总额填报上一年度数据，无上一年度数据的新成立企业可不填报。</w:t>
      </w:r>
    </w:p>
    <w:p w14:paraId="04BB7384">
      <w:pPr>
        <w:keepNext w:val="0"/>
        <w:keepLines w:val="0"/>
        <w:widowControl/>
        <w:suppressLineNumbers w:val="0"/>
        <w:ind w:firstLine="482" w:firstLineChars="20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2、未按上述要求提供、填写的，评审时不予以考虑。</w:t>
      </w:r>
    </w:p>
    <w:p w14:paraId="0BB982D7">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786AD109">
      <w:pPr>
        <w:rPr>
          <w:rStyle w:val="28"/>
          <w:rFonts w:hint="eastAsia" w:ascii="宋体" w:hAnsi="宋体" w:eastAsia="宋体" w:cs="宋体"/>
          <w:b/>
          <w:bCs/>
          <w:color w:val="auto"/>
          <w:kern w:val="2"/>
          <w:sz w:val="24"/>
          <w:szCs w:val="24"/>
          <w:highlight w:val="none"/>
          <w:lang w:val="en-US" w:eastAsia="zh-CN" w:bidi="zh-CN"/>
        </w:rPr>
      </w:pPr>
      <w:r>
        <w:rPr>
          <w:rStyle w:val="28"/>
          <w:rFonts w:hint="eastAsia" w:ascii="宋体" w:hAnsi="宋体" w:eastAsia="宋体" w:cs="宋体"/>
          <w:b/>
          <w:bCs/>
          <w:color w:val="auto"/>
          <w:kern w:val="2"/>
          <w:sz w:val="24"/>
          <w:szCs w:val="24"/>
          <w:highlight w:val="none"/>
          <w:lang w:val="en-US" w:eastAsia="zh-CN" w:bidi="zh-CN"/>
        </w:rPr>
        <w:br w:type="page"/>
      </w:r>
    </w:p>
    <w:p w14:paraId="021D43AA">
      <w:pPr>
        <w:spacing w:before="156" w:beforeLines="50" w:after="156" w:afterLines="50" w:line="300" w:lineRule="auto"/>
        <w:jc w:val="center"/>
        <w:rPr>
          <w:rFonts w:hint="eastAsia" w:ascii="宋体" w:hAnsi="宋体" w:eastAsia="宋体" w:cs="宋体"/>
          <w:color w:val="auto"/>
          <w:spacing w:val="6"/>
          <w:sz w:val="30"/>
          <w:szCs w:val="30"/>
          <w:highlight w:val="none"/>
        </w:rPr>
      </w:pPr>
      <w:r>
        <w:rPr>
          <w:rStyle w:val="28"/>
          <w:rFonts w:hint="eastAsia" w:ascii="宋体" w:hAnsi="宋体" w:eastAsia="宋体" w:cs="宋体"/>
          <w:b/>
          <w:bCs/>
          <w:color w:val="auto"/>
          <w:kern w:val="2"/>
          <w:sz w:val="24"/>
          <w:szCs w:val="24"/>
          <w:highlight w:val="none"/>
          <w:lang w:val="en-US" w:eastAsia="zh-CN" w:bidi="zh-CN"/>
        </w:rPr>
        <w:t>残疾人福利性单位声明函（符合本声明函填写）</w:t>
      </w:r>
    </w:p>
    <w:p w14:paraId="0E90165B">
      <w:pPr>
        <w:spacing w:before="156" w:beforeLines="50" w:after="156" w:afterLines="5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项目采购活动提供本单位制造的服务或产品（由本单位承担工程/提供服务），或者提供其他残疾人福利性单位制造的服务或产品（不包括使用非残疾人福利性单位注册商标的服务或产品）。</w:t>
      </w:r>
    </w:p>
    <w:p w14:paraId="1B985670">
      <w:pPr>
        <w:spacing w:before="156" w:beforeLines="50" w:after="156" w:afterLines="5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本单位在本次政府采购活动中提供的残疾人福利单位产品报价合计为人民币（大写）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圆整（￥：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28ABF5AC">
      <w:pPr>
        <w:spacing w:before="156" w:beforeLines="50" w:after="156" w:afterLines="5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F119BBF">
      <w:pPr>
        <w:spacing w:before="156" w:beforeLines="50" w:after="156" w:afterLines="50" w:line="300" w:lineRule="auto"/>
        <w:ind w:firstLine="480" w:firstLineChars="200"/>
        <w:rPr>
          <w:rFonts w:hint="eastAsia" w:ascii="宋体" w:hAnsi="宋体" w:eastAsia="宋体" w:cs="宋体"/>
          <w:color w:val="auto"/>
          <w:sz w:val="24"/>
          <w:szCs w:val="24"/>
          <w:highlight w:val="none"/>
        </w:rPr>
      </w:pPr>
    </w:p>
    <w:p w14:paraId="155CDF63">
      <w:pPr>
        <w:pStyle w:val="10"/>
        <w:rPr>
          <w:rFonts w:hint="eastAsia" w:ascii="宋体" w:hAnsi="宋体" w:eastAsia="宋体" w:cs="宋体"/>
          <w:color w:val="auto"/>
          <w:sz w:val="24"/>
          <w:szCs w:val="24"/>
          <w:highlight w:val="none"/>
        </w:rPr>
      </w:pPr>
    </w:p>
    <w:p w14:paraId="5856D008">
      <w:pPr>
        <w:rPr>
          <w:rFonts w:hint="eastAsia" w:ascii="宋体" w:hAnsi="宋体" w:eastAsia="宋体" w:cs="宋体"/>
          <w:color w:val="auto"/>
          <w:sz w:val="24"/>
          <w:szCs w:val="24"/>
          <w:highlight w:val="none"/>
        </w:rPr>
      </w:pPr>
    </w:p>
    <w:p w14:paraId="42765A4E">
      <w:pPr>
        <w:pStyle w:val="10"/>
        <w:rPr>
          <w:rFonts w:hint="eastAsia" w:ascii="宋体" w:hAnsi="宋体" w:eastAsia="宋体" w:cs="宋体"/>
          <w:color w:val="auto"/>
          <w:sz w:val="24"/>
          <w:szCs w:val="24"/>
          <w:highlight w:val="none"/>
        </w:rPr>
      </w:pPr>
    </w:p>
    <w:p w14:paraId="3D0EBABD">
      <w:pPr>
        <w:rPr>
          <w:rFonts w:hint="eastAsia" w:ascii="宋体" w:hAnsi="宋体" w:eastAsia="宋体" w:cs="宋体"/>
          <w:color w:val="auto"/>
          <w:highlight w:val="none"/>
        </w:rPr>
      </w:pPr>
    </w:p>
    <w:p w14:paraId="109F201D">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lang w:val="zh-CN"/>
        </w:rPr>
      </w:pPr>
      <w:bookmarkStart w:id="983" w:name="_Toc16660"/>
      <w:r>
        <w:rPr>
          <w:rFonts w:hint="eastAsia" w:ascii="宋体" w:hAnsi="宋体" w:eastAsia="宋体" w:cs="宋体"/>
          <w:color w:val="auto"/>
          <w:sz w:val="24"/>
          <w:highlight w:val="none"/>
          <w:lang w:val="zh-CN"/>
        </w:rPr>
        <w:t>法定代表人或其委托代理人（签字或盖章）</w:t>
      </w:r>
    </w:p>
    <w:p w14:paraId="05F1192D">
      <w:pPr>
        <w:pageBreakBefore w:val="0"/>
        <w:kinsoku/>
        <w:wordWrap/>
        <w:topLinePunct w:val="0"/>
        <w:bidi w:val="0"/>
        <w:spacing w:beforeAutospacing="0" w:afterAutospacing="0" w:line="500" w:lineRule="exact"/>
        <w:ind w:left="0" w:leftChars="0" w:right="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供应商名称：              （盖章）</w:t>
      </w:r>
    </w:p>
    <w:p w14:paraId="458DF47D">
      <w:pPr>
        <w:keepNext w:val="0"/>
        <w:keepLines w:val="0"/>
        <w:pageBreakBefore w:val="0"/>
        <w:widowControl w:val="0"/>
        <w:kinsoku/>
        <w:wordWrap/>
        <w:overflowPunct/>
        <w:topLinePunct w:val="0"/>
        <w:autoSpaceDE/>
        <w:autoSpaceDN/>
        <w:bidi w:val="0"/>
        <w:spacing w:beforeAutospacing="0" w:afterAutospacing="0" w:line="500" w:lineRule="exact"/>
        <w:ind w:left="0" w:leftChars="0" w:right="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期：</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zh-CN"/>
        </w:rPr>
        <w:tab/>
      </w:r>
      <w:r>
        <w:rPr>
          <w:rFonts w:hint="eastAsia" w:ascii="宋体" w:hAnsi="宋体" w:eastAsia="宋体" w:cs="宋体"/>
          <w:color w:val="auto"/>
          <w:sz w:val="24"/>
          <w:highlight w:val="none"/>
          <w:lang w:val="zh-CN"/>
        </w:rPr>
        <w:t>日</w:t>
      </w:r>
    </w:p>
    <w:bookmarkEnd w:id="983"/>
    <w:p w14:paraId="0434365E">
      <w:pPr>
        <w:pageBreakBefore w:val="0"/>
        <w:kinsoku/>
        <w:wordWrap/>
        <w:topLinePunct w:val="0"/>
        <w:bidi w:val="0"/>
        <w:spacing w:beforeAutospacing="0" w:afterAutospacing="0" w:line="500" w:lineRule="exact"/>
        <w:ind w:left="0" w:leftChars="0" w:right="0"/>
        <w:jc w:val="center"/>
        <w:rPr>
          <w:rFonts w:hint="eastAsia" w:ascii="宋体" w:hAnsi="宋体" w:eastAsia="宋体" w:cs="宋体"/>
          <w:b/>
          <w:bCs/>
          <w:color w:val="auto"/>
          <w:sz w:val="24"/>
          <w:highlight w:val="none"/>
        </w:rPr>
      </w:pPr>
    </w:p>
    <w:p w14:paraId="5430FE9A">
      <w:pPr>
        <w:pageBreakBefore w:val="0"/>
        <w:kinsoku/>
        <w:wordWrap/>
        <w:topLinePunct w:val="0"/>
        <w:bidi w:val="0"/>
        <w:spacing w:beforeAutospacing="0" w:afterAutospacing="0" w:line="500" w:lineRule="exact"/>
        <w:ind w:left="0" w:leftChars="0" w:right="0"/>
        <w:jc w:val="center"/>
        <w:rPr>
          <w:rFonts w:hint="eastAsia" w:ascii="宋体" w:hAnsi="宋体" w:eastAsia="宋体" w:cs="宋体"/>
          <w:b/>
          <w:bCs/>
          <w:color w:val="auto"/>
          <w:sz w:val="24"/>
          <w:highlight w:val="none"/>
        </w:rPr>
      </w:pPr>
    </w:p>
    <w:p w14:paraId="7A30BDE4">
      <w:pPr>
        <w:pStyle w:val="10"/>
        <w:pageBreakBefore w:val="0"/>
        <w:kinsoku/>
        <w:wordWrap/>
        <w:topLinePunct w:val="0"/>
        <w:bidi w:val="0"/>
        <w:spacing w:before="0" w:beforeAutospacing="0" w:afterAutospacing="0" w:line="500" w:lineRule="exact"/>
        <w:ind w:left="0" w:leftChars="0" w:right="0"/>
        <w:rPr>
          <w:rFonts w:hint="eastAsia" w:ascii="宋体" w:hAnsi="宋体" w:eastAsia="宋体" w:cs="宋体"/>
          <w:b/>
          <w:bCs/>
          <w:color w:val="auto"/>
          <w:sz w:val="24"/>
          <w:highlight w:val="none"/>
        </w:rPr>
      </w:pPr>
    </w:p>
    <w:p w14:paraId="65D8790F">
      <w:pPr>
        <w:pStyle w:val="4"/>
        <w:spacing w:line="460" w:lineRule="exact"/>
        <w:ind w:left="0" w:leftChars="0" w:firstLine="0" w:firstLineChars="0"/>
        <w:jc w:val="center"/>
        <w:rPr>
          <w:rFonts w:hint="eastAsia" w:ascii="宋体" w:hAnsi="宋体" w:eastAsia="宋体" w:cs="宋体"/>
          <w:b w:val="0"/>
          <w:color w:val="auto"/>
          <w:sz w:val="24"/>
          <w:szCs w:val="24"/>
          <w:highlight w:val="none"/>
        </w:rPr>
      </w:pPr>
      <w:r>
        <w:rPr>
          <w:rFonts w:hint="eastAsia" w:ascii="宋体" w:hAnsi="宋体" w:eastAsia="宋体" w:cs="宋体"/>
          <w:color w:val="auto"/>
          <w:highlight w:val="none"/>
        </w:rPr>
        <w:br w:type="page"/>
      </w:r>
      <w:bookmarkStart w:id="984" w:name="_Toc60241924"/>
      <w:r>
        <w:rPr>
          <w:rFonts w:hint="eastAsia" w:ascii="宋体" w:hAnsi="宋体" w:eastAsia="宋体" w:cs="宋体"/>
          <w:color w:val="auto"/>
          <w:sz w:val="24"/>
          <w:szCs w:val="24"/>
          <w:highlight w:val="none"/>
        </w:rPr>
        <w:t>监狱企业声明函</w:t>
      </w:r>
      <w:bookmarkEnd w:id="984"/>
    </w:p>
    <w:p w14:paraId="4235B7D0">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（监狱企业适用）</w:t>
      </w:r>
    </w:p>
    <w:p w14:paraId="2F5BF71B">
      <w:pPr>
        <w:spacing w:line="4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本公司郑重声明，根据《关于政府采购支持监狱企业发展有关问题的通知》（财库[2014]68号）的规定，本公司为监狱企业。</w:t>
      </w:r>
    </w:p>
    <w:p w14:paraId="6DF328A9">
      <w:pPr>
        <w:spacing w:line="4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本公司参加____单位的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项目采购活动，采购活动提供本企业（填写制造的货物，由本企业承担工程、提供服务）。</w:t>
      </w:r>
    </w:p>
    <w:p w14:paraId="4FBBBC1F">
      <w:pPr>
        <w:spacing w:line="4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本条所称货物不包括使用大型企业注册商标的货物和服务。</w:t>
      </w:r>
    </w:p>
    <w:p w14:paraId="1F7C6AD2">
      <w:pPr>
        <w:spacing w:line="4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03AE2FC4">
      <w:pPr>
        <w:spacing w:line="460" w:lineRule="exact"/>
        <w:ind w:firstLine="4680" w:firstLineChars="1950"/>
        <w:rPr>
          <w:rFonts w:hint="eastAsia" w:ascii="宋体" w:hAnsi="宋体" w:eastAsia="宋体" w:cs="宋体"/>
          <w:color w:val="auto"/>
          <w:sz w:val="24"/>
          <w:highlight w:val="none"/>
        </w:rPr>
      </w:pPr>
    </w:p>
    <w:p w14:paraId="625F6A52">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供应商名称：（盖章）</w:t>
      </w:r>
      <w:r>
        <w:rPr>
          <w:rFonts w:hint="eastAsia" w:ascii="宋体" w:hAnsi="宋体" w:eastAsia="宋体" w:cs="宋体"/>
          <w:color w:val="auto"/>
          <w:sz w:val="24"/>
          <w:highlight w:val="none"/>
        </w:rPr>
        <w:t xml:space="preserve">    </w:t>
      </w:r>
    </w:p>
    <w:p w14:paraId="19D44CAF">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 xml:space="preserve">法定代表人或其委托代理人：（签字或盖章） </w:t>
      </w:r>
      <w:r>
        <w:rPr>
          <w:rFonts w:hint="eastAsia" w:ascii="宋体" w:hAnsi="宋体" w:eastAsia="宋体" w:cs="宋体"/>
          <w:color w:val="auto"/>
          <w:sz w:val="24"/>
          <w:highlight w:val="none"/>
        </w:rPr>
        <w:t xml:space="preserve">     </w:t>
      </w:r>
    </w:p>
    <w:p w14:paraId="38C788AB">
      <w:pPr>
        <w:spacing w:line="4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533B1739">
      <w:pPr>
        <w:rPr>
          <w:rFonts w:hint="eastAsia" w:ascii="宋体" w:hAnsi="宋体" w:eastAsia="宋体" w:cs="宋体"/>
          <w:b/>
          <w:bCs/>
          <w:color w:val="auto"/>
          <w:highlight w:val="none"/>
        </w:rPr>
      </w:pPr>
    </w:p>
    <w:p w14:paraId="7EA215DD">
      <w:pPr>
        <w:pStyle w:val="14"/>
        <w:rPr>
          <w:rFonts w:hint="eastAsia" w:ascii="宋体" w:hAnsi="宋体" w:eastAsia="宋体" w:cs="宋体"/>
          <w:color w:val="auto"/>
          <w:highlight w:val="none"/>
        </w:rPr>
      </w:pPr>
    </w:p>
    <w:p w14:paraId="52D37D28">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59AEB789">
      <w:pPr>
        <w:pStyle w:val="3"/>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2"/>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5-8声明函</w:t>
      </w:r>
    </w:p>
    <w:p w14:paraId="59007DF6">
      <w:pPr>
        <w:spacing w:line="265" w:lineRule="auto"/>
        <w:rPr>
          <w:rFonts w:hint="eastAsia" w:ascii="宋体" w:hAnsi="宋体" w:eastAsia="宋体" w:cs="宋体"/>
          <w:color w:val="auto"/>
          <w:sz w:val="24"/>
          <w:highlight w:val="none"/>
        </w:rPr>
      </w:pPr>
      <w:bookmarkStart w:id="985" w:name="_Toc522121742"/>
      <w:bookmarkStart w:id="986" w:name="_Toc420348773"/>
    </w:p>
    <w:p w14:paraId="204F317F">
      <w:pPr>
        <w:spacing w:before="72" w:line="503" w:lineRule="auto"/>
        <w:ind w:left="121" w:right="168" w:firstLine="44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本单位在参与</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项目投标过程中特作以下</w:t>
      </w:r>
      <w:r>
        <w:rPr>
          <w:rFonts w:hint="eastAsia" w:ascii="宋体" w:hAnsi="宋体" w:eastAsia="宋体" w:cs="宋体"/>
          <w:color w:val="auto"/>
          <w:spacing w:val="-15"/>
          <w:sz w:val="24"/>
          <w:szCs w:val="24"/>
          <w:highlight w:val="none"/>
        </w:rPr>
        <w:t>承</w:t>
      </w:r>
      <w:r>
        <w:rPr>
          <w:rFonts w:hint="eastAsia" w:ascii="宋体" w:hAnsi="宋体" w:eastAsia="宋体" w:cs="宋体"/>
          <w:color w:val="auto"/>
          <w:spacing w:val="-12"/>
          <w:sz w:val="24"/>
          <w:szCs w:val="24"/>
          <w:highlight w:val="none"/>
        </w:rPr>
        <w:t>诺：</w:t>
      </w:r>
    </w:p>
    <w:p w14:paraId="7DE2B8F8">
      <w:pPr>
        <w:spacing w:before="1" w:line="504" w:lineRule="auto"/>
        <w:ind w:left="124" w:right="114" w:firstLine="437"/>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我单位不存在以下情况：</w:t>
      </w:r>
    </w:p>
    <w:p w14:paraId="7A6855E9">
      <w:pPr>
        <w:spacing w:before="1" w:line="504" w:lineRule="auto"/>
        <w:ind w:left="124" w:right="114" w:firstLine="43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pacing w:val="-1"/>
          <w:sz w:val="24"/>
          <w:szCs w:val="24"/>
          <w:highlight w:val="none"/>
        </w:rPr>
        <w:t>具体信息如下</w:t>
      </w:r>
      <w:r>
        <w:rPr>
          <w:rFonts w:hint="eastAsia" w:ascii="宋体" w:hAnsi="宋体" w:eastAsia="宋体" w:cs="宋体"/>
          <w:color w:val="auto"/>
          <w:sz w:val="24"/>
          <w:szCs w:val="24"/>
          <w:highlight w:val="none"/>
        </w:rPr>
        <w:t>：</w:t>
      </w:r>
    </w:p>
    <w:p w14:paraId="177C901B">
      <w:pPr>
        <w:spacing w:line="140" w:lineRule="exact"/>
        <w:rPr>
          <w:rFonts w:hint="eastAsia" w:ascii="宋体" w:hAnsi="宋体" w:eastAsia="宋体" w:cs="宋体"/>
          <w:color w:val="auto"/>
          <w:sz w:val="24"/>
          <w:szCs w:val="24"/>
          <w:highlight w:val="none"/>
        </w:rPr>
      </w:pPr>
    </w:p>
    <w:tbl>
      <w:tblPr>
        <w:tblStyle w:val="25"/>
        <w:tblW w:w="8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1"/>
        <w:gridCol w:w="2931"/>
      </w:tblGrid>
      <w:tr w14:paraId="30C37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6011" w:type="dxa"/>
            <w:noWrap w:val="0"/>
            <w:vAlign w:val="top"/>
          </w:tcPr>
          <w:p w14:paraId="629D943F">
            <w:pPr>
              <w:spacing w:before="88" w:line="276" w:lineRule="auto"/>
              <w:ind w:right="117"/>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单位负责人为同一人或者存在直接控股、管理关系的不同供应商，不得参加同一合同项下的政府采购活动</w:t>
            </w:r>
            <w:r>
              <w:rPr>
                <w:rFonts w:hint="eastAsia" w:ascii="宋体" w:hAnsi="宋体" w:eastAsia="宋体" w:cs="宋体"/>
                <w:color w:val="auto"/>
                <w:sz w:val="24"/>
                <w:szCs w:val="24"/>
                <w:highlight w:val="none"/>
              </w:rPr>
              <w:t xml:space="preserve"> </w:t>
            </w:r>
          </w:p>
        </w:tc>
        <w:tc>
          <w:tcPr>
            <w:tcW w:w="2931" w:type="dxa"/>
            <w:noWrap w:val="0"/>
            <w:vAlign w:val="top"/>
          </w:tcPr>
          <w:p w14:paraId="62CF7359">
            <w:pPr>
              <w:spacing w:before="244" w:line="225" w:lineRule="auto"/>
              <w:jc w:val="left"/>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请</w:t>
            </w:r>
            <w:r>
              <w:rPr>
                <w:rFonts w:hint="eastAsia" w:ascii="宋体" w:hAnsi="宋体" w:eastAsia="宋体" w:cs="宋体"/>
                <w:color w:val="auto"/>
                <w:spacing w:val="12"/>
                <w:sz w:val="24"/>
                <w:szCs w:val="24"/>
                <w:highlight w:val="none"/>
              </w:rPr>
              <w:t>如实填写，没有请在本栏填写“无”</w:t>
            </w:r>
          </w:p>
        </w:tc>
      </w:tr>
      <w:tr w14:paraId="26032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6011" w:type="dxa"/>
            <w:noWrap w:val="0"/>
            <w:vAlign w:val="top"/>
          </w:tcPr>
          <w:p w14:paraId="23DF8736">
            <w:pPr>
              <w:spacing w:before="86" w:line="276" w:lineRule="auto"/>
              <w:ind w:right="1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除单一来源采购项目外，为采购项目提供整体设计、规范编制或者项目管理、监理、检测等服务的供应商，不得再参加该采购项目的其他采购活动</w:t>
            </w:r>
          </w:p>
        </w:tc>
        <w:tc>
          <w:tcPr>
            <w:tcW w:w="2931" w:type="dxa"/>
            <w:noWrap w:val="0"/>
            <w:vAlign w:val="top"/>
          </w:tcPr>
          <w:p w14:paraId="78A3D076">
            <w:pPr>
              <w:spacing w:before="242" w:line="225" w:lineRule="auto"/>
              <w:jc w:val="left"/>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请</w:t>
            </w:r>
            <w:r>
              <w:rPr>
                <w:rFonts w:hint="eastAsia" w:ascii="宋体" w:hAnsi="宋体" w:eastAsia="宋体" w:cs="宋体"/>
                <w:color w:val="auto"/>
                <w:spacing w:val="12"/>
                <w:sz w:val="24"/>
                <w:szCs w:val="24"/>
                <w:highlight w:val="none"/>
              </w:rPr>
              <w:t>如实填写，没有请在本栏填写“无”</w:t>
            </w:r>
          </w:p>
        </w:tc>
      </w:tr>
    </w:tbl>
    <w:p w14:paraId="586577C5">
      <w:pPr>
        <w:pStyle w:val="3"/>
        <w:spacing w:line="480" w:lineRule="exact"/>
        <w:ind w:firstLine="480" w:firstLineChars="200"/>
        <w:jc w:val="right"/>
        <w:rPr>
          <w:rFonts w:hint="eastAsia" w:ascii="宋体" w:hAnsi="宋体" w:eastAsia="宋体" w:cs="宋体"/>
          <w:bCs/>
          <w:color w:val="auto"/>
          <w:sz w:val="24"/>
          <w:szCs w:val="24"/>
          <w:highlight w:val="none"/>
        </w:rPr>
      </w:pPr>
    </w:p>
    <w:p w14:paraId="3AD790D7">
      <w:pPr>
        <w:pStyle w:val="3"/>
        <w:spacing w:line="480" w:lineRule="exact"/>
        <w:ind w:firstLine="480" w:firstLineChars="200"/>
        <w:jc w:val="right"/>
        <w:rPr>
          <w:rFonts w:hint="eastAsia" w:ascii="宋体" w:hAnsi="宋体" w:eastAsia="宋体" w:cs="宋体"/>
          <w:bCs/>
          <w:color w:val="auto"/>
          <w:sz w:val="24"/>
          <w:szCs w:val="24"/>
          <w:highlight w:val="none"/>
        </w:rPr>
      </w:pPr>
    </w:p>
    <w:p w14:paraId="6F35B42C">
      <w:pPr>
        <w:pStyle w:val="3"/>
        <w:spacing w:line="480" w:lineRule="exact"/>
        <w:ind w:firstLine="480" w:firstLineChars="200"/>
        <w:jc w:val="right"/>
        <w:rPr>
          <w:rFonts w:hint="eastAsia" w:ascii="宋体" w:hAnsi="宋体" w:eastAsia="宋体" w:cs="宋体"/>
          <w:bCs/>
          <w:color w:val="auto"/>
          <w:sz w:val="24"/>
          <w:szCs w:val="24"/>
          <w:highlight w:val="none"/>
        </w:rPr>
      </w:pPr>
    </w:p>
    <w:p w14:paraId="4C7A9CB3">
      <w:pPr>
        <w:spacing w:line="5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法定代表人或其委托代理人（签字或盖章）</w:t>
      </w:r>
    </w:p>
    <w:p w14:paraId="3DB0C887">
      <w:pPr>
        <w:spacing w:line="5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供应商名称：              （盖章）</w:t>
      </w:r>
    </w:p>
    <w:p w14:paraId="507E3337">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日</w:t>
      </w:r>
    </w:p>
    <w:p w14:paraId="3F8AE5C1">
      <w:pPr>
        <w:pStyle w:val="3"/>
        <w:spacing w:line="480" w:lineRule="exact"/>
        <w:jc w:val="center"/>
        <w:rPr>
          <w:rFonts w:hint="eastAsia" w:ascii="宋体" w:hAnsi="宋体" w:eastAsia="宋体" w:cs="宋体"/>
          <w:b/>
          <w:color w:val="auto"/>
          <w:sz w:val="30"/>
          <w:szCs w:val="30"/>
          <w:highlight w:val="none"/>
          <w:lang w:val="en-US" w:eastAsia="zh-CN" w:bidi="zh-CN"/>
        </w:rPr>
      </w:pPr>
      <w:r>
        <w:rPr>
          <w:rFonts w:hint="eastAsia" w:ascii="宋体" w:hAnsi="宋体" w:eastAsia="宋体" w:cs="宋体"/>
          <w:b/>
          <w:color w:val="auto"/>
          <w:sz w:val="24"/>
          <w:szCs w:val="24"/>
          <w:highlight w:val="none"/>
          <w:lang w:val="en-US" w:eastAsia="zh-CN" w:bidi="zh-CN"/>
        </w:rPr>
        <w:br w:type="page"/>
      </w:r>
      <w:r>
        <w:rPr>
          <w:rFonts w:hint="eastAsia" w:ascii="宋体" w:hAnsi="宋体" w:eastAsia="宋体" w:cs="宋体"/>
          <w:b/>
          <w:color w:val="auto"/>
          <w:szCs w:val="24"/>
          <w:highlight w:val="none"/>
          <w:lang w:val="en-US" w:eastAsia="zh-CN" w:bidi="zh-CN"/>
        </w:rPr>
        <w:t>主要股东及出资人信息</w:t>
      </w:r>
    </w:p>
    <w:p w14:paraId="33DE94EE">
      <w:pPr>
        <w:rPr>
          <w:rFonts w:hint="eastAsia" w:ascii="宋体" w:hAnsi="宋体" w:eastAsia="宋体" w:cs="宋体"/>
          <w:b/>
          <w:color w:val="auto"/>
          <w:sz w:val="24"/>
          <w:highlight w:val="none"/>
          <w:lang w:bidi="zh-CN"/>
        </w:rPr>
      </w:pPr>
    </w:p>
    <w:p w14:paraId="49F97707">
      <w:pPr>
        <w:pStyle w:val="3"/>
        <w:rPr>
          <w:rFonts w:hint="eastAsia" w:ascii="宋体" w:hAnsi="宋体" w:eastAsia="宋体" w:cs="宋体"/>
          <w:color w:val="auto"/>
          <w:highlight w:val="none"/>
          <w:lang w:val="en-US" w:eastAsia="zh-CN"/>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41"/>
        <w:gridCol w:w="2256"/>
        <w:gridCol w:w="1358"/>
        <w:gridCol w:w="1279"/>
        <w:gridCol w:w="1413"/>
        <w:gridCol w:w="693"/>
      </w:tblGrid>
      <w:tr w14:paraId="277D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55" w:type="dxa"/>
            <w:noWrap w:val="0"/>
            <w:vAlign w:val="center"/>
          </w:tcPr>
          <w:p w14:paraId="13EE4E0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45" w:type="dxa"/>
            <w:noWrap w:val="0"/>
            <w:vAlign w:val="center"/>
          </w:tcPr>
          <w:p w14:paraId="0B40F89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p w14:paraId="284363A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2264" w:type="dxa"/>
            <w:noWrap w:val="0"/>
            <w:vAlign w:val="center"/>
          </w:tcPr>
          <w:p w14:paraId="6E0995F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统一社会信用代码（身份证号）</w:t>
            </w:r>
          </w:p>
        </w:tc>
        <w:tc>
          <w:tcPr>
            <w:tcW w:w="1363" w:type="dxa"/>
            <w:noWrap w:val="0"/>
            <w:vAlign w:val="center"/>
          </w:tcPr>
          <w:p w14:paraId="1D0E1B9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出资方式</w:t>
            </w:r>
          </w:p>
        </w:tc>
        <w:tc>
          <w:tcPr>
            <w:tcW w:w="1282" w:type="dxa"/>
            <w:noWrap w:val="0"/>
            <w:vAlign w:val="center"/>
          </w:tcPr>
          <w:p w14:paraId="01CD125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出资金额（万元）</w:t>
            </w:r>
          </w:p>
        </w:tc>
        <w:tc>
          <w:tcPr>
            <w:tcW w:w="1418" w:type="dxa"/>
            <w:noWrap w:val="0"/>
            <w:vAlign w:val="center"/>
          </w:tcPr>
          <w:p w14:paraId="3D68084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占全部股份比列</w:t>
            </w:r>
          </w:p>
        </w:tc>
        <w:tc>
          <w:tcPr>
            <w:tcW w:w="693" w:type="dxa"/>
            <w:noWrap w:val="0"/>
            <w:vAlign w:val="center"/>
          </w:tcPr>
          <w:p w14:paraId="29892DD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27CD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3A0C9722">
            <w:pPr>
              <w:rPr>
                <w:rFonts w:hint="eastAsia" w:ascii="宋体" w:hAnsi="宋体" w:eastAsia="宋体" w:cs="宋体"/>
                <w:color w:val="auto"/>
                <w:szCs w:val="20"/>
                <w:highlight w:val="none"/>
              </w:rPr>
            </w:pPr>
          </w:p>
        </w:tc>
        <w:tc>
          <w:tcPr>
            <w:tcW w:w="1445" w:type="dxa"/>
            <w:noWrap w:val="0"/>
            <w:vAlign w:val="top"/>
          </w:tcPr>
          <w:p w14:paraId="17DD9BAA">
            <w:pPr>
              <w:rPr>
                <w:rFonts w:hint="eastAsia" w:ascii="宋体" w:hAnsi="宋体" w:eastAsia="宋体" w:cs="宋体"/>
                <w:color w:val="auto"/>
                <w:szCs w:val="20"/>
                <w:highlight w:val="none"/>
              </w:rPr>
            </w:pPr>
          </w:p>
        </w:tc>
        <w:tc>
          <w:tcPr>
            <w:tcW w:w="2264" w:type="dxa"/>
            <w:noWrap w:val="0"/>
            <w:vAlign w:val="top"/>
          </w:tcPr>
          <w:p w14:paraId="63923A9F">
            <w:pPr>
              <w:rPr>
                <w:rFonts w:hint="eastAsia" w:ascii="宋体" w:hAnsi="宋体" w:eastAsia="宋体" w:cs="宋体"/>
                <w:color w:val="auto"/>
                <w:szCs w:val="20"/>
                <w:highlight w:val="none"/>
              </w:rPr>
            </w:pPr>
          </w:p>
        </w:tc>
        <w:tc>
          <w:tcPr>
            <w:tcW w:w="1363" w:type="dxa"/>
            <w:noWrap w:val="0"/>
            <w:vAlign w:val="top"/>
          </w:tcPr>
          <w:p w14:paraId="4DB0DBF2">
            <w:pPr>
              <w:rPr>
                <w:rFonts w:hint="eastAsia" w:ascii="宋体" w:hAnsi="宋体" w:eastAsia="宋体" w:cs="宋体"/>
                <w:color w:val="auto"/>
                <w:szCs w:val="20"/>
                <w:highlight w:val="none"/>
              </w:rPr>
            </w:pPr>
          </w:p>
        </w:tc>
        <w:tc>
          <w:tcPr>
            <w:tcW w:w="1282" w:type="dxa"/>
            <w:noWrap w:val="0"/>
            <w:vAlign w:val="top"/>
          </w:tcPr>
          <w:p w14:paraId="57199C31">
            <w:pPr>
              <w:rPr>
                <w:rFonts w:hint="eastAsia" w:ascii="宋体" w:hAnsi="宋体" w:eastAsia="宋体" w:cs="宋体"/>
                <w:color w:val="auto"/>
                <w:szCs w:val="20"/>
                <w:highlight w:val="none"/>
              </w:rPr>
            </w:pPr>
          </w:p>
        </w:tc>
        <w:tc>
          <w:tcPr>
            <w:tcW w:w="1418" w:type="dxa"/>
            <w:noWrap w:val="0"/>
            <w:vAlign w:val="top"/>
          </w:tcPr>
          <w:p w14:paraId="4CC89E0F">
            <w:pPr>
              <w:rPr>
                <w:rFonts w:hint="eastAsia" w:ascii="宋体" w:hAnsi="宋体" w:eastAsia="宋体" w:cs="宋体"/>
                <w:color w:val="auto"/>
                <w:szCs w:val="20"/>
                <w:highlight w:val="none"/>
              </w:rPr>
            </w:pPr>
          </w:p>
        </w:tc>
        <w:tc>
          <w:tcPr>
            <w:tcW w:w="693" w:type="dxa"/>
            <w:noWrap w:val="0"/>
            <w:vAlign w:val="top"/>
          </w:tcPr>
          <w:p w14:paraId="26E4F21F">
            <w:pPr>
              <w:rPr>
                <w:rFonts w:hint="eastAsia" w:ascii="宋体" w:hAnsi="宋体" w:eastAsia="宋体" w:cs="宋体"/>
                <w:color w:val="auto"/>
                <w:szCs w:val="20"/>
                <w:highlight w:val="none"/>
              </w:rPr>
            </w:pPr>
          </w:p>
        </w:tc>
      </w:tr>
      <w:tr w14:paraId="17B5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556FBF68">
            <w:pPr>
              <w:rPr>
                <w:rFonts w:hint="eastAsia" w:ascii="宋体" w:hAnsi="宋体" w:eastAsia="宋体" w:cs="宋体"/>
                <w:color w:val="auto"/>
                <w:szCs w:val="20"/>
                <w:highlight w:val="none"/>
              </w:rPr>
            </w:pPr>
          </w:p>
        </w:tc>
        <w:tc>
          <w:tcPr>
            <w:tcW w:w="1445" w:type="dxa"/>
            <w:noWrap w:val="0"/>
            <w:vAlign w:val="top"/>
          </w:tcPr>
          <w:p w14:paraId="077D8B71">
            <w:pPr>
              <w:rPr>
                <w:rFonts w:hint="eastAsia" w:ascii="宋体" w:hAnsi="宋体" w:eastAsia="宋体" w:cs="宋体"/>
                <w:color w:val="auto"/>
                <w:szCs w:val="20"/>
                <w:highlight w:val="none"/>
              </w:rPr>
            </w:pPr>
          </w:p>
        </w:tc>
        <w:tc>
          <w:tcPr>
            <w:tcW w:w="2264" w:type="dxa"/>
            <w:noWrap w:val="0"/>
            <w:vAlign w:val="top"/>
          </w:tcPr>
          <w:p w14:paraId="74664475">
            <w:pPr>
              <w:rPr>
                <w:rFonts w:hint="eastAsia" w:ascii="宋体" w:hAnsi="宋体" w:eastAsia="宋体" w:cs="宋体"/>
                <w:color w:val="auto"/>
                <w:szCs w:val="20"/>
                <w:highlight w:val="none"/>
              </w:rPr>
            </w:pPr>
          </w:p>
        </w:tc>
        <w:tc>
          <w:tcPr>
            <w:tcW w:w="1363" w:type="dxa"/>
            <w:noWrap w:val="0"/>
            <w:vAlign w:val="top"/>
          </w:tcPr>
          <w:p w14:paraId="1E94DEAF">
            <w:pPr>
              <w:rPr>
                <w:rFonts w:hint="eastAsia" w:ascii="宋体" w:hAnsi="宋体" w:eastAsia="宋体" w:cs="宋体"/>
                <w:color w:val="auto"/>
                <w:szCs w:val="20"/>
                <w:highlight w:val="none"/>
              </w:rPr>
            </w:pPr>
          </w:p>
        </w:tc>
        <w:tc>
          <w:tcPr>
            <w:tcW w:w="1282" w:type="dxa"/>
            <w:noWrap w:val="0"/>
            <w:vAlign w:val="top"/>
          </w:tcPr>
          <w:p w14:paraId="4F706F8B">
            <w:pPr>
              <w:rPr>
                <w:rFonts w:hint="eastAsia" w:ascii="宋体" w:hAnsi="宋体" w:eastAsia="宋体" w:cs="宋体"/>
                <w:color w:val="auto"/>
                <w:szCs w:val="20"/>
                <w:highlight w:val="none"/>
              </w:rPr>
            </w:pPr>
          </w:p>
        </w:tc>
        <w:tc>
          <w:tcPr>
            <w:tcW w:w="1418" w:type="dxa"/>
            <w:noWrap w:val="0"/>
            <w:vAlign w:val="top"/>
          </w:tcPr>
          <w:p w14:paraId="02557B28">
            <w:pPr>
              <w:rPr>
                <w:rFonts w:hint="eastAsia" w:ascii="宋体" w:hAnsi="宋体" w:eastAsia="宋体" w:cs="宋体"/>
                <w:color w:val="auto"/>
                <w:szCs w:val="20"/>
                <w:highlight w:val="none"/>
              </w:rPr>
            </w:pPr>
          </w:p>
        </w:tc>
        <w:tc>
          <w:tcPr>
            <w:tcW w:w="693" w:type="dxa"/>
            <w:noWrap w:val="0"/>
            <w:vAlign w:val="top"/>
          </w:tcPr>
          <w:p w14:paraId="619F3B8F">
            <w:pPr>
              <w:rPr>
                <w:rFonts w:hint="eastAsia" w:ascii="宋体" w:hAnsi="宋体" w:eastAsia="宋体" w:cs="宋体"/>
                <w:color w:val="auto"/>
                <w:szCs w:val="20"/>
                <w:highlight w:val="none"/>
              </w:rPr>
            </w:pPr>
          </w:p>
        </w:tc>
      </w:tr>
      <w:tr w14:paraId="3981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199BE9B9">
            <w:pPr>
              <w:rPr>
                <w:rFonts w:hint="eastAsia" w:ascii="宋体" w:hAnsi="宋体" w:eastAsia="宋体" w:cs="宋体"/>
                <w:color w:val="auto"/>
                <w:szCs w:val="20"/>
                <w:highlight w:val="none"/>
              </w:rPr>
            </w:pPr>
          </w:p>
        </w:tc>
        <w:tc>
          <w:tcPr>
            <w:tcW w:w="1445" w:type="dxa"/>
            <w:noWrap w:val="0"/>
            <w:vAlign w:val="top"/>
          </w:tcPr>
          <w:p w14:paraId="7479147F">
            <w:pPr>
              <w:rPr>
                <w:rFonts w:hint="eastAsia" w:ascii="宋体" w:hAnsi="宋体" w:eastAsia="宋体" w:cs="宋体"/>
                <w:color w:val="auto"/>
                <w:szCs w:val="20"/>
                <w:highlight w:val="none"/>
              </w:rPr>
            </w:pPr>
          </w:p>
        </w:tc>
        <w:tc>
          <w:tcPr>
            <w:tcW w:w="2264" w:type="dxa"/>
            <w:noWrap w:val="0"/>
            <w:vAlign w:val="top"/>
          </w:tcPr>
          <w:p w14:paraId="3F3CF3ED">
            <w:pPr>
              <w:rPr>
                <w:rFonts w:hint="eastAsia" w:ascii="宋体" w:hAnsi="宋体" w:eastAsia="宋体" w:cs="宋体"/>
                <w:color w:val="auto"/>
                <w:szCs w:val="20"/>
                <w:highlight w:val="none"/>
              </w:rPr>
            </w:pPr>
          </w:p>
        </w:tc>
        <w:tc>
          <w:tcPr>
            <w:tcW w:w="1363" w:type="dxa"/>
            <w:noWrap w:val="0"/>
            <w:vAlign w:val="top"/>
          </w:tcPr>
          <w:p w14:paraId="4FB64B56">
            <w:pPr>
              <w:rPr>
                <w:rFonts w:hint="eastAsia" w:ascii="宋体" w:hAnsi="宋体" w:eastAsia="宋体" w:cs="宋体"/>
                <w:color w:val="auto"/>
                <w:szCs w:val="20"/>
                <w:highlight w:val="none"/>
              </w:rPr>
            </w:pPr>
          </w:p>
        </w:tc>
        <w:tc>
          <w:tcPr>
            <w:tcW w:w="1282" w:type="dxa"/>
            <w:noWrap w:val="0"/>
            <w:vAlign w:val="top"/>
          </w:tcPr>
          <w:p w14:paraId="5E9B51AB">
            <w:pPr>
              <w:rPr>
                <w:rFonts w:hint="eastAsia" w:ascii="宋体" w:hAnsi="宋体" w:eastAsia="宋体" w:cs="宋体"/>
                <w:color w:val="auto"/>
                <w:szCs w:val="20"/>
                <w:highlight w:val="none"/>
              </w:rPr>
            </w:pPr>
          </w:p>
        </w:tc>
        <w:tc>
          <w:tcPr>
            <w:tcW w:w="1418" w:type="dxa"/>
            <w:noWrap w:val="0"/>
            <w:vAlign w:val="top"/>
          </w:tcPr>
          <w:p w14:paraId="5B37B90F">
            <w:pPr>
              <w:rPr>
                <w:rFonts w:hint="eastAsia" w:ascii="宋体" w:hAnsi="宋体" w:eastAsia="宋体" w:cs="宋体"/>
                <w:color w:val="auto"/>
                <w:szCs w:val="20"/>
                <w:highlight w:val="none"/>
              </w:rPr>
            </w:pPr>
          </w:p>
        </w:tc>
        <w:tc>
          <w:tcPr>
            <w:tcW w:w="693" w:type="dxa"/>
            <w:noWrap w:val="0"/>
            <w:vAlign w:val="top"/>
          </w:tcPr>
          <w:p w14:paraId="43EC6D08">
            <w:pPr>
              <w:rPr>
                <w:rFonts w:hint="eastAsia" w:ascii="宋体" w:hAnsi="宋体" w:eastAsia="宋体" w:cs="宋体"/>
                <w:color w:val="auto"/>
                <w:szCs w:val="20"/>
                <w:highlight w:val="none"/>
              </w:rPr>
            </w:pPr>
          </w:p>
        </w:tc>
      </w:tr>
      <w:tr w14:paraId="79B4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13A1A14C">
            <w:pPr>
              <w:rPr>
                <w:rFonts w:hint="eastAsia" w:ascii="宋体" w:hAnsi="宋体" w:eastAsia="宋体" w:cs="宋体"/>
                <w:color w:val="auto"/>
                <w:szCs w:val="20"/>
                <w:highlight w:val="none"/>
              </w:rPr>
            </w:pPr>
          </w:p>
        </w:tc>
        <w:tc>
          <w:tcPr>
            <w:tcW w:w="1445" w:type="dxa"/>
            <w:noWrap w:val="0"/>
            <w:vAlign w:val="top"/>
          </w:tcPr>
          <w:p w14:paraId="68FE9AB1">
            <w:pPr>
              <w:rPr>
                <w:rFonts w:hint="eastAsia" w:ascii="宋体" w:hAnsi="宋体" w:eastAsia="宋体" w:cs="宋体"/>
                <w:color w:val="auto"/>
                <w:szCs w:val="20"/>
                <w:highlight w:val="none"/>
              </w:rPr>
            </w:pPr>
          </w:p>
        </w:tc>
        <w:tc>
          <w:tcPr>
            <w:tcW w:w="2264" w:type="dxa"/>
            <w:noWrap w:val="0"/>
            <w:vAlign w:val="top"/>
          </w:tcPr>
          <w:p w14:paraId="347BA84F">
            <w:pPr>
              <w:rPr>
                <w:rFonts w:hint="eastAsia" w:ascii="宋体" w:hAnsi="宋体" w:eastAsia="宋体" w:cs="宋体"/>
                <w:color w:val="auto"/>
                <w:szCs w:val="20"/>
                <w:highlight w:val="none"/>
              </w:rPr>
            </w:pPr>
          </w:p>
        </w:tc>
        <w:tc>
          <w:tcPr>
            <w:tcW w:w="1363" w:type="dxa"/>
            <w:noWrap w:val="0"/>
            <w:vAlign w:val="top"/>
          </w:tcPr>
          <w:p w14:paraId="274D8FCD">
            <w:pPr>
              <w:rPr>
                <w:rFonts w:hint="eastAsia" w:ascii="宋体" w:hAnsi="宋体" w:eastAsia="宋体" w:cs="宋体"/>
                <w:color w:val="auto"/>
                <w:szCs w:val="20"/>
                <w:highlight w:val="none"/>
              </w:rPr>
            </w:pPr>
          </w:p>
        </w:tc>
        <w:tc>
          <w:tcPr>
            <w:tcW w:w="1282" w:type="dxa"/>
            <w:noWrap w:val="0"/>
            <w:vAlign w:val="top"/>
          </w:tcPr>
          <w:p w14:paraId="564BF4F2">
            <w:pPr>
              <w:rPr>
                <w:rFonts w:hint="eastAsia" w:ascii="宋体" w:hAnsi="宋体" w:eastAsia="宋体" w:cs="宋体"/>
                <w:color w:val="auto"/>
                <w:szCs w:val="20"/>
                <w:highlight w:val="none"/>
              </w:rPr>
            </w:pPr>
          </w:p>
        </w:tc>
        <w:tc>
          <w:tcPr>
            <w:tcW w:w="1418" w:type="dxa"/>
            <w:noWrap w:val="0"/>
            <w:vAlign w:val="top"/>
          </w:tcPr>
          <w:p w14:paraId="60AFCA46">
            <w:pPr>
              <w:rPr>
                <w:rFonts w:hint="eastAsia" w:ascii="宋体" w:hAnsi="宋体" w:eastAsia="宋体" w:cs="宋体"/>
                <w:color w:val="auto"/>
                <w:szCs w:val="20"/>
                <w:highlight w:val="none"/>
              </w:rPr>
            </w:pPr>
          </w:p>
        </w:tc>
        <w:tc>
          <w:tcPr>
            <w:tcW w:w="693" w:type="dxa"/>
            <w:noWrap w:val="0"/>
            <w:vAlign w:val="top"/>
          </w:tcPr>
          <w:p w14:paraId="497C577F">
            <w:pPr>
              <w:rPr>
                <w:rFonts w:hint="eastAsia" w:ascii="宋体" w:hAnsi="宋体" w:eastAsia="宋体" w:cs="宋体"/>
                <w:color w:val="auto"/>
                <w:szCs w:val="20"/>
                <w:highlight w:val="none"/>
              </w:rPr>
            </w:pPr>
          </w:p>
        </w:tc>
      </w:tr>
      <w:tr w14:paraId="62E7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7F474B74">
            <w:pPr>
              <w:rPr>
                <w:rFonts w:hint="eastAsia" w:ascii="宋体" w:hAnsi="宋体" w:eastAsia="宋体" w:cs="宋体"/>
                <w:color w:val="auto"/>
                <w:szCs w:val="20"/>
                <w:highlight w:val="none"/>
              </w:rPr>
            </w:pPr>
            <w:r>
              <w:rPr>
                <w:rFonts w:hint="eastAsia" w:ascii="宋体" w:hAnsi="宋体" w:eastAsia="宋体" w:cs="宋体"/>
                <w:color w:val="auto"/>
                <w:szCs w:val="20"/>
                <w:highlight w:val="none"/>
              </w:rPr>
              <w:t>......</w:t>
            </w:r>
          </w:p>
        </w:tc>
        <w:tc>
          <w:tcPr>
            <w:tcW w:w="1445" w:type="dxa"/>
            <w:noWrap w:val="0"/>
            <w:vAlign w:val="top"/>
          </w:tcPr>
          <w:p w14:paraId="1F54A262">
            <w:pPr>
              <w:rPr>
                <w:rFonts w:hint="eastAsia" w:ascii="宋体" w:hAnsi="宋体" w:eastAsia="宋体" w:cs="宋体"/>
                <w:color w:val="auto"/>
                <w:szCs w:val="20"/>
                <w:highlight w:val="none"/>
              </w:rPr>
            </w:pPr>
          </w:p>
        </w:tc>
        <w:tc>
          <w:tcPr>
            <w:tcW w:w="2264" w:type="dxa"/>
            <w:noWrap w:val="0"/>
            <w:vAlign w:val="top"/>
          </w:tcPr>
          <w:p w14:paraId="46692D40">
            <w:pPr>
              <w:rPr>
                <w:rFonts w:hint="eastAsia" w:ascii="宋体" w:hAnsi="宋体" w:eastAsia="宋体" w:cs="宋体"/>
                <w:color w:val="auto"/>
                <w:szCs w:val="20"/>
                <w:highlight w:val="none"/>
              </w:rPr>
            </w:pPr>
          </w:p>
        </w:tc>
        <w:tc>
          <w:tcPr>
            <w:tcW w:w="1363" w:type="dxa"/>
            <w:noWrap w:val="0"/>
            <w:vAlign w:val="top"/>
          </w:tcPr>
          <w:p w14:paraId="612DFF1D">
            <w:pPr>
              <w:rPr>
                <w:rFonts w:hint="eastAsia" w:ascii="宋体" w:hAnsi="宋体" w:eastAsia="宋体" w:cs="宋体"/>
                <w:color w:val="auto"/>
                <w:szCs w:val="20"/>
                <w:highlight w:val="none"/>
              </w:rPr>
            </w:pPr>
          </w:p>
        </w:tc>
        <w:tc>
          <w:tcPr>
            <w:tcW w:w="1282" w:type="dxa"/>
            <w:noWrap w:val="0"/>
            <w:vAlign w:val="top"/>
          </w:tcPr>
          <w:p w14:paraId="539A1954">
            <w:pPr>
              <w:rPr>
                <w:rFonts w:hint="eastAsia" w:ascii="宋体" w:hAnsi="宋体" w:eastAsia="宋体" w:cs="宋体"/>
                <w:color w:val="auto"/>
                <w:szCs w:val="20"/>
                <w:highlight w:val="none"/>
              </w:rPr>
            </w:pPr>
          </w:p>
        </w:tc>
        <w:tc>
          <w:tcPr>
            <w:tcW w:w="1418" w:type="dxa"/>
            <w:noWrap w:val="0"/>
            <w:vAlign w:val="top"/>
          </w:tcPr>
          <w:p w14:paraId="794DCC3E">
            <w:pPr>
              <w:rPr>
                <w:rFonts w:hint="eastAsia" w:ascii="宋体" w:hAnsi="宋体" w:eastAsia="宋体" w:cs="宋体"/>
                <w:color w:val="auto"/>
                <w:szCs w:val="20"/>
                <w:highlight w:val="none"/>
              </w:rPr>
            </w:pPr>
          </w:p>
        </w:tc>
        <w:tc>
          <w:tcPr>
            <w:tcW w:w="693" w:type="dxa"/>
            <w:noWrap w:val="0"/>
            <w:vAlign w:val="top"/>
          </w:tcPr>
          <w:p w14:paraId="649F8AFC">
            <w:pPr>
              <w:rPr>
                <w:rFonts w:hint="eastAsia" w:ascii="宋体" w:hAnsi="宋体" w:eastAsia="宋体" w:cs="宋体"/>
                <w:color w:val="auto"/>
                <w:szCs w:val="20"/>
                <w:highlight w:val="none"/>
              </w:rPr>
            </w:pPr>
          </w:p>
        </w:tc>
      </w:tr>
    </w:tbl>
    <w:p w14:paraId="1EC40DD9">
      <w:pPr>
        <w:rPr>
          <w:rFonts w:hint="eastAsia" w:ascii="宋体" w:hAnsi="宋体" w:eastAsia="宋体" w:cs="宋体"/>
          <w:color w:val="auto"/>
          <w:highlight w:val="none"/>
        </w:rPr>
      </w:pPr>
    </w:p>
    <w:p w14:paraId="5FFBBE4D">
      <w:pPr>
        <w:pStyle w:val="23"/>
        <w:keepNext w:val="0"/>
        <w:keepLines w:val="0"/>
        <w:pageBreakBefore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我方承诺，以上信息真实可靠，如填报的股东出资额、出资比例等与实际不符，视为放弃中标资格。</w:t>
      </w:r>
    </w:p>
    <w:p w14:paraId="6B3332CD">
      <w:pPr>
        <w:pStyle w:val="2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2ED282D3">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1.主要股东或出资人为法人的，填写法人全称及统一社会信用代码（尚未办理三证合一的填写组织机构代码）；为自然人的，填写自然人姓名和身份证号。</w:t>
      </w:r>
    </w:p>
    <w:p w14:paraId="1C150116">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2.出资方式填写货币、实物、工艺产权和非专利技术、土地使用权等。</w:t>
      </w:r>
    </w:p>
    <w:p w14:paraId="5CDA8664">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3.投标供应商应按照占全部股份比例从大到小依次逐个股东填写，股东数量多于10个的，填写前10名，不足10个的全部填写。</w:t>
      </w:r>
    </w:p>
    <w:p w14:paraId="3F653F6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法定代表人或其委托代理人（签字或盖章）</w:t>
      </w:r>
    </w:p>
    <w:p w14:paraId="61B0512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供应商名称：     （盖章）</w:t>
      </w:r>
    </w:p>
    <w:p w14:paraId="21FE8B8D">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zh-CN"/>
        </w:rPr>
        <w:tab/>
      </w:r>
      <w:r>
        <w:rPr>
          <w:rFonts w:hint="eastAsia" w:ascii="宋体" w:hAnsi="宋体" w:eastAsia="宋体" w:cs="宋体"/>
          <w:color w:val="auto"/>
          <w:sz w:val="24"/>
          <w:szCs w:val="24"/>
          <w:highlight w:val="none"/>
          <w:lang w:val="zh-CN"/>
        </w:rPr>
        <w:t>日</w:t>
      </w:r>
    </w:p>
    <w:p w14:paraId="1ACFC86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895E4B3">
      <w:pPr>
        <w:pageBreakBefore w:val="0"/>
        <w:kinsoku/>
        <w:wordWrap/>
        <w:topLinePunct w:val="0"/>
        <w:autoSpaceDE w:val="0"/>
        <w:autoSpaceDN w:val="0"/>
        <w:bidi w:val="0"/>
        <w:adjustRightInd w:val="0"/>
        <w:spacing w:beforeAutospacing="0" w:afterAutospacing="0" w:line="460" w:lineRule="exact"/>
        <w:ind w:left="210" w:leftChars="100"/>
        <w:jc w:val="both"/>
        <w:rPr>
          <w:rFonts w:hint="eastAsia" w:ascii="宋体" w:hAnsi="宋体" w:eastAsia="宋体" w:cs="宋体"/>
          <w:color w:val="auto"/>
          <w:sz w:val="24"/>
          <w:szCs w:val="32"/>
          <w:highlight w:val="none"/>
          <w:lang w:val="zh-CN"/>
        </w:rPr>
      </w:pPr>
      <w:r>
        <w:rPr>
          <w:rFonts w:hint="eastAsia" w:ascii="宋体" w:hAnsi="宋体" w:eastAsia="宋体" w:cs="宋体"/>
          <w:b/>
          <w:bCs/>
          <w:color w:val="auto"/>
          <w:sz w:val="32"/>
          <w:szCs w:val="32"/>
          <w:highlight w:val="none"/>
          <w:lang w:val="zh-CN" w:eastAsia="zh-CN"/>
        </w:rPr>
        <w:t>六、供应商</w:t>
      </w:r>
      <w:r>
        <w:rPr>
          <w:rFonts w:hint="eastAsia" w:ascii="宋体" w:hAnsi="宋体" w:eastAsia="宋体" w:cs="宋体"/>
          <w:b/>
          <w:bCs/>
          <w:color w:val="auto"/>
          <w:sz w:val="32"/>
          <w:szCs w:val="32"/>
          <w:highlight w:val="none"/>
          <w:lang w:val="zh-CN"/>
        </w:rPr>
        <w:t>近三年（202</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lang w:val="zh-CN"/>
        </w:rPr>
        <w:t>年1月1日-至今）类似业绩证明材料</w:t>
      </w:r>
      <w:bookmarkEnd w:id="985"/>
      <w:bookmarkEnd w:id="986"/>
    </w:p>
    <w:p w14:paraId="272AF155">
      <w:pPr>
        <w:pageBreakBefore w:val="0"/>
        <w:kinsoku/>
        <w:wordWrap/>
        <w:topLinePunct w:val="0"/>
        <w:bidi w:val="0"/>
        <w:spacing w:beforeAutospacing="0" w:afterAutospacing="0" w:line="460" w:lineRule="exact"/>
        <w:ind w:right="-512" w:rightChars="-244"/>
        <w:jc w:val="center"/>
        <w:rPr>
          <w:rFonts w:hint="eastAsia" w:ascii="宋体" w:hAnsi="宋体" w:eastAsia="宋体" w:cs="宋体"/>
          <w:b/>
          <w:bCs/>
          <w:color w:val="auto"/>
          <w:sz w:val="22"/>
          <w:szCs w:val="22"/>
          <w:highlight w:val="none"/>
        </w:rPr>
      </w:pPr>
    </w:p>
    <w:p w14:paraId="7CD500E2">
      <w:pPr>
        <w:pStyle w:val="38"/>
        <w:pageBreakBefore w:val="0"/>
        <w:kinsoku/>
        <w:wordWrap/>
        <w:topLinePunct w:val="0"/>
        <w:bidi w:val="0"/>
        <w:spacing w:beforeAutospacing="0" w:afterAutospacing="0" w:line="460" w:lineRule="exact"/>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 xml:space="preserve">项目名称：                             </w:t>
      </w:r>
    </w:p>
    <w:p w14:paraId="7C86C60D">
      <w:pPr>
        <w:pStyle w:val="38"/>
        <w:pageBreakBefore w:val="0"/>
        <w:kinsoku/>
        <w:wordWrap/>
        <w:topLinePunct w:val="0"/>
        <w:bidi w:val="0"/>
        <w:spacing w:beforeAutospacing="0" w:afterAutospacing="0" w:line="460" w:lineRule="exact"/>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项目编号：                                              填表日期：年   月   日</w:t>
      </w:r>
    </w:p>
    <w:tbl>
      <w:tblPr>
        <w:tblStyle w:val="25"/>
        <w:tblW w:w="960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
        <w:gridCol w:w="1920"/>
        <w:gridCol w:w="2021"/>
        <w:gridCol w:w="1525"/>
        <w:gridCol w:w="1645"/>
        <w:gridCol w:w="1637"/>
      </w:tblGrid>
      <w:tr w14:paraId="1EEEF5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82" w:hRule="atLeast"/>
        </w:trPr>
        <w:tc>
          <w:tcPr>
            <w:tcW w:w="852" w:type="dxa"/>
            <w:tcBorders>
              <w:top w:val="double" w:color="auto" w:sz="4" w:space="0"/>
              <w:left w:val="double" w:color="auto" w:sz="4" w:space="0"/>
              <w:bottom w:val="single" w:color="auto" w:sz="6" w:space="0"/>
              <w:right w:val="single" w:color="auto" w:sz="6" w:space="0"/>
            </w:tcBorders>
            <w:noWrap w:val="0"/>
            <w:vAlign w:val="center"/>
          </w:tcPr>
          <w:p w14:paraId="320E5271">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r>
              <w:rPr>
                <w:rFonts w:hint="eastAsia" w:ascii="宋体" w:hAnsi="宋体" w:eastAsia="宋体" w:cs="宋体"/>
                <w:color w:val="auto"/>
                <w:sz w:val="26"/>
                <w:szCs w:val="26"/>
                <w:highlight w:val="none"/>
                <w:lang w:val="en-US" w:eastAsia="zh-CN" w:bidi="ar-SA"/>
              </w:rPr>
              <w:t>序号</w:t>
            </w:r>
          </w:p>
        </w:tc>
        <w:tc>
          <w:tcPr>
            <w:tcW w:w="1920" w:type="dxa"/>
            <w:tcBorders>
              <w:top w:val="double" w:color="auto" w:sz="4" w:space="0"/>
              <w:left w:val="single" w:color="auto" w:sz="6" w:space="0"/>
              <w:bottom w:val="single" w:color="auto" w:sz="6" w:space="0"/>
              <w:right w:val="single" w:color="auto" w:sz="6" w:space="0"/>
            </w:tcBorders>
            <w:noWrap w:val="0"/>
            <w:vAlign w:val="center"/>
          </w:tcPr>
          <w:p w14:paraId="6F0E2AED">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r>
              <w:rPr>
                <w:rFonts w:hint="eastAsia" w:ascii="宋体" w:hAnsi="宋体" w:eastAsia="宋体" w:cs="宋体"/>
                <w:color w:val="auto"/>
                <w:sz w:val="26"/>
                <w:szCs w:val="26"/>
                <w:highlight w:val="none"/>
                <w:lang w:val="en-US" w:eastAsia="zh-CN" w:bidi="ar-SA"/>
              </w:rPr>
              <w:t>地区</w:t>
            </w:r>
          </w:p>
        </w:tc>
        <w:tc>
          <w:tcPr>
            <w:tcW w:w="2021" w:type="dxa"/>
            <w:tcBorders>
              <w:top w:val="double" w:color="auto" w:sz="4" w:space="0"/>
              <w:left w:val="single" w:color="auto" w:sz="6" w:space="0"/>
              <w:bottom w:val="single" w:color="auto" w:sz="6" w:space="0"/>
              <w:right w:val="single" w:color="auto" w:sz="6" w:space="0"/>
            </w:tcBorders>
            <w:noWrap w:val="0"/>
            <w:vAlign w:val="center"/>
          </w:tcPr>
          <w:p w14:paraId="7089432F">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r>
              <w:rPr>
                <w:rFonts w:hint="eastAsia" w:ascii="宋体" w:hAnsi="宋体" w:eastAsia="宋体" w:cs="宋体"/>
                <w:color w:val="auto"/>
                <w:sz w:val="26"/>
                <w:szCs w:val="26"/>
                <w:highlight w:val="none"/>
                <w:lang w:val="en-US" w:eastAsia="zh-CN" w:bidi="ar-SA"/>
              </w:rPr>
              <w:t>项目名称</w:t>
            </w:r>
          </w:p>
        </w:tc>
        <w:tc>
          <w:tcPr>
            <w:tcW w:w="1525" w:type="dxa"/>
            <w:tcBorders>
              <w:top w:val="double" w:color="auto" w:sz="4" w:space="0"/>
              <w:left w:val="single" w:color="auto" w:sz="6" w:space="0"/>
              <w:bottom w:val="single" w:color="auto" w:sz="6" w:space="0"/>
              <w:right w:val="double" w:color="auto" w:sz="4" w:space="0"/>
            </w:tcBorders>
            <w:noWrap w:val="0"/>
            <w:vAlign w:val="center"/>
          </w:tcPr>
          <w:p w14:paraId="4B6DE8D4">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r>
              <w:rPr>
                <w:rFonts w:hint="eastAsia" w:ascii="宋体" w:hAnsi="宋体" w:eastAsia="宋体" w:cs="宋体"/>
                <w:color w:val="auto"/>
                <w:sz w:val="26"/>
                <w:szCs w:val="26"/>
                <w:highlight w:val="none"/>
                <w:lang w:val="en-US" w:eastAsia="zh-CN" w:bidi="ar-SA"/>
              </w:rPr>
              <w:t>金额</w:t>
            </w:r>
          </w:p>
        </w:tc>
        <w:tc>
          <w:tcPr>
            <w:tcW w:w="1645" w:type="dxa"/>
            <w:tcBorders>
              <w:top w:val="double" w:color="auto" w:sz="4" w:space="0"/>
              <w:left w:val="single" w:color="auto" w:sz="6" w:space="0"/>
              <w:bottom w:val="single" w:color="auto" w:sz="6" w:space="0"/>
              <w:right w:val="double" w:color="auto" w:sz="4" w:space="0"/>
            </w:tcBorders>
            <w:noWrap w:val="0"/>
            <w:vAlign w:val="center"/>
          </w:tcPr>
          <w:p w14:paraId="2031B6D5">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r>
              <w:rPr>
                <w:rFonts w:hint="eastAsia" w:ascii="宋体" w:hAnsi="宋体" w:eastAsia="宋体" w:cs="宋体"/>
                <w:color w:val="auto"/>
                <w:sz w:val="26"/>
                <w:szCs w:val="26"/>
                <w:highlight w:val="none"/>
                <w:lang w:val="en-US" w:eastAsia="zh-CN" w:bidi="ar-SA"/>
              </w:rPr>
              <w:t>招标单位</w:t>
            </w:r>
          </w:p>
          <w:p w14:paraId="52058587">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r>
              <w:rPr>
                <w:rFonts w:hint="eastAsia" w:ascii="宋体" w:hAnsi="宋体" w:eastAsia="宋体" w:cs="宋体"/>
                <w:color w:val="auto"/>
                <w:sz w:val="26"/>
                <w:szCs w:val="26"/>
                <w:highlight w:val="none"/>
                <w:lang w:val="en-US" w:eastAsia="zh-CN" w:bidi="ar-SA"/>
              </w:rPr>
              <w:t>名称</w:t>
            </w:r>
          </w:p>
        </w:tc>
        <w:tc>
          <w:tcPr>
            <w:tcW w:w="1637" w:type="dxa"/>
            <w:tcBorders>
              <w:top w:val="double" w:color="auto" w:sz="4" w:space="0"/>
              <w:left w:val="single" w:color="auto" w:sz="6" w:space="0"/>
              <w:bottom w:val="single" w:color="auto" w:sz="6" w:space="0"/>
              <w:right w:val="double" w:color="auto" w:sz="4" w:space="0"/>
            </w:tcBorders>
            <w:noWrap w:val="0"/>
            <w:vAlign w:val="center"/>
          </w:tcPr>
          <w:p w14:paraId="5AD7116E">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r>
              <w:rPr>
                <w:rFonts w:hint="eastAsia" w:ascii="宋体" w:hAnsi="宋体" w:eastAsia="宋体" w:cs="宋体"/>
                <w:color w:val="auto"/>
                <w:sz w:val="26"/>
                <w:szCs w:val="26"/>
                <w:highlight w:val="none"/>
                <w:lang w:val="en-US" w:eastAsia="zh-CN" w:bidi="ar-SA"/>
              </w:rPr>
              <w:t>合同签订</w:t>
            </w:r>
          </w:p>
          <w:p w14:paraId="554A74D7">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r>
              <w:rPr>
                <w:rFonts w:hint="eastAsia" w:ascii="宋体" w:hAnsi="宋体" w:eastAsia="宋体" w:cs="宋体"/>
                <w:color w:val="auto"/>
                <w:sz w:val="26"/>
                <w:szCs w:val="26"/>
                <w:highlight w:val="none"/>
                <w:lang w:val="en-US" w:eastAsia="zh-CN" w:bidi="ar-SA"/>
              </w:rPr>
              <w:t>时间</w:t>
            </w:r>
          </w:p>
        </w:tc>
      </w:tr>
      <w:tr w14:paraId="7E1D8C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852" w:type="dxa"/>
            <w:tcBorders>
              <w:top w:val="single" w:color="auto" w:sz="6" w:space="0"/>
              <w:left w:val="double" w:color="auto" w:sz="4" w:space="0"/>
              <w:bottom w:val="single" w:color="auto" w:sz="6" w:space="0"/>
              <w:right w:val="single" w:color="auto" w:sz="6" w:space="0"/>
            </w:tcBorders>
            <w:noWrap w:val="0"/>
            <w:vAlign w:val="center"/>
          </w:tcPr>
          <w:p w14:paraId="064C5E38">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14:paraId="0FEE5051">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2021" w:type="dxa"/>
            <w:tcBorders>
              <w:top w:val="single" w:color="auto" w:sz="6" w:space="0"/>
              <w:left w:val="single" w:color="auto" w:sz="6" w:space="0"/>
              <w:bottom w:val="single" w:color="auto" w:sz="6" w:space="0"/>
              <w:right w:val="single" w:color="auto" w:sz="6" w:space="0"/>
            </w:tcBorders>
            <w:noWrap w:val="0"/>
            <w:vAlign w:val="center"/>
          </w:tcPr>
          <w:p w14:paraId="6156E83A">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525" w:type="dxa"/>
            <w:tcBorders>
              <w:top w:val="single" w:color="auto" w:sz="6" w:space="0"/>
              <w:left w:val="single" w:color="auto" w:sz="6" w:space="0"/>
              <w:bottom w:val="single" w:color="auto" w:sz="6" w:space="0"/>
              <w:right w:val="double" w:color="auto" w:sz="4" w:space="0"/>
            </w:tcBorders>
            <w:noWrap w:val="0"/>
            <w:vAlign w:val="center"/>
          </w:tcPr>
          <w:p w14:paraId="32FD2CF6">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645" w:type="dxa"/>
            <w:tcBorders>
              <w:top w:val="single" w:color="auto" w:sz="6" w:space="0"/>
              <w:left w:val="single" w:color="auto" w:sz="6" w:space="0"/>
              <w:bottom w:val="single" w:color="auto" w:sz="6" w:space="0"/>
              <w:right w:val="double" w:color="auto" w:sz="4" w:space="0"/>
            </w:tcBorders>
            <w:noWrap w:val="0"/>
            <w:vAlign w:val="center"/>
          </w:tcPr>
          <w:p w14:paraId="5D8579F1">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637" w:type="dxa"/>
            <w:tcBorders>
              <w:top w:val="single" w:color="auto" w:sz="6" w:space="0"/>
              <w:left w:val="single" w:color="auto" w:sz="6" w:space="0"/>
              <w:bottom w:val="single" w:color="auto" w:sz="6" w:space="0"/>
              <w:right w:val="double" w:color="auto" w:sz="4" w:space="0"/>
            </w:tcBorders>
            <w:noWrap w:val="0"/>
            <w:vAlign w:val="center"/>
          </w:tcPr>
          <w:p w14:paraId="08529A29">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r>
      <w:tr w14:paraId="350C2F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852" w:type="dxa"/>
            <w:tcBorders>
              <w:top w:val="single" w:color="auto" w:sz="6" w:space="0"/>
              <w:left w:val="double" w:color="auto" w:sz="4" w:space="0"/>
              <w:bottom w:val="single" w:color="auto" w:sz="6" w:space="0"/>
              <w:right w:val="single" w:color="auto" w:sz="6" w:space="0"/>
            </w:tcBorders>
            <w:noWrap w:val="0"/>
            <w:vAlign w:val="center"/>
          </w:tcPr>
          <w:p w14:paraId="769FAD5A">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14:paraId="3FCC17E5">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2021" w:type="dxa"/>
            <w:tcBorders>
              <w:top w:val="single" w:color="auto" w:sz="6" w:space="0"/>
              <w:left w:val="single" w:color="auto" w:sz="6" w:space="0"/>
              <w:bottom w:val="single" w:color="auto" w:sz="6" w:space="0"/>
              <w:right w:val="single" w:color="auto" w:sz="6" w:space="0"/>
            </w:tcBorders>
            <w:noWrap w:val="0"/>
            <w:vAlign w:val="center"/>
          </w:tcPr>
          <w:p w14:paraId="3B87F143">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525" w:type="dxa"/>
            <w:tcBorders>
              <w:top w:val="single" w:color="auto" w:sz="6" w:space="0"/>
              <w:left w:val="single" w:color="auto" w:sz="6" w:space="0"/>
              <w:bottom w:val="single" w:color="auto" w:sz="6" w:space="0"/>
              <w:right w:val="double" w:color="auto" w:sz="4" w:space="0"/>
            </w:tcBorders>
            <w:noWrap w:val="0"/>
            <w:vAlign w:val="center"/>
          </w:tcPr>
          <w:p w14:paraId="7F445FEC">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645" w:type="dxa"/>
            <w:tcBorders>
              <w:top w:val="single" w:color="auto" w:sz="6" w:space="0"/>
              <w:left w:val="single" w:color="auto" w:sz="6" w:space="0"/>
              <w:bottom w:val="single" w:color="auto" w:sz="6" w:space="0"/>
              <w:right w:val="double" w:color="auto" w:sz="4" w:space="0"/>
            </w:tcBorders>
            <w:noWrap w:val="0"/>
            <w:vAlign w:val="center"/>
          </w:tcPr>
          <w:p w14:paraId="7BA44CB9">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637" w:type="dxa"/>
            <w:tcBorders>
              <w:top w:val="single" w:color="auto" w:sz="6" w:space="0"/>
              <w:left w:val="single" w:color="auto" w:sz="6" w:space="0"/>
              <w:bottom w:val="single" w:color="auto" w:sz="6" w:space="0"/>
              <w:right w:val="double" w:color="auto" w:sz="4" w:space="0"/>
            </w:tcBorders>
            <w:noWrap w:val="0"/>
            <w:vAlign w:val="center"/>
          </w:tcPr>
          <w:p w14:paraId="35A0C45B">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r>
      <w:tr w14:paraId="5E95A5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852" w:type="dxa"/>
            <w:tcBorders>
              <w:top w:val="single" w:color="auto" w:sz="6" w:space="0"/>
              <w:left w:val="double" w:color="auto" w:sz="4" w:space="0"/>
              <w:bottom w:val="single" w:color="auto" w:sz="6" w:space="0"/>
              <w:right w:val="single" w:color="auto" w:sz="6" w:space="0"/>
            </w:tcBorders>
            <w:noWrap w:val="0"/>
            <w:vAlign w:val="center"/>
          </w:tcPr>
          <w:p w14:paraId="5B7133C1">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14:paraId="423D7F86">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2021" w:type="dxa"/>
            <w:tcBorders>
              <w:top w:val="single" w:color="auto" w:sz="6" w:space="0"/>
              <w:left w:val="single" w:color="auto" w:sz="6" w:space="0"/>
              <w:bottom w:val="single" w:color="auto" w:sz="6" w:space="0"/>
              <w:right w:val="single" w:color="auto" w:sz="6" w:space="0"/>
            </w:tcBorders>
            <w:noWrap w:val="0"/>
            <w:vAlign w:val="center"/>
          </w:tcPr>
          <w:p w14:paraId="6A920321">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525" w:type="dxa"/>
            <w:tcBorders>
              <w:top w:val="single" w:color="auto" w:sz="6" w:space="0"/>
              <w:left w:val="single" w:color="auto" w:sz="6" w:space="0"/>
              <w:bottom w:val="single" w:color="auto" w:sz="6" w:space="0"/>
              <w:right w:val="double" w:color="auto" w:sz="4" w:space="0"/>
            </w:tcBorders>
            <w:noWrap w:val="0"/>
            <w:vAlign w:val="center"/>
          </w:tcPr>
          <w:p w14:paraId="19C19BAB">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645" w:type="dxa"/>
            <w:tcBorders>
              <w:top w:val="single" w:color="auto" w:sz="6" w:space="0"/>
              <w:left w:val="single" w:color="auto" w:sz="6" w:space="0"/>
              <w:bottom w:val="single" w:color="auto" w:sz="6" w:space="0"/>
              <w:right w:val="double" w:color="auto" w:sz="4" w:space="0"/>
            </w:tcBorders>
            <w:noWrap w:val="0"/>
            <w:vAlign w:val="center"/>
          </w:tcPr>
          <w:p w14:paraId="5CDC2FAF">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637" w:type="dxa"/>
            <w:tcBorders>
              <w:top w:val="single" w:color="auto" w:sz="6" w:space="0"/>
              <w:left w:val="single" w:color="auto" w:sz="6" w:space="0"/>
              <w:bottom w:val="single" w:color="auto" w:sz="6" w:space="0"/>
              <w:right w:val="double" w:color="auto" w:sz="4" w:space="0"/>
            </w:tcBorders>
            <w:noWrap w:val="0"/>
            <w:vAlign w:val="center"/>
          </w:tcPr>
          <w:p w14:paraId="127C333B">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r>
      <w:tr w14:paraId="4B076E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5" w:hRule="atLeast"/>
        </w:trPr>
        <w:tc>
          <w:tcPr>
            <w:tcW w:w="852" w:type="dxa"/>
            <w:tcBorders>
              <w:top w:val="single" w:color="auto" w:sz="6" w:space="0"/>
              <w:left w:val="double" w:color="auto" w:sz="4" w:space="0"/>
              <w:bottom w:val="single" w:color="auto" w:sz="6" w:space="0"/>
              <w:right w:val="single" w:color="auto" w:sz="6" w:space="0"/>
            </w:tcBorders>
            <w:noWrap w:val="0"/>
            <w:vAlign w:val="center"/>
          </w:tcPr>
          <w:p w14:paraId="7B92DDC3">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14:paraId="66BAF73C">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2021" w:type="dxa"/>
            <w:tcBorders>
              <w:top w:val="single" w:color="auto" w:sz="6" w:space="0"/>
              <w:left w:val="single" w:color="auto" w:sz="6" w:space="0"/>
              <w:bottom w:val="single" w:color="auto" w:sz="6" w:space="0"/>
              <w:right w:val="single" w:color="auto" w:sz="6" w:space="0"/>
            </w:tcBorders>
            <w:noWrap w:val="0"/>
            <w:vAlign w:val="center"/>
          </w:tcPr>
          <w:p w14:paraId="29D3FACB">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525" w:type="dxa"/>
            <w:tcBorders>
              <w:top w:val="single" w:color="auto" w:sz="6" w:space="0"/>
              <w:left w:val="single" w:color="auto" w:sz="6" w:space="0"/>
              <w:bottom w:val="single" w:color="auto" w:sz="6" w:space="0"/>
              <w:right w:val="double" w:color="auto" w:sz="4" w:space="0"/>
            </w:tcBorders>
            <w:noWrap w:val="0"/>
            <w:vAlign w:val="center"/>
          </w:tcPr>
          <w:p w14:paraId="15915E34">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645" w:type="dxa"/>
            <w:tcBorders>
              <w:top w:val="single" w:color="auto" w:sz="6" w:space="0"/>
              <w:left w:val="single" w:color="auto" w:sz="6" w:space="0"/>
              <w:bottom w:val="single" w:color="auto" w:sz="6" w:space="0"/>
              <w:right w:val="double" w:color="auto" w:sz="4" w:space="0"/>
            </w:tcBorders>
            <w:noWrap w:val="0"/>
            <w:vAlign w:val="center"/>
          </w:tcPr>
          <w:p w14:paraId="73B90DFE">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c>
          <w:tcPr>
            <w:tcW w:w="1637" w:type="dxa"/>
            <w:tcBorders>
              <w:top w:val="single" w:color="auto" w:sz="6" w:space="0"/>
              <w:left w:val="single" w:color="auto" w:sz="6" w:space="0"/>
              <w:bottom w:val="single" w:color="auto" w:sz="6" w:space="0"/>
              <w:right w:val="double" w:color="auto" w:sz="4" w:space="0"/>
            </w:tcBorders>
            <w:noWrap w:val="0"/>
            <w:vAlign w:val="center"/>
          </w:tcPr>
          <w:p w14:paraId="4AB80099">
            <w:pPr>
              <w:pStyle w:val="35"/>
              <w:pageBreakBefore w:val="0"/>
              <w:kinsoku/>
              <w:wordWrap/>
              <w:topLinePunct w:val="0"/>
              <w:bidi w:val="0"/>
              <w:spacing w:beforeAutospacing="0" w:afterAutospacing="0" w:line="460" w:lineRule="exact"/>
              <w:jc w:val="center"/>
              <w:rPr>
                <w:rFonts w:hint="eastAsia" w:ascii="宋体" w:hAnsi="宋体" w:eastAsia="宋体" w:cs="宋体"/>
                <w:color w:val="auto"/>
                <w:sz w:val="26"/>
                <w:szCs w:val="26"/>
                <w:highlight w:val="none"/>
                <w:lang w:val="en-US" w:eastAsia="zh-CN" w:bidi="ar-SA"/>
              </w:rPr>
            </w:pPr>
          </w:p>
        </w:tc>
      </w:tr>
    </w:tbl>
    <w:p w14:paraId="262F6E55">
      <w:pPr>
        <w:pageBreakBefore w:val="0"/>
        <w:kinsoku/>
        <w:wordWrap/>
        <w:topLinePunct w:val="0"/>
        <w:bidi w:val="0"/>
        <w:spacing w:beforeAutospacing="0" w:afterAutospacing="0" w:line="460" w:lineRule="exact"/>
        <w:rPr>
          <w:rFonts w:hint="eastAsia" w:ascii="宋体" w:hAnsi="宋体" w:eastAsia="宋体" w:cs="宋体"/>
          <w:color w:val="auto"/>
          <w:sz w:val="26"/>
          <w:szCs w:val="26"/>
          <w:highlight w:val="none"/>
          <w:lang w:val="en-US" w:eastAsia="zh-CN" w:bidi="ar-SA"/>
        </w:rPr>
      </w:pPr>
    </w:p>
    <w:p w14:paraId="537B773C">
      <w:pPr>
        <w:pageBreakBefore w:val="0"/>
        <w:kinsoku/>
        <w:wordWrap/>
        <w:topLinePunct w:val="0"/>
        <w:bidi w:val="0"/>
        <w:snapToGrid w:val="0"/>
        <w:spacing w:beforeAutospacing="0" w:afterAutospacing="0" w:line="460" w:lineRule="exact"/>
        <w:ind w:left="-2" w:leftChars="-1" w:right="-817" w:rightChars="-389"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2192BE9B">
      <w:pPr>
        <w:pageBreakBefore w:val="0"/>
        <w:kinsoku/>
        <w:wordWrap/>
        <w:topLinePunct w:val="0"/>
        <w:bidi w:val="0"/>
        <w:snapToGrid w:val="0"/>
        <w:spacing w:beforeAutospacing="0" w:afterAutospacing="0" w:line="460" w:lineRule="exact"/>
        <w:ind w:left="-23" w:leftChars="-11" w:right="-817" w:rightChars="-389"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p>
    <w:p w14:paraId="21F848A7">
      <w:pPr>
        <w:pageBreakBefore w:val="0"/>
        <w:kinsoku/>
        <w:wordWrap/>
        <w:topLinePunct w:val="0"/>
        <w:bidi w:val="0"/>
        <w:snapToGrid w:val="0"/>
        <w:spacing w:beforeAutospacing="0" w:afterAutospacing="0" w:line="460" w:lineRule="exact"/>
        <w:ind w:left="-23" w:leftChars="-11" w:right="-817" w:rightChars="-389" w:firstLine="600" w:firstLineChars="250"/>
        <w:rPr>
          <w:rFonts w:hint="eastAsia" w:ascii="宋体" w:hAnsi="宋体" w:eastAsia="宋体" w:cs="宋体"/>
          <w:color w:val="auto"/>
          <w:sz w:val="26"/>
          <w:szCs w:val="26"/>
          <w:highlight w:val="none"/>
          <w:lang w:val="en-US" w:eastAsia="zh-CN" w:bidi="ar-SA"/>
        </w:rPr>
      </w:pPr>
      <w:r>
        <w:rPr>
          <w:rFonts w:hint="eastAsia" w:ascii="宋体" w:hAnsi="宋体" w:eastAsia="宋体" w:cs="宋体"/>
          <w:color w:val="auto"/>
          <w:sz w:val="24"/>
          <w:szCs w:val="24"/>
          <w:highlight w:val="none"/>
        </w:rPr>
        <w:t>日期：    年   月   日</w:t>
      </w:r>
      <w:r>
        <w:rPr>
          <w:rFonts w:hint="eastAsia" w:ascii="宋体" w:hAnsi="宋体" w:eastAsia="宋体" w:cs="宋体"/>
          <w:color w:val="auto"/>
          <w:sz w:val="26"/>
          <w:szCs w:val="26"/>
          <w:highlight w:val="none"/>
          <w:lang w:val="en-US" w:eastAsia="zh-CN" w:bidi="ar-SA"/>
        </w:rPr>
        <w:t xml:space="preserve">              </w:t>
      </w:r>
    </w:p>
    <w:p w14:paraId="687A6E6E">
      <w:pPr>
        <w:pStyle w:val="3"/>
        <w:adjustRightInd w:val="0"/>
        <w:snapToGrid w:val="0"/>
        <w:spacing w:before="81"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以上业绩证明文件依据本项目评审标准的要求随表附后。</w:t>
      </w:r>
    </w:p>
    <w:p w14:paraId="765D43A0">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、供应商认为有必要提供的其他材料</w:t>
      </w:r>
    </w:p>
    <w:p w14:paraId="6223C260">
      <w:pPr>
        <w:pageBreakBefore w:val="0"/>
        <w:kinsoku/>
        <w:wordWrap/>
        <w:topLinePunct w:val="0"/>
        <w:bidi w:val="0"/>
        <w:spacing w:beforeAutospacing="0" w:afterAutospacing="0" w:line="460" w:lineRule="exact"/>
        <w:jc w:val="both"/>
        <w:rPr>
          <w:rFonts w:hint="eastAsia" w:ascii="宋体" w:hAnsi="宋体" w:eastAsia="宋体" w:cs="宋体"/>
          <w:b/>
          <w:bCs/>
          <w:color w:val="auto"/>
          <w:sz w:val="22"/>
          <w:szCs w:val="22"/>
          <w:highlight w:val="none"/>
        </w:rPr>
      </w:pPr>
    </w:p>
    <w:p w14:paraId="63F449D5">
      <w:pPr>
        <w:pageBreakBefore w:val="0"/>
        <w:kinsoku/>
        <w:wordWrap/>
        <w:topLinePunct w:val="0"/>
        <w:autoSpaceDE w:val="0"/>
        <w:autoSpaceDN w:val="0"/>
        <w:bidi w:val="0"/>
        <w:adjustRightInd w:val="0"/>
        <w:spacing w:beforeAutospacing="0" w:afterAutospacing="0" w:line="460" w:lineRule="exact"/>
        <w:ind w:left="210" w:leftChars="10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lang w:val="zh-CN" w:eastAsia="zh-CN"/>
        </w:rPr>
        <w:t>七、</w:t>
      </w:r>
      <w:r>
        <w:rPr>
          <w:rFonts w:hint="eastAsia" w:ascii="宋体" w:hAnsi="宋体" w:eastAsia="宋体" w:cs="宋体"/>
          <w:b/>
          <w:bCs/>
          <w:color w:val="auto"/>
          <w:sz w:val="32"/>
          <w:szCs w:val="32"/>
          <w:highlight w:val="none"/>
          <w:lang w:val="zh-CN"/>
        </w:rPr>
        <w:t>项目负责人简历</w:t>
      </w:r>
    </w:p>
    <w:p w14:paraId="09F03880">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项目负责人介绍应包括：姓名、性别、年龄、职称、学历、参加工作时间、从事项目管理年限、注册建造师（项目经理）证书编号以及其他内容。</w:t>
      </w:r>
    </w:p>
    <w:p w14:paraId="16425C7F">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2、项目负责人简历相关证明材料（注册建造师证书</w:t>
      </w:r>
      <w:r>
        <w:rPr>
          <w:rFonts w:hint="eastAsia" w:ascii="宋体" w:hAnsi="宋体" w:eastAsia="宋体" w:cs="宋体"/>
          <w:color w:val="auto"/>
          <w:sz w:val="24"/>
          <w:szCs w:val="24"/>
          <w:highlight w:val="none"/>
          <w:lang w:eastAsia="zh-CN"/>
        </w:rPr>
        <w:t>及安全生产考核合格证书</w:t>
      </w:r>
      <w:r>
        <w:rPr>
          <w:rFonts w:hint="eastAsia" w:ascii="宋体" w:hAnsi="宋体" w:eastAsia="宋体" w:cs="宋体"/>
          <w:color w:val="auto"/>
          <w:sz w:val="24"/>
          <w:szCs w:val="24"/>
          <w:highlight w:val="none"/>
        </w:rPr>
        <w:t>）</w:t>
      </w:r>
    </w:p>
    <w:p w14:paraId="1A54E583">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3、项目负责人自（</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至今</w:t>
      </w:r>
      <w:r>
        <w:rPr>
          <w:rFonts w:hint="eastAsia" w:ascii="宋体" w:hAnsi="宋体" w:eastAsia="宋体" w:cs="宋体"/>
          <w:color w:val="auto"/>
          <w:sz w:val="24"/>
          <w:szCs w:val="24"/>
          <w:highlight w:val="none"/>
        </w:rPr>
        <w:t>）竣工验收合格的类似工程经历应按下表提供。</w:t>
      </w:r>
    </w:p>
    <w:p w14:paraId="5DEB3288">
      <w:pPr>
        <w:pageBreakBefore w:val="0"/>
        <w:kinsoku/>
        <w:wordWrap/>
        <w:topLinePunct w:val="0"/>
        <w:bidi w:val="0"/>
        <w:spacing w:beforeAutospacing="0" w:afterAutospacing="0" w:line="460" w:lineRule="exact"/>
        <w:ind w:firstLine="482" w:firstLineChars="200"/>
        <w:rPr>
          <w:rFonts w:hint="eastAsia" w:ascii="宋体" w:hAnsi="宋体" w:eastAsia="宋体" w:cs="宋体"/>
          <w:b/>
          <w:bCs/>
          <w:color w:val="auto"/>
          <w:sz w:val="24"/>
          <w:highlight w:val="none"/>
        </w:rPr>
      </w:pPr>
    </w:p>
    <w:p w14:paraId="195D8E89">
      <w:pPr>
        <w:pageBreakBefore w:val="0"/>
        <w:kinsoku/>
        <w:wordWrap/>
        <w:topLinePunct w:val="0"/>
        <w:bidi w:val="0"/>
        <w:spacing w:beforeAutospacing="0" w:afterAutospacing="0"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项目负责人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1151"/>
        <w:gridCol w:w="1195"/>
        <w:gridCol w:w="1260"/>
        <w:gridCol w:w="1619"/>
        <w:gridCol w:w="1729"/>
      </w:tblGrid>
      <w:tr w14:paraId="128E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noWrap w:val="0"/>
            <w:vAlign w:val="top"/>
          </w:tcPr>
          <w:p w14:paraId="77F0EC8F">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17" w:type="dxa"/>
            <w:noWrap w:val="0"/>
            <w:vAlign w:val="top"/>
          </w:tcPr>
          <w:p w14:paraId="560A3FC4">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1218" w:type="dxa"/>
            <w:noWrap w:val="0"/>
            <w:vAlign w:val="top"/>
          </w:tcPr>
          <w:p w14:paraId="367B941C">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334" w:type="dxa"/>
            <w:noWrap w:val="0"/>
            <w:vAlign w:val="top"/>
          </w:tcPr>
          <w:p w14:paraId="54EA0E38">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1701" w:type="dxa"/>
            <w:noWrap w:val="0"/>
            <w:vAlign w:val="top"/>
          </w:tcPr>
          <w:p w14:paraId="62741FCC">
            <w:pPr>
              <w:pageBreakBefore w:val="0"/>
              <w:kinsoku/>
              <w:wordWrap/>
              <w:topLinePunct w:val="0"/>
              <w:bidi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1836" w:type="dxa"/>
            <w:noWrap w:val="0"/>
            <w:vAlign w:val="top"/>
          </w:tcPr>
          <w:p w14:paraId="04F50C5D">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r>
      <w:tr w14:paraId="0A76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noWrap w:val="0"/>
            <w:vAlign w:val="top"/>
          </w:tcPr>
          <w:p w14:paraId="112D14C5">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毕业院校</w:t>
            </w:r>
          </w:p>
        </w:tc>
        <w:tc>
          <w:tcPr>
            <w:tcW w:w="2435" w:type="dxa"/>
            <w:gridSpan w:val="2"/>
            <w:noWrap w:val="0"/>
            <w:vAlign w:val="top"/>
          </w:tcPr>
          <w:p w14:paraId="27829A88">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1334" w:type="dxa"/>
            <w:noWrap w:val="0"/>
            <w:vAlign w:val="top"/>
          </w:tcPr>
          <w:p w14:paraId="19733DE6">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1701" w:type="dxa"/>
            <w:noWrap w:val="0"/>
            <w:vAlign w:val="top"/>
          </w:tcPr>
          <w:p w14:paraId="56EE93BC">
            <w:pPr>
              <w:pageBreakBefore w:val="0"/>
              <w:kinsoku/>
              <w:wordWrap/>
              <w:topLinePunct w:val="0"/>
              <w:bidi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836" w:type="dxa"/>
            <w:noWrap w:val="0"/>
            <w:vAlign w:val="top"/>
          </w:tcPr>
          <w:p w14:paraId="4534C435">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r>
      <w:tr w14:paraId="2FED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noWrap w:val="0"/>
            <w:vAlign w:val="top"/>
          </w:tcPr>
          <w:p w14:paraId="1A9908A3">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学位</w:t>
            </w:r>
          </w:p>
        </w:tc>
        <w:tc>
          <w:tcPr>
            <w:tcW w:w="2435" w:type="dxa"/>
            <w:gridSpan w:val="2"/>
            <w:noWrap w:val="0"/>
            <w:vAlign w:val="top"/>
          </w:tcPr>
          <w:p w14:paraId="34AFABEC">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1334" w:type="dxa"/>
            <w:noWrap w:val="0"/>
            <w:vAlign w:val="top"/>
          </w:tcPr>
          <w:p w14:paraId="6908F123">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1701" w:type="dxa"/>
            <w:noWrap w:val="0"/>
            <w:vAlign w:val="top"/>
          </w:tcPr>
          <w:p w14:paraId="68DB80D7">
            <w:pPr>
              <w:pageBreakBefore w:val="0"/>
              <w:kinsoku/>
              <w:wordWrap/>
              <w:topLinePunct w:val="0"/>
              <w:bidi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836" w:type="dxa"/>
            <w:noWrap w:val="0"/>
            <w:vAlign w:val="top"/>
          </w:tcPr>
          <w:p w14:paraId="22D162BB">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r>
      <w:tr w14:paraId="180F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noWrap w:val="0"/>
            <w:vAlign w:val="top"/>
          </w:tcPr>
          <w:p w14:paraId="0278B8E5">
            <w:pPr>
              <w:pageBreakBefore w:val="0"/>
              <w:kinsoku/>
              <w:wordWrap/>
              <w:topLinePunct w:val="0"/>
              <w:bidi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现所在机构或部门</w:t>
            </w:r>
          </w:p>
        </w:tc>
        <w:tc>
          <w:tcPr>
            <w:tcW w:w="2435" w:type="dxa"/>
            <w:gridSpan w:val="2"/>
            <w:noWrap w:val="0"/>
            <w:vAlign w:val="top"/>
          </w:tcPr>
          <w:p w14:paraId="75015A0A">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1334" w:type="dxa"/>
            <w:noWrap w:val="0"/>
            <w:vAlign w:val="top"/>
          </w:tcPr>
          <w:p w14:paraId="76E4D0FB">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1701" w:type="dxa"/>
            <w:noWrap w:val="0"/>
            <w:vAlign w:val="top"/>
          </w:tcPr>
          <w:p w14:paraId="7EAA2A70">
            <w:pPr>
              <w:pageBreakBefore w:val="0"/>
              <w:kinsoku/>
              <w:wordWrap/>
              <w:topLinePunct w:val="0"/>
              <w:bidi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服务时间</w:t>
            </w:r>
          </w:p>
        </w:tc>
        <w:tc>
          <w:tcPr>
            <w:tcW w:w="1836" w:type="dxa"/>
            <w:noWrap w:val="0"/>
            <w:vAlign w:val="top"/>
          </w:tcPr>
          <w:p w14:paraId="65440798">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r>
      <w:tr w14:paraId="3534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noWrap w:val="0"/>
            <w:vAlign w:val="top"/>
          </w:tcPr>
          <w:p w14:paraId="1552F789">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主要经历</w:t>
            </w:r>
          </w:p>
        </w:tc>
        <w:tc>
          <w:tcPr>
            <w:tcW w:w="7306" w:type="dxa"/>
            <w:gridSpan w:val="5"/>
            <w:noWrap w:val="0"/>
            <w:vAlign w:val="top"/>
          </w:tcPr>
          <w:p w14:paraId="67C9B73E">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r>
    </w:tbl>
    <w:p w14:paraId="6E00EA52">
      <w:pPr>
        <w:pageBreakBefore w:val="0"/>
        <w:kinsoku/>
        <w:wordWrap/>
        <w:topLinePunct w:val="0"/>
        <w:autoSpaceDE w:val="0"/>
        <w:autoSpaceDN w:val="0"/>
        <w:bidi w:val="0"/>
        <w:adjustRightInd w:val="0"/>
        <w:spacing w:beforeAutospacing="0" w:afterAutospacing="0" w:line="460" w:lineRule="exact"/>
        <w:jc w:val="center"/>
        <w:rPr>
          <w:rFonts w:hint="eastAsia" w:ascii="宋体" w:hAnsi="宋体" w:eastAsia="宋体" w:cs="宋体"/>
          <w:color w:val="auto"/>
          <w:sz w:val="24"/>
          <w:highlight w:val="none"/>
          <w:lang w:eastAsia="zh-CN"/>
        </w:rPr>
      </w:pPr>
    </w:p>
    <w:p w14:paraId="303FD112">
      <w:pPr>
        <w:pStyle w:val="11"/>
        <w:numPr>
          <w:ilvl w:val="0"/>
          <w:numId w:val="0"/>
        </w:numP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（2）注：项目负责人的相应证明材料按评审标准随表附后。</w:t>
      </w:r>
    </w:p>
    <w:p w14:paraId="657A6371">
      <w:pPr>
        <w:pageBreakBefore w:val="0"/>
        <w:kinsoku/>
        <w:wordWrap/>
        <w:topLinePunct w:val="0"/>
        <w:autoSpaceDE w:val="0"/>
        <w:autoSpaceDN w:val="0"/>
        <w:bidi w:val="0"/>
        <w:adjustRightInd w:val="0"/>
        <w:spacing w:beforeAutospacing="0" w:afterAutospacing="0" w:line="460" w:lineRule="exact"/>
        <w:jc w:val="left"/>
        <w:rPr>
          <w:rFonts w:hint="eastAsia" w:ascii="宋体" w:hAnsi="宋体" w:eastAsia="宋体" w:cs="宋体"/>
          <w:b/>
          <w:bCs/>
          <w:color w:val="auto"/>
          <w:sz w:val="24"/>
          <w:szCs w:val="24"/>
          <w:highlight w:val="none"/>
          <w:lang w:val="zh-CN"/>
        </w:rPr>
      </w:pPr>
    </w:p>
    <w:p w14:paraId="4C789397">
      <w:pPr>
        <w:pageBreakBefore w:val="0"/>
        <w:kinsoku/>
        <w:wordWrap/>
        <w:topLinePunct w:val="0"/>
        <w:bidi w:val="0"/>
        <w:spacing w:beforeAutospacing="0" w:afterAutospacing="0" w:line="460" w:lineRule="exact"/>
        <w:ind w:firstLine="482" w:firstLineChars="200"/>
        <w:rPr>
          <w:rFonts w:hint="eastAsia" w:ascii="宋体" w:hAnsi="宋体" w:eastAsia="宋体" w:cs="宋体"/>
          <w:b/>
          <w:bCs/>
          <w:color w:val="auto"/>
          <w:sz w:val="24"/>
          <w:highlight w:val="none"/>
          <w:lang w:val="en-US" w:eastAsia="zh-CN"/>
        </w:rPr>
      </w:pPr>
    </w:p>
    <w:p w14:paraId="47710FC6">
      <w:pPr>
        <w:pStyle w:val="34"/>
        <w:rPr>
          <w:rFonts w:hint="eastAsia" w:ascii="宋体" w:hAnsi="宋体" w:eastAsia="宋体" w:cs="宋体"/>
          <w:b/>
          <w:bCs/>
          <w:color w:val="auto"/>
          <w:sz w:val="24"/>
          <w:highlight w:val="none"/>
        </w:rPr>
      </w:pPr>
    </w:p>
    <w:p w14:paraId="21749B3D">
      <w:pPr>
        <w:pStyle w:val="34"/>
        <w:rPr>
          <w:rFonts w:hint="eastAsia" w:ascii="宋体" w:hAnsi="宋体" w:eastAsia="宋体" w:cs="宋体"/>
          <w:b/>
          <w:bCs/>
          <w:color w:val="auto"/>
          <w:sz w:val="24"/>
          <w:highlight w:val="none"/>
        </w:rPr>
      </w:pPr>
    </w:p>
    <w:p w14:paraId="703F297D">
      <w:pPr>
        <w:pStyle w:val="34"/>
        <w:rPr>
          <w:rFonts w:hint="eastAsia" w:ascii="宋体" w:hAnsi="宋体" w:eastAsia="宋体" w:cs="宋体"/>
          <w:b/>
          <w:bCs/>
          <w:color w:val="auto"/>
          <w:sz w:val="24"/>
          <w:highlight w:val="none"/>
        </w:rPr>
      </w:pPr>
    </w:p>
    <w:p w14:paraId="6850C500">
      <w:pPr>
        <w:pStyle w:val="34"/>
        <w:rPr>
          <w:rFonts w:hint="eastAsia" w:ascii="宋体" w:hAnsi="宋体" w:eastAsia="宋体" w:cs="宋体"/>
          <w:b/>
          <w:bCs/>
          <w:color w:val="auto"/>
          <w:sz w:val="24"/>
          <w:highlight w:val="none"/>
        </w:rPr>
      </w:pPr>
    </w:p>
    <w:p w14:paraId="0EDE4D61">
      <w:pPr>
        <w:pStyle w:val="34"/>
        <w:rPr>
          <w:rFonts w:hint="eastAsia" w:ascii="宋体" w:hAnsi="宋体" w:eastAsia="宋体" w:cs="宋体"/>
          <w:b/>
          <w:bCs/>
          <w:color w:val="auto"/>
          <w:sz w:val="24"/>
          <w:highlight w:val="none"/>
        </w:rPr>
      </w:pPr>
    </w:p>
    <w:p w14:paraId="7B66254D">
      <w:pPr>
        <w:pStyle w:val="34"/>
        <w:rPr>
          <w:rFonts w:hint="eastAsia" w:ascii="宋体" w:hAnsi="宋体" w:eastAsia="宋体" w:cs="宋体"/>
          <w:b/>
          <w:bCs/>
          <w:color w:val="auto"/>
          <w:sz w:val="24"/>
          <w:highlight w:val="none"/>
        </w:rPr>
      </w:pPr>
    </w:p>
    <w:p w14:paraId="689C5432">
      <w:pPr>
        <w:pStyle w:val="34"/>
        <w:rPr>
          <w:rFonts w:hint="eastAsia" w:ascii="宋体" w:hAnsi="宋体" w:eastAsia="宋体" w:cs="宋体"/>
          <w:b/>
          <w:bCs/>
          <w:color w:val="auto"/>
          <w:sz w:val="24"/>
          <w:highlight w:val="none"/>
        </w:rPr>
      </w:pPr>
    </w:p>
    <w:p w14:paraId="707AB461">
      <w:pPr>
        <w:pStyle w:val="34"/>
        <w:rPr>
          <w:rFonts w:hint="eastAsia" w:ascii="宋体" w:hAnsi="宋体" w:eastAsia="宋体" w:cs="宋体"/>
          <w:b/>
          <w:bCs/>
          <w:color w:val="auto"/>
          <w:sz w:val="24"/>
          <w:highlight w:val="none"/>
        </w:rPr>
      </w:pPr>
    </w:p>
    <w:p w14:paraId="5882C32D">
      <w:pPr>
        <w:pStyle w:val="34"/>
        <w:rPr>
          <w:rFonts w:hint="eastAsia" w:ascii="宋体" w:hAnsi="宋体" w:eastAsia="宋体" w:cs="宋体"/>
          <w:b/>
          <w:bCs/>
          <w:color w:val="auto"/>
          <w:sz w:val="24"/>
          <w:highlight w:val="none"/>
        </w:rPr>
      </w:pPr>
    </w:p>
    <w:p w14:paraId="23EFCD15">
      <w:pPr>
        <w:pStyle w:val="34"/>
        <w:rPr>
          <w:rFonts w:hint="eastAsia" w:ascii="宋体" w:hAnsi="宋体" w:eastAsia="宋体" w:cs="宋体"/>
          <w:b/>
          <w:bCs/>
          <w:color w:val="auto"/>
          <w:sz w:val="24"/>
          <w:highlight w:val="none"/>
        </w:rPr>
      </w:pPr>
    </w:p>
    <w:p w14:paraId="74AA182A">
      <w:pPr>
        <w:pStyle w:val="34"/>
        <w:rPr>
          <w:rFonts w:hint="eastAsia" w:ascii="宋体" w:hAnsi="宋体" w:eastAsia="宋体" w:cs="宋体"/>
          <w:b/>
          <w:bCs/>
          <w:color w:val="auto"/>
          <w:sz w:val="24"/>
          <w:highlight w:val="none"/>
        </w:rPr>
      </w:pPr>
    </w:p>
    <w:p w14:paraId="6A73A312">
      <w:pPr>
        <w:pStyle w:val="34"/>
        <w:rPr>
          <w:rFonts w:hint="eastAsia" w:ascii="宋体" w:hAnsi="宋体" w:eastAsia="宋体" w:cs="宋体"/>
          <w:b/>
          <w:bCs/>
          <w:color w:val="auto"/>
          <w:sz w:val="24"/>
          <w:highlight w:val="none"/>
        </w:rPr>
      </w:pPr>
    </w:p>
    <w:p w14:paraId="1B0BC928">
      <w:pPr>
        <w:pStyle w:val="34"/>
        <w:rPr>
          <w:rFonts w:hint="eastAsia" w:ascii="宋体" w:hAnsi="宋体" w:eastAsia="宋体" w:cs="宋体"/>
          <w:b/>
          <w:bCs/>
          <w:color w:val="auto"/>
          <w:sz w:val="24"/>
          <w:highlight w:val="none"/>
        </w:rPr>
      </w:pPr>
    </w:p>
    <w:p w14:paraId="4C354665">
      <w:pPr>
        <w:pStyle w:val="34"/>
        <w:rPr>
          <w:rFonts w:hint="eastAsia" w:ascii="宋体" w:hAnsi="宋体" w:eastAsia="宋体" w:cs="宋体"/>
          <w:b/>
          <w:bCs/>
          <w:color w:val="auto"/>
          <w:sz w:val="24"/>
          <w:highlight w:val="none"/>
        </w:rPr>
      </w:pPr>
    </w:p>
    <w:p w14:paraId="74750BD7">
      <w:pPr>
        <w:pStyle w:val="34"/>
        <w:rPr>
          <w:rFonts w:hint="eastAsia" w:ascii="宋体" w:hAnsi="宋体" w:eastAsia="宋体" w:cs="宋体"/>
          <w:b/>
          <w:bCs/>
          <w:color w:val="auto"/>
          <w:sz w:val="24"/>
          <w:highlight w:val="none"/>
        </w:rPr>
      </w:pPr>
    </w:p>
    <w:p w14:paraId="175CD3EE">
      <w:pPr>
        <w:pStyle w:val="34"/>
        <w:rPr>
          <w:rFonts w:hint="eastAsia" w:ascii="宋体" w:hAnsi="宋体" w:eastAsia="宋体" w:cs="宋体"/>
          <w:b/>
          <w:bCs/>
          <w:color w:val="auto"/>
          <w:sz w:val="24"/>
          <w:highlight w:val="none"/>
        </w:rPr>
      </w:pPr>
    </w:p>
    <w:p w14:paraId="70A026E2">
      <w:pPr>
        <w:pStyle w:val="34"/>
        <w:rPr>
          <w:rFonts w:hint="eastAsia" w:ascii="宋体" w:hAnsi="宋体" w:eastAsia="宋体" w:cs="宋体"/>
          <w:b/>
          <w:bCs/>
          <w:color w:val="auto"/>
          <w:sz w:val="24"/>
          <w:highlight w:val="none"/>
        </w:rPr>
      </w:pPr>
    </w:p>
    <w:p w14:paraId="5A7ECEBD">
      <w:pPr>
        <w:pStyle w:val="34"/>
        <w:rPr>
          <w:rFonts w:hint="eastAsia" w:ascii="宋体" w:hAnsi="宋体" w:eastAsia="宋体" w:cs="宋体"/>
          <w:b/>
          <w:bCs/>
          <w:color w:val="auto"/>
          <w:sz w:val="24"/>
          <w:highlight w:val="none"/>
        </w:rPr>
      </w:pPr>
    </w:p>
    <w:p w14:paraId="745CA0C8">
      <w:pPr>
        <w:pStyle w:val="34"/>
        <w:rPr>
          <w:rFonts w:hint="eastAsia" w:ascii="宋体" w:hAnsi="宋体" w:eastAsia="宋体" w:cs="宋体"/>
          <w:b/>
          <w:bCs/>
          <w:color w:val="auto"/>
          <w:sz w:val="24"/>
          <w:highlight w:val="none"/>
        </w:rPr>
      </w:pPr>
    </w:p>
    <w:p w14:paraId="28030788">
      <w:pPr>
        <w:pageBreakBefore w:val="0"/>
        <w:numPr>
          <w:ilvl w:val="0"/>
          <w:numId w:val="0"/>
        </w:numPr>
        <w:kinsoku/>
        <w:wordWrap/>
        <w:topLinePunct w:val="0"/>
        <w:autoSpaceDE w:val="0"/>
        <w:autoSpaceDN w:val="0"/>
        <w:bidi w:val="0"/>
        <w:adjustRightInd w:val="0"/>
        <w:spacing w:beforeAutospacing="0" w:afterAutospacing="0" w:line="460" w:lineRule="exact"/>
        <w:jc w:val="center"/>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32"/>
          <w:szCs w:val="32"/>
          <w:highlight w:val="none"/>
          <w:lang w:val="zh-CN" w:eastAsia="zh-CN" w:bidi="ar-SA"/>
        </w:rPr>
        <w:t>八、拟投入本项目的主要成员表</w:t>
      </w:r>
    </w:p>
    <w:p w14:paraId="596E6152">
      <w:pPr>
        <w:pageBreakBefore w:val="0"/>
        <w:numPr>
          <w:ilvl w:val="0"/>
          <w:numId w:val="0"/>
        </w:numPr>
        <w:kinsoku/>
        <w:wordWrap/>
        <w:topLinePunct w:val="0"/>
        <w:autoSpaceDE w:val="0"/>
        <w:autoSpaceDN w:val="0"/>
        <w:bidi w:val="0"/>
        <w:adjustRightInd w:val="0"/>
        <w:spacing w:beforeAutospacing="0" w:afterAutospacing="0" w:line="460" w:lineRule="exact"/>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val="zh-CN"/>
        </w:rPr>
        <w:t>）</w:t>
      </w:r>
      <w:r>
        <w:rPr>
          <w:rFonts w:hint="eastAsia" w:ascii="宋体" w:hAnsi="宋体" w:eastAsia="宋体" w:cs="宋体"/>
          <w:color w:val="auto"/>
          <w:sz w:val="24"/>
          <w:highlight w:val="none"/>
          <w:lang w:val="zh-CN"/>
        </w:rPr>
        <w:t>拟派配备的其他关键人员。</w:t>
      </w:r>
    </w:p>
    <w:p w14:paraId="45F9A885">
      <w:pPr>
        <w:pageBreakBefore w:val="0"/>
        <w:numPr>
          <w:ilvl w:val="0"/>
          <w:numId w:val="0"/>
        </w:numPr>
        <w:kinsoku/>
        <w:wordWrap/>
        <w:topLinePunct w:val="0"/>
        <w:autoSpaceDE w:val="0"/>
        <w:autoSpaceDN w:val="0"/>
        <w:bidi w:val="0"/>
        <w:adjustRightInd w:val="0"/>
        <w:spacing w:beforeAutospacing="0" w:afterAutospacing="0"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val="zh-CN"/>
        </w:rPr>
        <w:t>）</w:t>
      </w:r>
      <w:r>
        <w:rPr>
          <w:rFonts w:hint="eastAsia" w:ascii="宋体" w:hAnsi="宋体" w:eastAsia="宋体" w:cs="宋体"/>
          <w:color w:val="auto"/>
          <w:sz w:val="24"/>
          <w:highlight w:val="none"/>
          <w:lang w:val="zh-CN"/>
        </w:rPr>
        <w:t>上述人员简历介绍应包括姓名、职称等基本信息。</w:t>
      </w:r>
    </w:p>
    <w:p w14:paraId="270A216C">
      <w:pPr>
        <w:pageBreakBefore w:val="0"/>
        <w:numPr>
          <w:ilvl w:val="0"/>
          <w:numId w:val="0"/>
        </w:numPr>
        <w:kinsoku/>
        <w:wordWrap/>
        <w:topLinePunct w:val="0"/>
        <w:autoSpaceDE w:val="0"/>
        <w:autoSpaceDN w:val="0"/>
        <w:bidi w:val="0"/>
        <w:adjustRightInd w:val="0"/>
        <w:spacing w:beforeAutospacing="0" w:afterAutospacing="0"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val="zh-CN"/>
        </w:rPr>
        <w:t>）</w:t>
      </w:r>
      <w:r>
        <w:rPr>
          <w:rFonts w:hint="eastAsia" w:ascii="宋体" w:hAnsi="宋体" w:eastAsia="宋体" w:cs="宋体"/>
          <w:color w:val="auto"/>
          <w:sz w:val="24"/>
          <w:highlight w:val="none"/>
          <w:lang w:val="zh-CN"/>
        </w:rPr>
        <w:t>拟派团队人员简历中应附相应资格证书复印件。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342"/>
        <w:gridCol w:w="820"/>
        <w:gridCol w:w="2029"/>
        <w:gridCol w:w="2029"/>
        <w:gridCol w:w="2123"/>
      </w:tblGrid>
      <w:tr w14:paraId="7BE0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469FDE5">
            <w:pPr>
              <w:pageBreakBefore w:val="0"/>
              <w:kinsoku/>
              <w:wordWrap/>
              <w:topLinePunct w:val="0"/>
              <w:bidi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17" w:type="dxa"/>
            <w:noWrap w:val="0"/>
            <w:vAlign w:val="top"/>
          </w:tcPr>
          <w:p w14:paraId="537B0261">
            <w:pPr>
              <w:pageBreakBefore w:val="0"/>
              <w:kinsoku/>
              <w:wordWrap/>
              <w:topLinePunct w:val="0"/>
              <w:bidi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51" w:type="dxa"/>
            <w:noWrap w:val="0"/>
            <w:vAlign w:val="top"/>
          </w:tcPr>
          <w:p w14:paraId="12EDAF32">
            <w:pPr>
              <w:pageBreakBefore w:val="0"/>
              <w:kinsoku/>
              <w:wordWrap/>
              <w:topLinePunct w:val="0"/>
              <w:bidi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2126" w:type="dxa"/>
            <w:noWrap w:val="0"/>
            <w:vAlign w:val="top"/>
          </w:tcPr>
          <w:p w14:paraId="1208D317">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2126" w:type="dxa"/>
            <w:noWrap w:val="0"/>
            <w:vAlign w:val="top"/>
          </w:tcPr>
          <w:p w14:paraId="2F8E5389">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岗位</w:t>
            </w:r>
          </w:p>
        </w:tc>
        <w:tc>
          <w:tcPr>
            <w:tcW w:w="2262" w:type="dxa"/>
            <w:noWrap w:val="0"/>
            <w:vAlign w:val="top"/>
          </w:tcPr>
          <w:p w14:paraId="0890EE59">
            <w:pPr>
              <w:pageBreakBefore w:val="0"/>
              <w:kinsoku/>
              <w:wordWrap/>
              <w:topLinePunct w:val="0"/>
              <w:bidi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从事该岗位时间</w:t>
            </w:r>
          </w:p>
        </w:tc>
      </w:tr>
      <w:tr w14:paraId="4A3D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5DB3771">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noWrap w:val="0"/>
            <w:vAlign w:val="top"/>
          </w:tcPr>
          <w:p w14:paraId="01F2B431">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851" w:type="dxa"/>
            <w:noWrap w:val="0"/>
            <w:vAlign w:val="top"/>
          </w:tcPr>
          <w:p w14:paraId="77B56BE9">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2126" w:type="dxa"/>
            <w:noWrap w:val="0"/>
            <w:vAlign w:val="top"/>
          </w:tcPr>
          <w:p w14:paraId="21C21E59">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2126" w:type="dxa"/>
            <w:noWrap w:val="0"/>
            <w:vAlign w:val="top"/>
          </w:tcPr>
          <w:p w14:paraId="0736AF53">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2262" w:type="dxa"/>
            <w:noWrap w:val="0"/>
            <w:vAlign w:val="top"/>
          </w:tcPr>
          <w:p w14:paraId="600AD770">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r>
      <w:tr w14:paraId="04C4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AA2C783">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noWrap w:val="0"/>
            <w:vAlign w:val="top"/>
          </w:tcPr>
          <w:p w14:paraId="06C3BE82">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851" w:type="dxa"/>
            <w:noWrap w:val="0"/>
            <w:vAlign w:val="top"/>
          </w:tcPr>
          <w:p w14:paraId="1BBA5ADD">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2126" w:type="dxa"/>
            <w:noWrap w:val="0"/>
            <w:vAlign w:val="top"/>
          </w:tcPr>
          <w:p w14:paraId="39888575">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2126" w:type="dxa"/>
            <w:noWrap w:val="0"/>
            <w:vAlign w:val="top"/>
          </w:tcPr>
          <w:p w14:paraId="119F28E2">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2262" w:type="dxa"/>
            <w:noWrap w:val="0"/>
            <w:vAlign w:val="top"/>
          </w:tcPr>
          <w:p w14:paraId="78101228">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r>
      <w:tr w14:paraId="488D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B1DB5A1">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17" w:type="dxa"/>
            <w:noWrap w:val="0"/>
            <w:vAlign w:val="top"/>
          </w:tcPr>
          <w:p w14:paraId="3D3038FD">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851" w:type="dxa"/>
            <w:noWrap w:val="0"/>
            <w:vAlign w:val="top"/>
          </w:tcPr>
          <w:p w14:paraId="16260437">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2126" w:type="dxa"/>
            <w:noWrap w:val="0"/>
            <w:vAlign w:val="top"/>
          </w:tcPr>
          <w:p w14:paraId="2B43BC90">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2126" w:type="dxa"/>
            <w:noWrap w:val="0"/>
            <w:vAlign w:val="top"/>
          </w:tcPr>
          <w:p w14:paraId="16941A0F">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2262" w:type="dxa"/>
            <w:noWrap w:val="0"/>
            <w:vAlign w:val="top"/>
          </w:tcPr>
          <w:p w14:paraId="68F440D4">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r>
      <w:tr w14:paraId="111A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9A5F9DC">
            <w:pPr>
              <w:pageBreakBefore w:val="0"/>
              <w:kinsoku/>
              <w:wordWrap/>
              <w:topLinePunct w:val="0"/>
              <w:bidi w:val="0"/>
              <w:spacing w:beforeAutospacing="0" w:afterAutospacing="0"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noWrap w:val="0"/>
            <w:vAlign w:val="top"/>
          </w:tcPr>
          <w:p w14:paraId="7F707DEF">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851" w:type="dxa"/>
            <w:noWrap w:val="0"/>
            <w:vAlign w:val="top"/>
          </w:tcPr>
          <w:p w14:paraId="2678C1DB">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2126" w:type="dxa"/>
            <w:noWrap w:val="0"/>
            <w:vAlign w:val="top"/>
          </w:tcPr>
          <w:p w14:paraId="76C96E5C">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2126" w:type="dxa"/>
            <w:noWrap w:val="0"/>
            <w:vAlign w:val="top"/>
          </w:tcPr>
          <w:p w14:paraId="08398525">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c>
          <w:tcPr>
            <w:tcW w:w="2262" w:type="dxa"/>
            <w:noWrap w:val="0"/>
            <w:vAlign w:val="top"/>
          </w:tcPr>
          <w:p w14:paraId="3B563EE4">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p>
        </w:tc>
      </w:tr>
    </w:tbl>
    <w:p w14:paraId="219976C2">
      <w:pPr>
        <w:pStyle w:val="10"/>
        <w:pageBreakBefore w:val="0"/>
        <w:kinsoku/>
        <w:wordWrap/>
        <w:topLinePunct w:val="0"/>
        <w:bidi w:val="0"/>
        <w:spacing w:before="0" w:beforeAutospacing="0" w:afterAutospacing="0" w:line="460" w:lineRule="exact"/>
        <w:rPr>
          <w:rFonts w:hint="eastAsia" w:ascii="宋体" w:hAnsi="宋体" w:eastAsia="宋体" w:cs="宋体"/>
          <w:color w:val="auto"/>
          <w:kern w:val="2"/>
          <w:sz w:val="24"/>
          <w:highlight w:val="none"/>
          <w:lang w:val="zh-CN" w:eastAsia="zh-CN" w:bidi="ar-SA"/>
        </w:rPr>
      </w:pPr>
    </w:p>
    <w:p w14:paraId="167FBDC0">
      <w:pPr>
        <w:pStyle w:val="11"/>
        <w:numPr>
          <w:ilvl w:val="0"/>
          <w:numId w:val="0"/>
        </w:numPr>
        <w:ind w:firstLine="720" w:firstLineChars="300"/>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备注：拟派人员的相应证明材料按评审标准随表附后。</w:t>
      </w:r>
    </w:p>
    <w:p w14:paraId="3F4F7B53">
      <w:pPr>
        <w:pageBreakBefore w:val="0"/>
        <w:kinsoku/>
        <w:wordWrap/>
        <w:topLinePunct w:val="0"/>
        <w:bidi w:val="0"/>
        <w:snapToGrid w:val="0"/>
        <w:spacing w:beforeAutospacing="0" w:afterAutospacing="0" w:line="460" w:lineRule="exact"/>
        <w:ind w:left="-2" w:leftChars="-1" w:right="-817" w:rightChars="-389" w:firstLine="600" w:firstLineChars="250"/>
        <w:rPr>
          <w:rFonts w:hint="eastAsia" w:ascii="宋体" w:hAnsi="宋体" w:eastAsia="宋体" w:cs="宋体"/>
          <w:color w:val="auto"/>
          <w:sz w:val="24"/>
          <w:szCs w:val="24"/>
          <w:highlight w:val="none"/>
        </w:rPr>
      </w:pPr>
    </w:p>
    <w:p w14:paraId="4FF9FCD8">
      <w:pPr>
        <w:pageBreakBefore w:val="0"/>
        <w:kinsoku/>
        <w:wordWrap/>
        <w:topLinePunct w:val="0"/>
        <w:bidi w:val="0"/>
        <w:snapToGrid w:val="0"/>
        <w:spacing w:beforeAutospacing="0" w:afterAutospacing="0" w:line="460" w:lineRule="exact"/>
        <w:ind w:left="-2" w:leftChars="-1" w:right="-817" w:rightChars="-389"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49BC3DB7">
      <w:pPr>
        <w:pageBreakBefore w:val="0"/>
        <w:kinsoku/>
        <w:wordWrap/>
        <w:topLinePunct w:val="0"/>
        <w:bidi w:val="0"/>
        <w:snapToGrid w:val="0"/>
        <w:spacing w:beforeAutospacing="0" w:afterAutospacing="0" w:line="460" w:lineRule="exact"/>
        <w:ind w:left="-23" w:leftChars="-11" w:right="-817" w:rightChars="-389" w:firstLine="600" w:firstLineChars="250"/>
        <w:rPr>
          <w:rFonts w:hint="eastAsia" w:ascii="宋体" w:hAnsi="宋体" w:eastAsia="宋体" w:cs="宋体"/>
          <w:color w:val="auto"/>
          <w:sz w:val="24"/>
          <w:szCs w:val="24"/>
          <w:highlight w:val="none"/>
        </w:rPr>
      </w:pPr>
    </w:p>
    <w:p w14:paraId="37AA66CB">
      <w:pPr>
        <w:pageBreakBefore w:val="0"/>
        <w:kinsoku/>
        <w:wordWrap/>
        <w:topLinePunct w:val="0"/>
        <w:bidi w:val="0"/>
        <w:snapToGrid w:val="0"/>
        <w:spacing w:beforeAutospacing="0" w:afterAutospacing="0" w:line="460" w:lineRule="exact"/>
        <w:ind w:left="-23" w:leftChars="-11" w:right="-817" w:rightChars="-389"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p>
    <w:p w14:paraId="11CE7999">
      <w:pPr>
        <w:pageBreakBefore w:val="0"/>
        <w:kinsoku/>
        <w:wordWrap/>
        <w:topLinePunct w:val="0"/>
        <w:autoSpaceDE w:val="0"/>
        <w:autoSpaceDN w:val="0"/>
        <w:bidi w:val="0"/>
        <w:adjustRightInd w:val="0"/>
        <w:spacing w:beforeAutospacing="0" w:afterAutospacing="0" w:line="460" w:lineRule="exact"/>
        <w:ind w:firstLine="480" w:firstLineChars="200"/>
        <w:jc w:val="center"/>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rPr>
        <w:t>日期：    年   月   日</w:t>
      </w:r>
      <w:r>
        <w:rPr>
          <w:rFonts w:hint="eastAsia" w:ascii="宋体" w:hAnsi="宋体" w:eastAsia="宋体" w:cs="宋体"/>
          <w:color w:val="auto"/>
          <w:sz w:val="26"/>
          <w:szCs w:val="26"/>
          <w:highlight w:val="none"/>
          <w:lang w:val="en-US" w:eastAsia="zh-CN" w:bidi="ar-SA"/>
        </w:rPr>
        <w:t xml:space="preserve">   </w:t>
      </w:r>
      <w:r>
        <w:rPr>
          <w:rFonts w:hint="eastAsia" w:ascii="宋体" w:hAnsi="宋体" w:eastAsia="宋体" w:cs="宋体"/>
          <w:color w:val="auto"/>
          <w:szCs w:val="21"/>
          <w:highlight w:val="none"/>
        </w:rPr>
        <w:br w:type="page"/>
      </w:r>
      <w:r>
        <w:rPr>
          <w:rFonts w:hint="eastAsia" w:ascii="宋体" w:hAnsi="宋体" w:eastAsia="宋体" w:cs="宋体"/>
          <w:b/>
          <w:bCs/>
          <w:color w:val="auto"/>
          <w:kern w:val="2"/>
          <w:sz w:val="32"/>
          <w:szCs w:val="32"/>
          <w:highlight w:val="none"/>
          <w:lang w:val="zh-CN" w:eastAsia="zh-CN" w:bidi="ar-SA"/>
        </w:rPr>
        <w:t>九、反商业贿赂承诺书</w:t>
      </w:r>
    </w:p>
    <w:p w14:paraId="156EE9FB">
      <w:pPr>
        <w:pageBreakBefore w:val="0"/>
        <w:kinsoku/>
        <w:wordWrap/>
        <w:topLinePunct w:val="0"/>
        <w:bidi w:val="0"/>
        <w:spacing w:beforeAutospacing="0" w:afterAutospacing="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我公司承诺在（项目名称、项目编号）采购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36007573">
      <w:pPr>
        <w:pageBreakBefore w:val="0"/>
        <w:kinsoku/>
        <w:wordWrap/>
        <w:topLinePunct w:val="0"/>
        <w:bidi w:val="0"/>
        <w:snapToGrid w:val="0"/>
        <w:spacing w:beforeAutospacing="0" w:afterAutospacing="0" w:line="460" w:lineRule="exact"/>
        <w:ind w:left="-2" w:leftChars="-1" w:right="-817" w:rightChars="-389" w:firstLine="600" w:firstLineChars="250"/>
        <w:rPr>
          <w:rFonts w:hint="eastAsia" w:ascii="宋体" w:hAnsi="宋体" w:eastAsia="宋体" w:cs="宋体"/>
          <w:color w:val="auto"/>
          <w:sz w:val="24"/>
          <w:szCs w:val="24"/>
          <w:highlight w:val="none"/>
        </w:rPr>
      </w:pPr>
      <w:bookmarkStart w:id="987" w:name="_Toc420348776"/>
      <w:bookmarkStart w:id="988" w:name="_Toc522121745"/>
    </w:p>
    <w:p w14:paraId="1BDED416">
      <w:pPr>
        <w:pageBreakBefore w:val="0"/>
        <w:kinsoku/>
        <w:wordWrap/>
        <w:topLinePunct w:val="0"/>
        <w:bidi w:val="0"/>
        <w:snapToGrid w:val="0"/>
        <w:spacing w:beforeAutospacing="0" w:afterAutospacing="0" w:line="460" w:lineRule="exact"/>
        <w:ind w:left="-2" w:leftChars="-1" w:right="-817" w:rightChars="-389"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380F5A96">
      <w:pPr>
        <w:pageBreakBefore w:val="0"/>
        <w:kinsoku/>
        <w:wordWrap/>
        <w:topLinePunct w:val="0"/>
        <w:bidi w:val="0"/>
        <w:snapToGrid w:val="0"/>
        <w:spacing w:beforeAutospacing="0" w:afterAutospacing="0" w:line="460" w:lineRule="exact"/>
        <w:ind w:left="-23" w:leftChars="-11" w:right="-817" w:rightChars="-389" w:firstLine="600" w:firstLineChars="250"/>
        <w:rPr>
          <w:rFonts w:hint="eastAsia" w:ascii="宋体" w:hAnsi="宋体" w:eastAsia="宋体" w:cs="宋体"/>
          <w:color w:val="auto"/>
          <w:sz w:val="24"/>
          <w:szCs w:val="24"/>
          <w:highlight w:val="none"/>
        </w:rPr>
      </w:pPr>
    </w:p>
    <w:p w14:paraId="0BC913B6">
      <w:pPr>
        <w:pageBreakBefore w:val="0"/>
        <w:kinsoku/>
        <w:wordWrap/>
        <w:topLinePunct w:val="0"/>
        <w:bidi w:val="0"/>
        <w:snapToGrid w:val="0"/>
        <w:spacing w:beforeAutospacing="0" w:afterAutospacing="0" w:line="460" w:lineRule="exact"/>
        <w:ind w:left="-23" w:leftChars="-11" w:right="-817" w:rightChars="-389"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p>
    <w:p w14:paraId="0E87471A">
      <w:pPr>
        <w:pageBreakBefore w:val="0"/>
        <w:kinsoku/>
        <w:wordWrap/>
        <w:topLinePunct w:val="0"/>
        <w:bidi w:val="0"/>
        <w:spacing w:beforeAutospacing="0" w:afterAutospacing="0" w:line="460" w:lineRule="exact"/>
        <w:ind w:firstLine="5520" w:firstLineChars="2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日期：    年   月   日</w:t>
      </w:r>
      <w:r>
        <w:rPr>
          <w:rFonts w:hint="eastAsia" w:ascii="宋体" w:hAnsi="宋体" w:eastAsia="宋体" w:cs="宋体"/>
          <w:color w:val="auto"/>
          <w:sz w:val="26"/>
          <w:szCs w:val="26"/>
          <w:highlight w:val="none"/>
          <w:lang w:val="en-US" w:eastAsia="zh-CN" w:bidi="ar-SA"/>
        </w:rPr>
        <w:t xml:space="preserve">  </w:t>
      </w:r>
    </w:p>
    <w:p w14:paraId="53D9554D">
      <w:pPr>
        <w:pStyle w:val="10"/>
        <w:pageBreakBefore w:val="0"/>
        <w:kinsoku/>
        <w:wordWrap/>
        <w:topLinePunct w:val="0"/>
        <w:bidi w:val="0"/>
        <w:spacing w:before="0" w:beforeAutospacing="0" w:afterAutospacing="0" w:line="460" w:lineRule="exact"/>
        <w:rPr>
          <w:rFonts w:hint="eastAsia" w:ascii="宋体" w:hAnsi="宋体" w:eastAsia="宋体" w:cs="宋体"/>
          <w:color w:val="auto"/>
          <w:sz w:val="24"/>
          <w:szCs w:val="24"/>
          <w:highlight w:val="none"/>
          <w:lang w:val="zh-CN"/>
        </w:rPr>
      </w:pPr>
    </w:p>
    <w:p w14:paraId="1A5366E2">
      <w:pPr>
        <w:pageBreakBefore w:val="0"/>
        <w:kinsoku/>
        <w:wordWrap/>
        <w:topLinePunct w:val="0"/>
        <w:bidi w:val="0"/>
        <w:spacing w:beforeAutospacing="0" w:afterAutospacing="0" w:line="460" w:lineRule="exact"/>
        <w:rPr>
          <w:rFonts w:hint="eastAsia" w:ascii="宋体" w:hAnsi="宋体" w:eastAsia="宋体" w:cs="宋体"/>
          <w:color w:val="auto"/>
          <w:sz w:val="24"/>
          <w:szCs w:val="24"/>
          <w:highlight w:val="none"/>
          <w:lang w:val="zh-CN"/>
        </w:rPr>
      </w:pPr>
    </w:p>
    <w:p w14:paraId="423C02B6">
      <w:pPr>
        <w:pStyle w:val="10"/>
        <w:pageBreakBefore w:val="0"/>
        <w:kinsoku/>
        <w:wordWrap/>
        <w:topLinePunct w:val="0"/>
        <w:bidi w:val="0"/>
        <w:spacing w:before="0" w:beforeAutospacing="0" w:afterAutospacing="0" w:line="460" w:lineRule="exact"/>
        <w:rPr>
          <w:rFonts w:hint="eastAsia" w:ascii="宋体" w:hAnsi="宋体" w:eastAsia="宋体" w:cs="宋体"/>
          <w:color w:val="auto"/>
          <w:sz w:val="24"/>
          <w:szCs w:val="24"/>
          <w:highlight w:val="none"/>
          <w:lang w:val="zh-CN"/>
        </w:rPr>
      </w:pPr>
    </w:p>
    <w:p w14:paraId="6D1E7A75">
      <w:pPr>
        <w:pageBreakBefore w:val="0"/>
        <w:kinsoku/>
        <w:wordWrap/>
        <w:topLinePunct w:val="0"/>
        <w:bidi w:val="0"/>
        <w:spacing w:beforeAutospacing="0" w:afterAutospacing="0" w:line="460" w:lineRule="exact"/>
        <w:rPr>
          <w:rFonts w:hint="eastAsia" w:ascii="宋体" w:hAnsi="宋体" w:eastAsia="宋体" w:cs="宋体"/>
          <w:color w:val="auto"/>
          <w:sz w:val="24"/>
          <w:szCs w:val="24"/>
          <w:highlight w:val="none"/>
          <w:lang w:val="zh-CN"/>
        </w:rPr>
      </w:pPr>
    </w:p>
    <w:p w14:paraId="26CBF899">
      <w:pPr>
        <w:pStyle w:val="10"/>
        <w:pageBreakBefore w:val="0"/>
        <w:kinsoku/>
        <w:wordWrap/>
        <w:topLinePunct w:val="0"/>
        <w:bidi w:val="0"/>
        <w:spacing w:before="0" w:beforeAutospacing="0" w:afterAutospacing="0" w:line="460" w:lineRule="exact"/>
        <w:rPr>
          <w:rFonts w:hint="eastAsia" w:ascii="宋体" w:hAnsi="宋体" w:eastAsia="宋体" w:cs="宋体"/>
          <w:color w:val="auto"/>
          <w:sz w:val="24"/>
          <w:szCs w:val="24"/>
          <w:highlight w:val="none"/>
          <w:lang w:val="zh-CN"/>
        </w:rPr>
      </w:pPr>
    </w:p>
    <w:p w14:paraId="21FD8C03">
      <w:pPr>
        <w:pageBreakBefore w:val="0"/>
        <w:kinsoku/>
        <w:wordWrap/>
        <w:topLinePunct w:val="0"/>
        <w:bidi w:val="0"/>
        <w:spacing w:beforeAutospacing="0" w:afterAutospacing="0" w:line="460" w:lineRule="exact"/>
        <w:rPr>
          <w:rFonts w:hint="eastAsia" w:ascii="宋体" w:hAnsi="宋体" w:eastAsia="宋体" w:cs="宋体"/>
          <w:color w:val="auto"/>
          <w:sz w:val="24"/>
          <w:szCs w:val="24"/>
          <w:highlight w:val="none"/>
          <w:lang w:val="zh-CN"/>
        </w:rPr>
      </w:pPr>
    </w:p>
    <w:p w14:paraId="345CFE5D">
      <w:pPr>
        <w:pStyle w:val="10"/>
        <w:pageBreakBefore w:val="0"/>
        <w:kinsoku/>
        <w:wordWrap/>
        <w:topLinePunct w:val="0"/>
        <w:bidi w:val="0"/>
        <w:spacing w:before="0" w:beforeAutospacing="0" w:afterAutospacing="0" w:line="460" w:lineRule="exact"/>
        <w:rPr>
          <w:rFonts w:hint="eastAsia" w:ascii="宋体" w:hAnsi="宋体" w:eastAsia="宋体" w:cs="宋体"/>
          <w:color w:val="auto"/>
          <w:sz w:val="24"/>
          <w:szCs w:val="24"/>
          <w:highlight w:val="none"/>
          <w:lang w:val="zh-CN"/>
        </w:rPr>
      </w:pPr>
    </w:p>
    <w:p w14:paraId="721B03E1">
      <w:pPr>
        <w:pageBreakBefore w:val="0"/>
        <w:kinsoku/>
        <w:wordWrap/>
        <w:topLinePunct w:val="0"/>
        <w:bidi w:val="0"/>
        <w:spacing w:beforeAutospacing="0" w:afterAutospacing="0" w:line="460" w:lineRule="exact"/>
        <w:rPr>
          <w:rFonts w:hint="eastAsia" w:ascii="宋体" w:hAnsi="宋体" w:eastAsia="宋体" w:cs="宋体"/>
          <w:color w:val="auto"/>
          <w:sz w:val="24"/>
          <w:szCs w:val="24"/>
          <w:highlight w:val="none"/>
          <w:lang w:val="zh-CN"/>
        </w:rPr>
      </w:pPr>
    </w:p>
    <w:p w14:paraId="382A298A">
      <w:pPr>
        <w:pStyle w:val="10"/>
        <w:pageBreakBefore w:val="0"/>
        <w:kinsoku/>
        <w:wordWrap/>
        <w:topLinePunct w:val="0"/>
        <w:bidi w:val="0"/>
        <w:spacing w:before="0" w:beforeAutospacing="0" w:afterAutospacing="0" w:line="460" w:lineRule="exact"/>
        <w:rPr>
          <w:rFonts w:hint="eastAsia" w:ascii="宋体" w:hAnsi="宋体" w:eastAsia="宋体" w:cs="宋体"/>
          <w:color w:val="auto"/>
          <w:sz w:val="24"/>
          <w:szCs w:val="24"/>
          <w:highlight w:val="none"/>
          <w:lang w:val="zh-CN"/>
        </w:rPr>
      </w:pPr>
    </w:p>
    <w:p w14:paraId="77D395FF">
      <w:pPr>
        <w:pageBreakBefore w:val="0"/>
        <w:kinsoku/>
        <w:wordWrap/>
        <w:topLinePunct w:val="0"/>
        <w:bidi w:val="0"/>
        <w:spacing w:beforeAutospacing="0" w:afterAutospacing="0" w:line="460" w:lineRule="exact"/>
        <w:rPr>
          <w:rFonts w:hint="eastAsia" w:ascii="宋体" w:hAnsi="宋体" w:eastAsia="宋体" w:cs="宋体"/>
          <w:color w:val="auto"/>
          <w:sz w:val="24"/>
          <w:szCs w:val="24"/>
          <w:highlight w:val="none"/>
          <w:lang w:val="zh-CN"/>
        </w:rPr>
      </w:pPr>
    </w:p>
    <w:p w14:paraId="19D8D39B">
      <w:pPr>
        <w:pStyle w:val="10"/>
        <w:pageBreakBefore w:val="0"/>
        <w:kinsoku/>
        <w:wordWrap/>
        <w:topLinePunct w:val="0"/>
        <w:bidi w:val="0"/>
        <w:spacing w:before="0" w:beforeAutospacing="0" w:afterAutospacing="0" w:line="460" w:lineRule="exact"/>
        <w:rPr>
          <w:rFonts w:hint="eastAsia" w:ascii="宋体" w:hAnsi="宋体" w:eastAsia="宋体" w:cs="宋体"/>
          <w:color w:val="auto"/>
          <w:sz w:val="24"/>
          <w:szCs w:val="24"/>
          <w:highlight w:val="none"/>
          <w:lang w:val="zh-CN"/>
        </w:rPr>
      </w:pPr>
    </w:p>
    <w:p w14:paraId="34687E88">
      <w:pPr>
        <w:pageBreakBefore w:val="0"/>
        <w:kinsoku/>
        <w:wordWrap/>
        <w:topLinePunct w:val="0"/>
        <w:bidi w:val="0"/>
        <w:spacing w:beforeAutospacing="0" w:afterAutospacing="0" w:line="460" w:lineRule="exact"/>
        <w:rPr>
          <w:rFonts w:hint="eastAsia" w:ascii="宋体" w:hAnsi="宋体" w:eastAsia="宋体" w:cs="宋体"/>
          <w:color w:val="auto"/>
          <w:sz w:val="24"/>
          <w:szCs w:val="24"/>
          <w:highlight w:val="none"/>
          <w:lang w:val="zh-CN"/>
        </w:rPr>
      </w:pPr>
    </w:p>
    <w:p w14:paraId="640A6A16">
      <w:pPr>
        <w:pStyle w:val="10"/>
        <w:pageBreakBefore w:val="0"/>
        <w:kinsoku/>
        <w:wordWrap/>
        <w:topLinePunct w:val="0"/>
        <w:bidi w:val="0"/>
        <w:spacing w:before="0" w:beforeAutospacing="0" w:afterAutospacing="0" w:line="460" w:lineRule="exact"/>
        <w:rPr>
          <w:rFonts w:hint="eastAsia" w:ascii="宋体" w:hAnsi="宋体" w:eastAsia="宋体" w:cs="宋体"/>
          <w:color w:val="auto"/>
          <w:sz w:val="24"/>
          <w:szCs w:val="24"/>
          <w:highlight w:val="none"/>
          <w:lang w:val="zh-CN"/>
        </w:rPr>
      </w:pPr>
    </w:p>
    <w:p w14:paraId="0421B25F">
      <w:pPr>
        <w:pageBreakBefore w:val="0"/>
        <w:kinsoku/>
        <w:wordWrap/>
        <w:topLinePunct w:val="0"/>
        <w:bidi w:val="0"/>
        <w:spacing w:beforeAutospacing="0" w:afterAutospacing="0" w:line="460" w:lineRule="exact"/>
        <w:rPr>
          <w:rFonts w:hint="eastAsia" w:ascii="宋体" w:hAnsi="宋体" w:eastAsia="宋体" w:cs="宋体"/>
          <w:color w:val="auto"/>
          <w:sz w:val="24"/>
          <w:szCs w:val="24"/>
          <w:highlight w:val="none"/>
          <w:lang w:val="zh-CN"/>
        </w:rPr>
      </w:pPr>
    </w:p>
    <w:p w14:paraId="7A9A3C46">
      <w:pPr>
        <w:pStyle w:val="10"/>
        <w:pageBreakBefore w:val="0"/>
        <w:kinsoku/>
        <w:wordWrap/>
        <w:topLinePunct w:val="0"/>
        <w:bidi w:val="0"/>
        <w:spacing w:before="0" w:beforeAutospacing="0" w:afterAutospacing="0" w:line="460" w:lineRule="exact"/>
        <w:rPr>
          <w:rFonts w:hint="eastAsia" w:ascii="宋体" w:hAnsi="宋体" w:eastAsia="宋体" w:cs="宋体"/>
          <w:color w:val="auto"/>
          <w:sz w:val="24"/>
          <w:szCs w:val="24"/>
          <w:highlight w:val="none"/>
          <w:lang w:val="zh-CN"/>
        </w:rPr>
      </w:pPr>
    </w:p>
    <w:p w14:paraId="6B44691D">
      <w:pPr>
        <w:pageBreakBefore w:val="0"/>
        <w:kinsoku/>
        <w:wordWrap/>
        <w:topLinePunct w:val="0"/>
        <w:bidi w:val="0"/>
        <w:spacing w:beforeAutospacing="0" w:afterAutospacing="0" w:line="460" w:lineRule="exact"/>
        <w:rPr>
          <w:rFonts w:hint="eastAsia" w:ascii="宋体" w:hAnsi="宋体" w:eastAsia="宋体" w:cs="宋体"/>
          <w:color w:val="auto"/>
          <w:sz w:val="24"/>
          <w:szCs w:val="24"/>
          <w:highlight w:val="none"/>
          <w:lang w:val="zh-CN"/>
        </w:rPr>
      </w:pPr>
    </w:p>
    <w:p w14:paraId="1B9FBA41">
      <w:pPr>
        <w:pStyle w:val="10"/>
        <w:pageBreakBefore w:val="0"/>
        <w:kinsoku/>
        <w:wordWrap/>
        <w:topLinePunct w:val="0"/>
        <w:bidi w:val="0"/>
        <w:spacing w:before="0" w:beforeAutospacing="0" w:afterAutospacing="0" w:line="460" w:lineRule="exact"/>
        <w:rPr>
          <w:rFonts w:hint="eastAsia" w:ascii="宋体" w:hAnsi="宋体" w:eastAsia="宋体" w:cs="宋体"/>
          <w:color w:val="auto"/>
          <w:sz w:val="24"/>
          <w:szCs w:val="24"/>
          <w:highlight w:val="none"/>
          <w:lang w:val="zh-CN"/>
        </w:rPr>
      </w:pPr>
    </w:p>
    <w:p w14:paraId="73C974B6">
      <w:pPr>
        <w:pStyle w:val="10"/>
        <w:pageBreakBefore w:val="0"/>
        <w:kinsoku/>
        <w:wordWrap/>
        <w:topLinePunct w:val="0"/>
        <w:bidi w:val="0"/>
        <w:spacing w:before="0" w:beforeAutospacing="0" w:afterAutospacing="0" w:line="460" w:lineRule="exact"/>
        <w:rPr>
          <w:rFonts w:hint="eastAsia" w:ascii="宋体" w:hAnsi="宋体" w:eastAsia="宋体" w:cs="宋体"/>
          <w:color w:val="auto"/>
          <w:highlight w:val="none"/>
          <w:lang w:val="zh-CN"/>
        </w:rPr>
      </w:pPr>
    </w:p>
    <w:p w14:paraId="6356D801">
      <w:pPr>
        <w:pStyle w:val="35"/>
        <w:pageBreakBefore w:val="0"/>
        <w:kinsoku/>
        <w:wordWrap/>
        <w:topLinePunct w:val="0"/>
        <w:bidi w:val="0"/>
        <w:spacing w:beforeAutospacing="0" w:afterAutospacing="0" w:line="460" w:lineRule="exact"/>
        <w:jc w:val="center"/>
        <w:outlineLvl w:val="9"/>
        <w:rPr>
          <w:rFonts w:hint="eastAsia" w:ascii="宋体" w:hAnsi="宋体" w:eastAsia="宋体" w:cs="宋体"/>
          <w:b/>
          <w:color w:val="auto"/>
          <w:highlight w:val="none"/>
        </w:rPr>
      </w:pPr>
      <w:bookmarkStart w:id="989" w:name="_Toc498343984"/>
    </w:p>
    <w:p w14:paraId="78310093">
      <w:pPr>
        <w:pStyle w:val="35"/>
        <w:pageBreakBefore w:val="0"/>
        <w:kinsoku/>
        <w:wordWrap/>
        <w:topLinePunct w:val="0"/>
        <w:bidi w:val="0"/>
        <w:spacing w:beforeAutospacing="0" w:afterAutospacing="0" w:line="46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lang w:eastAsia="zh-CN"/>
        </w:rPr>
        <w:t>十、</w:t>
      </w:r>
      <w:r>
        <w:rPr>
          <w:rFonts w:hint="eastAsia" w:ascii="宋体" w:hAnsi="宋体" w:eastAsia="宋体" w:cs="宋体"/>
          <w:b/>
          <w:color w:val="auto"/>
          <w:sz w:val="32"/>
          <w:szCs w:val="32"/>
          <w:highlight w:val="none"/>
        </w:rPr>
        <w:t>商务条款偏离表</w:t>
      </w:r>
      <w:bookmarkEnd w:id="989"/>
    </w:p>
    <w:p w14:paraId="7992FDE5">
      <w:pPr>
        <w:pStyle w:val="35"/>
        <w:pageBreakBefore w:val="0"/>
        <w:kinsoku/>
        <w:wordWrap/>
        <w:topLinePunct w:val="0"/>
        <w:bidi w:val="0"/>
        <w:spacing w:beforeAutospacing="0" w:afterAutospacing="0" w:line="460" w:lineRule="exact"/>
        <w:jc w:val="both"/>
        <w:outlineLvl w:val="1"/>
        <w:rPr>
          <w:rFonts w:hint="eastAsia" w:ascii="宋体" w:hAnsi="宋体" w:eastAsia="宋体" w:cs="宋体"/>
          <w:color w:val="auto"/>
          <w:highlight w:val="none"/>
          <w:u w:val="single"/>
        </w:rPr>
      </w:pPr>
      <w:r>
        <w:rPr>
          <w:rFonts w:hint="eastAsia" w:ascii="宋体" w:hAnsi="宋体" w:eastAsia="宋体" w:cs="宋体"/>
          <w:color w:val="auto"/>
          <w:highlight w:val="none"/>
        </w:rPr>
        <w:t>投标人名称</w:t>
      </w:r>
      <w:r>
        <w:rPr>
          <w:rFonts w:hint="eastAsia" w:ascii="宋体" w:hAnsi="宋体" w:eastAsia="宋体" w:cs="宋体"/>
          <w:color w:val="auto"/>
          <w:highlight w:val="none"/>
          <w:lang w:eastAsia="zh-CN"/>
        </w:rPr>
        <w:t>（盖章）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项目编号：                         </w:t>
      </w:r>
    </w:p>
    <w:tbl>
      <w:tblPr>
        <w:tblStyle w:val="25"/>
        <w:tblW w:w="971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741"/>
        <w:gridCol w:w="1596"/>
        <w:gridCol w:w="3963"/>
        <w:gridCol w:w="1524"/>
      </w:tblGrid>
      <w:tr w14:paraId="569D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93" w:type="dxa"/>
            <w:noWrap w:val="0"/>
            <w:vAlign w:val="center"/>
          </w:tcPr>
          <w:p w14:paraId="18083699">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41" w:type="dxa"/>
            <w:noWrap w:val="0"/>
            <w:vAlign w:val="center"/>
          </w:tcPr>
          <w:p w14:paraId="6CB21CC3">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招标文件的商务条款</w:t>
            </w:r>
          </w:p>
        </w:tc>
        <w:tc>
          <w:tcPr>
            <w:tcW w:w="1596" w:type="dxa"/>
            <w:noWrap w:val="0"/>
            <w:vAlign w:val="center"/>
          </w:tcPr>
          <w:p w14:paraId="4D4DEDF6">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投标文件的商务条款</w:t>
            </w:r>
          </w:p>
        </w:tc>
        <w:tc>
          <w:tcPr>
            <w:tcW w:w="3963" w:type="dxa"/>
            <w:noWrap w:val="0"/>
            <w:vAlign w:val="center"/>
          </w:tcPr>
          <w:p w14:paraId="4B864F6A">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1524" w:type="dxa"/>
            <w:noWrap w:val="0"/>
            <w:vAlign w:val="center"/>
          </w:tcPr>
          <w:p w14:paraId="6B0A355B">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E65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3" w:type="dxa"/>
            <w:noWrap w:val="0"/>
            <w:vAlign w:val="top"/>
          </w:tcPr>
          <w:p w14:paraId="1D9900E6">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741" w:type="dxa"/>
            <w:noWrap w:val="0"/>
            <w:vAlign w:val="top"/>
          </w:tcPr>
          <w:p w14:paraId="4B56A5F8">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96" w:type="dxa"/>
            <w:noWrap w:val="0"/>
            <w:vAlign w:val="top"/>
          </w:tcPr>
          <w:p w14:paraId="2CC18A23">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3963" w:type="dxa"/>
            <w:noWrap w:val="0"/>
            <w:vAlign w:val="top"/>
          </w:tcPr>
          <w:p w14:paraId="675CE081">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24" w:type="dxa"/>
            <w:noWrap w:val="0"/>
            <w:vAlign w:val="top"/>
          </w:tcPr>
          <w:p w14:paraId="401CADE8">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r>
      <w:tr w14:paraId="752B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3" w:type="dxa"/>
            <w:noWrap w:val="0"/>
            <w:vAlign w:val="top"/>
          </w:tcPr>
          <w:p w14:paraId="419CDCA6">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741" w:type="dxa"/>
            <w:noWrap w:val="0"/>
            <w:vAlign w:val="top"/>
          </w:tcPr>
          <w:p w14:paraId="24DBE05F">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96" w:type="dxa"/>
            <w:noWrap w:val="0"/>
            <w:vAlign w:val="top"/>
          </w:tcPr>
          <w:p w14:paraId="4C17BFA7">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3963" w:type="dxa"/>
            <w:noWrap w:val="0"/>
            <w:vAlign w:val="top"/>
          </w:tcPr>
          <w:p w14:paraId="30A3362F">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24" w:type="dxa"/>
            <w:noWrap w:val="0"/>
            <w:vAlign w:val="top"/>
          </w:tcPr>
          <w:p w14:paraId="265CC9F5">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r>
      <w:tr w14:paraId="662F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3" w:type="dxa"/>
            <w:noWrap w:val="0"/>
            <w:vAlign w:val="top"/>
          </w:tcPr>
          <w:p w14:paraId="1B03BBC3">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741" w:type="dxa"/>
            <w:noWrap w:val="0"/>
            <w:vAlign w:val="top"/>
          </w:tcPr>
          <w:p w14:paraId="413A7565">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96" w:type="dxa"/>
            <w:noWrap w:val="0"/>
            <w:vAlign w:val="top"/>
          </w:tcPr>
          <w:p w14:paraId="0EBBA040">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3963" w:type="dxa"/>
            <w:noWrap w:val="0"/>
            <w:vAlign w:val="top"/>
          </w:tcPr>
          <w:p w14:paraId="74A1E96E">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24" w:type="dxa"/>
            <w:noWrap w:val="0"/>
            <w:vAlign w:val="top"/>
          </w:tcPr>
          <w:p w14:paraId="232B0A63">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r>
      <w:tr w14:paraId="6330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3" w:type="dxa"/>
            <w:noWrap w:val="0"/>
            <w:vAlign w:val="top"/>
          </w:tcPr>
          <w:p w14:paraId="021D292E">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741" w:type="dxa"/>
            <w:noWrap w:val="0"/>
            <w:vAlign w:val="top"/>
          </w:tcPr>
          <w:p w14:paraId="60F1E39A">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96" w:type="dxa"/>
            <w:noWrap w:val="0"/>
            <w:vAlign w:val="top"/>
          </w:tcPr>
          <w:p w14:paraId="5E8F42BE">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3963" w:type="dxa"/>
            <w:noWrap w:val="0"/>
            <w:vAlign w:val="top"/>
          </w:tcPr>
          <w:p w14:paraId="2DC90387">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24" w:type="dxa"/>
            <w:noWrap w:val="0"/>
            <w:vAlign w:val="top"/>
          </w:tcPr>
          <w:p w14:paraId="7AD6B4F9">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r>
      <w:tr w14:paraId="659C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3" w:type="dxa"/>
            <w:noWrap w:val="0"/>
            <w:vAlign w:val="top"/>
          </w:tcPr>
          <w:p w14:paraId="33F8D633">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741" w:type="dxa"/>
            <w:noWrap w:val="0"/>
            <w:vAlign w:val="top"/>
          </w:tcPr>
          <w:p w14:paraId="03958B2E">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96" w:type="dxa"/>
            <w:noWrap w:val="0"/>
            <w:vAlign w:val="top"/>
          </w:tcPr>
          <w:p w14:paraId="7154F8D5">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3963" w:type="dxa"/>
            <w:noWrap w:val="0"/>
            <w:vAlign w:val="top"/>
          </w:tcPr>
          <w:p w14:paraId="63A46FF0">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24" w:type="dxa"/>
            <w:noWrap w:val="0"/>
            <w:vAlign w:val="top"/>
          </w:tcPr>
          <w:p w14:paraId="7AB1A2BD">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r>
      <w:tr w14:paraId="72D9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3" w:type="dxa"/>
            <w:noWrap w:val="0"/>
            <w:vAlign w:val="top"/>
          </w:tcPr>
          <w:p w14:paraId="155D50C6">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741" w:type="dxa"/>
            <w:noWrap w:val="0"/>
            <w:vAlign w:val="top"/>
          </w:tcPr>
          <w:p w14:paraId="21A2F8C1">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96" w:type="dxa"/>
            <w:noWrap w:val="0"/>
            <w:vAlign w:val="top"/>
          </w:tcPr>
          <w:p w14:paraId="74FFB7EC">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3963" w:type="dxa"/>
            <w:noWrap w:val="0"/>
            <w:vAlign w:val="top"/>
          </w:tcPr>
          <w:p w14:paraId="3520B991">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24" w:type="dxa"/>
            <w:noWrap w:val="0"/>
            <w:vAlign w:val="top"/>
          </w:tcPr>
          <w:p w14:paraId="516F8F95">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r>
      <w:tr w14:paraId="5D56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3" w:type="dxa"/>
            <w:noWrap w:val="0"/>
            <w:vAlign w:val="top"/>
          </w:tcPr>
          <w:p w14:paraId="4A64452E">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741" w:type="dxa"/>
            <w:noWrap w:val="0"/>
            <w:vAlign w:val="top"/>
          </w:tcPr>
          <w:p w14:paraId="7E27FC51">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96" w:type="dxa"/>
            <w:noWrap w:val="0"/>
            <w:vAlign w:val="top"/>
          </w:tcPr>
          <w:p w14:paraId="0B70C2B8">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3963" w:type="dxa"/>
            <w:noWrap w:val="0"/>
            <w:vAlign w:val="top"/>
          </w:tcPr>
          <w:p w14:paraId="23747851">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24" w:type="dxa"/>
            <w:noWrap w:val="0"/>
            <w:vAlign w:val="top"/>
          </w:tcPr>
          <w:p w14:paraId="2F90B21B">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r>
      <w:tr w14:paraId="2779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3" w:type="dxa"/>
            <w:noWrap w:val="0"/>
            <w:vAlign w:val="top"/>
          </w:tcPr>
          <w:p w14:paraId="25FBEEBD">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741" w:type="dxa"/>
            <w:noWrap w:val="0"/>
            <w:vAlign w:val="top"/>
          </w:tcPr>
          <w:p w14:paraId="01D28F30">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96" w:type="dxa"/>
            <w:noWrap w:val="0"/>
            <w:vAlign w:val="top"/>
          </w:tcPr>
          <w:p w14:paraId="6278727C">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3963" w:type="dxa"/>
            <w:noWrap w:val="0"/>
            <w:vAlign w:val="top"/>
          </w:tcPr>
          <w:p w14:paraId="0950AC19">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24" w:type="dxa"/>
            <w:noWrap w:val="0"/>
            <w:vAlign w:val="top"/>
          </w:tcPr>
          <w:p w14:paraId="18EB6158">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r>
      <w:tr w14:paraId="4E17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3" w:type="dxa"/>
            <w:noWrap w:val="0"/>
            <w:vAlign w:val="top"/>
          </w:tcPr>
          <w:p w14:paraId="6D06DE77">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741" w:type="dxa"/>
            <w:noWrap w:val="0"/>
            <w:vAlign w:val="top"/>
          </w:tcPr>
          <w:p w14:paraId="3933A8BC">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96" w:type="dxa"/>
            <w:noWrap w:val="0"/>
            <w:vAlign w:val="top"/>
          </w:tcPr>
          <w:p w14:paraId="70219F29">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3963" w:type="dxa"/>
            <w:noWrap w:val="0"/>
            <w:vAlign w:val="top"/>
          </w:tcPr>
          <w:p w14:paraId="258A7C52">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24" w:type="dxa"/>
            <w:noWrap w:val="0"/>
            <w:vAlign w:val="top"/>
          </w:tcPr>
          <w:p w14:paraId="7B85D3FB">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r>
      <w:tr w14:paraId="2C6E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3" w:type="dxa"/>
            <w:noWrap w:val="0"/>
            <w:vAlign w:val="top"/>
          </w:tcPr>
          <w:p w14:paraId="1A08C7ED">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741" w:type="dxa"/>
            <w:noWrap w:val="0"/>
            <w:vAlign w:val="top"/>
          </w:tcPr>
          <w:p w14:paraId="1713A776">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96" w:type="dxa"/>
            <w:noWrap w:val="0"/>
            <w:vAlign w:val="top"/>
          </w:tcPr>
          <w:p w14:paraId="68A204E5">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3963" w:type="dxa"/>
            <w:noWrap w:val="0"/>
            <w:vAlign w:val="top"/>
          </w:tcPr>
          <w:p w14:paraId="0F0F7868">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24" w:type="dxa"/>
            <w:noWrap w:val="0"/>
            <w:vAlign w:val="top"/>
          </w:tcPr>
          <w:p w14:paraId="3D3262AF">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r>
      <w:tr w14:paraId="36A0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93" w:type="dxa"/>
            <w:noWrap w:val="0"/>
            <w:vAlign w:val="top"/>
          </w:tcPr>
          <w:p w14:paraId="41B5C7C0">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741" w:type="dxa"/>
            <w:noWrap w:val="0"/>
            <w:vAlign w:val="top"/>
          </w:tcPr>
          <w:p w14:paraId="721C6BAC">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96" w:type="dxa"/>
            <w:noWrap w:val="0"/>
            <w:vAlign w:val="top"/>
          </w:tcPr>
          <w:p w14:paraId="323F5D00">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3963" w:type="dxa"/>
            <w:noWrap w:val="0"/>
            <w:vAlign w:val="top"/>
          </w:tcPr>
          <w:p w14:paraId="4F21CA9E">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c>
          <w:tcPr>
            <w:tcW w:w="1524" w:type="dxa"/>
            <w:noWrap w:val="0"/>
            <w:vAlign w:val="top"/>
          </w:tcPr>
          <w:p w14:paraId="311ED0B0">
            <w:pPr>
              <w:pStyle w:val="35"/>
              <w:pageBreakBefore w:val="0"/>
              <w:kinsoku/>
              <w:wordWrap/>
              <w:topLinePunct w:val="0"/>
              <w:bidi w:val="0"/>
              <w:spacing w:beforeAutospacing="0" w:afterAutospacing="0" w:line="460" w:lineRule="exact"/>
              <w:jc w:val="center"/>
              <w:rPr>
                <w:rFonts w:hint="eastAsia" w:ascii="宋体" w:hAnsi="宋体" w:eastAsia="宋体" w:cs="宋体"/>
                <w:color w:val="auto"/>
                <w:highlight w:val="none"/>
              </w:rPr>
            </w:pPr>
          </w:p>
        </w:tc>
      </w:tr>
    </w:tbl>
    <w:p w14:paraId="0923BA4D">
      <w:pPr>
        <w:pStyle w:val="35"/>
        <w:pageBreakBefore w:val="0"/>
        <w:kinsoku/>
        <w:wordWrap/>
        <w:topLinePunct w:val="0"/>
        <w:bidi w:val="0"/>
        <w:spacing w:beforeAutospacing="0" w:afterAutospacing="0" w:line="4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投标单位法人或授权代表签字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highlight w:val="none"/>
        </w:rPr>
        <w:t>：</w:t>
      </w:r>
    </w:p>
    <w:p w14:paraId="0B439F70">
      <w:pPr>
        <w:pStyle w:val="35"/>
        <w:pageBreakBefore w:val="0"/>
        <w:kinsoku/>
        <w:wordWrap/>
        <w:topLinePunct w:val="0"/>
        <w:bidi w:val="0"/>
        <w:spacing w:beforeAutospacing="0" w:afterAutospacing="0" w:line="460" w:lineRule="exact"/>
        <w:rPr>
          <w:rFonts w:hint="eastAsia" w:ascii="宋体" w:hAnsi="宋体" w:eastAsia="宋体" w:cs="宋体"/>
          <w:color w:val="auto"/>
          <w:highlight w:val="none"/>
        </w:rPr>
        <w:sectPr>
          <w:headerReference r:id="rId13" w:type="first"/>
          <w:footerReference r:id="rId15" w:type="first"/>
          <w:headerReference r:id="rId12" w:type="default"/>
          <w:footerReference r:id="rId14" w:type="default"/>
          <w:pgSz w:w="11906" w:h="16838"/>
          <w:pgMar w:top="1418" w:right="1418" w:bottom="1418" w:left="1418" w:header="851" w:footer="851" w:gutter="0"/>
          <w:pgNumType w:fmt="decimal"/>
          <w:cols w:space="720" w:num="1"/>
          <w:docGrid w:type="lines" w:linePitch="312" w:charSpace="0"/>
        </w:sectPr>
      </w:pPr>
      <w:r>
        <w:rPr>
          <w:rFonts w:hint="eastAsia" w:ascii="宋体" w:hAnsi="宋体" w:eastAsia="宋体" w:cs="宋体"/>
          <w:color w:val="auto"/>
          <w:highlight w:val="none"/>
        </w:rPr>
        <w:t>注:若有偏离,请将具体偏离条款在”偏离”一栏中详细说明;若无偏离,请在”偏离”一栏中标注”无”字样.</w:t>
      </w:r>
    </w:p>
    <w:p w14:paraId="70B849A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认为有必要提供的其他资料</w:t>
      </w:r>
      <w:bookmarkEnd w:id="987"/>
      <w:bookmarkEnd w:id="988"/>
    </w:p>
    <w:p w14:paraId="6B2EAF5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（格式自拟）</w:t>
      </w:r>
    </w:p>
    <w:p w14:paraId="7488D1F5">
      <w:pPr>
        <w:rPr>
          <w:rFonts w:hint="eastAsia" w:ascii="宋体" w:hAnsi="宋体" w:eastAsia="宋体" w:cs="宋体"/>
          <w:b/>
          <w:bCs/>
          <w:color w:val="auto"/>
          <w:sz w:val="28"/>
          <w:szCs w:val="28"/>
          <w:highlight w:val="none"/>
          <w:lang w:val="en-US" w:eastAsia="zh-CN"/>
        </w:rPr>
      </w:pPr>
      <w:bookmarkStart w:id="990" w:name="_Toc10294"/>
      <w:bookmarkStart w:id="991" w:name="_Toc20868"/>
      <w:r>
        <w:rPr>
          <w:rFonts w:hint="eastAsia" w:ascii="宋体" w:hAnsi="宋体" w:eastAsia="宋体" w:cs="宋体"/>
          <w:b/>
          <w:bCs/>
          <w:color w:val="auto"/>
          <w:sz w:val="28"/>
          <w:szCs w:val="28"/>
          <w:highlight w:val="none"/>
          <w:lang w:val="en-US" w:eastAsia="zh-CN"/>
        </w:rPr>
        <w:br w:type="page"/>
      </w:r>
    </w:p>
    <w:p w14:paraId="6884D3F6">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4CAC8B68">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7CA15248">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331A1F78">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2224052F">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369A6AB0">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2B37427D">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401269E2">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u w:val="single"/>
        </w:rPr>
        <w:t xml:space="preserve">(项目名称)       </w:t>
      </w:r>
      <w:r>
        <w:rPr>
          <w:rFonts w:hint="eastAsia" w:ascii="宋体" w:hAnsi="宋体" w:eastAsia="宋体" w:cs="宋体"/>
          <w:b/>
          <w:color w:val="auto"/>
          <w:sz w:val="32"/>
          <w:szCs w:val="32"/>
          <w:highlight w:val="none"/>
        </w:rPr>
        <w:t>工程施工招标</w:t>
      </w:r>
    </w:p>
    <w:p w14:paraId="793E77A4">
      <w:pPr>
        <w:rPr>
          <w:rFonts w:hint="eastAsia" w:ascii="宋体" w:hAnsi="宋体" w:eastAsia="宋体" w:cs="宋体"/>
          <w:color w:val="auto"/>
          <w:highlight w:val="none"/>
        </w:rPr>
      </w:pPr>
    </w:p>
    <w:p w14:paraId="61B82EA7">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0EA22B9B">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4B0B0B43">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56B05FDE">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1C261312">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投标文件</w:t>
      </w:r>
      <w:r>
        <w:rPr>
          <w:rFonts w:hint="eastAsia" w:ascii="宋体" w:hAnsi="宋体" w:eastAsia="宋体" w:cs="宋体"/>
          <w:b/>
          <w:color w:val="auto"/>
          <w:sz w:val="44"/>
          <w:szCs w:val="44"/>
          <w:highlight w:val="none"/>
          <w:lang w:val="en-US" w:eastAsia="zh-CN"/>
        </w:rPr>
        <w:t>技术</w:t>
      </w:r>
      <w:r>
        <w:rPr>
          <w:rFonts w:hint="eastAsia" w:ascii="宋体" w:hAnsi="宋体" w:eastAsia="宋体" w:cs="宋体"/>
          <w:b/>
          <w:color w:val="auto"/>
          <w:sz w:val="44"/>
          <w:szCs w:val="44"/>
          <w:highlight w:val="none"/>
        </w:rPr>
        <w:t>标</w:t>
      </w:r>
    </w:p>
    <w:p w14:paraId="738E794C">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5B5085DD">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7669CF05">
      <w:pPr>
        <w:pageBreakBefore w:val="0"/>
        <w:kinsoku/>
        <w:wordWrap/>
        <w:topLinePunct w:val="0"/>
        <w:bidi w:val="0"/>
        <w:spacing w:beforeAutospacing="0" w:afterAutospacing="0" w:line="460" w:lineRule="exact"/>
        <w:jc w:val="center"/>
        <w:rPr>
          <w:rFonts w:hint="eastAsia" w:ascii="宋体" w:hAnsi="宋体" w:eastAsia="宋体" w:cs="宋体"/>
          <w:b/>
          <w:color w:val="auto"/>
          <w:sz w:val="24"/>
          <w:highlight w:val="none"/>
        </w:rPr>
      </w:pPr>
    </w:p>
    <w:p w14:paraId="623F6A4C">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p>
    <w:p w14:paraId="471A2A09">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  标  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（盖公章）        </w:t>
      </w:r>
    </w:p>
    <w:p w14:paraId="088877E5">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p>
    <w:p w14:paraId="611BC0E0">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 定 代 表 人</w:t>
      </w:r>
    </w:p>
    <w:p w14:paraId="773C55C9">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或其委托代理人：</w:t>
      </w:r>
      <w:r>
        <w:rPr>
          <w:rFonts w:hint="eastAsia" w:ascii="宋体" w:hAnsi="宋体" w:eastAsia="宋体" w:cs="宋体"/>
          <w:b/>
          <w:color w:val="auto"/>
          <w:sz w:val="28"/>
          <w:szCs w:val="28"/>
          <w:highlight w:val="none"/>
          <w:u w:val="single"/>
        </w:rPr>
        <w:t xml:space="preserve">        （签字或盖章）          </w:t>
      </w:r>
    </w:p>
    <w:p w14:paraId="4B484C9D">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p>
    <w:p w14:paraId="021FD1C3">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p>
    <w:p w14:paraId="3CF9D8D9">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月</w:t>
      </w:r>
      <w:r>
        <w:rPr>
          <w:rFonts w:hint="eastAsia" w:ascii="宋体" w:hAnsi="宋体" w:eastAsia="宋体" w:cs="宋体"/>
          <w:b/>
          <w:color w:val="auto"/>
          <w:sz w:val="28"/>
          <w:szCs w:val="28"/>
          <w:highlight w:val="none"/>
          <w:u w:val="single"/>
        </w:rPr>
        <w:t xml:space="preserve">    </w:t>
      </w:r>
    </w:p>
    <w:p w14:paraId="621C84C8">
      <w:pPr>
        <w:pageBreakBefore w:val="0"/>
        <w:kinsoku/>
        <w:wordWrap/>
        <w:topLinePunct w:val="0"/>
        <w:bidi w:val="0"/>
        <w:snapToGrid w:val="0"/>
        <w:spacing w:beforeAutospacing="0" w:afterAutospacing="0" w:line="460" w:lineRule="exact"/>
        <w:rPr>
          <w:rFonts w:hint="eastAsia" w:ascii="宋体" w:hAnsi="宋体" w:eastAsia="宋体" w:cs="宋体"/>
          <w:b/>
          <w:color w:val="auto"/>
          <w:sz w:val="28"/>
          <w:szCs w:val="28"/>
          <w:highlight w:val="none"/>
          <w:u w:val="single"/>
        </w:rPr>
      </w:pPr>
    </w:p>
    <w:p w14:paraId="3EB63997">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3DFB0080">
      <w:pPr>
        <w:rPr>
          <w:rFonts w:hint="eastAsia" w:ascii="宋体" w:hAnsi="宋体" w:eastAsia="宋体" w:cs="宋体"/>
          <w:color w:val="auto"/>
          <w:highlight w:val="none"/>
          <w:lang w:val="en-US" w:eastAsia="zh-CN"/>
        </w:rPr>
      </w:pPr>
      <w:bookmarkStart w:id="992" w:name="_Toc21670"/>
      <w:r>
        <w:rPr>
          <w:rStyle w:val="33"/>
          <w:rFonts w:hint="eastAsia" w:ascii="宋体" w:hAnsi="宋体" w:eastAsia="宋体" w:cs="宋体"/>
          <w:color w:val="auto"/>
          <w:highlight w:val="none"/>
          <w:lang w:val="en-US" w:eastAsia="zh-CN"/>
        </w:rPr>
        <w:t>技术</w:t>
      </w:r>
      <w:bookmarkEnd w:id="990"/>
      <w:bookmarkEnd w:id="991"/>
      <w:bookmarkEnd w:id="992"/>
      <w:r>
        <w:rPr>
          <w:rStyle w:val="33"/>
          <w:rFonts w:hint="eastAsia" w:ascii="宋体" w:hAnsi="宋体" w:eastAsia="宋体" w:cs="宋体"/>
          <w:color w:val="auto"/>
          <w:highlight w:val="none"/>
        </w:rPr>
        <w:t>标目录</w:t>
      </w:r>
    </w:p>
    <w:p w14:paraId="39046C4A">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一、投标人应根据招标工程的具体情况，编制相应的施工组织设计。</w:t>
      </w:r>
    </w:p>
    <w:p w14:paraId="1FD420F1">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二、施工组织设计包括下列内容：</w:t>
      </w:r>
    </w:p>
    <w:p w14:paraId="75814D50">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2"/>
          <w:sz w:val="24"/>
          <w:szCs w:val="24"/>
          <w:highlight w:val="none"/>
          <w:lang w:val="en-US" w:eastAsia="zh-CN" w:bidi="ar-SA"/>
        </w:rPr>
        <w:t>施工组织设计</w:t>
      </w:r>
    </w:p>
    <w:p w14:paraId="11AEB02A">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2"/>
          <w:sz w:val="24"/>
          <w:szCs w:val="24"/>
          <w:highlight w:val="none"/>
          <w:lang w:val="en-US" w:eastAsia="zh-CN" w:bidi="ar-SA"/>
        </w:rPr>
        <w:t>项目质量保证措施</w:t>
      </w:r>
    </w:p>
    <w:p w14:paraId="56493959">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2"/>
          <w:sz w:val="24"/>
          <w:szCs w:val="24"/>
          <w:highlight w:val="none"/>
          <w:lang w:val="en-US" w:eastAsia="zh-CN" w:bidi="ar-SA"/>
        </w:rPr>
        <w:t>资源配置计划</w:t>
      </w:r>
    </w:p>
    <w:p w14:paraId="1ABA778E">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2"/>
          <w:sz w:val="24"/>
          <w:szCs w:val="24"/>
          <w:highlight w:val="none"/>
          <w:lang w:val="en-US" w:eastAsia="zh-CN" w:bidi="ar-SA"/>
        </w:rPr>
        <w:t>环保文明措施</w:t>
      </w:r>
    </w:p>
    <w:p w14:paraId="1633E932">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应急预案</w:t>
      </w:r>
    </w:p>
    <w:p w14:paraId="4CFBC1D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6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施工现场扬尘防治方案</w:t>
      </w:r>
    </w:p>
    <w:p w14:paraId="0D9A1AE7">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6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注：上内容中若需要表格请投标人自行编制。</w:t>
      </w:r>
    </w:p>
    <w:p w14:paraId="12B7987F">
      <w:pPr>
        <w:pageBreakBefore w:val="0"/>
        <w:kinsoku/>
        <w:wordWrap/>
        <w:topLinePunct w:val="0"/>
        <w:bidi w:val="0"/>
        <w:spacing w:beforeAutospacing="0" w:afterAutospacing="0" w:line="460" w:lineRule="exact"/>
        <w:jc w:val="center"/>
        <w:rPr>
          <w:rFonts w:hint="eastAsia" w:ascii="宋体" w:hAnsi="宋体" w:eastAsia="宋体" w:cs="宋体"/>
          <w:strike w:val="0"/>
          <w:dstrike/>
          <w:color w:val="auto"/>
          <w:highlight w:val="none"/>
        </w:rPr>
      </w:pPr>
      <w:r>
        <w:rPr>
          <w:rFonts w:hint="eastAsia" w:ascii="宋体" w:hAnsi="宋体" w:eastAsia="宋体" w:cs="宋体"/>
          <w:color w:val="auto"/>
          <w:highlight w:val="none"/>
          <w:lang w:val="zh-CN"/>
        </w:rPr>
        <w:br w:type="page"/>
      </w:r>
    </w:p>
    <w:p w14:paraId="3B4D6EF0">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7A19D1D6">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22568ABA">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4D47521F">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u w:val="single"/>
        </w:rPr>
      </w:pPr>
    </w:p>
    <w:p w14:paraId="10241265">
      <w:pPr>
        <w:pageBreakBefore w:val="0"/>
        <w:kinsoku/>
        <w:wordWrap/>
        <w:topLinePunct w:val="0"/>
        <w:bidi w:val="0"/>
        <w:spacing w:beforeAutospacing="0" w:afterAutospacing="0"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u w:val="single"/>
        </w:rPr>
        <w:t xml:space="preserve">(项目名称)       </w:t>
      </w:r>
      <w:r>
        <w:rPr>
          <w:rFonts w:hint="eastAsia" w:ascii="宋体" w:hAnsi="宋体" w:eastAsia="宋体" w:cs="宋体"/>
          <w:b/>
          <w:color w:val="auto"/>
          <w:sz w:val="32"/>
          <w:szCs w:val="32"/>
          <w:highlight w:val="none"/>
        </w:rPr>
        <w:t>工程施工招标</w:t>
      </w:r>
    </w:p>
    <w:p w14:paraId="207323FF">
      <w:pPr>
        <w:rPr>
          <w:rFonts w:hint="eastAsia" w:ascii="宋体" w:hAnsi="宋体" w:eastAsia="宋体" w:cs="宋体"/>
          <w:color w:val="auto"/>
          <w:highlight w:val="none"/>
        </w:rPr>
      </w:pPr>
    </w:p>
    <w:p w14:paraId="6BD07D66">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1C4B4081">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1B100B2B">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5BC20408">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3DDD376C">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投标文件</w:t>
      </w:r>
      <w:r>
        <w:rPr>
          <w:rFonts w:hint="eastAsia" w:ascii="宋体" w:hAnsi="宋体" w:eastAsia="宋体" w:cs="宋体"/>
          <w:b/>
          <w:color w:val="auto"/>
          <w:sz w:val="44"/>
          <w:szCs w:val="44"/>
          <w:highlight w:val="none"/>
          <w:lang w:val="en-US" w:eastAsia="zh-CN"/>
        </w:rPr>
        <w:t>经济标</w:t>
      </w:r>
    </w:p>
    <w:p w14:paraId="0606CAF2">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57E5892B">
      <w:pPr>
        <w:pageBreakBefore w:val="0"/>
        <w:kinsoku/>
        <w:wordWrap/>
        <w:topLinePunct w:val="0"/>
        <w:bidi w:val="0"/>
        <w:spacing w:beforeAutospacing="0" w:afterAutospacing="0" w:line="460" w:lineRule="exact"/>
        <w:jc w:val="center"/>
        <w:rPr>
          <w:rFonts w:hint="eastAsia" w:ascii="宋体" w:hAnsi="宋体" w:eastAsia="宋体" w:cs="宋体"/>
          <w:b/>
          <w:color w:val="auto"/>
          <w:sz w:val="44"/>
          <w:szCs w:val="44"/>
          <w:highlight w:val="none"/>
        </w:rPr>
      </w:pPr>
    </w:p>
    <w:p w14:paraId="14C59BCE">
      <w:pPr>
        <w:pageBreakBefore w:val="0"/>
        <w:kinsoku/>
        <w:wordWrap/>
        <w:topLinePunct w:val="0"/>
        <w:bidi w:val="0"/>
        <w:spacing w:beforeAutospacing="0" w:afterAutospacing="0" w:line="460" w:lineRule="exact"/>
        <w:jc w:val="center"/>
        <w:rPr>
          <w:rFonts w:hint="eastAsia" w:ascii="宋体" w:hAnsi="宋体" w:eastAsia="宋体" w:cs="宋体"/>
          <w:b/>
          <w:color w:val="auto"/>
          <w:sz w:val="24"/>
          <w:highlight w:val="none"/>
        </w:rPr>
      </w:pPr>
    </w:p>
    <w:p w14:paraId="2522E05D">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p>
    <w:p w14:paraId="7582AC35">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  标  人：</w:t>
      </w:r>
      <w:r>
        <w:rPr>
          <w:rFonts w:hint="eastAsia" w:ascii="宋体" w:hAnsi="宋体" w:eastAsia="宋体" w:cs="宋体"/>
          <w:b/>
          <w:color w:val="auto"/>
          <w:sz w:val="28"/>
          <w:szCs w:val="28"/>
          <w:highlight w:val="none"/>
          <w:u w:val="single"/>
        </w:rPr>
        <w:t xml:space="preserve">            （盖公章）        </w:t>
      </w:r>
    </w:p>
    <w:p w14:paraId="41433EA0">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p>
    <w:p w14:paraId="2BF5508F">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 定 代 表 人</w:t>
      </w:r>
    </w:p>
    <w:p w14:paraId="3C96BD38">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或其委托代理人：</w:t>
      </w:r>
      <w:r>
        <w:rPr>
          <w:rFonts w:hint="eastAsia" w:ascii="宋体" w:hAnsi="宋体" w:eastAsia="宋体" w:cs="宋体"/>
          <w:b/>
          <w:color w:val="auto"/>
          <w:sz w:val="28"/>
          <w:szCs w:val="28"/>
          <w:highlight w:val="none"/>
          <w:u w:val="single"/>
        </w:rPr>
        <w:t xml:space="preserve">        （签字或盖章）    </w:t>
      </w:r>
    </w:p>
    <w:p w14:paraId="7BA57C41">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p>
    <w:p w14:paraId="0CDA3AB3">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rPr>
      </w:pPr>
    </w:p>
    <w:p w14:paraId="300525E0">
      <w:pPr>
        <w:pageBreakBefore w:val="0"/>
        <w:kinsoku/>
        <w:wordWrap/>
        <w:topLinePunct w:val="0"/>
        <w:bidi w:val="0"/>
        <w:snapToGrid w:val="0"/>
        <w:spacing w:beforeAutospacing="0" w:afterAutospacing="0" w:line="460" w:lineRule="exact"/>
        <w:ind w:firstLine="562" w:firstLineChars="2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月</w:t>
      </w:r>
      <w:r>
        <w:rPr>
          <w:rFonts w:hint="eastAsia" w:ascii="宋体" w:hAnsi="宋体" w:eastAsia="宋体" w:cs="宋体"/>
          <w:b/>
          <w:color w:val="auto"/>
          <w:sz w:val="28"/>
          <w:szCs w:val="28"/>
          <w:highlight w:val="none"/>
          <w:u w:val="single"/>
        </w:rPr>
        <w:t xml:space="preserve">    </w:t>
      </w:r>
    </w:p>
    <w:p w14:paraId="2B2F136E">
      <w:pPr>
        <w:pageBreakBefore w:val="0"/>
        <w:kinsoku/>
        <w:wordWrap/>
        <w:topLinePunct w:val="0"/>
        <w:bidi w:val="0"/>
        <w:snapToGrid w:val="0"/>
        <w:spacing w:beforeAutospacing="0" w:afterAutospacing="0" w:line="460" w:lineRule="exact"/>
        <w:rPr>
          <w:rFonts w:hint="eastAsia" w:ascii="宋体" w:hAnsi="宋体" w:eastAsia="宋体" w:cs="宋体"/>
          <w:b/>
          <w:color w:val="auto"/>
          <w:sz w:val="28"/>
          <w:szCs w:val="28"/>
          <w:highlight w:val="none"/>
          <w:u w:val="single"/>
        </w:rPr>
      </w:pPr>
    </w:p>
    <w:p w14:paraId="2B70B47D">
      <w:pPr>
        <w:rPr>
          <w:rStyle w:val="33"/>
          <w:rFonts w:hint="eastAsia" w:ascii="宋体" w:hAnsi="宋体" w:eastAsia="宋体" w:cs="宋体"/>
          <w:color w:val="auto"/>
          <w:highlight w:val="none"/>
        </w:rPr>
      </w:pPr>
      <w:r>
        <w:rPr>
          <w:rStyle w:val="33"/>
          <w:rFonts w:hint="eastAsia" w:ascii="宋体" w:hAnsi="宋体" w:eastAsia="宋体" w:cs="宋体"/>
          <w:color w:val="auto"/>
          <w:highlight w:val="none"/>
        </w:rPr>
        <w:br w:type="page"/>
      </w:r>
    </w:p>
    <w:p w14:paraId="685B11BB">
      <w:pPr>
        <w:rPr>
          <w:rFonts w:hint="eastAsia" w:ascii="宋体" w:hAnsi="宋体" w:eastAsia="宋体" w:cs="宋体"/>
          <w:color w:val="auto"/>
          <w:sz w:val="24"/>
          <w:szCs w:val="24"/>
          <w:highlight w:val="none"/>
          <w:lang w:val="zh-CN"/>
        </w:rPr>
      </w:pPr>
      <w:r>
        <w:rPr>
          <w:rStyle w:val="33"/>
          <w:rFonts w:hint="eastAsia" w:ascii="宋体" w:hAnsi="宋体" w:eastAsia="宋体" w:cs="宋体"/>
          <w:color w:val="auto"/>
          <w:highlight w:val="none"/>
        </w:rPr>
        <w:t>经济标目录</w:t>
      </w:r>
    </w:p>
    <w:p w14:paraId="27561A4D">
      <w:pPr>
        <w:spacing w:line="440" w:lineRule="exac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1、投标总价封面</w:t>
      </w:r>
    </w:p>
    <w:p w14:paraId="2197CB5D">
      <w:pPr>
        <w:spacing w:line="440" w:lineRule="exact"/>
        <w:outlineLvl w:val="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投标总价</w:t>
      </w:r>
    </w:p>
    <w:p w14:paraId="2658ADA7">
      <w:pPr>
        <w:spacing w:line="440" w:lineRule="exact"/>
        <w:outlineLvl w:val="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3、投标报价</w:t>
      </w:r>
      <w:r>
        <w:rPr>
          <w:rFonts w:hint="eastAsia" w:ascii="宋体" w:hAnsi="宋体" w:eastAsia="宋体" w:cs="宋体"/>
          <w:color w:val="auto"/>
          <w:sz w:val="24"/>
          <w:szCs w:val="24"/>
          <w:highlight w:val="none"/>
          <w:lang w:val="zh-CN"/>
        </w:rPr>
        <w:t xml:space="preserve">总说明 </w:t>
      </w:r>
    </w:p>
    <w:p w14:paraId="43B4E7A3">
      <w:pPr>
        <w:spacing w:line="440" w:lineRule="exact"/>
        <w:outlineLvl w:val="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4、建设项目投标报价汇总表</w:t>
      </w:r>
    </w:p>
    <w:p w14:paraId="7C706250">
      <w:pPr>
        <w:spacing w:line="440" w:lineRule="exact"/>
        <w:outlineLvl w:val="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单项工程投标报价汇总表</w:t>
      </w:r>
    </w:p>
    <w:p w14:paraId="649B514D">
      <w:pPr>
        <w:spacing w:line="440" w:lineRule="exact"/>
        <w:outlineLvl w:val="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单位工程投标报价汇总表</w:t>
      </w:r>
    </w:p>
    <w:p w14:paraId="7F5AB6EF">
      <w:pPr>
        <w:spacing w:line="440" w:lineRule="exact"/>
        <w:outlineLvl w:val="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7、分部分项工程和单价措施项目清单与计价表</w:t>
      </w:r>
    </w:p>
    <w:p w14:paraId="3BBBBE4C">
      <w:pPr>
        <w:spacing w:line="440" w:lineRule="exact"/>
        <w:outlineLvl w:val="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总价措施项目清单与计价表</w:t>
      </w:r>
    </w:p>
    <w:p w14:paraId="4F433F34">
      <w:pPr>
        <w:spacing w:line="440" w:lineRule="exact"/>
        <w:outlineLvl w:val="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、其他项目清单与计价汇总表</w:t>
      </w:r>
    </w:p>
    <w:p w14:paraId="7196EAB3">
      <w:pPr>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.1暂列金额明细表</w:t>
      </w:r>
    </w:p>
    <w:p w14:paraId="35BF172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.2材料（工程设备）暂估单价及调整表</w:t>
      </w:r>
    </w:p>
    <w:p w14:paraId="69BEC4F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.3专业工程暂估价表</w:t>
      </w:r>
    </w:p>
    <w:p w14:paraId="30AE16C3">
      <w:pPr>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计日工表</w:t>
      </w:r>
    </w:p>
    <w:p w14:paraId="4C03D40E">
      <w:pPr>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总承包服务费计价表</w:t>
      </w:r>
    </w:p>
    <w:p w14:paraId="698DFFED">
      <w:pPr>
        <w:spacing w:line="440" w:lineRule="exac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、规费、税金项目计价表</w:t>
      </w:r>
    </w:p>
    <w:p w14:paraId="4E5AE259">
      <w:pPr>
        <w:autoSpaceDE w:val="0"/>
        <w:autoSpaceDN w:val="0"/>
        <w:adjustRightInd w:val="0"/>
        <w:rPr>
          <w:rFonts w:hint="eastAsia" w:ascii="宋体" w:hAnsi="宋体" w:eastAsia="宋体" w:cs="宋体"/>
          <w:color w:val="auto"/>
          <w:sz w:val="24"/>
          <w:szCs w:val="24"/>
          <w:highlight w:val="none"/>
          <w:lang w:val="zh-CN"/>
        </w:rPr>
      </w:pPr>
    </w:p>
    <w:p w14:paraId="24913A20">
      <w:pPr>
        <w:pageBreakBefore w:val="0"/>
        <w:kinsoku/>
        <w:wordWrap/>
        <w:topLinePunct w:val="0"/>
        <w:bidi w:val="0"/>
        <w:spacing w:beforeAutospacing="0" w:afterAutospacing="0" w:line="460" w:lineRule="exact"/>
        <w:rPr>
          <w:rFonts w:hint="eastAsia" w:ascii="宋体" w:hAnsi="宋体" w:eastAsia="宋体" w:cs="宋体"/>
          <w:color w:val="auto"/>
          <w:highlight w:val="none"/>
        </w:rPr>
      </w:pPr>
    </w:p>
    <w:p w14:paraId="1F0BF8EB">
      <w:pPr>
        <w:pageBreakBefore w:val="0"/>
        <w:kinsoku/>
        <w:wordWrap/>
        <w:topLinePunct w:val="0"/>
        <w:bidi w:val="0"/>
        <w:spacing w:beforeAutospacing="0" w:afterAutospacing="0" w:line="460" w:lineRule="exact"/>
        <w:rPr>
          <w:rFonts w:hint="eastAsia" w:ascii="宋体" w:hAnsi="宋体" w:eastAsia="宋体" w:cs="宋体"/>
          <w:color w:val="auto"/>
          <w:highlight w:val="none"/>
        </w:rPr>
      </w:pPr>
    </w:p>
    <w:p w14:paraId="309B7044">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AA65F6D">
      <w:pPr>
        <w:autoSpaceDE w:val="0"/>
        <w:autoSpaceDN w:val="0"/>
        <w:adjustRightInd w:val="0"/>
        <w:snapToGrid w:val="0"/>
        <w:spacing w:line="360" w:lineRule="auto"/>
        <w:ind w:firstLine="482" w:firstLineChars="200"/>
        <w:jc w:val="center"/>
        <w:outlineLvl w:val="1"/>
        <w:rPr>
          <w:rFonts w:hint="eastAsia" w:ascii="宋体" w:hAnsi="宋体" w:eastAsia="宋体" w:cs="宋体"/>
          <w:b/>
          <w:bCs/>
          <w:color w:val="auto"/>
          <w:sz w:val="24"/>
          <w:szCs w:val="24"/>
          <w:highlight w:val="none"/>
          <w:lang w:val="zh-CN"/>
        </w:rPr>
      </w:pPr>
      <w:bookmarkStart w:id="993" w:name="_Toc14612"/>
      <w:r>
        <w:rPr>
          <w:rFonts w:hint="eastAsia" w:ascii="宋体" w:hAnsi="宋体" w:eastAsia="宋体" w:cs="宋体"/>
          <w:b/>
          <w:bCs/>
          <w:color w:val="auto"/>
          <w:sz w:val="24"/>
          <w:szCs w:val="24"/>
          <w:highlight w:val="none"/>
          <w:lang w:val="zh-CN"/>
        </w:rPr>
        <w:t>投标总价</w:t>
      </w:r>
      <w:bookmarkEnd w:id="993"/>
    </w:p>
    <w:p w14:paraId="551506F6">
      <w:pPr>
        <w:autoSpaceDE w:val="0"/>
        <w:autoSpaceDN w:val="0"/>
        <w:adjustRightInd w:val="0"/>
        <w:snapToGrid w:val="0"/>
        <w:spacing w:line="360" w:lineRule="auto"/>
        <w:jc w:val="right"/>
        <w:rPr>
          <w:rFonts w:hint="eastAsia" w:ascii="宋体" w:hAnsi="宋体" w:eastAsia="宋体" w:cs="宋体"/>
          <w:b/>
          <w:color w:val="auto"/>
          <w:sz w:val="24"/>
          <w:szCs w:val="24"/>
          <w:highlight w:val="none"/>
          <w:lang w:val="zh-CN"/>
        </w:rPr>
      </w:pPr>
    </w:p>
    <w:p w14:paraId="4E828C2E">
      <w:pPr>
        <w:autoSpaceDE w:val="0"/>
        <w:autoSpaceDN w:val="0"/>
        <w:adjustRightInd w:val="0"/>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招标人：</w:t>
      </w:r>
    </w:p>
    <w:p w14:paraId="341F0ADE">
      <w:pPr>
        <w:autoSpaceDE w:val="0"/>
        <w:autoSpaceDN w:val="0"/>
        <w:adjustRightInd w:val="0"/>
        <w:snapToGrid w:val="0"/>
        <w:spacing w:line="360" w:lineRule="auto"/>
        <w:rPr>
          <w:rFonts w:hint="eastAsia" w:ascii="宋体" w:hAnsi="宋体" w:eastAsia="宋体" w:cs="宋体"/>
          <w:color w:val="auto"/>
          <w:sz w:val="24"/>
          <w:szCs w:val="24"/>
          <w:highlight w:val="none"/>
          <w:u w:val="single"/>
          <w:lang w:val="zh-CN"/>
        </w:rPr>
      </w:pPr>
    </w:p>
    <w:p w14:paraId="0D266EF2">
      <w:pPr>
        <w:autoSpaceDE w:val="0"/>
        <w:autoSpaceDN w:val="0"/>
        <w:adjustRightInd w:val="0"/>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工程名称：</w:t>
      </w:r>
    </w:p>
    <w:p w14:paraId="31F777D3">
      <w:pPr>
        <w:autoSpaceDE w:val="0"/>
        <w:autoSpaceDN w:val="0"/>
        <w:adjustRightInd w:val="0"/>
        <w:snapToGrid w:val="0"/>
        <w:spacing w:line="360" w:lineRule="auto"/>
        <w:rPr>
          <w:rFonts w:hint="eastAsia" w:ascii="宋体" w:hAnsi="宋体" w:eastAsia="宋体" w:cs="宋体"/>
          <w:color w:val="auto"/>
          <w:sz w:val="24"/>
          <w:szCs w:val="24"/>
          <w:highlight w:val="none"/>
          <w:u w:val="single"/>
          <w:lang w:val="zh-CN"/>
        </w:rPr>
      </w:pPr>
    </w:p>
    <w:p w14:paraId="0B42CFC0">
      <w:pPr>
        <w:autoSpaceDE w:val="0"/>
        <w:autoSpaceDN w:val="0"/>
        <w:adjustRightInd w:val="0"/>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投标总价（小写）：</w:t>
      </w:r>
    </w:p>
    <w:p w14:paraId="25399BD7">
      <w:pPr>
        <w:autoSpaceDE w:val="0"/>
        <w:autoSpaceDN w:val="0"/>
        <w:adjustRightInd w:val="0"/>
        <w:snapToGrid w:val="0"/>
        <w:spacing w:line="360" w:lineRule="auto"/>
        <w:rPr>
          <w:rFonts w:hint="eastAsia" w:ascii="宋体" w:hAnsi="宋体" w:eastAsia="宋体" w:cs="宋体"/>
          <w:color w:val="auto"/>
          <w:sz w:val="24"/>
          <w:szCs w:val="24"/>
          <w:highlight w:val="none"/>
          <w:u w:val="single"/>
          <w:lang w:val="zh-CN"/>
        </w:rPr>
      </w:pPr>
    </w:p>
    <w:p w14:paraId="7F2609AA">
      <w:pPr>
        <w:autoSpaceDE w:val="0"/>
        <w:autoSpaceDN w:val="0"/>
        <w:adjustRightInd w:val="0"/>
        <w:snapToGrid w:val="0"/>
        <w:spacing w:line="360" w:lineRule="auto"/>
        <w:ind w:firstLine="84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（大写）：</w:t>
      </w:r>
    </w:p>
    <w:p w14:paraId="0374F413">
      <w:pPr>
        <w:autoSpaceDE w:val="0"/>
        <w:autoSpaceDN w:val="0"/>
        <w:adjustRightInd w:val="0"/>
        <w:snapToGrid w:val="0"/>
        <w:spacing w:line="360" w:lineRule="auto"/>
        <w:ind w:firstLine="840"/>
        <w:rPr>
          <w:rFonts w:hint="eastAsia" w:ascii="宋体" w:hAnsi="宋体" w:eastAsia="宋体" w:cs="宋体"/>
          <w:color w:val="auto"/>
          <w:sz w:val="24"/>
          <w:szCs w:val="24"/>
          <w:highlight w:val="none"/>
          <w:u w:val="single"/>
          <w:lang w:val="zh-CN"/>
        </w:rPr>
      </w:pPr>
    </w:p>
    <w:p w14:paraId="7D92087A">
      <w:pPr>
        <w:autoSpaceDE w:val="0"/>
        <w:autoSpaceDN w:val="0"/>
        <w:adjustRightInd w:val="0"/>
        <w:snapToGrid w:val="0"/>
        <w:spacing w:line="360" w:lineRule="auto"/>
        <w:ind w:firstLine="840"/>
        <w:rPr>
          <w:rFonts w:hint="eastAsia" w:ascii="宋体" w:hAnsi="宋体" w:eastAsia="宋体" w:cs="宋体"/>
          <w:color w:val="auto"/>
          <w:sz w:val="24"/>
          <w:szCs w:val="24"/>
          <w:highlight w:val="none"/>
          <w:u w:val="single"/>
          <w:lang w:val="zh-CN"/>
        </w:rPr>
      </w:pPr>
    </w:p>
    <w:p w14:paraId="0420CDF1">
      <w:pPr>
        <w:autoSpaceDE w:val="0"/>
        <w:autoSpaceDN w:val="0"/>
        <w:adjustRightInd w:val="0"/>
        <w:snapToGrid w:val="0"/>
        <w:spacing w:line="360" w:lineRule="auto"/>
        <w:rPr>
          <w:rFonts w:hint="eastAsia" w:ascii="宋体" w:hAnsi="宋体" w:eastAsia="宋体" w:cs="宋体"/>
          <w:color w:val="auto"/>
          <w:sz w:val="24"/>
          <w:szCs w:val="24"/>
          <w:highlight w:val="none"/>
          <w:u w:val="single"/>
          <w:lang w:val="zh-CN"/>
        </w:rPr>
      </w:pPr>
    </w:p>
    <w:p w14:paraId="156C7DD0">
      <w:pPr>
        <w:autoSpaceDE w:val="0"/>
        <w:autoSpaceDN w:val="0"/>
        <w:adjustRightInd w:val="0"/>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投标人：</w:t>
      </w:r>
    </w:p>
    <w:p w14:paraId="616F5D89">
      <w:pPr>
        <w:autoSpaceDE w:val="0"/>
        <w:autoSpaceDN w:val="0"/>
        <w:adjustRightInd w:val="0"/>
        <w:snapToGrid w:val="0"/>
        <w:spacing w:line="360" w:lineRule="auto"/>
        <w:ind w:firstLine="4643"/>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（单位盖章）</w:t>
      </w:r>
    </w:p>
    <w:p w14:paraId="31BDB747">
      <w:pPr>
        <w:autoSpaceDE w:val="0"/>
        <w:autoSpaceDN w:val="0"/>
        <w:adjustRightInd w:val="0"/>
        <w:snapToGrid w:val="0"/>
        <w:spacing w:line="360" w:lineRule="auto"/>
        <w:ind w:firstLine="4643"/>
        <w:rPr>
          <w:rFonts w:hint="eastAsia" w:ascii="宋体" w:hAnsi="宋体" w:eastAsia="宋体" w:cs="宋体"/>
          <w:color w:val="auto"/>
          <w:sz w:val="24"/>
          <w:szCs w:val="24"/>
          <w:highlight w:val="none"/>
          <w:lang w:val="zh-CN"/>
        </w:rPr>
      </w:pPr>
    </w:p>
    <w:p w14:paraId="3BB421C4">
      <w:pPr>
        <w:autoSpaceDE w:val="0"/>
        <w:autoSpaceDN w:val="0"/>
        <w:adjustRightInd w:val="0"/>
        <w:snapToGrid w:val="0"/>
        <w:spacing w:line="360" w:lineRule="auto"/>
        <w:ind w:firstLine="4643"/>
        <w:rPr>
          <w:rFonts w:hint="eastAsia" w:ascii="宋体" w:hAnsi="宋体" w:eastAsia="宋体" w:cs="宋体"/>
          <w:color w:val="auto"/>
          <w:sz w:val="24"/>
          <w:szCs w:val="24"/>
          <w:highlight w:val="none"/>
          <w:lang w:val="zh-CN"/>
        </w:rPr>
      </w:pPr>
    </w:p>
    <w:p w14:paraId="579CC33E">
      <w:pPr>
        <w:autoSpaceDE w:val="0"/>
        <w:autoSpaceDN w:val="0"/>
        <w:adjustRightInd w:val="0"/>
        <w:snapToGrid w:val="0"/>
        <w:spacing w:line="360" w:lineRule="auto"/>
        <w:ind w:firstLine="4643"/>
        <w:rPr>
          <w:rFonts w:hint="eastAsia" w:ascii="宋体" w:hAnsi="宋体" w:eastAsia="宋体" w:cs="宋体"/>
          <w:color w:val="auto"/>
          <w:sz w:val="24"/>
          <w:szCs w:val="24"/>
          <w:highlight w:val="none"/>
          <w:lang w:val="zh-CN"/>
        </w:rPr>
      </w:pPr>
    </w:p>
    <w:p w14:paraId="1F4DDE51">
      <w:pPr>
        <w:autoSpaceDE w:val="0"/>
        <w:autoSpaceDN w:val="0"/>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w:t>
      </w:r>
    </w:p>
    <w:p w14:paraId="50686A21">
      <w:pPr>
        <w:autoSpaceDE w:val="0"/>
        <w:autoSpaceDN w:val="0"/>
        <w:adjustRightInd w:val="0"/>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或其委托代理人：</w:t>
      </w:r>
    </w:p>
    <w:p w14:paraId="5F50F55F">
      <w:pPr>
        <w:autoSpaceDE w:val="0"/>
        <w:autoSpaceDN w:val="0"/>
        <w:adjustRightInd w:val="0"/>
        <w:snapToGrid w:val="0"/>
        <w:spacing w:line="360" w:lineRule="auto"/>
        <w:ind w:firstLine="4643"/>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（签字或盖章）</w:t>
      </w:r>
    </w:p>
    <w:p w14:paraId="34102604">
      <w:pPr>
        <w:autoSpaceDE w:val="0"/>
        <w:autoSpaceDN w:val="0"/>
        <w:adjustRightInd w:val="0"/>
        <w:snapToGrid w:val="0"/>
        <w:spacing w:line="360" w:lineRule="auto"/>
        <w:ind w:firstLine="4643"/>
        <w:rPr>
          <w:rFonts w:hint="eastAsia" w:ascii="宋体" w:hAnsi="宋体" w:eastAsia="宋体" w:cs="宋体"/>
          <w:color w:val="auto"/>
          <w:sz w:val="24"/>
          <w:szCs w:val="24"/>
          <w:highlight w:val="none"/>
          <w:lang w:val="zh-CN"/>
        </w:rPr>
      </w:pPr>
    </w:p>
    <w:p w14:paraId="53329BE1">
      <w:pPr>
        <w:autoSpaceDE w:val="0"/>
        <w:autoSpaceDN w:val="0"/>
        <w:adjustRightInd w:val="0"/>
        <w:snapToGrid w:val="0"/>
        <w:spacing w:line="360" w:lineRule="auto"/>
        <w:ind w:firstLine="4643"/>
        <w:rPr>
          <w:rFonts w:hint="eastAsia" w:ascii="宋体" w:hAnsi="宋体" w:eastAsia="宋体" w:cs="宋体"/>
          <w:color w:val="auto"/>
          <w:sz w:val="24"/>
          <w:szCs w:val="24"/>
          <w:highlight w:val="none"/>
          <w:lang w:val="zh-CN"/>
        </w:rPr>
      </w:pPr>
    </w:p>
    <w:p w14:paraId="3B9ADD8B">
      <w:pPr>
        <w:autoSpaceDE w:val="0"/>
        <w:autoSpaceDN w:val="0"/>
        <w:adjustRightInd w:val="0"/>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编制人：</w:t>
      </w:r>
    </w:p>
    <w:p w14:paraId="09CC4F0A">
      <w:pPr>
        <w:autoSpaceDE w:val="0"/>
        <w:autoSpaceDN w:val="0"/>
        <w:adjustRightInd w:val="0"/>
        <w:snapToGrid w:val="0"/>
        <w:spacing w:line="360" w:lineRule="auto"/>
        <w:ind w:firstLine="4643"/>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（造价人员签字盖专用章）</w:t>
      </w:r>
    </w:p>
    <w:p w14:paraId="6B50B7C7">
      <w:pPr>
        <w:autoSpaceDE w:val="0"/>
        <w:autoSpaceDN w:val="0"/>
        <w:adjustRightInd w:val="0"/>
        <w:snapToGrid w:val="0"/>
        <w:spacing w:line="360" w:lineRule="auto"/>
        <w:rPr>
          <w:rFonts w:hint="eastAsia" w:ascii="宋体" w:hAnsi="宋体" w:eastAsia="宋体" w:cs="宋体"/>
          <w:color w:val="auto"/>
          <w:sz w:val="24"/>
          <w:szCs w:val="24"/>
          <w:highlight w:val="none"/>
          <w:lang w:val="zh-CN"/>
        </w:rPr>
      </w:pPr>
    </w:p>
    <w:p w14:paraId="315A6D95">
      <w:pPr>
        <w:autoSpaceDE w:val="0"/>
        <w:autoSpaceDN w:val="0"/>
        <w:adjustRightInd w:val="0"/>
        <w:snapToGrid w:val="0"/>
        <w:spacing w:line="360" w:lineRule="auto"/>
        <w:ind w:left="420" w:hanging="420"/>
        <w:jc w:val="center"/>
        <w:rPr>
          <w:rFonts w:hint="eastAsia" w:ascii="宋体" w:hAnsi="宋体" w:eastAsia="宋体" w:cs="宋体"/>
          <w:color w:val="auto"/>
          <w:sz w:val="24"/>
          <w:szCs w:val="24"/>
          <w:highlight w:val="none"/>
          <w:lang w:val="zh-CN"/>
        </w:rPr>
      </w:pPr>
    </w:p>
    <w:p w14:paraId="4E5C4014">
      <w:pPr>
        <w:autoSpaceDE w:val="0"/>
        <w:autoSpaceDN w:val="0"/>
        <w:adjustRightInd w:val="0"/>
        <w:snapToGrid w:val="0"/>
        <w:spacing w:line="360" w:lineRule="auto"/>
        <w:ind w:left="420" w:hanging="420"/>
        <w:jc w:val="center"/>
        <w:rPr>
          <w:rFonts w:hint="eastAsia" w:ascii="宋体" w:hAnsi="宋体" w:eastAsia="宋体" w:cs="宋体"/>
          <w:color w:val="auto"/>
          <w:sz w:val="24"/>
          <w:szCs w:val="24"/>
          <w:highlight w:val="none"/>
          <w:lang w:val="zh-CN"/>
        </w:rPr>
      </w:pPr>
    </w:p>
    <w:p w14:paraId="7AB034A3">
      <w:pPr>
        <w:autoSpaceDE w:val="0"/>
        <w:autoSpaceDN w:val="0"/>
        <w:adjustRightInd w:val="0"/>
        <w:snapToGrid w:val="0"/>
        <w:spacing w:line="360" w:lineRule="auto"/>
        <w:ind w:left="420" w:hanging="420"/>
        <w:jc w:val="center"/>
        <w:rPr>
          <w:rFonts w:hint="eastAsia" w:ascii="宋体" w:hAnsi="宋体" w:eastAsia="宋体" w:cs="宋体"/>
          <w:color w:val="auto"/>
          <w:sz w:val="24"/>
          <w:szCs w:val="24"/>
          <w:highlight w:val="none"/>
          <w:lang w:val="zh-CN"/>
        </w:rPr>
      </w:pPr>
    </w:p>
    <w:p w14:paraId="527D396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4"/>
          <w:szCs w:val="24"/>
          <w:highlight w:val="none"/>
          <w:lang w:val="zh-CN"/>
        </w:rPr>
        <w:t>编制时间:         年月日</w:t>
      </w:r>
    </w:p>
    <w:p w14:paraId="533949F5">
      <w:pPr>
        <w:jc w:val="center"/>
        <w:rPr>
          <w:rFonts w:hint="eastAsia" w:ascii="宋体" w:hAnsi="宋体" w:eastAsia="宋体" w:cs="宋体"/>
          <w:color w:val="auto"/>
          <w:highlight w:val="none"/>
          <w:lang w:val="zh-CN"/>
        </w:rPr>
      </w:pPr>
    </w:p>
    <w:p w14:paraId="729A2CAD">
      <w:pPr>
        <w:pStyle w:val="34"/>
        <w:jc w:val="center"/>
        <w:rPr>
          <w:rFonts w:hint="eastAsia" w:ascii="宋体" w:hAnsi="宋体" w:eastAsia="宋体" w:cs="宋体"/>
          <w:b/>
          <w:bCs/>
          <w:color w:val="auto"/>
          <w:highlight w:val="none"/>
          <w:lang w:val="en-US" w:eastAsia="zh-CN"/>
        </w:rPr>
      </w:pPr>
    </w:p>
    <w:p w14:paraId="34D5F5EF">
      <w:pPr>
        <w:pStyle w:val="34"/>
        <w:jc w:val="center"/>
        <w:rPr>
          <w:rFonts w:hint="eastAsia" w:ascii="宋体" w:hAnsi="宋体" w:eastAsia="宋体" w:cs="宋体"/>
          <w:b/>
          <w:bCs/>
          <w:color w:val="auto"/>
          <w:highlight w:val="none"/>
          <w:lang w:val="en-US" w:eastAsia="zh-CN"/>
        </w:rPr>
      </w:pPr>
    </w:p>
    <w:p w14:paraId="2EF88B32">
      <w:pPr>
        <w:pStyle w:val="34"/>
        <w:jc w:val="center"/>
        <w:rPr>
          <w:rFonts w:hint="eastAsia" w:ascii="宋体" w:hAnsi="宋体" w:eastAsia="宋体" w:cs="宋体"/>
          <w:b/>
          <w:bCs/>
          <w:color w:val="auto"/>
          <w:sz w:val="24"/>
          <w:szCs w:val="28"/>
          <w:highlight w:val="none"/>
          <w:lang w:val="en-US" w:eastAsia="zh-CN"/>
        </w:rPr>
      </w:pPr>
    </w:p>
    <w:p w14:paraId="35BFFDED">
      <w:pPr>
        <w:pStyle w:val="34"/>
        <w:jc w:val="center"/>
        <w:rPr>
          <w:rFonts w:hint="eastAsia" w:ascii="宋体" w:hAnsi="宋体" w:eastAsia="宋体" w:cs="宋体"/>
          <w:b/>
          <w:bCs/>
          <w:color w:val="auto"/>
          <w:sz w:val="24"/>
          <w:szCs w:val="28"/>
          <w:highlight w:val="none"/>
          <w:lang w:val="en-US" w:eastAsia="zh-CN"/>
        </w:rPr>
      </w:pPr>
      <w:r>
        <w:rPr>
          <w:rFonts w:hint="eastAsia" w:ascii="宋体" w:hAnsi="宋体" w:eastAsia="宋体" w:cs="宋体"/>
          <w:b/>
          <w:bCs/>
          <w:color w:val="auto"/>
          <w:sz w:val="24"/>
          <w:szCs w:val="28"/>
          <w:highlight w:val="none"/>
          <w:lang w:val="en-US" w:eastAsia="zh-CN"/>
        </w:rPr>
        <w:t>工程量清单另附</w:t>
      </w:r>
    </w:p>
    <w:p w14:paraId="322CC9BA">
      <w:pPr>
        <w:pStyle w:val="31"/>
        <w:rPr>
          <w:rFonts w:hint="eastAsia" w:ascii="宋体" w:hAnsi="宋体" w:eastAsia="宋体" w:cs="宋体"/>
          <w:color w:val="auto"/>
          <w:highlight w:val="none"/>
        </w:rPr>
      </w:pPr>
    </w:p>
    <w:p w14:paraId="5E1FEF4A">
      <w:pPr>
        <w:pageBreakBefore w:val="0"/>
        <w:kinsoku/>
        <w:wordWrap/>
        <w:topLinePunct w:val="0"/>
        <w:bidi w:val="0"/>
        <w:spacing w:beforeAutospacing="0" w:afterAutospacing="0" w:line="460" w:lineRule="exact"/>
        <w:jc w:val="center"/>
        <w:rPr>
          <w:rFonts w:hint="eastAsia" w:ascii="宋体" w:hAnsi="宋体" w:eastAsia="宋体" w:cs="宋体"/>
          <w:b/>
          <w:color w:val="auto"/>
          <w:sz w:val="56"/>
          <w:szCs w:val="56"/>
          <w:highlight w:val="none"/>
        </w:rPr>
      </w:pPr>
    </w:p>
    <w:p w14:paraId="4D3335D7">
      <w:pPr>
        <w:pageBreakBefore w:val="0"/>
        <w:kinsoku/>
        <w:wordWrap/>
        <w:topLinePunct w:val="0"/>
        <w:bidi w:val="0"/>
        <w:spacing w:beforeAutospacing="0" w:afterAutospacing="0" w:line="460" w:lineRule="exact"/>
        <w:jc w:val="center"/>
        <w:rPr>
          <w:rFonts w:hint="eastAsia" w:ascii="宋体" w:hAnsi="宋体" w:eastAsia="宋体" w:cs="宋体"/>
          <w:b/>
          <w:color w:val="auto"/>
          <w:sz w:val="56"/>
          <w:szCs w:val="56"/>
          <w:highlight w:val="none"/>
        </w:rPr>
      </w:pPr>
    </w:p>
    <w:p w14:paraId="42B973D0">
      <w:pPr>
        <w:pageBreakBefore w:val="0"/>
        <w:kinsoku/>
        <w:wordWrap/>
        <w:topLinePunct w:val="0"/>
        <w:bidi w:val="0"/>
        <w:spacing w:beforeAutospacing="0" w:afterAutospacing="0" w:line="460" w:lineRule="exact"/>
        <w:jc w:val="center"/>
        <w:rPr>
          <w:rFonts w:hint="eastAsia" w:ascii="宋体" w:hAnsi="宋体" w:eastAsia="宋体" w:cs="宋体"/>
          <w:b/>
          <w:color w:val="auto"/>
          <w:sz w:val="56"/>
          <w:szCs w:val="56"/>
          <w:highlight w:val="none"/>
        </w:rPr>
      </w:pPr>
    </w:p>
    <w:p w14:paraId="4DCF14C2">
      <w:pPr>
        <w:pageBreakBefore w:val="0"/>
        <w:kinsoku/>
        <w:wordWrap/>
        <w:topLinePunct w:val="0"/>
        <w:bidi w:val="0"/>
        <w:spacing w:beforeAutospacing="0" w:afterAutospacing="0" w:line="460" w:lineRule="exact"/>
        <w:jc w:val="center"/>
        <w:rPr>
          <w:rFonts w:hint="eastAsia" w:ascii="宋体" w:hAnsi="宋体" w:eastAsia="宋体" w:cs="宋体"/>
          <w:b/>
          <w:color w:val="auto"/>
          <w:sz w:val="56"/>
          <w:szCs w:val="56"/>
          <w:highlight w:val="none"/>
        </w:rPr>
      </w:pPr>
    </w:p>
    <w:p w14:paraId="1D2E00B5">
      <w:pPr>
        <w:pageBreakBefore w:val="0"/>
        <w:kinsoku/>
        <w:wordWrap/>
        <w:topLinePunct w:val="0"/>
        <w:bidi w:val="0"/>
        <w:spacing w:beforeAutospacing="0" w:afterAutospacing="0" w:line="460" w:lineRule="exact"/>
        <w:jc w:val="center"/>
        <w:rPr>
          <w:rFonts w:hint="eastAsia" w:ascii="宋体" w:hAnsi="宋体" w:eastAsia="宋体" w:cs="宋体"/>
          <w:b/>
          <w:color w:val="auto"/>
          <w:sz w:val="56"/>
          <w:szCs w:val="56"/>
          <w:highlight w:val="none"/>
        </w:rPr>
      </w:pPr>
    </w:p>
    <w:p w14:paraId="2633A298">
      <w:pPr>
        <w:pageBreakBefore w:val="0"/>
        <w:kinsoku/>
        <w:wordWrap/>
        <w:topLinePunct w:val="0"/>
        <w:bidi w:val="0"/>
        <w:spacing w:beforeAutospacing="0" w:afterAutospacing="0" w:line="460" w:lineRule="exact"/>
        <w:jc w:val="center"/>
        <w:rPr>
          <w:rFonts w:hint="eastAsia" w:ascii="宋体" w:hAnsi="宋体" w:eastAsia="宋体" w:cs="宋体"/>
          <w:b/>
          <w:color w:val="auto"/>
          <w:sz w:val="56"/>
          <w:szCs w:val="56"/>
          <w:highlight w:val="none"/>
          <w:lang w:val="en-US" w:eastAsia="zh-CN"/>
        </w:rPr>
      </w:pPr>
    </w:p>
    <w:p w14:paraId="1BF45E1C">
      <w:pPr>
        <w:pageBreakBefore w:val="0"/>
        <w:kinsoku/>
        <w:wordWrap/>
        <w:topLinePunct w:val="0"/>
        <w:bidi w:val="0"/>
        <w:spacing w:beforeAutospacing="0" w:afterAutospacing="0" w:line="460" w:lineRule="exact"/>
        <w:ind w:left="0" w:leftChars="0" w:right="0"/>
        <w:jc w:val="center"/>
        <w:rPr>
          <w:rFonts w:hint="eastAsia" w:ascii="宋体" w:hAnsi="宋体" w:eastAsia="宋体" w:cs="宋体"/>
          <w:b/>
          <w:color w:val="auto"/>
          <w:sz w:val="56"/>
          <w:szCs w:val="56"/>
          <w:highlight w:val="none"/>
          <w:lang w:val="en-US" w:eastAsia="zh-CN"/>
        </w:rPr>
      </w:pPr>
    </w:p>
    <w:sectPr>
      <w:headerReference r:id="rId16" w:type="default"/>
      <w:footerReference r:id="rId1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6713">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F9A9EE">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7F9A9EE">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4C1D6">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D5E234">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68D5E234">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80603">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DD5783">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7ADD5783">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567E6">
    <w:pPr>
      <w:pStyle w:val="17"/>
      <w:rPr>
        <w:rFonts w:ascii="Times New Roman" w:hAnsi="Times New Roman"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C67DD1">
                          <w:pPr>
                            <w:pStyle w:val="1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10C67DD1">
                    <w:pPr>
                      <w:pStyle w:val="1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EAEA7">
    <w:pPr>
      <w:tabs>
        <w:tab w:val="center" w:pos="441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F0CA66">
                          <w:pPr>
                            <w:pStyle w:val="1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5BF0CA66">
                    <w:pPr>
                      <w:pStyle w:val="17"/>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E16B3">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FF6A76">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1EFF6A76">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D562">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7D56A6">
                          <w:pPr>
                            <w:pStyle w:val="1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067D56A6">
                    <w:pPr>
                      <w:pStyle w:val="1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0CF87">
    <w:pPr>
      <w:pStyle w:val="17"/>
      <w:pBdr>
        <w:top w:val="dashDotStroked" w:color="auto" w:sz="24" w:space="0"/>
      </w:pBdr>
    </w:pPr>
    <w:r>
      <w:rPr>
        <w:rFonts w:hint="eastAsia"/>
        <w:b/>
        <w:i/>
      </w:rPr>
      <w:t>电话：0991-8897121传真：0991-8897121</w:t>
    </w:r>
    <w:r>
      <w:rPr>
        <w:rFonts w:hint="eastAsia"/>
        <w:b/>
      </w:rPr>
      <w:t xml:space="preserve">   </w:t>
    </w:r>
    <w:r>
      <w:rPr>
        <w:b/>
      </w:rPr>
      <w:t xml:space="preserve">    </w:t>
    </w:r>
    <w:r>
      <w:rPr>
        <w:rFonts w:hint="eastAsia"/>
        <w:b/>
      </w:rPr>
      <w:t xml:space="preserve">                                                  </w:t>
    </w:r>
    <w:r>
      <w:rPr>
        <w:rFonts w:hint="eastAsia"/>
        <w:b/>
        <w:i/>
        <w:lang w:eastAsia="zh-CN"/>
      </w:rPr>
      <w:t>新疆申辉项目管理有限公司</w:t>
    </w:r>
    <w:r>
      <w:rPr>
        <w:rFonts w:hint="eastAsia"/>
        <w:b/>
        <w:i/>
      </w:rPr>
      <w:t>编制</w:t>
    </w:r>
  </w:p>
  <w:p w14:paraId="1D7E5EE9">
    <w:pPr>
      <w:pStyle w:val="1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480DE">
    <w:pPr>
      <w:pStyle w:val="1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583722">
                          <w:pPr>
                            <w:pStyle w:val="17"/>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1F583722">
                    <w:pPr>
                      <w:pStyle w:val="17"/>
                    </w:pPr>
                    <w:r>
                      <w:fldChar w:fldCharType="begin"/>
                    </w:r>
                    <w:r>
                      <w:instrText xml:space="preserve"> PAGE  \* MERGEFORMAT </w:instrText>
                    </w:r>
                    <w:r>
                      <w:fldChar w:fldCharType="separate"/>
                    </w:r>
                    <w:r>
                      <w:t>95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39B0">
    <w:pPr>
      <w:pStyle w:val="18"/>
      <w:jc w:val="right"/>
      <w:rPr>
        <w:rFonts w:hint="eastAsia" w:ascii="宋体" w:hAnsi="宋体" w:eastAsia="宋体" w:cs="宋体"/>
        <w:sz w:val="13"/>
        <w:szCs w:val="15"/>
      </w:rPr>
    </w:pPr>
    <w:r>
      <w:rPr>
        <w:rFonts w:hint="eastAsia" w:ascii="宋体" w:hAnsi="宋体" w:eastAsia="宋体" w:cs="宋体"/>
        <w:bCs/>
        <w:kern w:val="0"/>
        <w:sz w:val="20"/>
        <w:szCs w:val="20"/>
        <w:highlight w:val="none"/>
        <w:lang w:eastAsia="zh-CN"/>
      </w:rPr>
      <w:t>2025年天山区市政道路附属公共消防设施日常维护项目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400A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760DD">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E0EF">
    <w:pPr>
      <w:pStyle w:val="18"/>
      <w:jc w:val="right"/>
      <w:rPr>
        <w:rFonts w:hint="eastAsia"/>
        <w:sz w:val="13"/>
        <w:szCs w:val="15"/>
      </w:rPr>
    </w:pPr>
    <w:r>
      <w:rPr>
        <w:rFonts w:hint="eastAsia" w:ascii="仿宋" w:hAnsi="仿宋" w:eastAsia="仿宋" w:cs="仿宋"/>
        <w:bCs/>
        <w:kern w:val="0"/>
        <w:sz w:val="20"/>
        <w:szCs w:val="20"/>
        <w:highlight w:val="none"/>
        <w:lang w:eastAsia="zh-CN"/>
      </w:rPr>
      <w:t>2025年天山区市政道路附属公共消防设施日常维护项目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42FF9">
    <w:pPr>
      <w:pStyle w:val="18"/>
      <w:pBdr>
        <w:bottom w:val="dashDotStroked" w:color="auto" w:sz="24" w:space="1"/>
      </w:pBdr>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2791">
    <w:pPr>
      <w:pStyle w:val="18"/>
      <w:jc w:val="right"/>
      <w:rPr>
        <w:sz w:val="13"/>
        <w:szCs w:val="15"/>
      </w:rPr>
    </w:pPr>
    <w:r>
      <w:rPr>
        <w:rFonts w:hint="eastAsia" w:ascii="仿宋" w:hAnsi="仿宋" w:eastAsia="仿宋" w:cs="仿宋"/>
        <w:bCs/>
        <w:kern w:val="0"/>
        <w:sz w:val="20"/>
        <w:szCs w:val="20"/>
        <w:highlight w:val="none"/>
        <w:lang w:eastAsia="zh-CN"/>
      </w:rPr>
      <w:t>2025年天山区市政道路附属公共消防设施日常维护项目</w:t>
    </w:r>
  </w:p>
  <w:p w14:paraId="0B8E8624">
    <w:pPr>
      <w:pStyle w:val="1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AB00E"/>
    <w:multiLevelType w:val="singleLevel"/>
    <w:tmpl w:val="E81AB00E"/>
    <w:lvl w:ilvl="0" w:tentative="0">
      <w:start w:val="14"/>
      <w:numFmt w:val="decimal"/>
      <w:suff w:val="space"/>
      <w:lvlText w:val="%1."/>
      <w:lvlJc w:val="left"/>
    </w:lvl>
  </w:abstractNum>
  <w:abstractNum w:abstractNumId="1">
    <w:nsid w:val="11FACDC0"/>
    <w:multiLevelType w:val="singleLevel"/>
    <w:tmpl w:val="11FACDC0"/>
    <w:lvl w:ilvl="0" w:tentative="0">
      <w:start w:val="7"/>
      <w:numFmt w:val="chineseCounting"/>
      <w:suff w:val="nothing"/>
      <w:lvlText w:val="%1、"/>
      <w:lvlJc w:val="left"/>
      <w:rPr>
        <w:rFonts w:hint="eastAsia"/>
      </w:rPr>
    </w:lvl>
  </w:abstractNum>
  <w:abstractNum w:abstractNumId="2">
    <w:nsid w:val="3E98E144"/>
    <w:multiLevelType w:val="singleLevel"/>
    <w:tmpl w:val="3E98E144"/>
    <w:lvl w:ilvl="0" w:tentative="0">
      <w:start w:val="11"/>
      <w:numFmt w:val="decimal"/>
      <w:suff w:val="space"/>
      <w:lvlText w:val="%1."/>
      <w:lvlJc w:val="left"/>
    </w:lvl>
  </w:abstractNum>
  <w:abstractNum w:abstractNumId="3">
    <w:nsid w:val="5413FC09"/>
    <w:multiLevelType w:val="singleLevel"/>
    <w:tmpl w:val="5413FC09"/>
    <w:lvl w:ilvl="0" w:tentative="0">
      <w:start w:val="4"/>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MTY4NTRlZTRkYzIxNDcxMDhhNWEyMWNlMDNkNzgifQ=="/>
  </w:docVars>
  <w:rsids>
    <w:rsidRoot w:val="3C8D6FC8"/>
    <w:rsid w:val="032B1B2C"/>
    <w:rsid w:val="03A26DD8"/>
    <w:rsid w:val="03E67233"/>
    <w:rsid w:val="04354B7C"/>
    <w:rsid w:val="06166621"/>
    <w:rsid w:val="06C53128"/>
    <w:rsid w:val="07EF2B72"/>
    <w:rsid w:val="08033CD0"/>
    <w:rsid w:val="0A287A2F"/>
    <w:rsid w:val="0C902873"/>
    <w:rsid w:val="0CBA0FB4"/>
    <w:rsid w:val="0DB7508A"/>
    <w:rsid w:val="0DB84A1D"/>
    <w:rsid w:val="0E7B1E7D"/>
    <w:rsid w:val="0ECB3CB1"/>
    <w:rsid w:val="0F5E43A3"/>
    <w:rsid w:val="1041184B"/>
    <w:rsid w:val="109D1177"/>
    <w:rsid w:val="10E01064"/>
    <w:rsid w:val="11E701D0"/>
    <w:rsid w:val="11EB5F12"/>
    <w:rsid w:val="133E0D08"/>
    <w:rsid w:val="13E9022F"/>
    <w:rsid w:val="1675224E"/>
    <w:rsid w:val="16CE5600"/>
    <w:rsid w:val="174B01C5"/>
    <w:rsid w:val="17A016DB"/>
    <w:rsid w:val="18B708FC"/>
    <w:rsid w:val="192B3EC2"/>
    <w:rsid w:val="19457F11"/>
    <w:rsid w:val="195752AB"/>
    <w:rsid w:val="19962C07"/>
    <w:rsid w:val="1A2513AE"/>
    <w:rsid w:val="1B59213E"/>
    <w:rsid w:val="1BAB226E"/>
    <w:rsid w:val="1CB3587E"/>
    <w:rsid w:val="1D6F5768"/>
    <w:rsid w:val="1DF3687A"/>
    <w:rsid w:val="1E3F6C56"/>
    <w:rsid w:val="1EE9679B"/>
    <w:rsid w:val="1F707A57"/>
    <w:rsid w:val="2269759F"/>
    <w:rsid w:val="23150E6A"/>
    <w:rsid w:val="246A53BC"/>
    <w:rsid w:val="26714C21"/>
    <w:rsid w:val="26817875"/>
    <w:rsid w:val="26FC5034"/>
    <w:rsid w:val="27872249"/>
    <w:rsid w:val="28F046E1"/>
    <w:rsid w:val="29281F3B"/>
    <w:rsid w:val="294A57BC"/>
    <w:rsid w:val="2AEA0402"/>
    <w:rsid w:val="2B1F358D"/>
    <w:rsid w:val="2BB72B62"/>
    <w:rsid w:val="2C4A1610"/>
    <w:rsid w:val="2D493842"/>
    <w:rsid w:val="2DD93B70"/>
    <w:rsid w:val="2F6A2714"/>
    <w:rsid w:val="301B756B"/>
    <w:rsid w:val="30B24BCD"/>
    <w:rsid w:val="319D741D"/>
    <w:rsid w:val="31FE0EF2"/>
    <w:rsid w:val="320B285E"/>
    <w:rsid w:val="33111456"/>
    <w:rsid w:val="33737205"/>
    <w:rsid w:val="349B511E"/>
    <w:rsid w:val="35F72828"/>
    <w:rsid w:val="361E4089"/>
    <w:rsid w:val="369B7657"/>
    <w:rsid w:val="372E5C14"/>
    <w:rsid w:val="3785343B"/>
    <w:rsid w:val="37B43C06"/>
    <w:rsid w:val="37DF6C33"/>
    <w:rsid w:val="37FF7772"/>
    <w:rsid w:val="38F6295D"/>
    <w:rsid w:val="3ACA3C80"/>
    <w:rsid w:val="3AE27603"/>
    <w:rsid w:val="3C881EA5"/>
    <w:rsid w:val="3C8D6FC8"/>
    <w:rsid w:val="3CD0566C"/>
    <w:rsid w:val="3D95438A"/>
    <w:rsid w:val="3DDB6F46"/>
    <w:rsid w:val="3DEF3B87"/>
    <w:rsid w:val="3DF47B86"/>
    <w:rsid w:val="3ED44642"/>
    <w:rsid w:val="3EEC4EF4"/>
    <w:rsid w:val="3FA330D9"/>
    <w:rsid w:val="42C77142"/>
    <w:rsid w:val="436F11FE"/>
    <w:rsid w:val="439B1512"/>
    <w:rsid w:val="44BF6554"/>
    <w:rsid w:val="44FE2D90"/>
    <w:rsid w:val="4551302C"/>
    <w:rsid w:val="45967968"/>
    <w:rsid w:val="45E76415"/>
    <w:rsid w:val="46446A5F"/>
    <w:rsid w:val="468D5C0D"/>
    <w:rsid w:val="46B70B0B"/>
    <w:rsid w:val="46F355ED"/>
    <w:rsid w:val="48D662CD"/>
    <w:rsid w:val="496D1910"/>
    <w:rsid w:val="4A876430"/>
    <w:rsid w:val="4F907CB4"/>
    <w:rsid w:val="51C979D8"/>
    <w:rsid w:val="522A46F0"/>
    <w:rsid w:val="55222FC6"/>
    <w:rsid w:val="5786491E"/>
    <w:rsid w:val="59A044B9"/>
    <w:rsid w:val="5A341724"/>
    <w:rsid w:val="5D062188"/>
    <w:rsid w:val="5E636F73"/>
    <w:rsid w:val="5EB86749"/>
    <w:rsid w:val="60A1346B"/>
    <w:rsid w:val="622163B3"/>
    <w:rsid w:val="63332FF8"/>
    <w:rsid w:val="63AC3872"/>
    <w:rsid w:val="63C05FB8"/>
    <w:rsid w:val="64195574"/>
    <w:rsid w:val="659F2D9C"/>
    <w:rsid w:val="65AB2B63"/>
    <w:rsid w:val="6773320D"/>
    <w:rsid w:val="68815DFE"/>
    <w:rsid w:val="691D2B76"/>
    <w:rsid w:val="6A7A6FA8"/>
    <w:rsid w:val="6B881441"/>
    <w:rsid w:val="6C467239"/>
    <w:rsid w:val="6C563129"/>
    <w:rsid w:val="6C9F3C26"/>
    <w:rsid w:val="6D6D49B9"/>
    <w:rsid w:val="6FF54E97"/>
    <w:rsid w:val="70430561"/>
    <w:rsid w:val="71290DE0"/>
    <w:rsid w:val="712C34A6"/>
    <w:rsid w:val="730573FC"/>
    <w:rsid w:val="74363F40"/>
    <w:rsid w:val="744F1F2E"/>
    <w:rsid w:val="74F71921"/>
    <w:rsid w:val="75894543"/>
    <w:rsid w:val="75BA64AB"/>
    <w:rsid w:val="79534C4C"/>
    <w:rsid w:val="7E544E12"/>
    <w:rsid w:val="7ECE569A"/>
    <w:rsid w:val="7F48345D"/>
    <w:rsid w:val="7F682CB8"/>
    <w:rsid w:val="7FC6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tabs>
        <w:tab w:val="left" w:pos="360"/>
      </w:tabs>
      <w:ind w:left="360" w:hanging="360"/>
      <w:outlineLvl w:val="0"/>
    </w:pPr>
    <w:rPr>
      <w:b/>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6">
    <w:name w:val="heading 3"/>
    <w:basedOn w:val="1"/>
    <w:next w:val="1"/>
    <w:link w:val="33"/>
    <w:autoRedefine/>
    <w:qFormat/>
    <w:uiPriority w:val="0"/>
    <w:pPr>
      <w:keepNext/>
      <w:keepLines/>
      <w:spacing w:before="260" w:beforeLines="0" w:after="260" w:afterLines="0" w:line="415" w:lineRule="auto"/>
      <w:outlineLvl w:val="2"/>
    </w:pPr>
    <w:rPr>
      <w:b/>
      <w:bCs/>
      <w:sz w:val="32"/>
      <w:szCs w:val="32"/>
    </w:rPr>
  </w:style>
  <w:style w:type="paragraph" w:styleId="7">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unhideWhenUsed/>
    <w:qFormat/>
    <w:uiPriority w:val="0"/>
    <w:pPr>
      <w:keepNext/>
      <w:keepLines/>
      <w:spacing w:before="280" w:after="290" w:line="372" w:lineRule="auto"/>
      <w:outlineLvl w:val="4"/>
    </w:pPr>
    <w:rPr>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after="120"/>
      <w:ind w:firstLine="420" w:firstLineChars="100"/>
    </w:pPr>
  </w:style>
  <w:style w:type="paragraph" w:styleId="3">
    <w:name w:val="Body Text"/>
    <w:basedOn w:val="1"/>
    <w:autoRedefine/>
    <w:qFormat/>
    <w:uiPriority w:val="0"/>
    <w:rPr>
      <w:rFonts w:ascii="Arial" w:hAnsi="Arial"/>
      <w:sz w:val="24"/>
    </w:rPr>
  </w:style>
  <w:style w:type="paragraph" w:styleId="9">
    <w:name w:val="Normal Indent"/>
    <w:basedOn w:val="1"/>
    <w:autoRedefine/>
    <w:qFormat/>
    <w:uiPriority w:val="0"/>
    <w:pPr>
      <w:ind w:firstLine="420" w:firstLineChars="200"/>
    </w:pPr>
  </w:style>
  <w:style w:type="paragraph" w:styleId="10">
    <w:name w:val="toa heading"/>
    <w:basedOn w:val="1"/>
    <w:next w:val="1"/>
    <w:autoRedefine/>
    <w:qFormat/>
    <w:uiPriority w:val="0"/>
    <w:pPr>
      <w:spacing w:before="120"/>
    </w:pPr>
    <w:rPr>
      <w:rFonts w:ascii="Cambria" w:hAnsi="Cambria"/>
      <w:sz w:val="24"/>
    </w:rPr>
  </w:style>
  <w:style w:type="paragraph" w:styleId="11">
    <w:name w:val="index 6"/>
    <w:basedOn w:val="1"/>
    <w:next w:val="1"/>
    <w:autoRedefine/>
    <w:qFormat/>
    <w:uiPriority w:val="99"/>
    <w:pPr>
      <w:ind w:left="2100"/>
    </w:pPr>
  </w:style>
  <w:style w:type="paragraph" w:styleId="12">
    <w:name w:val="Body Text 3"/>
    <w:basedOn w:val="1"/>
    <w:autoRedefine/>
    <w:qFormat/>
    <w:uiPriority w:val="0"/>
    <w:rPr>
      <w:rFonts w:ascii="宋体"/>
      <w:sz w:val="24"/>
      <w:szCs w:val="20"/>
    </w:rPr>
  </w:style>
  <w:style w:type="paragraph" w:styleId="13">
    <w:name w:val="Body Text Indent"/>
    <w:basedOn w:val="1"/>
    <w:next w:val="1"/>
    <w:autoRedefine/>
    <w:qFormat/>
    <w:uiPriority w:val="0"/>
    <w:pPr>
      <w:ind w:firstLine="630"/>
    </w:pPr>
    <w:rPr>
      <w:rFonts w:eastAsia="楷体_GB2312" w:asciiTheme="minorHAnsi" w:hAnsiTheme="minorHAnsi" w:cstheme="minorBidi"/>
      <w:kern w:val="2"/>
      <w:sz w:val="30"/>
    </w:rPr>
  </w:style>
  <w:style w:type="paragraph" w:styleId="14">
    <w:name w:val="toc 3"/>
    <w:basedOn w:val="1"/>
    <w:next w:val="1"/>
    <w:qFormat/>
    <w:uiPriority w:val="0"/>
    <w:pPr>
      <w:ind w:left="840" w:leftChars="400"/>
    </w:pPr>
  </w:style>
  <w:style w:type="paragraph" w:styleId="15">
    <w:name w:val="Date"/>
    <w:basedOn w:val="1"/>
    <w:next w:val="1"/>
    <w:autoRedefine/>
    <w:qFormat/>
    <w:uiPriority w:val="0"/>
    <w:pPr>
      <w:ind w:left="100"/>
    </w:pPr>
    <w:rPr>
      <w:sz w:val="24"/>
    </w:rPr>
  </w:style>
  <w:style w:type="paragraph" w:styleId="16">
    <w:name w:val="Body Text Indent 2"/>
    <w:basedOn w:val="1"/>
    <w:qFormat/>
    <w:uiPriority w:val="0"/>
    <w:pPr>
      <w:spacing w:after="120" w:line="480" w:lineRule="auto"/>
      <w:ind w:left="420" w:leftChars="200"/>
    </w:p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0">
    <w:name w:val="footnote text"/>
    <w:basedOn w:val="1"/>
    <w:unhideWhenUsed/>
    <w:qFormat/>
    <w:uiPriority w:val="99"/>
    <w:pPr>
      <w:snapToGrid w:val="0"/>
      <w:jc w:val="left"/>
    </w:pPr>
    <w:rPr>
      <w:rFonts w:ascii="Calibri" w:hAnsi="Calibri" w:eastAsia="宋体" w:cs="Times New Roman"/>
      <w:sz w:val="18"/>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ind w:left="420" w:leftChars="200"/>
    </w:pPr>
  </w:style>
  <w:style w:type="paragraph" w:styleId="23">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24">
    <w:name w:val="Body Text First Indent 2"/>
    <w:basedOn w:val="13"/>
    <w:next w:val="1"/>
    <w:qFormat/>
    <w:uiPriority w:val="0"/>
    <w:pPr>
      <w:ind w:left="0" w:leftChars="0" w:firstLine="0" w:firstLineChars="0"/>
    </w:pPr>
    <w:rPr>
      <w:rFonts w:ascii="仿宋" w:hAnsi="仿宋" w:eastAsia="仿宋" w:cs="仿宋"/>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paragraph" w:customStyle="1" w:styleId="29">
    <w:name w:val="段落正文"/>
    <w:basedOn w:val="1"/>
    <w:autoRedefine/>
    <w:qFormat/>
    <w:uiPriority w:val="0"/>
    <w:pPr>
      <w:spacing w:beforeLines="50" w:line="360" w:lineRule="auto"/>
      <w:ind w:firstLine="200" w:firstLineChars="200"/>
    </w:pPr>
    <w:rPr>
      <w:spacing w:val="2"/>
      <w:sz w:val="24"/>
    </w:rPr>
  </w:style>
  <w:style w:type="paragraph" w:customStyle="1" w:styleId="30">
    <w:name w:val="文档正文"/>
    <w:basedOn w:val="9"/>
    <w:autoRedefine/>
    <w:qFormat/>
    <w:uiPriority w:val="0"/>
    <w:pPr>
      <w:spacing w:line="480" w:lineRule="atLeast"/>
      <w:textAlignment w:val="baseline"/>
    </w:pPr>
    <w:rPr>
      <w:kern w:val="0"/>
      <w:sz w:val="24"/>
    </w:rPr>
  </w:style>
  <w:style w:type="paragraph" w:customStyle="1" w:styleId="31">
    <w:name w:val="Body Text First Indent 21"/>
    <w:basedOn w:val="32"/>
    <w:autoRedefine/>
    <w:qFormat/>
    <w:uiPriority w:val="0"/>
    <w:pPr>
      <w:widowControl/>
    </w:pPr>
    <w:rPr>
      <w:szCs w:val="20"/>
    </w:rPr>
  </w:style>
  <w:style w:type="paragraph" w:customStyle="1" w:styleId="32">
    <w:name w:val="Body Text Indent1"/>
    <w:basedOn w:val="1"/>
    <w:qFormat/>
    <w:uiPriority w:val="0"/>
    <w:pPr>
      <w:spacing w:line="500" w:lineRule="exact"/>
      <w:ind w:firstLine="200" w:firstLineChars="200"/>
    </w:pPr>
  </w:style>
  <w:style w:type="character" w:customStyle="1" w:styleId="33">
    <w:name w:val="标题 3 Char"/>
    <w:basedOn w:val="27"/>
    <w:link w:val="6"/>
    <w:autoRedefine/>
    <w:qFormat/>
    <w:uiPriority w:val="0"/>
    <w:rPr>
      <w:b/>
      <w:bCs/>
      <w:sz w:val="32"/>
      <w:szCs w:val="32"/>
    </w:rPr>
  </w:style>
  <w:style w:type="paragraph" w:styleId="34">
    <w:name w:val="List Paragraph"/>
    <w:basedOn w:val="1"/>
    <w:autoRedefine/>
    <w:qFormat/>
    <w:uiPriority w:val="34"/>
    <w:pPr>
      <w:ind w:firstLine="420" w:firstLineChars="200"/>
    </w:pPr>
    <w:rPr>
      <w:rFonts w:ascii="Calibri" w:hAnsi="Calibri" w:eastAsia="宋体" w:cs="Times New Roman"/>
      <w:szCs w:val="22"/>
    </w:rPr>
  </w:style>
  <w:style w:type="paragraph" w:customStyle="1" w:styleId="35">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Table Paragraph"/>
    <w:basedOn w:val="1"/>
    <w:autoRedefine/>
    <w:qFormat/>
    <w:uiPriority w:val="1"/>
    <w:pPr>
      <w:autoSpaceDE w:val="0"/>
      <w:autoSpaceDN w:val="0"/>
      <w:spacing w:before="28"/>
      <w:ind w:left="111"/>
      <w:jc w:val="left"/>
    </w:pPr>
    <w:rPr>
      <w:rFonts w:ascii="微软雅黑" w:hAnsi="微软雅黑" w:eastAsia="微软雅黑" w:cs="微软雅黑"/>
      <w:kern w:val="0"/>
      <w:sz w:val="22"/>
      <w:lang w:val="zh-CN" w:bidi="zh-CN"/>
    </w:rPr>
  </w:style>
  <w:style w:type="paragraph" w:customStyle="1" w:styleId="37">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38">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GZTB段落样式"/>
    <w:basedOn w:val="1"/>
    <w:autoRedefine/>
    <w:qFormat/>
    <w:uiPriority w:val="0"/>
    <w:pPr>
      <w:spacing w:after="200" w:line="440" w:lineRule="exact"/>
      <w:ind w:firstLine="420" w:firstLineChars="200"/>
    </w:pPr>
    <w:rPr>
      <w:rFonts w:ascii="新宋体" w:hAnsi="新宋体" w:eastAsia="新宋体" w:cs="Times New Roman"/>
      <w:szCs w:val="22"/>
    </w:rPr>
  </w:style>
  <w:style w:type="paragraph" w:customStyle="1" w:styleId="40">
    <w:name w:val="样式 标题 2 + Times New Roman 四号 非加粗 段前: 5 磅 段后: 0 磅 行距: 固定值 20..."/>
    <w:basedOn w:val="5"/>
    <w:autoRedefine/>
    <w:qFormat/>
    <w:uiPriority w:val="0"/>
    <w:pPr>
      <w:keepLines/>
      <w:numPr>
        <w:ilvl w:val="0"/>
        <w:numId w:val="0"/>
      </w:numPr>
      <w:spacing w:before="100" w:line="400" w:lineRule="exact"/>
    </w:pPr>
    <w:rPr>
      <w:rFonts w:ascii="Times New Roman" w:hAnsi="Times New Roman" w:eastAsia="黑体" w:cs="宋体"/>
      <w:szCs w:val="20"/>
    </w:rPr>
  </w:style>
  <w:style w:type="paragraph" w:customStyle="1" w:styleId="4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2">
    <w:name w:val="表格文字2"/>
    <w:basedOn w:val="43"/>
    <w:autoRedefine/>
    <w:qFormat/>
    <w:uiPriority w:val="99"/>
    <w:pPr>
      <w:spacing w:before="25" w:after="25"/>
      <w:jc w:val="left"/>
    </w:pPr>
    <w:rPr>
      <w:bCs/>
      <w:spacing w:val="10"/>
      <w:kern w:val="0"/>
    </w:rPr>
  </w:style>
  <w:style w:type="paragraph" w:customStyle="1" w:styleId="4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4">
    <w:name w:val="_Style 5"/>
    <w:basedOn w:val="4"/>
    <w:next w:val="1"/>
    <w:qFormat/>
    <w:uiPriority w:val="0"/>
    <w:pPr>
      <w:outlineLvl w:val="9"/>
    </w:p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Table Text"/>
    <w:basedOn w:val="1"/>
    <w:semiHidden/>
    <w:qFormat/>
    <w:uiPriority w:val="0"/>
    <w:rPr>
      <w:rFonts w:ascii="微软雅黑" w:hAnsi="微软雅黑" w:eastAsia="微软雅黑" w:cs="微软雅黑"/>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18438</Words>
  <Characters>20279</Characters>
  <Lines>0</Lines>
  <Paragraphs>0</Paragraphs>
  <TotalTime>4</TotalTime>
  <ScaleCrop>false</ScaleCrop>
  <LinksUpToDate>false</LinksUpToDate>
  <CharactersWithSpaces>21287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2023-04-05T06:17:00Z</dcterms:created>
  <dc:creator>园子</dc:creator>
  <cp:lastModifiedBy>NTKO</cp:lastModifiedBy>
  <cp:lastPrinted>2024-07-26T07:57:00Z</cp:lastPrinted>
  <dcterms:modified xsi:type="dcterms:W3CDTF">2025-06-17T04:09:59Z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AE7F86A1E91E4D7F9F4E200B0D20EAE2_13</vt:lpwstr>
  </property>
  <property fmtid="{D5CDD505-2E9C-101B-9397-08002B2CF9AE}" pid="4" name="KSOTemplateDocerSaveRecord">
    <vt:lpwstr>eyJoZGlkIjoiMDY5YmU4NmIwMjUwZjcyMTA3MDVjN2Y2ZjQzNWRjMGYifQ==</vt:lpwstr>
  </property>
</Properties>
</file>