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jc w:val="center"/>
        <w:rPr>
          <w:b/>
          <w:bCs/>
          <w:sz w:val="56"/>
          <w:szCs w:val="56"/>
        </w:rPr>
      </w:pPr>
      <w:r>
        <w:rPr>
          <w:rFonts w:hint="eastAsia"/>
          <w:b/>
          <w:bCs/>
          <w:sz w:val="56"/>
          <w:szCs w:val="56"/>
        </w:rPr>
        <w:t>新疆农业大学资源与环境学院5楼加热室通风柜改造项目</w:t>
      </w:r>
    </w:p>
    <w:p>
      <w:pPr>
        <w:jc w:val="center"/>
        <w:rPr>
          <w:bCs/>
        </w:rPr>
      </w:pPr>
    </w:p>
    <w:p>
      <w:pPr>
        <w:jc w:val="center"/>
        <w:rPr>
          <w:spacing w:val="60"/>
          <w:sz w:val="84"/>
          <w:szCs w:val="84"/>
        </w:rPr>
      </w:pPr>
      <w:r>
        <w:rPr>
          <w:rFonts w:hint="eastAsia"/>
          <w:spacing w:val="60"/>
          <w:sz w:val="84"/>
          <w:szCs w:val="84"/>
        </w:rPr>
        <w:t>竞争性谈判文件</w:t>
      </w:r>
    </w:p>
    <w:p>
      <w:pPr>
        <w:rPr>
          <w:spacing w:val="60"/>
          <w:sz w:val="84"/>
          <w:szCs w:val="84"/>
        </w:rPr>
      </w:pPr>
    </w:p>
    <w:p>
      <w:pPr>
        <w:rPr>
          <w:sz w:val="30"/>
          <w:szCs w:val="30"/>
        </w:rPr>
      </w:pPr>
      <w:r>
        <w:rPr>
          <w:rFonts w:hint="eastAsia"/>
          <w:sz w:val="30"/>
          <w:szCs w:val="30"/>
        </w:rPr>
        <w:t>项目编号：ZXCD-2023-02013</w:t>
      </w:r>
    </w:p>
    <w:p>
      <w:pPr>
        <w:rPr>
          <w:sz w:val="32"/>
          <w:szCs w:val="32"/>
        </w:rPr>
      </w:pPr>
      <w:r>
        <w:rPr>
          <w:rFonts w:hint="eastAsia"/>
          <w:sz w:val="32"/>
          <w:szCs w:val="32"/>
        </w:rPr>
        <w:t xml:space="preserve">采购人名称：新疆农业大学 </w:t>
      </w:r>
    </w:p>
    <w:p>
      <w:pPr>
        <w:rPr>
          <w:sz w:val="32"/>
          <w:szCs w:val="32"/>
        </w:rPr>
      </w:pPr>
      <w:r>
        <w:rPr>
          <w:rFonts w:hint="eastAsia"/>
          <w:sz w:val="32"/>
          <w:szCs w:val="32"/>
        </w:rPr>
        <w:t>联系人：王</w:t>
      </w:r>
      <w:r>
        <w:rPr>
          <w:sz w:val="32"/>
          <w:szCs w:val="32"/>
        </w:rPr>
        <w:t>老师</w:t>
      </w:r>
      <w:r>
        <w:rPr>
          <w:rFonts w:hint="eastAsia"/>
          <w:sz w:val="32"/>
          <w:szCs w:val="32"/>
        </w:rPr>
        <w:t xml:space="preserve">        </w:t>
      </w:r>
    </w:p>
    <w:p>
      <w:pPr>
        <w:rPr>
          <w:sz w:val="32"/>
          <w:szCs w:val="32"/>
        </w:rPr>
      </w:pPr>
      <w:r>
        <w:rPr>
          <w:rFonts w:hint="eastAsia"/>
          <w:sz w:val="32"/>
          <w:szCs w:val="32"/>
        </w:rPr>
        <w:t>联系电话：1836888</w:t>
      </w:r>
      <w:r>
        <w:rPr>
          <w:sz w:val="32"/>
          <w:szCs w:val="32"/>
        </w:rPr>
        <w:t>0513</w:t>
      </w:r>
    </w:p>
    <w:p>
      <w:pPr>
        <w:rPr>
          <w:sz w:val="32"/>
          <w:szCs w:val="32"/>
        </w:rPr>
      </w:pPr>
      <w:r>
        <w:rPr>
          <w:rFonts w:hint="eastAsia"/>
          <w:sz w:val="32"/>
          <w:szCs w:val="32"/>
        </w:rPr>
        <w:t>招标代理机构（盖章）：新疆众信诚达项目管理有限公司</w:t>
      </w:r>
    </w:p>
    <w:p>
      <w:pPr>
        <w:rPr>
          <w:sz w:val="32"/>
          <w:szCs w:val="32"/>
        </w:rPr>
      </w:pPr>
      <w:r>
        <w:rPr>
          <w:rFonts w:hint="eastAsia"/>
          <w:sz w:val="32"/>
          <w:szCs w:val="32"/>
        </w:rPr>
        <w:t>联系人：张一莹、郑翠玲、黎文宣</w:t>
      </w:r>
    </w:p>
    <w:p>
      <w:pPr>
        <w:rPr>
          <w:sz w:val="32"/>
          <w:szCs w:val="32"/>
        </w:rPr>
      </w:pPr>
      <w:r>
        <w:rPr>
          <w:rFonts w:hint="eastAsia"/>
          <w:sz w:val="32"/>
          <w:szCs w:val="32"/>
        </w:rPr>
        <w:t>联系电话：</w:t>
      </w:r>
      <w:r>
        <w:rPr>
          <w:sz w:val="32"/>
          <w:szCs w:val="32"/>
        </w:rPr>
        <w:t>0991-2308213/0991-2308167</w:t>
      </w:r>
    </w:p>
    <w:p>
      <w:pPr>
        <w:rPr>
          <w:sz w:val="32"/>
          <w:szCs w:val="32"/>
        </w:rPr>
      </w:pPr>
      <w:r>
        <w:rPr>
          <w:rFonts w:hint="eastAsia"/>
          <w:sz w:val="32"/>
          <w:szCs w:val="32"/>
        </w:rPr>
        <w:t>地址：乌鲁木齐市天山区文艺路106号恒福大厦B-2108</w:t>
      </w:r>
    </w:p>
    <w:p>
      <w:pPr>
        <w:ind w:right="17" w:firstLine="640"/>
        <w:rPr>
          <w:rFonts w:cs="宋体" w:asciiTheme="minorEastAsia" w:hAnsiTheme="minorEastAsia"/>
          <w:sz w:val="32"/>
          <w:szCs w:val="32"/>
        </w:rPr>
      </w:pPr>
    </w:p>
    <w:p>
      <w:pPr>
        <w:ind w:right="17" w:firstLine="640"/>
        <w:rPr>
          <w:rFonts w:cs="宋体" w:asciiTheme="minorEastAsia" w:hAnsiTheme="minorEastAsia"/>
          <w:sz w:val="32"/>
          <w:szCs w:val="32"/>
        </w:rPr>
      </w:pPr>
    </w:p>
    <w:p>
      <w:pPr>
        <w:ind w:firstLine="640"/>
        <w:jc w:val="center"/>
        <w:rPr>
          <w:rFonts w:cs="宋体" w:asciiTheme="minorEastAsia" w:hAnsiTheme="minorEastAsia"/>
          <w:sz w:val="32"/>
          <w:szCs w:val="32"/>
        </w:rPr>
      </w:pPr>
      <w:r>
        <w:rPr>
          <w:rFonts w:hint="eastAsia" w:cs="宋体" w:asciiTheme="minorEastAsia" w:hAnsiTheme="minorEastAsia"/>
          <w:sz w:val="32"/>
          <w:szCs w:val="32"/>
        </w:rPr>
        <w:t>二〇二三年八月</w:t>
      </w:r>
      <w:bookmarkStart w:id="0" w:name="_Toc19141_WPSOffice_Type1"/>
    </w:p>
    <w:p>
      <w:pPr>
        <w:ind w:firstLine="640"/>
        <w:jc w:val="center"/>
        <w:rPr>
          <w:rFonts w:cs="宋体" w:asciiTheme="minorEastAsia" w:hAnsiTheme="minorEastAsia"/>
          <w:sz w:val="32"/>
          <w:szCs w:val="32"/>
        </w:rPr>
      </w:pPr>
    </w:p>
    <w:bookmarkEnd w:id="0"/>
    <w:sdt>
      <w:sdtPr>
        <w:rPr>
          <w:rFonts w:asciiTheme="minorEastAsia" w:hAnsiTheme="minorEastAsia"/>
          <w:b/>
          <w:bCs/>
        </w:rPr>
        <w:id w:val="-1978976698"/>
        <w:docPartObj>
          <w:docPartGallery w:val="Table of Contents"/>
          <w:docPartUnique/>
        </w:docPartObj>
      </w:sdtPr>
      <w:sdtEndPr>
        <w:rPr>
          <w:rFonts w:asciiTheme="minorEastAsia" w:hAnsiTheme="minorEastAsia"/>
          <w:b w:val="0"/>
          <w:bCs w:val="0"/>
          <w:sz w:val="32"/>
        </w:rPr>
      </w:sdtEndPr>
      <w:sdtContent>
        <w:p>
          <w:pPr>
            <w:ind w:firstLine="482"/>
            <w:jc w:val="center"/>
            <w:rPr>
              <w:rFonts w:asciiTheme="minorEastAsia" w:hAnsiTheme="minorEastAsia"/>
              <w:sz w:val="36"/>
            </w:rPr>
          </w:pPr>
          <w:r>
            <w:rPr>
              <w:rFonts w:asciiTheme="minorEastAsia" w:hAnsiTheme="minorEastAsia"/>
              <w:sz w:val="36"/>
            </w:rPr>
            <w:t>目</w:t>
          </w:r>
          <w:r>
            <w:rPr>
              <w:rFonts w:hint="eastAsia" w:asciiTheme="minorEastAsia" w:hAnsiTheme="minorEastAsia"/>
              <w:sz w:val="36"/>
            </w:rPr>
            <w:t xml:space="preserve">   </w:t>
          </w:r>
          <w:r>
            <w:rPr>
              <w:rFonts w:asciiTheme="minorEastAsia" w:hAnsiTheme="minorEastAsia"/>
              <w:sz w:val="36"/>
            </w:rPr>
            <w:t>录</w:t>
          </w:r>
        </w:p>
        <w:p>
          <w:pPr>
            <w:ind w:firstLine="480"/>
            <w:rPr>
              <w:rFonts w:asciiTheme="minorEastAsia" w:hAnsiTheme="minorEastAsia"/>
            </w:rPr>
          </w:pPr>
        </w:p>
        <w:p>
          <w:pPr>
            <w:pStyle w:val="21"/>
            <w:tabs>
              <w:tab w:val="right" w:leader="dot" w:pos="8269"/>
            </w:tabs>
            <w:ind w:firstLine="643"/>
            <w:rPr>
              <w:sz w:val="32"/>
              <w:szCs w:val="28"/>
            </w:rPr>
          </w:pPr>
          <w:r>
            <w:rPr>
              <w:rFonts w:asciiTheme="minorEastAsia" w:hAnsiTheme="minorEastAsia"/>
              <w:b/>
              <w:sz w:val="32"/>
            </w:rPr>
            <w:fldChar w:fldCharType="begin"/>
          </w:r>
          <w:r>
            <w:rPr>
              <w:rFonts w:asciiTheme="minorEastAsia" w:hAnsiTheme="minorEastAsia"/>
              <w:b/>
              <w:sz w:val="32"/>
            </w:rPr>
            <w:instrText xml:space="preserve"> TOC \o "1-3" \h \z \u </w:instrText>
          </w:r>
          <w:r>
            <w:rPr>
              <w:rFonts w:asciiTheme="minorEastAsia" w:hAnsiTheme="minorEastAsia"/>
              <w:b/>
              <w:sz w:val="32"/>
            </w:rPr>
            <w:fldChar w:fldCharType="separate"/>
          </w:r>
          <w:r>
            <w:fldChar w:fldCharType="begin"/>
          </w:r>
          <w:r>
            <w:instrText xml:space="preserve"> HYPERLINK \l "_Toc137929601" </w:instrText>
          </w:r>
          <w:r>
            <w:fldChar w:fldCharType="separate"/>
          </w:r>
          <w:r>
            <w:rPr>
              <w:rStyle w:val="26"/>
              <w:sz w:val="32"/>
              <w:szCs w:val="28"/>
            </w:rPr>
            <w:t>第一部分  竞争性谈判公告</w:t>
          </w:r>
          <w:r>
            <w:rPr>
              <w:sz w:val="32"/>
              <w:szCs w:val="28"/>
            </w:rPr>
            <w:tab/>
          </w:r>
          <w:r>
            <w:rPr>
              <w:sz w:val="32"/>
              <w:szCs w:val="28"/>
            </w:rPr>
            <w:fldChar w:fldCharType="begin"/>
          </w:r>
          <w:r>
            <w:rPr>
              <w:sz w:val="32"/>
              <w:szCs w:val="28"/>
            </w:rPr>
            <w:instrText xml:space="preserve"> PAGEREF _Toc137929601 \h </w:instrText>
          </w:r>
          <w:r>
            <w:rPr>
              <w:sz w:val="32"/>
              <w:szCs w:val="28"/>
            </w:rPr>
            <w:fldChar w:fldCharType="separate"/>
          </w:r>
          <w:r>
            <w:rPr>
              <w:sz w:val="32"/>
              <w:szCs w:val="28"/>
            </w:rPr>
            <w:t>3</w:t>
          </w:r>
          <w:r>
            <w:rPr>
              <w:sz w:val="32"/>
              <w:szCs w:val="28"/>
            </w:rPr>
            <w:fldChar w:fldCharType="end"/>
          </w:r>
          <w:r>
            <w:rPr>
              <w:sz w:val="32"/>
              <w:szCs w:val="28"/>
            </w:rPr>
            <w:fldChar w:fldCharType="end"/>
          </w:r>
        </w:p>
        <w:p>
          <w:pPr>
            <w:pStyle w:val="21"/>
            <w:tabs>
              <w:tab w:val="right" w:leader="dot" w:pos="8269"/>
            </w:tabs>
            <w:ind w:firstLine="640"/>
            <w:rPr>
              <w:sz w:val="32"/>
              <w:szCs w:val="28"/>
            </w:rPr>
          </w:pPr>
          <w:r>
            <w:fldChar w:fldCharType="begin"/>
          </w:r>
          <w:r>
            <w:instrText xml:space="preserve"> HYPERLINK \l "_Toc137929602" </w:instrText>
          </w:r>
          <w:r>
            <w:fldChar w:fldCharType="separate"/>
          </w:r>
          <w:r>
            <w:rPr>
              <w:rStyle w:val="26"/>
              <w:sz w:val="32"/>
              <w:szCs w:val="28"/>
            </w:rPr>
            <w:t>第二部分  供应商须知</w:t>
          </w:r>
          <w:r>
            <w:rPr>
              <w:sz w:val="32"/>
              <w:szCs w:val="28"/>
            </w:rPr>
            <w:tab/>
          </w:r>
          <w:r>
            <w:rPr>
              <w:sz w:val="32"/>
              <w:szCs w:val="28"/>
            </w:rPr>
            <w:fldChar w:fldCharType="begin"/>
          </w:r>
          <w:r>
            <w:rPr>
              <w:sz w:val="32"/>
              <w:szCs w:val="28"/>
            </w:rPr>
            <w:instrText xml:space="preserve"> PAGEREF _Toc137929602 \h </w:instrText>
          </w:r>
          <w:r>
            <w:rPr>
              <w:sz w:val="32"/>
              <w:szCs w:val="28"/>
            </w:rPr>
            <w:fldChar w:fldCharType="separate"/>
          </w:r>
          <w:r>
            <w:rPr>
              <w:sz w:val="32"/>
              <w:szCs w:val="28"/>
            </w:rPr>
            <w:t>6</w:t>
          </w:r>
          <w:r>
            <w:rPr>
              <w:sz w:val="32"/>
              <w:szCs w:val="28"/>
            </w:rPr>
            <w:fldChar w:fldCharType="end"/>
          </w:r>
          <w:r>
            <w:rPr>
              <w:sz w:val="32"/>
              <w:szCs w:val="28"/>
            </w:rPr>
            <w:fldChar w:fldCharType="end"/>
          </w:r>
        </w:p>
        <w:p>
          <w:pPr>
            <w:pStyle w:val="21"/>
            <w:tabs>
              <w:tab w:val="right" w:leader="dot" w:pos="8269"/>
            </w:tabs>
            <w:ind w:firstLine="640"/>
            <w:rPr>
              <w:sz w:val="32"/>
              <w:szCs w:val="28"/>
            </w:rPr>
          </w:pPr>
          <w:r>
            <w:fldChar w:fldCharType="begin"/>
          </w:r>
          <w:r>
            <w:instrText xml:space="preserve"> HYPERLINK \l "_Toc137929612" </w:instrText>
          </w:r>
          <w:r>
            <w:fldChar w:fldCharType="separate"/>
          </w:r>
          <w:r>
            <w:rPr>
              <w:rStyle w:val="26"/>
              <w:rFonts w:ascii="宋体" w:hAnsi="宋体" w:eastAsia="宋体"/>
              <w:sz w:val="32"/>
              <w:szCs w:val="28"/>
            </w:rPr>
            <w:t>第三部分  授予合同（参考）</w:t>
          </w:r>
          <w:r>
            <w:rPr>
              <w:sz w:val="32"/>
              <w:szCs w:val="28"/>
            </w:rPr>
            <w:tab/>
          </w:r>
          <w:r>
            <w:rPr>
              <w:sz w:val="32"/>
              <w:szCs w:val="28"/>
            </w:rPr>
            <w:fldChar w:fldCharType="begin"/>
          </w:r>
          <w:r>
            <w:rPr>
              <w:sz w:val="32"/>
              <w:szCs w:val="28"/>
            </w:rPr>
            <w:instrText xml:space="preserve"> PAGEREF _Toc137929612 \h </w:instrText>
          </w:r>
          <w:r>
            <w:rPr>
              <w:sz w:val="32"/>
              <w:szCs w:val="28"/>
            </w:rPr>
            <w:fldChar w:fldCharType="separate"/>
          </w:r>
          <w:r>
            <w:rPr>
              <w:sz w:val="32"/>
              <w:szCs w:val="28"/>
            </w:rPr>
            <w:t>21</w:t>
          </w:r>
          <w:r>
            <w:rPr>
              <w:sz w:val="32"/>
              <w:szCs w:val="28"/>
            </w:rPr>
            <w:fldChar w:fldCharType="end"/>
          </w:r>
          <w:r>
            <w:rPr>
              <w:sz w:val="32"/>
              <w:szCs w:val="28"/>
            </w:rPr>
            <w:fldChar w:fldCharType="end"/>
          </w:r>
        </w:p>
        <w:p>
          <w:pPr>
            <w:pStyle w:val="21"/>
            <w:tabs>
              <w:tab w:val="right" w:leader="dot" w:pos="8269"/>
            </w:tabs>
            <w:ind w:firstLine="640"/>
            <w:rPr>
              <w:sz w:val="32"/>
              <w:szCs w:val="28"/>
            </w:rPr>
          </w:pPr>
          <w:r>
            <w:fldChar w:fldCharType="begin"/>
          </w:r>
          <w:r>
            <w:instrText xml:space="preserve"> HYPERLINK \l "_Toc137929616" </w:instrText>
          </w:r>
          <w:r>
            <w:fldChar w:fldCharType="separate"/>
          </w:r>
          <w:r>
            <w:rPr>
              <w:rStyle w:val="26"/>
              <w:sz w:val="32"/>
              <w:szCs w:val="28"/>
            </w:rPr>
            <w:t>第四部分  技术需求</w:t>
          </w:r>
          <w:r>
            <w:rPr>
              <w:sz w:val="32"/>
              <w:szCs w:val="28"/>
            </w:rPr>
            <w:tab/>
          </w:r>
          <w:r>
            <w:rPr>
              <w:sz w:val="32"/>
              <w:szCs w:val="28"/>
            </w:rPr>
            <w:fldChar w:fldCharType="begin"/>
          </w:r>
          <w:r>
            <w:rPr>
              <w:sz w:val="32"/>
              <w:szCs w:val="28"/>
            </w:rPr>
            <w:instrText xml:space="preserve"> PAGEREF _Toc137929616 \h </w:instrText>
          </w:r>
          <w:r>
            <w:rPr>
              <w:sz w:val="32"/>
              <w:szCs w:val="28"/>
            </w:rPr>
            <w:fldChar w:fldCharType="separate"/>
          </w:r>
          <w:r>
            <w:rPr>
              <w:sz w:val="32"/>
              <w:szCs w:val="28"/>
            </w:rPr>
            <w:t>- 30 -</w:t>
          </w:r>
          <w:r>
            <w:rPr>
              <w:sz w:val="32"/>
              <w:szCs w:val="28"/>
            </w:rPr>
            <w:fldChar w:fldCharType="end"/>
          </w:r>
          <w:r>
            <w:rPr>
              <w:sz w:val="32"/>
              <w:szCs w:val="28"/>
            </w:rPr>
            <w:fldChar w:fldCharType="end"/>
          </w:r>
        </w:p>
        <w:p>
          <w:pPr>
            <w:pStyle w:val="21"/>
            <w:tabs>
              <w:tab w:val="right" w:leader="dot" w:pos="8269"/>
            </w:tabs>
            <w:ind w:firstLine="640"/>
            <w:rPr>
              <w:sz w:val="32"/>
              <w:szCs w:val="28"/>
            </w:rPr>
          </w:pPr>
          <w:r>
            <w:fldChar w:fldCharType="begin"/>
          </w:r>
          <w:r>
            <w:instrText xml:space="preserve"> HYPERLINK \l "_Toc137929618" </w:instrText>
          </w:r>
          <w:r>
            <w:fldChar w:fldCharType="separate"/>
          </w:r>
          <w:r>
            <w:rPr>
              <w:rStyle w:val="26"/>
              <w:sz w:val="32"/>
              <w:szCs w:val="28"/>
            </w:rPr>
            <w:t>第五部分  响应文件格式</w:t>
          </w:r>
          <w:r>
            <w:rPr>
              <w:sz w:val="32"/>
              <w:szCs w:val="28"/>
            </w:rPr>
            <w:tab/>
          </w:r>
          <w:r>
            <w:rPr>
              <w:sz w:val="32"/>
              <w:szCs w:val="28"/>
            </w:rPr>
            <w:fldChar w:fldCharType="begin"/>
          </w:r>
          <w:r>
            <w:rPr>
              <w:sz w:val="32"/>
              <w:szCs w:val="28"/>
            </w:rPr>
            <w:instrText xml:space="preserve"> PAGEREF _Toc137929618 \h </w:instrText>
          </w:r>
          <w:r>
            <w:rPr>
              <w:sz w:val="32"/>
              <w:szCs w:val="28"/>
            </w:rPr>
            <w:fldChar w:fldCharType="separate"/>
          </w:r>
          <w:r>
            <w:rPr>
              <w:sz w:val="32"/>
              <w:szCs w:val="28"/>
            </w:rPr>
            <w:t>- 39 -</w:t>
          </w:r>
          <w:r>
            <w:rPr>
              <w:sz w:val="32"/>
              <w:szCs w:val="28"/>
            </w:rPr>
            <w:fldChar w:fldCharType="end"/>
          </w:r>
          <w:r>
            <w:rPr>
              <w:sz w:val="32"/>
              <w:szCs w:val="28"/>
            </w:rPr>
            <w:fldChar w:fldCharType="end"/>
          </w:r>
        </w:p>
        <w:p>
          <w:pPr>
            <w:pStyle w:val="16"/>
            <w:tabs>
              <w:tab w:val="right" w:leader="dot" w:pos="8269"/>
            </w:tabs>
            <w:ind w:left="960" w:firstLine="480"/>
          </w:pPr>
        </w:p>
        <w:p>
          <w:pPr>
            <w:ind w:firstLine="480"/>
            <w:rPr>
              <w:rFonts w:asciiTheme="minorEastAsia" w:hAnsiTheme="minorEastAsia"/>
              <w:b/>
              <w:sz w:val="32"/>
            </w:rPr>
          </w:pPr>
          <w:r>
            <w:rPr>
              <w:rFonts w:asciiTheme="minorEastAsia" w:hAnsiTheme="minorEastAsia"/>
              <w:bCs/>
              <w:lang w:val="zh-CN"/>
            </w:rPr>
            <w:fldChar w:fldCharType="end"/>
          </w:r>
        </w:p>
      </w:sdtContent>
    </w:sdt>
    <w:p>
      <w:pPr>
        <w:spacing w:line="560" w:lineRule="exact"/>
        <w:ind w:firstLine="883"/>
        <w:rPr>
          <w:rFonts w:asciiTheme="minorEastAsia" w:hAnsiTheme="minorEastAsia"/>
          <w:b/>
          <w:bCs/>
          <w:sz w:val="44"/>
          <w:szCs w:val="36"/>
        </w:rPr>
      </w:pPr>
    </w:p>
    <w:p>
      <w:pPr>
        <w:spacing w:line="560" w:lineRule="exact"/>
        <w:ind w:firstLine="883"/>
        <w:rPr>
          <w:rFonts w:asciiTheme="minorEastAsia" w:hAnsiTheme="minorEastAsia"/>
          <w:b/>
          <w:bCs/>
          <w:sz w:val="44"/>
          <w:szCs w:val="36"/>
        </w:rPr>
      </w:pPr>
    </w:p>
    <w:p>
      <w:pPr>
        <w:spacing w:line="560" w:lineRule="exact"/>
        <w:ind w:firstLine="720"/>
        <w:rPr>
          <w:rFonts w:asciiTheme="minorEastAsia" w:hAnsiTheme="minorEastAsia"/>
          <w:bCs/>
          <w:sz w:val="36"/>
          <w:szCs w:val="36"/>
        </w:rPr>
      </w:pPr>
    </w:p>
    <w:p>
      <w:pPr>
        <w:shd w:val="clear" w:color="auto" w:fill="FFFFFF"/>
        <w:spacing w:line="405" w:lineRule="atLeast"/>
        <w:ind w:right="84" w:firstLine="480"/>
        <w:rPr>
          <w:rFonts w:asciiTheme="minorEastAsia" w:hAnsiTheme="minorEastAsia"/>
          <w:shd w:val="clear" w:color="auto" w:fill="FFFFFF"/>
        </w:rPr>
      </w:pPr>
    </w:p>
    <w:p>
      <w:pPr>
        <w:spacing w:line="600" w:lineRule="exact"/>
        <w:ind w:firstLine="723"/>
        <w:jc w:val="center"/>
        <w:rPr>
          <w:rFonts w:asciiTheme="minorEastAsia" w:hAnsiTheme="minorEastAsia"/>
          <w:b/>
          <w:sz w:val="36"/>
          <w:szCs w:val="36"/>
        </w:rPr>
      </w:pPr>
    </w:p>
    <w:p>
      <w:pPr>
        <w:spacing w:line="600" w:lineRule="exact"/>
        <w:ind w:firstLine="723"/>
        <w:jc w:val="center"/>
        <w:rPr>
          <w:rFonts w:asciiTheme="minorEastAsia" w:hAnsiTheme="minorEastAsia"/>
          <w:b/>
          <w:sz w:val="36"/>
          <w:szCs w:val="36"/>
        </w:rPr>
      </w:pPr>
    </w:p>
    <w:p>
      <w:pPr>
        <w:spacing w:line="600" w:lineRule="exact"/>
        <w:ind w:firstLine="723"/>
        <w:rPr>
          <w:rFonts w:asciiTheme="minorEastAsia" w:hAnsiTheme="minorEastAsia"/>
          <w:b/>
          <w:sz w:val="36"/>
          <w:szCs w:val="36"/>
        </w:rPr>
      </w:pPr>
    </w:p>
    <w:p>
      <w:pPr>
        <w:spacing w:line="600" w:lineRule="exact"/>
        <w:ind w:firstLine="723"/>
        <w:rPr>
          <w:rFonts w:asciiTheme="minorEastAsia" w:hAnsiTheme="minorEastAsia"/>
          <w:b/>
          <w:sz w:val="36"/>
          <w:szCs w:val="36"/>
        </w:rPr>
      </w:pPr>
    </w:p>
    <w:p>
      <w:pPr>
        <w:spacing w:line="600" w:lineRule="exact"/>
        <w:ind w:firstLine="723"/>
        <w:rPr>
          <w:rFonts w:asciiTheme="minorEastAsia" w:hAnsiTheme="minorEastAsia"/>
          <w:b/>
          <w:sz w:val="36"/>
          <w:szCs w:val="36"/>
        </w:rPr>
      </w:pPr>
    </w:p>
    <w:p>
      <w:pPr>
        <w:spacing w:line="600" w:lineRule="exact"/>
        <w:ind w:firstLine="723"/>
        <w:rPr>
          <w:rFonts w:asciiTheme="minorEastAsia" w:hAnsiTheme="minorEastAsia"/>
          <w:b/>
          <w:sz w:val="36"/>
          <w:szCs w:val="36"/>
        </w:rPr>
      </w:pPr>
    </w:p>
    <w:p>
      <w:pPr>
        <w:spacing w:line="600" w:lineRule="exact"/>
        <w:ind w:firstLine="723"/>
        <w:rPr>
          <w:rFonts w:asciiTheme="minorEastAsia" w:hAnsiTheme="minorEastAsia"/>
          <w:b/>
          <w:sz w:val="36"/>
          <w:szCs w:val="36"/>
        </w:rPr>
      </w:pPr>
    </w:p>
    <w:p>
      <w:pPr>
        <w:spacing w:line="600" w:lineRule="exact"/>
        <w:ind w:firstLine="723"/>
        <w:rPr>
          <w:rFonts w:asciiTheme="minorEastAsia" w:hAnsiTheme="minorEastAsia"/>
          <w:b/>
          <w:sz w:val="36"/>
          <w:szCs w:val="36"/>
        </w:rPr>
      </w:pPr>
    </w:p>
    <w:p>
      <w:pPr>
        <w:spacing w:line="600" w:lineRule="exact"/>
        <w:ind w:firstLine="723"/>
        <w:rPr>
          <w:rFonts w:asciiTheme="minorEastAsia" w:hAnsiTheme="minorEastAsia"/>
          <w:b/>
          <w:sz w:val="36"/>
          <w:szCs w:val="36"/>
        </w:rPr>
      </w:pPr>
    </w:p>
    <w:p>
      <w:pPr>
        <w:pStyle w:val="6"/>
        <w:ind w:firstLine="723"/>
      </w:pPr>
      <w:bookmarkStart w:id="1" w:name="_Toc137929601"/>
      <w:bookmarkStart w:id="2" w:name="_Toc20490"/>
      <w:bookmarkStart w:id="3" w:name="_Toc9083_WPSOffice_Level1"/>
      <w:bookmarkStart w:id="4" w:name="_Toc24829_WPSOffice_Level1"/>
      <w:bookmarkStart w:id="5" w:name="_Toc28953"/>
      <w:bookmarkStart w:id="6" w:name="_Toc3499_WPSOffice_Level1"/>
      <w:bookmarkStart w:id="7" w:name="_Toc19141_WPSOffice_Level1"/>
      <w:r>
        <w:t>第</w:t>
      </w:r>
      <w:r>
        <w:rPr>
          <w:rFonts w:hint="eastAsia"/>
        </w:rPr>
        <w:t>一</w:t>
      </w:r>
      <w:r>
        <w:t xml:space="preserve">部分  </w:t>
      </w:r>
      <w:r>
        <w:rPr>
          <w:rFonts w:hint="eastAsia"/>
        </w:rPr>
        <w:t>竞争性谈判公告</w:t>
      </w:r>
      <w:bookmarkEnd w:id="1"/>
    </w:p>
    <w:p>
      <w:pPr>
        <w:pStyle w:val="15"/>
        <w:ind w:firstLine="482"/>
        <w:rPr>
          <w:b/>
          <w:bCs/>
        </w:rPr>
      </w:pPr>
      <w:r>
        <w:rPr>
          <w:rFonts w:hint="eastAsia"/>
          <w:b/>
          <w:bCs/>
        </w:rPr>
        <w:t>项目概况</w:t>
      </w:r>
    </w:p>
    <w:p>
      <w:pPr>
        <w:pStyle w:val="15"/>
        <w:ind w:firstLine="480"/>
      </w:pPr>
      <w:r>
        <w:rPr>
          <w:rFonts w:hint="eastAsia"/>
        </w:rPr>
        <w:t>新疆农业大学资源与环境学院5楼加热室通风柜改造项目的潜在供应商应在政采云平台获取竞争性谈判文件，并于</w:t>
      </w:r>
      <w:r>
        <w:rPr>
          <w:rFonts w:hint="eastAsia"/>
          <w:highlight w:val="none"/>
          <w:lang w:eastAsia="zh-CN"/>
        </w:rPr>
        <w:t>2023年09月07日</w:t>
      </w:r>
      <w:r>
        <w:rPr>
          <w:highlight w:val="none"/>
        </w:rPr>
        <w:t>11</w:t>
      </w:r>
      <w:r>
        <w:rPr>
          <w:rFonts w:hint="eastAsia"/>
          <w:highlight w:val="none"/>
        </w:rPr>
        <w:t>:00（</w:t>
      </w:r>
      <w:r>
        <w:rPr>
          <w:rFonts w:hint="eastAsia"/>
        </w:rPr>
        <w:t>北京时间）前递交响应文件。</w:t>
      </w:r>
    </w:p>
    <w:p>
      <w:pPr>
        <w:pStyle w:val="15"/>
        <w:ind w:firstLine="482"/>
        <w:rPr>
          <w:b/>
          <w:bCs/>
        </w:rPr>
      </w:pPr>
      <w:r>
        <w:rPr>
          <w:rFonts w:hint="eastAsia"/>
          <w:b/>
          <w:bCs/>
        </w:rPr>
        <w:t>一、项目基本情况</w:t>
      </w:r>
    </w:p>
    <w:p>
      <w:pPr>
        <w:pStyle w:val="15"/>
        <w:ind w:firstLine="480"/>
      </w:pPr>
      <w:r>
        <w:rPr>
          <w:rFonts w:hint="eastAsia"/>
        </w:rPr>
        <w:t xml:space="preserve">项目编号：ZXCD-2023-02013 </w:t>
      </w:r>
    </w:p>
    <w:p>
      <w:pPr>
        <w:pStyle w:val="15"/>
        <w:ind w:firstLine="480"/>
      </w:pPr>
      <w:r>
        <w:rPr>
          <w:rFonts w:hint="eastAsia"/>
        </w:rPr>
        <w:t>项目名称：新疆农业大学资源与环境学院5楼加热室通风柜改造项目</w:t>
      </w:r>
    </w:p>
    <w:p>
      <w:pPr>
        <w:pStyle w:val="15"/>
        <w:ind w:firstLine="480"/>
      </w:pPr>
      <w:r>
        <w:rPr>
          <w:rFonts w:hint="eastAsia"/>
        </w:rPr>
        <w:t>招标方式：竞争性谈判</w:t>
      </w:r>
    </w:p>
    <w:p>
      <w:pPr>
        <w:pStyle w:val="15"/>
        <w:ind w:firstLine="480"/>
      </w:pPr>
      <w:r>
        <w:rPr>
          <w:rFonts w:hint="eastAsia"/>
        </w:rPr>
        <w:t>预算金额（元）：13.19万元</w:t>
      </w:r>
    </w:p>
    <w:p>
      <w:pPr>
        <w:pStyle w:val="15"/>
        <w:ind w:firstLine="480"/>
      </w:pPr>
      <w:r>
        <w:rPr>
          <w:rFonts w:hint="eastAsia"/>
        </w:rPr>
        <w:t>最高限价（元）：13.19万元</w:t>
      </w:r>
    </w:p>
    <w:p>
      <w:pPr>
        <w:pStyle w:val="15"/>
        <w:ind w:firstLine="480"/>
      </w:pPr>
      <w:r>
        <w:rPr>
          <w:rFonts w:hint="eastAsia"/>
        </w:rPr>
        <w:t>项目概况：新疆农业大学资源与环境学院5楼加热室通风柜改造项目。（具体详见竞争性谈判文件）</w:t>
      </w:r>
    </w:p>
    <w:p>
      <w:pPr>
        <w:pStyle w:val="15"/>
        <w:ind w:firstLine="480"/>
      </w:pPr>
      <w:r>
        <w:rPr>
          <w:rFonts w:hint="eastAsia"/>
        </w:rPr>
        <w:t>项目建设周期：</w:t>
      </w:r>
      <w:r>
        <w:rPr>
          <w:rFonts w:hint="eastAsia"/>
          <w:lang w:val="zh-TW" w:eastAsia="zh-TW"/>
        </w:rPr>
        <w:t>合同签订后</w:t>
      </w:r>
      <w:r>
        <w:rPr>
          <w:rFonts w:hint="eastAsia"/>
        </w:rPr>
        <w:t>30天完工</w:t>
      </w:r>
      <w:r>
        <w:t xml:space="preserve"> </w:t>
      </w:r>
      <w:r>
        <w:rPr>
          <w:rFonts w:hint="eastAsia"/>
        </w:rPr>
        <w:t>。</w:t>
      </w:r>
      <w:r>
        <w:t xml:space="preserve"> </w:t>
      </w:r>
    </w:p>
    <w:p>
      <w:pPr>
        <w:pStyle w:val="15"/>
        <w:ind w:firstLine="482"/>
        <w:rPr>
          <w:b/>
          <w:bCs/>
        </w:rPr>
      </w:pPr>
      <w:r>
        <w:rPr>
          <w:rFonts w:hint="eastAsia"/>
          <w:b/>
          <w:bCs/>
        </w:rPr>
        <w:t>二、申请人的资格要求：</w:t>
      </w:r>
    </w:p>
    <w:p>
      <w:pPr>
        <w:pStyle w:val="15"/>
        <w:ind w:firstLine="480"/>
      </w:pPr>
      <w:r>
        <w:rPr>
          <w:rFonts w:hint="eastAsia"/>
        </w:rPr>
        <w:t>1、符合《中华人民共和国政府采购法》第二十二条的规定：</w:t>
      </w:r>
    </w:p>
    <w:p>
      <w:pPr>
        <w:pStyle w:val="15"/>
        <w:ind w:firstLine="480"/>
      </w:pPr>
      <w:r>
        <w:t>2</w:t>
      </w:r>
      <w:r>
        <w:rPr>
          <w:rFonts w:hint="eastAsia"/>
        </w:rPr>
        <w:t>.本项目的特定资格要求：</w:t>
      </w:r>
    </w:p>
    <w:p>
      <w:pPr>
        <w:pStyle w:val="15"/>
        <w:ind w:firstLine="480"/>
      </w:pPr>
      <w:r>
        <w:rPr>
          <w:rFonts w:hint="eastAsia"/>
        </w:rPr>
        <w:t>（</w:t>
      </w:r>
      <w:r>
        <w:t>1</w:t>
      </w:r>
      <w:r>
        <w:rPr>
          <w:rFonts w:hint="eastAsia"/>
        </w:rPr>
        <w:t>）落实政府采购政策需满足的资格要求：此项目专门面对中小企业</w:t>
      </w:r>
    </w:p>
    <w:p>
      <w:pPr>
        <w:pStyle w:val="15"/>
        <w:ind w:firstLine="480"/>
      </w:pPr>
      <w:r>
        <w:rPr>
          <w:rFonts w:hint="eastAsia"/>
        </w:rPr>
        <w:t>（</w:t>
      </w:r>
      <w:r>
        <w:t>2</w:t>
      </w:r>
      <w:r>
        <w:rPr>
          <w:rFonts w:hint="eastAsia"/>
        </w:rPr>
        <w:t xml:space="preserve">）本项目不接受联合体投标。 </w:t>
      </w:r>
    </w:p>
    <w:p>
      <w:pPr>
        <w:pStyle w:val="15"/>
        <w:ind w:firstLine="482"/>
        <w:rPr>
          <w:b/>
          <w:bCs/>
        </w:rPr>
      </w:pPr>
      <w:r>
        <w:rPr>
          <w:rFonts w:hint="eastAsia"/>
          <w:b/>
          <w:bCs/>
        </w:rPr>
        <w:t>三、获取采购文件</w:t>
      </w:r>
    </w:p>
    <w:p>
      <w:pPr>
        <w:pStyle w:val="15"/>
        <w:ind w:firstLine="480"/>
      </w:pPr>
      <w:r>
        <w:rPr>
          <w:rFonts w:hint="eastAsia"/>
        </w:rPr>
        <w:t xml:space="preserve">获取时间：从 </w:t>
      </w:r>
      <w:r>
        <w:rPr>
          <w:rFonts w:hint="eastAsia"/>
          <w:highlight w:val="none"/>
        </w:rPr>
        <w:t>2023年</w:t>
      </w:r>
      <w:r>
        <w:rPr>
          <w:rFonts w:hint="eastAsia"/>
          <w:highlight w:val="none"/>
          <w:lang w:val="en-US" w:eastAsia="zh-CN"/>
        </w:rPr>
        <w:t>08</w:t>
      </w:r>
      <w:r>
        <w:rPr>
          <w:rFonts w:hint="eastAsia"/>
          <w:highlight w:val="none"/>
        </w:rPr>
        <w:t>月</w:t>
      </w:r>
      <w:r>
        <w:rPr>
          <w:rFonts w:hint="eastAsia"/>
          <w:highlight w:val="none"/>
          <w:lang w:val="en-US" w:eastAsia="zh-CN"/>
        </w:rPr>
        <w:t>31</w:t>
      </w:r>
      <w:r>
        <w:rPr>
          <w:rFonts w:hint="eastAsia"/>
          <w:highlight w:val="none"/>
        </w:rPr>
        <w:t>日到2023年</w:t>
      </w:r>
      <w:r>
        <w:rPr>
          <w:rFonts w:hint="eastAsia"/>
          <w:highlight w:val="none"/>
          <w:lang w:val="en-US" w:eastAsia="zh-CN"/>
        </w:rPr>
        <w:t>09</w:t>
      </w:r>
      <w:r>
        <w:rPr>
          <w:rFonts w:hint="eastAsia"/>
          <w:highlight w:val="none"/>
        </w:rPr>
        <w:t>月</w:t>
      </w:r>
      <w:r>
        <w:rPr>
          <w:rFonts w:hint="eastAsia"/>
          <w:highlight w:val="none"/>
          <w:lang w:val="en-US" w:eastAsia="zh-CN"/>
        </w:rPr>
        <w:t>05</w:t>
      </w:r>
      <w:r>
        <w:rPr>
          <w:rFonts w:hint="eastAsia"/>
          <w:highlight w:val="none"/>
        </w:rPr>
        <w:t>日</w:t>
      </w:r>
      <w:r>
        <w:rPr>
          <w:rFonts w:hint="eastAsia"/>
        </w:rPr>
        <w:t>。</w:t>
      </w:r>
    </w:p>
    <w:p>
      <w:pPr>
        <w:pStyle w:val="15"/>
        <w:ind w:firstLine="480"/>
      </w:pPr>
      <w:r>
        <w:rPr>
          <w:rFonts w:hint="eastAsia"/>
        </w:rPr>
        <w:t>获取方式：供应商登录政采云平台https://www.zcygov.cn/在线申请获取采购文件（进入“项目采购”应用，在获取采购文件菜单中选择项目，申请获取采购文件）</w:t>
      </w:r>
    </w:p>
    <w:p>
      <w:pPr>
        <w:pStyle w:val="15"/>
        <w:ind w:firstLine="480"/>
      </w:pPr>
      <w:r>
        <w:rPr>
          <w:rFonts w:hint="eastAsia"/>
        </w:rPr>
        <w:t>竞争性谈判文件售价(元)：0元/本。</w:t>
      </w:r>
    </w:p>
    <w:p>
      <w:pPr>
        <w:pStyle w:val="15"/>
        <w:ind w:firstLine="480"/>
      </w:pPr>
      <w:r>
        <w:rPr>
          <w:rFonts w:hint="eastAsia"/>
        </w:rPr>
        <w:t>四、提交响应文件提交时间、开启时间</w:t>
      </w:r>
    </w:p>
    <w:p>
      <w:pPr>
        <w:pStyle w:val="15"/>
        <w:ind w:firstLine="480"/>
        <w:rPr>
          <w:highlight w:val="none"/>
        </w:rPr>
      </w:pPr>
      <w:r>
        <w:rPr>
          <w:rFonts w:hint="eastAsia"/>
        </w:rPr>
        <w:t>提交响应文件截止时间：</w:t>
      </w:r>
      <w:r>
        <w:rPr>
          <w:rFonts w:hint="eastAsia"/>
          <w:highlight w:val="none"/>
          <w:lang w:eastAsia="zh-CN"/>
        </w:rPr>
        <w:t>2023年09月07日</w:t>
      </w:r>
      <w:r>
        <w:rPr>
          <w:highlight w:val="none"/>
        </w:rPr>
        <w:t>11</w:t>
      </w:r>
      <w:r>
        <w:rPr>
          <w:rFonts w:hint="eastAsia"/>
          <w:highlight w:val="none"/>
        </w:rPr>
        <w:t>:00（北京时间）</w:t>
      </w:r>
    </w:p>
    <w:p>
      <w:pPr>
        <w:pStyle w:val="15"/>
        <w:ind w:firstLine="480"/>
        <w:rPr>
          <w:highlight w:val="none"/>
        </w:rPr>
      </w:pPr>
      <w:r>
        <w:rPr>
          <w:rFonts w:hint="eastAsia"/>
          <w:highlight w:val="none"/>
        </w:rPr>
        <w:t>投标地点：政采云平台（线上）（www.zcygov.cn）</w:t>
      </w:r>
    </w:p>
    <w:p>
      <w:pPr>
        <w:pStyle w:val="15"/>
        <w:ind w:firstLine="480"/>
      </w:pPr>
      <w:r>
        <w:rPr>
          <w:rFonts w:hint="eastAsia"/>
          <w:highlight w:val="none"/>
        </w:rPr>
        <w:t>开标时间：</w:t>
      </w:r>
      <w:r>
        <w:rPr>
          <w:rFonts w:hint="eastAsia"/>
          <w:highlight w:val="none"/>
          <w:lang w:eastAsia="zh-CN"/>
        </w:rPr>
        <w:t>2023年09月07日</w:t>
      </w:r>
      <w:r>
        <w:rPr>
          <w:highlight w:val="none"/>
        </w:rPr>
        <w:t>11</w:t>
      </w:r>
      <w:r>
        <w:rPr>
          <w:rFonts w:hint="eastAsia"/>
          <w:highlight w:val="none"/>
        </w:rPr>
        <w:t>:00（</w:t>
      </w:r>
      <w:r>
        <w:rPr>
          <w:rFonts w:hint="eastAsia"/>
        </w:rPr>
        <w:t>北京时间）</w:t>
      </w:r>
    </w:p>
    <w:p>
      <w:pPr>
        <w:pStyle w:val="15"/>
        <w:ind w:firstLine="480"/>
      </w:pPr>
      <w:r>
        <w:rPr>
          <w:rFonts w:hint="eastAsia"/>
        </w:rPr>
        <w:t>开标地点：政采云平台（线上）（www.zcygov.cn）</w:t>
      </w:r>
    </w:p>
    <w:p>
      <w:pPr>
        <w:pStyle w:val="15"/>
        <w:ind w:firstLine="482"/>
        <w:rPr>
          <w:b/>
          <w:bCs/>
        </w:rPr>
      </w:pPr>
      <w:r>
        <w:rPr>
          <w:rFonts w:hint="eastAsia"/>
          <w:b/>
          <w:bCs/>
        </w:rPr>
        <w:t>五、公告期限</w:t>
      </w:r>
    </w:p>
    <w:p>
      <w:pPr>
        <w:pStyle w:val="15"/>
        <w:ind w:firstLine="480"/>
      </w:pPr>
      <w:r>
        <w:rPr>
          <w:rFonts w:hint="eastAsia"/>
        </w:rPr>
        <w:t>自本公告发布之日起</w:t>
      </w:r>
      <w:r>
        <w:t>3</w:t>
      </w:r>
      <w:r>
        <w:rPr>
          <w:rFonts w:hint="eastAsia"/>
        </w:rPr>
        <w:t>个工作日。</w:t>
      </w:r>
    </w:p>
    <w:p>
      <w:pPr>
        <w:pStyle w:val="15"/>
        <w:ind w:firstLine="482"/>
        <w:rPr>
          <w:b/>
          <w:bCs/>
        </w:rPr>
      </w:pPr>
      <w:r>
        <w:rPr>
          <w:rFonts w:hint="eastAsia"/>
          <w:b/>
          <w:bCs/>
        </w:rPr>
        <w:t>六、其他补充事宜</w:t>
      </w:r>
    </w:p>
    <w:p>
      <w:pPr>
        <w:pStyle w:val="15"/>
        <w:ind w:firstLine="480"/>
      </w:pPr>
      <w:r>
        <w:t>1、本公告在新疆政府采购网发布。</w:t>
      </w:r>
    </w:p>
    <w:p>
      <w:pPr>
        <w:pStyle w:val="15"/>
        <w:ind w:firstLine="480"/>
      </w:pPr>
      <w:r>
        <w:t>2、请各供应商随时关注本项目的变更、答疑、澄清文件。</w:t>
      </w:r>
    </w:p>
    <w:p>
      <w:pPr>
        <w:pStyle w:val="15"/>
        <w:ind w:firstLine="480"/>
      </w:pPr>
      <w:r>
        <w:t>3、本项目实行电子招投标，供应商须登录政采云平台申请获取</w:t>
      </w:r>
      <w:r>
        <w:rPr>
          <w:rFonts w:hint="eastAsia"/>
        </w:rPr>
        <w:t>竞争性谈判文件</w:t>
      </w:r>
      <w:r>
        <w:t>，并通过政采云电子投标客户端制作响应文件，同时自行承担与投标有关的一切费用。</w:t>
      </w:r>
    </w:p>
    <w:p>
      <w:pPr>
        <w:pStyle w:val="15"/>
        <w:ind w:firstLine="480"/>
      </w:pPr>
      <w:r>
        <w:t>4、各供应商应在开标前确保成为新疆维吾尔自治区政府采购网正式注册入库供应商，并完成CA数字证书申领。因未注册入库、未办理CA数字证书等原因造成无法投标或投标失败等后果由供应商自行承担。</w:t>
      </w:r>
    </w:p>
    <w:p>
      <w:pPr>
        <w:pStyle w:val="15"/>
        <w:ind w:firstLine="480"/>
      </w:pPr>
      <w: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pPr>
        <w:pStyle w:val="15"/>
        <w:ind w:firstLine="480"/>
      </w:pPr>
      <w:r>
        <w:t>6、本项目采用不见面开标，供应商须在投标截止时间前通过CA在政采云平台上传加密的电子响应文件。</w:t>
      </w:r>
    </w:p>
    <w:p>
      <w:pPr>
        <w:pStyle w:val="15"/>
        <w:ind w:firstLine="480"/>
      </w:pPr>
      <w: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pPr>
        <w:pStyle w:val="15"/>
        <w:ind w:firstLine="480"/>
      </w:pPr>
      <w:r>
        <w:rPr>
          <w:rFonts w:hint="eastAsia"/>
        </w:rPr>
        <w:t>8、本项目公告期限为</w:t>
      </w:r>
      <w:r>
        <w:t>3</w:t>
      </w:r>
      <w:r>
        <w:rPr>
          <w:rFonts w:hint="eastAsia"/>
        </w:rPr>
        <w:t>个工作日，供应商认为采购文件使自己的权益受到损害的，可以自收到采购文件之日（发售截止日之后收到采购文件的，以发售截止日为准）或者采购文件公告期限届满之日（公告发布后的第</w:t>
      </w:r>
      <w:r>
        <w:t>4</w:t>
      </w:r>
      <w:r>
        <w:rPr>
          <w:rFonts w:hint="eastAsia"/>
        </w:rPr>
        <w:t>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r>
        <w:t> </w:t>
      </w:r>
    </w:p>
    <w:p>
      <w:pPr>
        <w:pStyle w:val="15"/>
        <w:ind w:firstLine="480"/>
      </w:pPr>
      <w:r>
        <w:rPr>
          <w:rFonts w:hint="eastAsia"/>
        </w:rPr>
        <w:t>9、①与采购人存在利害关系可能影响招标公正性的法人、其他组织或者个人，不得参加投标；②单位负责人为同一人或者存在控股、管理关系的不同单位，不得参加同一标段投标或者未划分标段的同一招标项目投标；③供应商处干被责令停业、财产被接管、冻结和破产状态，以及投标资格被取消或者被暂停且在暂停期，不得参加投标；</w:t>
      </w:r>
    </w:p>
    <w:p>
      <w:pPr>
        <w:pStyle w:val="15"/>
        <w:ind w:firstLine="480"/>
      </w:pPr>
      <w:r>
        <w:rPr>
          <w:rFonts w:hint="eastAsia"/>
        </w:rPr>
        <w:t>七、对本次采购提出询问，请按以下方式联系</w:t>
      </w:r>
    </w:p>
    <w:p>
      <w:pPr>
        <w:pStyle w:val="15"/>
        <w:ind w:firstLine="480"/>
      </w:pPr>
      <w:r>
        <w:rPr>
          <w:rFonts w:hint="eastAsia"/>
        </w:rPr>
        <w:t>招 标 人：新疆农业大学</w:t>
      </w:r>
    </w:p>
    <w:p>
      <w:pPr>
        <w:pStyle w:val="15"/>
        <w:ind w:firstLine="480"/>
      </w:pPr>
      <w:r>
        <w:rPr>
          <w:rFonts w:hint="eastAsia"/>
        </w:rPr>
        <w:t>地 址：农大东路311号</w:t>
      </w:r>
    </w:p>
    <w:p>
      <w:pPr>
        <w:pStyle w:val="15"/>
        <w:ind w:firstLine="480"/>
      </w:pPr>
      <w:r>
        <w:rPr>
          <w:rFonts w:hint="eastAsia"/>
        </w:rPr>
        <w:t xml:space="preserve">联系人：王老师        </w:t>
      </w:r>
    </w:p>
    <w:p>
      <w:pPr>
        <w:pStyle w:val="15"/>
        <w:ind w:firstLine="480"/>
      </w:pPr>
      <w:r>
        <w:rPr>
          <w:rFonts w:hint="eastAsia"/>
        </w:rPr>
        <w:t xml:space="preserve">联系电话：18368880513       </w:t>
      </w:r>
    </w:p>
    <w:p>
      <w:pPr>
        <w:pStyle w:val="15"/>
        <w:ind w:firstLine="480"/>
      </w:pPr>
      <w:r>
        <w:rPr>
          <w:rFonts w:hint="eastAsia"/>
        </w:rPr>
        <w:t>电子邮件：/</w:t>
      </w:r>
    </w:p>
    <w:p>
      <w:pPr>
        <w:pStyle w:val="15"/>
        <w:ind w:firstLine="480"/>
      </w:pPr>
      <w:r>
        <w:rPr>
          <w:rFonts w:hint="eastAsia"/>
        </w:rPr>
        <w:t>招标代理机构：新疆众信诚达项目管理有限公司</w:t>
      </w:r>
    </w:p>
    <w:p>
      <w:pPr>
        <w:pStyle w:val="15"/>
        <w:ind w:firstLine="480"/>
      </w:pPr>
      <w:r>
        <w:rPr>
          <w:rFonts w:hint="eastAsia"/>
        </w:rPr>
        <w:t>地 址： 乌鲁木齐市天山区文艺路 106 号恒福大厦 B-2108</w:t>
      </w:r>
    </w:p>
    <w:p>
      <w:pPr>
        <w:pStyle w:val="15"/>
        <w:ind w:firstLine="480"/>
      </w:pPr>
      <w:r>
        <w:rPr>
          <w:rFonts w:hint="eastAsia"/>
        </w:rPr>
        <w:t>联 系 人： 张一莹、郑翠玲、黎文宣</w:t>
      </w:r>
    </w:p>
    <w:p>
      <w:pPr>
        <w:pStyle w:val="15"/>
        <w:ind w:firstLine="480"/>
      </w:pPr>
      <w:r>
        <w:rPr>
          <w:rFonts w:hint="eastAsia"/>
        </w:rPr>
        <w:t xml:space="preserve">电 话： </w:t>
      </w:r>
      <w:r>
        <w:t>0991-</w:t>
      </w:r>
      <w:r>
        <w:rPr>
          <w:rFonts w:hint="eastAsia"/>
        </w:rPr>
        <w:t>2308213</w:t>
      </w:r>
      <w:r>
        <w:t xml:space="preserve">  0991-2308167</w:t>
      </w:r>
    </w:p>
    <w:p>
      <w:pPr>
        <w:pStyle w:val="15"/>
        <w:ind w:firstLine="480"/>
      </w:pPr>
      <w:r>
        <w:rPr>
          <w:rFonts w:hint="eastAsia"/>
        </w:rPr>
        <w:t>电子邮件： 3232654292@qq.com</w:t>
      </w:r>
    </w:p>
    <w:p/>
    <w:p>
      <w:pPr>
        <w:ind w:firstLine="480"/>
      </w:pPr>
      <w:r>
        <w:t> </w:t>
      </w:r>
    </w:p>
    <w:p>
      <w:pPr>
        <w:ind w:firstLine="480"/>
      </w:pPr>
    </w:p>
    <w:p>
      <w:pPr>
        <w:ind w:firstLine="480"/>
      </w:pPr>
    </w:p>
    <w:p>
      <w:pPr>
        <w:pStyle w:val="6"/>
        <w:ind w:firstLine="723"/>
      </w:pPr>
      <w:r>
        <w:rPr>
          <w:rFonts w:hint="eastAsia"/>
        </w:rPr>
        <w:tab/>
      </w:r>
      <w:bookmarkStart w:id="8" w:name="_Toc137929602"/>
      <w:r>
        <w:rPr>
          <w:rFonts w:hint="eastAsia"/>
        </w:rPr>
        <w:t>第二部分  供应商须知</w:t>
      </w:r>
      <w:bookmarkEnd w:id="2"/>
      <w:bookmarkEnd w:id="3"/>
      <w:bookmarkEnd w:id="4"/>
      <w:bookmarkEnd w:id="5"/>
      <w:bookmarkEnd w:id="6"/>
      <w:bookmarkEnd w:id="7"/>
      <w:bookmarkEnd w:id="8"/>
    </w:p>
    <w:tbl>
      <w:tblPr>
        <w:tblStyle w:val="24"/>
        <w:tblW w:w="9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9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00" w:type="dxa"/>
            <w:vAlign w:val="center"/>
          </w:tcPr>
          <w:p>
            <w:r>
              <w:rPr>
                <w:rFonts w:hint="eastAsia"/>
              </w:rPr>
              <w:t>项目</w:t>
            </w:r>
          </w:p>
        </w:tc>
        <w:tc>
          <w:tcPr>
            <w:tcW w:w="9000" w:type="dxa"/>
            <w:vAlign w:val="center"/>
          </w:tcPr>
          <w:p>
            <w:r>
              <w:rPr>
                <w:rFonts w:hint="eastAsia"/>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900" w:type="dxa"/>
            <w:vAlign w:val="center"/>
          </w:tcPr>
          <w:p>
            <w:r>
              <w:rPr>
                <w:rFonts w:hint="eastAsia"/>
              </w:rPr>
              <w:t>1</w:t>
            </w:r>
          </w:p>
        </w:tc>
        <w:tc>
          <w:tcPr>
            <w:tcW w:w="9000" w:type="dxa"/>
            <w:vAlign w:val="center"/>
          </w:tcPr>
          <w:p>
            <w:pPr>
              <w:rPr>
                <w:rFonts w:cs="宋体"/>
                <w:kern w:val="0"/>
              </w:rPr>
            </w:pPr>
            <w:r>
              <w:rPr>
                <w:rFonts w:hint="eastAsia" w:cs="宋体"/>
                <w:kern w:val="0"/>
              </w:rPr>
              <w:t>（1）项目名称：新疆农业大学资源与环境学院5楼加热室通风柜改造项目</w:t>
            </w:r>
          </w:p>
          <w:p>
            <w:r>
              <w:rPr>
                <w:rFonts w:hint="eastAsia" w:cs="宋体"/>
                <w:kern w:val="0"/>
              </w:rPr>
              <w:t>（2）项目编号：ZXCD-2023-02013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00" w:type="dxa"/>
            <w:vAlign w:val="center"/>
          </w:tcPr>
          <w:p>
            <w:r>
              <w:rPr>
                <w:rFonts w:hint="eastAsia"/>
              </w:rPr>
              <w:t>2</w:t>
            </w:r>
          </w:p>
        </w:tc>
        <w:tc>
          <w:tcPr>
            <w:tcW w:w="9000" w:type="dxa"/>
            <w:vAlign w:val="center"/>
          </w:tcPr>
          <w:p>
            <w:pPr>
              <w:rPr>
                <w:rFonts w:cs="宋体"/>
                <w:kern w:val="0"/>
              </w:rPr>
            </w:pPr>
            <w:r>
              <w:rPr>
                <w:rFonts w:hint="eastAsia"/>
              </w:rPr>
              <w:t>项目概况：新疆农业大学资源与环境学院5楼加热室通风柜改造项目</w:t>
            </w:r>
            <w:r>
              <w:rPr>
                <w:rFonts w:hint="eastAsia" w:cs="宋体"/>
                <w:kern w:val="0"/>
              </w:rPr>
              <w:t>（具体详见第四部分，技术需求）</w:t>
            </w:r>
          </w:p>
          <w:p>
            <w:r>
              <w:rPr>
                <w:rFonts w:hint="eastAsia"/>
              </w:rPr>
              <w:t>预算金额：13.19万元（供应商报价不允许超过预算金额，超过作为无效标处理。）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00" w:type="dxa"/>
            <w:vAlign w:val="center"/>
          </w:tcPr>
          <w:p>
            <w:r>
              <w:rPr>
                <w:rFonts w:hint="eastAsia"/>
              </w:rPr>
              <w:t>3</w:t>
            </w:r>
          </w:p>
        </w:tc>
        <w:tc>
          <w:tcPr>
            <w:tcW w:w="9000" w:type="dxa"/>
            <w:vAlign w:val="center"/>
          </w:tcPr>
          <w:p>
            <w:r>
              <w:rPr>
                <w:rFonts w:hint="eastAsia"/>
              </w:rPr>
              <w:t>供应商资格条件</w:t>
            </w:r>
          </w:p>
          <w:p>
            <w:r>
              <w:rPr>
                <w:rFonts w:hint="eastAsia"/>
              </w:rPr>
              <w:t>1、符合《中华人民共和国政府采购法》第二十二条的规定：</w:t>
            </w:r>
          </w:p>
          <w:p>
            <w:r>
              <w:rPr>
                <w:rFonts w:hint="eastAsia"/>
              </w:rPr>
              <w:t>2.本项目的特定资格要求：</w:t>
            </w:r>
          </w:p>
          <w:p>
            <w:r>
              <w:rPr>
                <w:rFonts w:hint="eastAsia"/>
              </w:rPr>
              <w:t>（1）落实政府采购政策需满足的资格要求：此项目专门面对中小微企业</w:t>
            </w:r>
          </w:p>
          <w:p>
            <w:r>
              <w:rPr>
                <w:rFonts w:hint="eastAsia"/>
              </w:rPr>
              <w:t>（2）本项目不接受联合体投标。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00" w:type="dxa"/>
            <w:vAlign w:val="center"/>
          </w:tcPr>
          <w:p>
            <w:r>
              <w:rPr>
                <w:rFonts w:hint="eastAsia"/>
              </w:rPr>
              <w:t>4</w:t>
            </w:r>
          </w:p>
        </w:tc>
        <w:tc>
          <w:tcPr>
            <w:tcW w:w="9000" w:type="dxa"/>
            <w:vAlign w:val="center"/>
          </w:tcPr>
          <w:p>
            <w:r>
              <w:rPr>
                <w:rFonts w:hint="eastAsia"/>
              </w:rPr>
              <w:t>谈判文件费用：</w:t>
            </w:r>
            <w:r>
              <w:t>0</w:t>
            </w:r>
            <w:r>
              <w:rPr>
                <w:rFonts w:hint="eastAsia"/>
              </w:rPr>
              <w:t>元/本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0" w:type="dxa"/>
            <w:vAlign w:val="center"/>
          </w:tcPr>
          <w:p>
            <w:r>
              <w:rPr>
                <w:rFonts w:hint="eastAsia"/>
              </w:rPr>
              <w:t>5</w:t>
            </w:r>
          </w:p>
        </w:tc>
        <w:tc>
          <w:tcPr>
            <w:tcW w:w="9000" w:type="dxa"/>
            <w:vAlign w:val="center"/>
          </w:tcPr>
          <w:p>
            <w:r>
              <w:rPr>
                <w:rFonts w:hint="eastAsia"/>
              </w:rPr>
              <w:t>投标保证金：银行转账（必须由供应商的基本账户转出）</w:t>
            </w:r>
          </w:p>
          <w:p>
            <w:r>
              <w:rPr>
                <w:rFonts w:hint="eastAsia"/>
              </w:rPr>
              <w:t>户名：新疆众信诚达项目管理有限公司</w:t>
            </w:r>
          </w:p>
          <w:p>
            <w:r>
              <w:rPr>
                <w:rFonts w:hint="eastAsia"/>
              </w:rPr>
              <w:t>开户行：新疆银行股份有限公司</w:t>
            </w:r>
          </w:p>
          <w:p>
            <w:r>
              <w:rPr>
                <w:rFonts w:hint="eastAsia"/>
              </w:rPr>
              <w:t>帐号：0801250000003448</w:t>
            </w:r>
          </w:p>
          <w:p>
            <w:r>
              <w:rPr>
                <w:rFonts w:hint="eastAsia"/>
              </w:rPr>
              <w:t>行号：313881088887</w:t>
            </w:r>
          </w:p>
          <w:p>
            <w:r>
              <w:rPr>
                <w:rFonts w:hint="eastAsia"/>
              </w:rPr>
              <w:t>金额：2600元（贰仟陆佰元整）</w:t>
            </w:r>
          </w:p>
          <w:p>
            <w:r>
              <w:rPr>
                <w:rFonts w:hint="eastAsia"/>
              </w:rPr>
              <w:t>1.保证金递交截止时间：响应文件递交截止时间前。</w:t>
            </w:r>
          </w:p>
          <w:p>
            <w:r>
              <w:rPr>
                <w:rFonts w:hint="eastAsia"/>
              </w:rPr>
              <w:t>2.保证金缴纳形式：以</w:t>
            </w:r>
            <w:r>
              <w:rPr>
                <w:rFonts w:hint="eastAsia"/>
                <w:b/>
                <w:bCs/>
              </w:rPr>
              <w:t>银行转账、电汇、支票、银行汇票等非现金形式提交</w:t>
            </w:r>
            <w:r>
              <w:rPr>
                <w:rFonts w:hint="eastAsia"/>
              </w:rPr>
              <w:t>。银行保函或者保险公司、担保公司保函应当从其基本账户开具。</w:t>
            </w:r>
          </w:p>
          <w:p>
            <w:r>
              <w:rPr>
                <w:rFonts w:hint="eastAsia"/>
              </w:rPr>
              <w:t>3.保证金由供应商基本账户一次性汇入。保证金必须在提交响应文件截止时间前缴纳，供应商应充分考虑资金到账时间，在规定的时限前自行办妥保证金交纳手续。保证金采取银行转账、电汇方式递交的，以电汇凭证和网银对账单的时间为准，采取支票、银行汇票、保函方式递交的，以实际递交至招标代理机构的时间为准，超过时限交纳保证金视为投标无效。</w:t>
            </w:r>
          </w:p>
          <w:p>
            <w:r>
              <w:rPr>
                <w:rFonts w:hint="eastAsia"/>
              </w:rPr>
              <w:t>4.保证金退还：退还保证金时须携带</w:t>
            </w:r>
            <w:r>
              <w:rPr>
                <w:rFonts w:hint="eastAsia"/>
                <w:b/>
                <w:bCs/>
              </w:rPr>
              <w:t>对开收据</w:t>
            </w:r>
            <w:r>
              <w:rPr>
                <w:rFonts w:hint="eastAsia"/>
              </w:rPr>
              <w:t>及退还保证金函（格式后附）。</w:t>
            </w:r>
          </w:p>
          <w:p>
            <w:r>
              <w:rPr>
                <w:rFonts w:hint="eastAsia"/>
              </w:rPr>
              <w:t>5.供应商提交保证金应充分考虑资金在途时间。各投标单位缴纳保证金时须在附加信息及用途栏内注明“XXX项目保证金（以保证金接收方银行到账信息为准）。</w:t>
            </w:r>
          </w:p>
          <w:p>
            <w:r>
              <w:rPr>
                <w:rFonts w:hint="eastAsia"/>
              </w:rPr>
              <w:t>注意：不得以现金的方式和其他的形式缴纳，不得以分公司、办事处或其他机构名义缴纳，供应商在缴纳保证金时，需在进账凭证上明确自己用途和投标项目，并注明联系人及电话，以便查对核实。请供应商按上述要求将保证金汇入指定的开户银行。未按规定提交保证金的投标，将被视为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900" w:type="dxa"/>
            <w:vAlign w:val="center"/>
          </w:tcPr>
          <w:p>
            <w:r>
              <w:rPr>
                <w:rFonts w:hint="eastAsia"/>
              </w:rPr>
              <w:t>6</w:t>
            </w:r>
          </w:p>
        </w:tc>
        <w:tc>
          <w:tcPr>
            <w:tcW w:w="9000" w:type="dxa"/>
            <w:vAlign w:val="center"/>
          </w:tcPr>
          <w:p>
            <w:r>
              <w:rPr>
                <w:rFonts w:hint="eastAsia"/>
              </w:rPr>
              <w:t>响应文件份数：加密的电子版响应文件一份</w:t>
            </w:r>
          </w:p>
          <w:p>
            <w:r>
              <w:rPr>
                <w:rFonts w:hint="eastAsia"/>
              </w:rPr>
              <w:t xml:space="preserve">（需在递交响应文件截止时间前成功上传至“政采云平台项目采购系统”）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00" w:type="dxa"/>
            <w:vAlign w:val="center"/>
          </w:tcPr>
          <w:p>
            <w:r>
              <w:rPr>
                <w:rFonts w:hint="eastAsia"/>
              </w:rPr>
              <w:t>7</w:t>
            </w:r>
          </w:p>
        </w:tc>
        <w:tc>
          <w:tcPr>
            <w:tcW w:w="9000" w:type="dxa"/>
            <w:vAlign w:val="center"/>
          </w:tcPr>
          <w:p>
            <w:r>
              <w:rPr>
                <w:rFonts w:hint="eastAsia"/>
              </w:rPr>
              <w:t>纸质版标书:（成交后递交）正本：1份，副本：4份。（均双面打印、无需分册装订、为项目存档需要，不得使用硬质封皮胶装）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900" w:type="dxa"/>
            <w:vAlign w:val="center"/>
          </w:tcPr>
          <w:p>
            <w:r>
              <w:rPr>
                <w:rFonts w:hint="eastAsia"/>
              </w:rPr>
              <w:t>8</w:t>
            </w:r>
          </w:p>
        </w:tc>
        <w:tc>
          <w:tcPr>
            <w:tcW w:w="9000" w:type="dxa"/>
            <w:vAlign w:val="center"/>
          </w:tcPr>
          <w:p>
            <w:r>
              <w:rPr>
                <w:rFonts w:hint="eastAsia"/>
              </w:rPr>
              <w:t>响应文件递交截止时间</w:t>
            </w:r>
            <w:r>
              <w:rPr>
                <w:rFonts w:hint="eastAsia"/>
                <w:lang w:val="en-US" w:eastAsia="zh-CN"/>
              </w:rPr>
              <w:t>:</w:t>
            </w:r>
            <w:r>
              <w:rPr>
                <w:rFonts w:hint="eastAsia"/>
                <w:highlight w:val="none"/>
                <w:lang w:eastAsia="zh-CN"/>
              </w:rPr>
              <w:t>2023年09月07日</w:t>
            </w:r>
            <w:r>
              <w:rPr>
                <w:highlight w:val="none"/>
              </w:rPr>
              <w:t>11</w:t>
            </w:r>
            <w:r>
              <w:rPr>
                <w:rFonts w:hint="eastAsia"/>
                <w:highlight w:val="none"/>
              </w:rPr>
              <w:t>:00</w:t>
            </w:r>
            <w:r>
              <w:rPr>
                <w:rFonts w:hint="eastAsia"/>
              </w:rPr>
              <w:t>（北京时间）止，之后所提交的文件将被拒绝接收。</w:t>
            </w:r>
          </w:p>
          <w:p>
            <w:r>
              <w:rPr>
                <w:rFonts w:hint="eastAsia"/>
              </w:rPr>
              <w:t>开标时间：</w:t>
            </w:r>
            <w:r>
              <w:rPr>
                <w:rFonts w:hint="eastAsia"/>
                <w:highlight w:val="none"/>
                <w:lang w:eastAsia="zh-CN"/>
              </w:rPr>
              <w:t>2023年09月07日</w:t>
            </w:r>
            <w:r>
              <w:rPr>
                <w:highlight w:val="none"/>
              </w:rPr>
              <w:t>11</w:t>
            </w:r>
            <w:r>
              <w:rPr>
                <w:rFonts w:hint="eastAsia"/>
                <w:highlight w:val="none"/>
              </w:rPr>
              <w:t>:00</w:t>
            </w:r>
            <w:bookmarkStart w:id="709" w:name="_GoBack"/>
            <w:bookmarkEnd w:id="709"/>
            <w:r>
              <w:rPr>
                <w:rFonts w:hint="eastAsia"/>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00" w:type="dxa"/>
            <w:vAlign w:val="center"/>
          </w:tcPr>
          <w:p>
            <w:r>
              <w:rPr>
                <w:rFonts w:hint="eastAsia"/>
              </w:rPr>
              <w:t>9</w:t>
            </w:r>
          </w:p>
        </w:tc>
        <w:tc>
          <w:tcPr>
            <w:tcW w:w="9000" w:type="dxa"/>
            <w:vAlign w:val="center"/>
          </w:tcPr>
          <w:p>
            <w:r>
              <w:rPr>
                <w:rFonts w:hint="eastAsia"/>
              </w:rPr>
              <w:t>响应文件递交至：</w:t>
            </w:r>
            <w:r>
              <w:rPr>
                <w:rFonts w:hint="eastAsia" w:hAnsi="宋体" w:cs="仿宋"/>
                <w:color w:val="000000"/>
              </w:rPr>
              <w:t>政采云平台（线上）（www.zcygov.cn）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00" w:type="dxa"/>
            <w:vAlign w:val="center"/>
          </w:tcPr>
          <w:p>
            <w:r>
              <w:rPr>
                <w:rFonts w:hint="eastAsia"/>
              </w:rPr>
              <w:t>10</w:t>
            </w:r>
          </w:p>
        </w:tc>
        <w:tc>
          <w:tcPr>
            <w:tcW w:w="9000" w:type="dxa"/>
            <w:vAlign w:val="center"/>
          </w:tcPr>
          <w:p>
            <w:pPr>
              <w:rPr>
                <w:shd w:val="clear" w:color="auto" w:fill="FFFFFF"/>
              </w:rPr>
            </w:pPr>
            <w:r>
              <w:rPr>
                <w:rFonts w:hint="eastAsia"/>
                <w:b/>
                <w:bCs/>
              </w:rPr>
              <w:t>工期：合同签订后30天完工</w:t>
            </w:r>
            <w:r>
              <w:rPr>
                <w:rFonts w:hint="eastAsia"/>
                <w:shd w:val="clear" w:color="auto" w:fill="FFFF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900" w:type="dxa"/>
            <w:vAlign w:val="center"/>
          </w:tcPr>
          <w:p>
            <w:r>
              <w:rPr>
                <w:rFonts w:hint="eastAsia"/>
              </w:rPr>
              <w:t>11</w:t>
            </w:r>
          </w:p>
        </w:tc>
        <w:tc>
          <w:tcPr>
            <w:tcW w:w="9000" w:type="dxa"/>
            <w:vAlign w:val="center"/>
          </w:tcPr>
          <w:p>
            <w:pPr>
              <w:rPr>
                <w:rFonts w:cs="宋体"/>
                <w:highlight w:val="yellow"/>
              </w:rPr>
            </w:pPr>
            <w:r>
              <w:rPr>
                <w:rFonts w:hint="eastAsia" w:cs="仿宋_GB2312" w:asciiTheme="minorEastAsia" w:hAnsiTheme="minorEastAsia"/>
                <w:b/>
                <w:bCs/>
                <w:lang w:val="zh-TW" w:eastAsia="zh-TW"/>
              </w:rPr>
              <w:t>质保期</w:t>
            </w:r>
            <w:r>
              <w:rPr>
                <w:rFonts w:hint="eastAsia" w:cs="仿宋_GB2312" w:asciiTheme="minorEastAsia" w:hAnsiTheme="minorEastAsia"/>
                <w:b/>
                <w:bCs/>
                <w:lang w:val="zh-TW"/>
              </w:rPr>
              <w:t>质保期：1年，所提供的产品如有质量问题3个月内免费更换；质保期内免费上门服务。自行拟定售后服务方案。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0" w:type="dxa"/>
            <w:vAlign w:val="center"/>
          </w:tcPr>
          <w:p>
            <w:r>
              <w:rPr>
                <w:rFonts w:hint="eastAsia"/>
              </w:rPr>
              <w:t>1</w:t>
            </w:r>
            <w:r>
              <w:t>2</w:t>
            </w:r>
          </w:p>
        </w:tc>
        <w:tc>
          <w:tcPr>
            <w:tcW w:w="9000" w:type="dxa"/>
            <w:vAlign w:val="center"/>
          </w:tcPr>
          <w:p>
            <w:pPr>
              <w:rPr>
                <w:rFonts w:cs="宋体"/>
              </w:rPr>
            </w:pPr>
            <w:r>
              <w:rPr>
                <w:rFonts w:hint="eastAsia"/>
              </w:rPr>
              <w:t>成交原则：根据《政府采购非招标采购方式管理办法》的有关规定，质量和服务均能满足竞争性谈判文件实质性响应要求且最后报价最低的原则确定成交供应商。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900" w:type="dxa"/>
            <w:vAlign w:val="center"/>
          </w:tcPr>
          <w:p>
            <w:r>
              <w:rPr>
                <w:rFonts w:hint="eastAsia"/>
              </w:rPr>
              <w:t>1</w:t>
            </w:r>
            <w:r>
              <w:t>3</w:t>
            </w:r>
          </w:p>
        </w:tc>
        <w:tc>
          <w:tcPr>
            <w:tcW w:w="9000" w:type="dxa"/>
            <w:vAlign w:val="center"/>
          </w:tcPr>
          <w:p>
            <w:r>
              <w:rPr>
                <w:rFonts w:hint="eastAsia"/>
              </w:rPr>
              <w:t>投标有效期：</w:t>
            </w:r>
            <w:r>
              <w:t>90</w:t>
            </w:r>
            <w:r>
              <w:rPr>
                <w:rFonts w:hint="eastAsia"/>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900" w:type="dxa"/>
            <w:vAlign w:val="center"/>
          </w:tcPr>
          <w:p>
            <w:r>
              <w:rPr>
                <w:rFonts w:hint="eastAsia"/>
              </w:rPr>
              <w:t>1</w:t>
            </w:r>
            <w:r>
              <w:t>4</w:t>
            </w:r>
          </w:p>
        </w:tc>
        <w:tc>
          <w:tcPr>
            <w:tcW w:w="9000" w:type="dxa"/>
            <w:vAlign w:val="center"/>
          </w:tcPr>
          <w:p>
            <w:r>
              <w:rPr>
                <w:rFonts w:hint="eastAsia"/>
              </w:rPr>
              <w:t>招标代理服务费：3000元，由中标企业向招标代理机构支付。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0" w:type="dxa"/>
            <w:vAlign w:val="center"/>
          </w:tcPr>
          <w:p>
            <w:r>
              <w:rPr>
                <w:rFonts w:hint="eastAsia"/>
              </w:rPr>
              <w:t>1</w:t>
            </w:r>
            <w:r>
              <w:t>5</w:t>
            </w:r>
          </w:p>
        </w:tc>
        <w:tc>
          <w:tcPr>
            <w:tcW w:w="9000" w:type="dxa"/>
            <w:vAlign w:val="center"/>
          </w:tcPr>
          <w:p>
            <w:pPr>
              <w:rPr>
                <w:b/>
                <w:bCs/>
              </w:rPr>
            </w:pPr>
            <w:r>
              <w:rPr>
                <w:rFonts w:hint="eastAsia"/>
                <w:b/>
                <w:bCs/>
              </w:rPr>
              <w:t>付款方式：合同签订后预付30%，剩余70%根据合同履约进度分期支付。具体以合同签订为准。</w:t>
            </w:r>
          </w:p>
          <w:p>
            <w:r>
              <w:rPr>
                <w:rFonts w:hint="eastAsia"/>
                <w:b/>
                <w:bCs/>
              </w:rPr>
              <w:t>报价要求：投标报价包括但不限于产品价格、运输、装卸搬运、质量检测、安装、保险、税金等所有完成本项目的合理费用。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00" w:type="dxa"/>
            <w:vAlign w:val="center"/>
          </w:tcPr>
          <w:p>
            <w:r>
              <w:rPr>
                <w:rFonts w:hint="eastAsia"/>
              </w:rPr>
              <w:t>1</w:t>
            </w:r>
            <w:r>
              <w:t>6</w:t>
            </w:r>
          </w:p>
        </w:tc>
        <w:tc>
          <w:tcPr>
            <w:tcW w:w="9000" w:type="dxa"/>
            <w:vAlign w:val="center"/>
          </w:tcPr>
          <w:p>
            <w:r>
              <w:rPr>
                <w:rFonts w:hint="eastAsia"/>
              </w:rPr>
              <w:t>合同签订：</w:t>
            </w:r>
            <w:r>
              <w:t>成交单位收到成交通知书后</w:t>
            </w:r>
            <w:r>
              <w:rPr>
                <w:rFonts w:hint="eastAsia"/>
              </w:rPr>
              <w:t>30</w:t>
            </w:r>
            <w:r>
              <w:t>日内完成签订合同</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00" w:type="dxa"/>
            <w:vAlign w:val="center"/>
          </w:tcPr>
          <w:p>
            <w:r>
              <w:rPr>
                <w:rFonts w:hint="eastAsia"/>
              </w:rPr>
              <w:t>17</w:t>
            </w:r>
          </w:p>
        </w:tc>
        <w:tc>
          <w:tcPr>
            <w:tcW w:w="9000" w:type="dxa"/>
            <w:vAlign w:val="center"/>
          </w:tcPr>
          <w:p>
            <w:r>
              <w:t>1.</w:t>
            </w:r>
            <w:r>
              <w:rPr>
                <w:rFonts w:hint="eastAsia"/>
              </w:rPr>
              <w:t xml:space="preserve"> 本项目专门面向中小微企业</w:t>
            </w:r>
          </w:p>
          <w:p>
            <w:r>
              <w:rPr>
                <w:rFonts w:hint="eastAsia"/>
              </w:rPr>
              <w:t>本项目为专门面向中小企业采购项目，根据《关于进一步加大政府采购支持中小企业力度的通知》（财库〔2022〕19号）、《政府采购促进中小企业发展管理办法》（财库[2020]46号）的规定，对符合规定的小微企业报价给予10%的扣除，用扣除后的价格参加评审；</w:t>
            </w:r>
          </w:p>
          <w:p>
            <w:r>
              <w:rPr>
                <w:rFonts w:hint="eastAsia"/>
              </w:rPr>
              <w:t>2.根据工信部联企业〔2011〕300号 《关于印发中小企业划型标准规定的通知》采购标的对应的中小企业划分标准所属行业：</w:t>
            </w:r>
            <w:r>
              <w:rPr>
                <w:rFonts w:hint="eastAsia" w:ascii="宋体" w:hAnsi="宋体" w:eastAsia="宋体" w:cs="宋体"/>
                <w:color w:val="000000"/>
                <w:szCs w:val="24"/>
                <w:shd w:val="clear" w:color="auto" w:fill="FFFFFF"/>
              </w:rPr>
              <w:t>其他未列明行业。从业人员300人以下的为中小微型企业。其中，从业人员100人及以上的为中型企业；从业人员10人及以上的为小型企业；从业人员10人以下的为微型企业。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00" w:type="dxa"/>
            <w:vAlign w:val="center"/>
          </w:tcPr>
          <w:p>
            <w:r>
              <w:rPr>
                <w:rFonts w:hint="eastAsia"/>
              </w:rPr>
              <w:t>1</w:t>
            </w:r>
            <w:r>
              <w:t>7</w:t>
            </w:r>
          </w:p>
        </w:tc>
        <w:tc>
          <w:tcPr>
            <w:tcW w:w="9000" w:type="dxa"/>
            <w:vAlign w:val="center"/>
          </w:tcPr>
          <w:p>
            <w:r>
              <w:rPr>
                <w:rFonts w:hint="eastAsia"/>
              </w:rPr>
              <w:t>特别说明：</w:t>
            </w:r>
          </w:p>
          <w:p>
            <w:r>
              <w:rPr>
                <w:rFonts w:hint="eastAsia"/>
              </w:rPr>
              <w:t>1、采购人若发现成交候选人在竞标过程中提供虚假证明文件，故意隐瞒公司不良信誉和财务状况，以及存在可能对合同圆满履行造成风险的其他因素等，则按规定取消其成交资格，监管部门依法进行处理。</w:t>
            </w:r>
          </w:p>
          <w:p>
            <w:r>
              <w:rPr>
                <w:rFonts w:hint="eastAsia"/>
              </w:rPr>
              <w:t>2、竞争性谈判文件中部分加“*”、加粗、加下划线、废标、无效标、投标被拒绝字样的条款，为招标的实质性要求和条件，着重提醒各投标供应商注意，并认真查看竞争性谈判文件中的每一个条款及要求，因误读竞争性谈判文件而造成的后果，采购人及采购代理机构概不负责。</w:t>
            </w:r>
          </w:p>
          <w:p>
            <w:r>
              <w:rPr>
                <w:rFonts w:hint="eastAsia"/>
              </w:rPr>
              <w:t>3、投标文件中有弄虚作假的内容，其投标文件作废。（如假证书、假业绩、隐瞒不良行为记录、夸大荣誉、使用非本单位在职员工的相关证件及不符合谈判文件规定的条款等）；在签订合同之前，采购人如发现供应商的投标文件有弄虚作假内容，采购人可拒绝与其签订合同。并将其列入政府采购黑名单库。</w:t>
            </w:r>
          </w:p>
          <w:p>
            <w:r>
              <w:rPr>
                <w:rFonts w:hint="eastAsia"/>
              </w:rPr>
              <w:t>4、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rPr>
                <w:b/>
                <w:bCs/>
              </w:rPr>
            </w:pPr>
            <w:r>
              <w:rPr>
                <w:b/>
                <w:bCs/>
              </w:rPr>
              <w:t>5</w:t>
            </w:r>
            <w:r>
              <w:rPr>
                <w:rFonts w:hint="eastAsia"/>
                <w:b/>
                <w:bCs/>
              </w:rPr>
              <w:t>、谈判文件中如出现不一致情况，均以前附表内容为准。</w:t>
            </w:r>
          </w:p>
        </w:tc>
      </w:tr>
    </w:tbl>
    <w:p>
      <w:pPr>
        <w:spacing w:line="600" w:lineRule="exact"/>
        <w:ind w:firstLine="602"/>
        <w:jc w:val="center"/>
        <w:rPr>
          <w:rFonts w:asciiTheme="minorEastAsia" w:hAnsiTheme="minorEastAsia"/>
          <w:b/>
          <w:sz w:val="30"/>
          <w:szCs w:val="30"/>
        </w:rPr>
      </w:pPr>
    </w:p>
    <w:p>
      <w:bookmarkStart w:id="9" w:name="_Toc137929603"/>
      <w:r>
        <w:rPr>
          <w:rFonts w:hint="eastAsia"/>
        </w:rPr>
        <w:br w:type="page"/>
      </w:r>
    </w:p>
    <w:p>
      <w:pPr>
        <w:pStyle w:val="7"/>
        <w:ind w:firstLine="643"/>
      </w:pPr>
      <w:r>
        <w:rPr>
          <w:rFonts w:hint="eastAsia"/>
        </w:rPr>
        <w:t>一、总则</w:t>
      </w:r>
      <w:bookmarkEnd w:id="9"/>
    </w:p>
    <w:p>
      <w:pPr>
        <w:ind w:firstLine="540" w:firstLineChars="224"/>
        <w:rPr>
          <w:rFonts w:cs="宋体" w:asciiTheme="minorEastAsia" w:hAnsiTheme="minorEastAsia"/>
          <w:b/>
          <w:szCs w:val="24"/>
        </w:rPr>
      </w:pPr>
      <w:r>
        <w:rPr>
          <w:rFonts w:hint="eastAsia" w:cs="宋体" w:asciiTheme="minorEastAsia" w:hAnsiTheme="minorEastAsia"/>
          <w:b/>
          <w:szCs w:val="24"/>
        </w:rPr>
        <w:t>1、项目名称</w:t>
      </w:r>
    </w:p>
    <w:p>
      <w:pPr>
        <w:ind w:firstLine="540" w:firstLineChars="225"/>
        <w:rPr>
          <w:rFonts w:cs="宋体" w:asciiTheme="minorEastAsia" w:hAnsiTheme="minorEastAsia"/>
          <w:bCs/>
          <w:szCs w:val="24"/>
        </w:rPr>
      </w:pPr>
      <w:r>
        <w:rPr>
          <w:rFonts w:hint="eastAsia"/>
        </w:rPr>
        <w:t>新疆农业大学资源与环境学院5楼加热室通风柜改造项目</w:t>
      </w:r>
      <w:r>
        <w:rPr>
          <w:rFonts w:hint="eastAsia" w:cs="宋体" w:asciiTheme="minorEastAsia" w:hAnsiTheme="minorEastAsia"/>
          <w:bCs/>
          <w:szCs w:val="24"/>
        </w:rPr>
        <w:t xml:space="preserve"> </w:t>
      </w:r>
    </w:p>
    <w:p>
      <w:pPr>
        <w:ind w:firstLine="542" w:firstLineChars="225"/>
        <w:rPr>
          <w:rFonts w:cs="宋体" w:asciiTheme="minorEastAsia" w:hAnsiTheme="minorEastAsia"/>
          <w:b/>
          <w:szCs w:val="24"/>
        </w:rPr>
      </w:pPr>
      <w:r>
        <w:rPr>
          <w:rFonts w:hint="eastAsia" w:cs="宋体" w:asciiTheme="minorEastAsia" w:hAnsiTheme="minorEastAsia"/>
          <w:b/>
          <w:szCs w:val="24"/>
        </w:rPr>
        <w:t>2、采购方式</w:t>
      </w:r>
    </w:p>
    <w:p>
      <w:pPr>
        <w:ind w:firstLine="540" w:firstLineChars="225"/>
        <w:rPr>
          <w:rFonts w:cs="宋体" w:asciiTheme="minorEastAsia" w:hAnsiTheme="minorEastAsia"/>
          <w:szCs w:val="24"/>
        </w:rPr>
      </w:pPr>
      <w:r>
        <w:rPr>
          <w:rFonts w:hint="eastAsia" w:cs="宋体" w:asciiTheme="minorEastAsia" w:hAnsiTheme="minorEastAsia"/>
          <w:szCs w:val="24"/>
        </w:rPr>
        <w:t>本项目采取竞争性谈判方式采购。</w:t>
      </w:r>
    </w:p>
    <w:p>
      <w:pPr>
        <w:ind w:firstLine="542" w:firstLineChars="225"/>
        <w:rPr>
          <w:rFonts w:cs="宋体" w:asciiTheme="minorEastAsia" w:hAnsiTheme="minorEastAsia"/>
          <w:b/>
          <w:szCs w:val="24"/>
        </w:rPr>
      </w:pPr>
      <w:r>
        <w:rPr>
          <w:rFonts w:hint="eastAsia" w:cs="宋体" w:asciiTheme="minorEastAsia" w:hAnsiTheme="minorEastAsia"/>
          <w:b/>
          <w:szCs w:val="24"/>
        </w:rPr>
        <w:t>3、合格的供应商</w:t>
      </w:r>
    </w:p>
    <w:p>
      <w:pPr>
        <w:ind w:firstLine="480" w:firstLineChars="200"/>
        <w:rPr>
          <w:rFonts w:asciiTheme="minorEastAsia" w:hAnsiTheme="minorEastAsia"/>
          <w:szCs w:val="24"/>
        </w:rPr>
      </w:pPr>
      <w:r>
        <w:rPr>
          <w:rFonts w:hint="eastAsia" w:asciiTheme="minorEastAsia" w:hAnsiTheme="minorEastAsia"/>
          <w:szCs w:val="24"/>
        </w:rPr>
        <w:t>供应商资格条件</w:t>
      </w:r>
    </w:p>
    <w:p>
      <w:pPr>
        <w:ind w:firstLine="540" w:firstLineChars="225"/>
        <w:rPr>
          <w:rFonts w:asciiTheme="minorEastAsia" w:hAnsiTheme="minorEastAsia"/>
          <w:szCs w:val="24"/>
        </w:rPr>
      </w:pPr>
      <w:r>
        <w:rPr>
          <w:rFonts w:asciiTheme="minorEastAsia" w:hAnsiTheme="minorEastAsia"/>
          <w:szCs w:val="24"/>
        </w:rPr>
        <w:t>3.</w:t>
      </w:r>
      <w:r>
        <w:rPr>
          <w:rFonts w:hint="eastAsia" w:asciiTheme="minorEastAsia" w:hAnsiTheme="minorEastAsia"/>
          <w:szCs w:val="24"/>
        </w:rPr>
        <w:t>1、符合《中华人民共和国政府采购法》第二十二条的规定：</w:t>
      </w:r>
    </w:p>
    <w:p>
      <w:pPr>
        <w:ind w:firstLine="540" w:firstLineChars="225"/>
        <w:rPr>
          <w:rFonts w:asciiTheme="minorEastAsia" w:hAnsiTheme="minorEastAsia"/>
          <w:szCs w:val="24"/>
        </w:rPr>
      </w:pPr>
      <w:r>
        <w:rPr>
          <w:rFonts w:asciiTheme="minorEastAsia" w:hAnsiTheme="minorEastAsia"/>
          <w:szCs w:val="24"/>
        </w:rPr>
        <w:t>3.</w:t>
      </w:r>
      <w:r>
        <w:rPr>
          <w:rFonts w:hint="eastAsia" w:asciiTheme="minorEastAsia" w:hAnsiTheme="minorEastAsia"/>
          <w:szCs w:val="24"/>
        </w:rPr>
        <w:t>2.本项目的特定资格要求：</w:t>
      </w:r>
    </w:p>
    <w:p>
      <w:pPr>
        <w:ind w:firstLine="540" w:firstLineChars="225"/>
        <w:rPr>
          <w:rFonts w:asciiTheme="minorEastAsia" w:hAnsiTheme="minorEastAsia"/>
          <w:szCs w:val="24"/>
        </w:rPr>
      </w:pPr>
      <w:r>
        <w:rPr>
          <w:rFonts w:hint="eastAsia" w:asciiTheme="minorEastAsia" w:hAnsiTheme="minorEastAsia"/>
          <w:szCs w:val="24"/>
        </w:rPr>
        <w:t>（1）落实政府采购政策需满足的资格要求：</w:t>
      </w:r>
      <w:r>
        <w:rPr>
          <w:rFonts w:hint="eastAsia"/>
        </w:rPr>
        <w:t>此项目专门面对中小微企业</w:t>
      </w:r>
    </w:p>
    <w:p>
      <w:pPr>
        <w:ind w:firstLine="540" w:firstLineChars="225"/>
        <w:rPr>
          <w:rFonts w:asciiTheme="minorEastAsia" w:hAnsiTheme="minorEastAsia"/>
          <w:szCs w:val="24"/>
        </w:rPr>
      </w:pPr>
      <w:r>
        <w:rPr>
          <w:rFonts w:hint="eastAsia" w:asciiTheme="minorEastAsia" w:hAnsiTheme="minorEastAsia"/>
          <w:szCs w:val="24"/>
        </w:rPr>
        <w:t>（2）本项目不接受联合体投标。</w:t>
      </w:r>
    </w:p>
    <w:p>
      <w:pPr>
        <w:ind w:firstLine="542" w:firstLineChars="225"/>
        <w:rPr>
          <w:rFonts w:asciiTheme="minorEastAsia" w:hAnsiTheme="minorEastAsia"/>
          <w:b/>
          <w:szCs w:val="24"/>
        </w:rPr>
      </w:pPr>
      <w:r>
        <w:rPr>
          <w:rFonts w:hint="eastAsia" w:asciiTheme="minorEastAsia" w:hAnsiTheme="minorEastAsia"/>
          <w:b/>
          <w:szCs w:val="24"/>
        </w:rPr>
        <w:t>4、适用法律</w:t>
      </w:r>
    </w:p>
    <w:p>
      <w:pPr>
        <w:ind w:firstLine="540" w:firstLineChars="225"/>
        <w:rPr>
          <w:rFonts w:asciiTheme="minorEastAsia" w:hAnsiTheme="minorEastAsia"/>
          <w:szCs w:val="24"/>
        </w:rPr>
      </w:pPr>
      <w:r>
        <w:rPr>
          <w:rFonts w:hint="eastAsia" w:asciiTheme="minorEastAsia" w:hAnsiTheme="minorEastAsia"/>
          <w:szCs w:val="24"/>
        </w:rPr>
        <w:t>本次谈判及由本次谈判产生的合同受中华人民共和国的相关法律、法规制约和保护。</w:t>
      </w:r>
    </w:p>
    <w:p>
      <w:pPr>
        <w:ind w:firstLine="482" w:firstLineChars="200"/>
        <w:rPr>
          <w:rFonts w:asciiTheme="minorEastAsia" w:hAnsiTheme="minorEastAsia"/>
          <w:b/>
          <w:szCs w:val="24"/>
        </w:rPr>
      </w:pPr>
      <w:r>
        <w:rPr>
          <w:rFonts w:hint="eastAsia" w:asciiTheme="minorEastAsia" w:hAnsiTheme="minorEastAsia"/>
          <w:b/>
          <w:szCs w:val="24"/>
        </w:rPr>
        <w:t>5、竞争性谈判费用</w:t>
      </w:r>
    </w:p>
    <w:p>
      <w:pPr>
        <w:ind w:firstLine="540" w:firstLineChars="225"/>
        <w:rPr>
          <w:rFonts w:asciiTheme="minorEastAsia" w:hAnsiTheme="minorEastAsia"/>
          <w:szCs w:val="24"/>
        </w:rPr>
      </w:pPr>
      <w:r>
        <w:rPr>
          <w:rFonts w:hint="eastAsia" w:asciiTheme="minorEastAsia" w:hAnsiTheme="minorEastAsia"/>
          <w:szCs w:val="24"/>
        </w:rPr>
        <w:t>1、竞标供应商应自行承担所有参加谈判有关的费用。</w:t>
      </w:r>
    </w:p>
    <w:p>
      <w:pPr>
        <w:ind w:firstLine="542" w:firstLineChars="225"/>
        <w:rPr>
          <w:rFonts w:asciiTheme="minorEastAsia" w:hAnsiTheme="minorEastAsia"/>
          <w:b/>
          <w:szCs w:val="24"/>
        </w:rPr>
      </w:pPr>
      <w:r>
        <w:rPr>
          <w:rFonts w:hint="eastAsia" w:asciiTheme="minorEastAsia" w:hAnsiTheme="minorEastAsia"/>
          <w:b/>
          <w:szCs w:val="24"/>
        </w:rPr>
        <w:t>定义：</w:t>
      </w:r>
    </w:p>
    <w:p>
      <w:pPr>
        <w:ind w:firstLine="540" w:firstLineChars="225"/>
        <w:rPr>
          <w:rFonts w:asciiTheme="minorEastAsia" w:hAnsiTheme="minorEastAsia"/>
          <w:szCs w:val="24"/>
        </w:rPr>
      </w:pPr>
      <w:r>
        <w:rPr>
          <w:rFonts w:hint="eastAsia" w:asciiTheme="minorEastAsia" w:hAnsiTheme="minorEastAsia"/>
          <w:szCs w:val="24"/>
        </w:rPr>
        <w:t>下述术语和缩写的定义为：</w:t>
      </w:r>
    </w:p>
    <w:p>
      <w:pPr>
        <w:ind w:firstLine="540" w:firstLineChars="225"/>
        <w:rPr>
          <w:rFonts w:asciiTheme="minorEastAsia" w:hAnsiTheme="minorEastAsia"/>
          <w:szCs w:val="24"/>
        </w:rPr>
      </w:pPr>
      <w:r>
        <w:rPr>
          <w:rFonts w:hint="eastAsia" w:asciiTheme="minorEastAsia" w:hAnsiTheme="minorEastAsia"/>
          <w:szCs w:val="24"/>
        </w:rPr>
        <w:t xml:space="preserve">1.“采购人”“采购人”系指新疆农业大学 </w:t>
      </w:r>
    </w:p>
    <w:p>
      <w:pPr>
        <w:ind w:firstLine="540" w:firstLineChars="225"/>
        <w:rPr>
          <w:rFonts w:asciiTheme="minorEastAsia" w:hAnsiTheme="minorEastAsia"/>
          <w:szCs w:val="24"/>
        </w:rPr>
      </w:pPr>
      <w:r>
        <w:rPr>
          <w:rFonts w:hint="eastAsia" w:asciiTheme="minorEastAsia" w:hAnsiTheme="minorEastAsia"/>
          <w:szCs w:val="24"/>
        </w:rPr>
        <w:t xml:space="preserve">2.“投标供应商”系指有资格的供应商。 </w:t>
      </w:r>
    </w:p>
    <w:p>
      <w:pPr>
        <w:ind w:firstLine="542" w:firstLineChars="225"/>
        <w:rPr>
          <w:rFonts w:asciiTheme="minorEastAsia" w:hAnsiTheme="minorEastAsia"/>
          <w:b/>
          <w:szCs w:val="24"/>
        </w:rPr>
      </w:pPr>
      <w:r>
        <w:rPr>
          <w:rFonts w:hint="eastAsia" w:asciiTheme="minorEastAsia" w:hAnsiTheme="minorEastAsia"/>
          <w:b/>
          <w:szCs w:val="24"/>
        </w:rPr>
        <w:t>6、谈判文件的约束力</w:t>
      </w:r>
    </w:p>
    <w:p>
      <w:pPr>
        <w:ind w:firstLine="542" w:firstLineChars="225"/>
        <w:rPr>
          <w:rFonts w:asciiTheme="minorEastAsia" w:hAnsiTheme="minorEastAsia"/>
          <w:b/>
          <w:sz w:val="30"/>
          <w:szCs w:val="30"/>
        </w:rPr>
      </w:pPr>
      <w:r>
        <w:rPr>
          <w:rFonts w:hint="eastAsia" w:asciiTheme="minorEastAsia" w:hAnsiTheme="minorEastAsia"/>
          <w:b/>
          <w:szCs w:val="24"/>
        </w:rPr>
        <w:t>供应商一旦报名参加本项目竞标，即被认为接受了本谈判文件中的所有条件和规定。</w:t>
      </w:r>
    </w:p>
    <w:p>
      <w:pPr>
        <w:pStyle w:val="7"/>
        <w:ind w:firstLine="643"/>
      </w:pPr>
      <w:bookmarkStart w:id="10" w:name="_Toc137929604"/>
      <w:r>
        <w:rPr>
          <w:rFonts w:hint="eastAsia"/>
        </w:rPr>
        <w:t>二、竞争性谈判文件</w:t>
      </w:r>
      <w:bookmarkEnd w:id="10"/>
    </w:p>
    <w:p>
      <w:pPr>
        <w:spacing w:line="500" w:lineRule="exact"/>
        <w:ind w:firstLine="482" w:firstLineChars="200"/>
        <w:jc w:val="left"/>
        <w:rPr>
          <w:rFonts w:asciiTheme="minorEastAsia" w:hAnsiTheme="minorEastAsia"/>
        </w:rPr>
      </w:pPr>
      <w:r>
        <w:rPr>
          <w:rFonts w:hint="eastAsia" w:asciiTheme="minorEastAsia" w:hAnsiTheme="minorEastAsia"/>
          <w:b/>
          <w:bCs/>
        </w:rPr>
        <w:t>1、谈判文件构成</w:t>
      </w:r>
    </w:p>
    <w:p>
      <w:pPr>
        <w:spacing w:line="500" w:lineRule="exact"/>
        <w:ind w:firstLine="480" w:firstLineChars="200"/>
        <w:rPr>
          <w:rFonts w:asciiTheme="minorEastAsia" w:hAnsiTheme="minorEastAsia"/>
        </w:rPr>
      </w:pPr>
      <w:r>
        <w:rPr>
          <w:rFonts w:hint="eastAsia" w:asciiTheme="minorEastAsia" w:hAnsiTheme="minorEastAsia"/>
        </w:rPr>
        <w:t>第一部分  竞争性谈判公告</w:t>
      </w:r>
    </w:p>
    <w:p>
      <w:pPr>
        <w:spacing w:line="500" w:lineRule="exact"/>
        <w:ind w:firstLine="480" w:firstLineChars="200"/>
        <w:rPr>
          <w:rFonts w:asciiTheme="minorEastAsia" w:hAnsiTheme="minorEastAsia"/>
        </w:rPr>
      </w:pPr>
      <w:r>
        <w:rPr>
          <w:rFonts w:hint="eastAsia" w:asciiTheme="minorEastAsia" w:hAnsiTheme="minorEastAsia"/>
        </w:rPr>
        <w:t>第二部分  供应商须知</w:t>
      </w:r>
      <w:r>
        <w:rPr>
          <w:rFonts w:hint="eastAsia" w:asciiTheme="minorEastAsia" w:hAnsiTheme="minorEastAsia"/>
        </w:rPr>
        <w:tab/>
      </w:r>
    </w:p>
    <w:p>
      <w:pPr>
        <w:spacing w:line="500" w:lineRule="exact"/>
        <w:ind w:firstLine="480" w:firstLineChars="200"/>
        <w:rPr>
          <w:rFonts w:asciiTheme="minorEastAsia" w:hAnsiTheme="minorEastAsia"/>
        </w:rPr>
      </w:pPr>
      <w:r>
        <w:rPr>
          <w:rFonts w:hint="eastAsia" w:asciiTheme="minorEastAsia" w:hAnsiTheme="minorEastAsia"/>
        </w:rPr>
        <w:t>第三部分  合同文本（参考）</w:t>
      </w:r>
      <w:r>
        <w:rPr>
          <w:rFonts w:hint="eastAsia" w:asciiTheme="minorEastAsia" w:hAnsiTheme="minorEastAsia"/>
        </w:rPr>
        <w:tab/>
      </w:r>
    </w:p>
    <w:p>
      <w:pPr>
        <w:spacing w:line="500" w:lineRule="exact"/>
        <w:ind w:firstLine="480" w:firstLineChars="200"/>
        <w:rPr>
          <w:rFonts w:asciiTheme="minorEastAsia" w:hAnsiTheme="minorEastAsia"/>
        </w:rPr>
      </w:pPr>
      <w:r>
        <w:rPr>
          <w:rFonts w:hint="eastAsia" w:asciiTheme="minorEastAsia" w:hAnsiTheme="minorEastAsia"/>
        </w:rPr>
        <w:t>第四部分  技术需求</w:t>
      </w:r>
      <w:r>
        <w:rPr>
          <w:rFonts w:hint="eastAsia" w:asciiTheme="minorEastAsia" w:hAnsiTheme="minorEastAsia"/>
        </w:rPr>
        <w:tab/>
      </w:r>
    </w:p>
    <w:p>
      <w:pPr>
        <w:spacing w:line="500" w:lineRule="exact"/>
        <w:ind w:firstLine="480" w:firstLineChars="200"/>
        <w:rPr>
          <w:rFonts w:asciiTheme="minorEastAsia" w:hAnsiTheme="minorEastAsia"/>
        </w:rPr>
      </w:pPr>
      <w:r>
        <w:rPr>
          <w:rFonts w:hint="eastAsia" w:asciiTheme="minorEastAsia" w:hAnsiTheme="minorEastAsia"/>
        </w:rPr>
        <w:t>第五部分  响应文件格式</w:t>
      </w:r>
      <w:r>
        <w:rPr>
          <w:rFonts w:hint="eastAsia" w:asciiTheme="minorEastAsia" w:hAnsiTheme="minorEastAsia"/>
        </w:rPr>
        <w:tab/>
      </w:r>
    </w:p>
    <w:p>
      <w:pPr>
        <w:spacing w:line="500" w:lineRule="exact"/>
        <w:ind w:firstLine="480" w:firstLineChars="200"/>
        <w:rPr>
          <w:rFonts w:asciiTheme="minorEastAsia" w:hAnsiTheme="minorEastAsia"/>
        </w:rPr>
      </w:pPr>
      <w:r>
        <w:rPr>
          <w:rFonts w:hint="eastAsia" w:asciiTheme="minorEastAsia" w:hAnsiTheme="minorEastAsia"/>
        </w:rPr>
        <w:t>供应商获取谈判文件后，应仔细检查谈判文件页数和附件数量，如发现有缺漏，请及时与招标代理机构联系补全。如果供应商不按上述要求操作而造成不良后果，招标代理机构不承担责任。</w:t>
      </w:r>
    </w:p>
    <w:p>
      <w:pPr>
        <w:spacing w:line="500" w:lineRule="exact"/>
        <w:ind w:firstLine="482" w:firstLineChars="200"/>
        <w:rPr>
          <w:rFonts w:asciiTheme="minorEastAsia" w:hAnsiTheme="minorEastAsia"/>
        </w:rPr>
      </w:pPr>
      <w:r>
        <w:rPr>
          <w:rFonts w:hint="eastAsia" w:asciiTheme="minorEastAsia" w:hAnsiTheme="minorEastAsia"/>
          <w:b/>
          <w:bCs/>
        </w:rPr>
        <w:t>2、谈判文件的澄清</w:t>
      </w:r>
    </w:p>
    <w:p>
      <w:pPr>
        <w:spacing w:line="500" w:lineRule="exact"/>
        <w:ind w:firstLine="480" w:firstLineChars="200"/>
        <w:jc w:val="left"/>
        <w:rPr>
          <w:rFonts w:asciiTheme="minorEastAsia" w:hAnsiTheme="minorEastAsia"/>
        </w:rPr>
      </w:pPr>
      <w:r>
        <w:rPr>
          <w:rFonts w:hint="eastAsia" w:asciiTheme="minorEastAsia" w:hAnsiTheme="minorEastAsia"/>
        </w:rPr>
        <w:t>提交首次响应文件截止之日前，采购人、采购代理机构或者谈判小组可以对已发出的谈判文件进行必要的澄清或者修改，澄清或者修改的内容作为谈判文件的组成部分。澄清或者修改的内容可能影响响应文件编制的，采购人、采购代理机构应当在提交首次响应文件截止时间至少1个工作日前，以书面形式通知所有获取谈判文件的供应商；不足1个工作日的，采购人、采购代理机构应当顺延提交首次响应文件截止时间。</w:t>
      </w:r>
    </w:p>
    <w:p>
      <w:pPr>
        <w:spacing w:line="500" w:lineRule="exact"/>
        <w:ind w:firstLine="482" w:firstLineChars="200"/>
        <w:jc w:val="left"/>
        <w:rPr>
          <w:rFonts w:asciiTheme="minorEastAsia" w:hAnsiTheme="minorEastAsia"/>
          <w:b/>
          <w:bCs/>
        </w:rPr>
      </w:pPr>
      <w:r>
        <w:rPr>
          <w:rFonts w:hint="eastAsia" w:asciiTheme="minorEastAsia" w:hAnsiTheme="minorEastAsia"/>
          <w:b/>
          <w:bCs/>
        </w:rPr>
        <w:t>3、谈判文件的修改</w:t>
      </w:r>
    </w:p>
    <w:p>
      <w:pPr>
        <w:spacing w:line="500" w:lineRule="exact"/>
        <w:ind w:firstLine="480" w:firstLineChars="200"/>
        <w:jc w:val="left"/>
        <w:rPr>
          <w:rFonts w:asciiTheme="minorEastAsia" w:hAnsiTheme="minorEastAsia"/>
        </w:rPr>
      </w:pPr>
      <w:r>
        <w:rPr>
          <w:rFonts w:asciiTheme="minorEastAsia" w:hAnsiTheme="minorEastAsia"/>
        </w:rPr>
        <w:t>3.</w:t>
      </w:r>
      <w:r>
        <w:rPr>
          <w:rFonts w:hint="eastAsia" w:asciiTheme="minorEastAsia" w:hAnsiTheme="minorEastAsia"/>
        </w:rPr>
        <w:t>1在响应文件接收截止日期前，采购人可以更正公告或补充文件的形式对谈判文件进行修改。</w:t>
      </w:r>
    </w:p>
    <w:p>
      <w:pPr>
        <w:spacing w:line="500" w:lineRule="exact"/>
        <w:ind w:firstLine="480" w:firstLineChars="200"/>
        <w:jc w:val="left"/>
        <w:rPr>
          <w:rFonts w:asciiTheme="minorEastAsia" w:hAnsiTheme="minorEastAsia"/>
        </w:rPr>
      </w:pPr>
      <w:r>
        <w:rPr>
          <w:rFonts w:asciiTheme="minorEastAsia" w:hAnsiTheme="minorEastAsia"/>
        </w:rPr>
        <w:t>3.2</w:t>
      </w:r>
      <w:r>
        <w:rPr>
          <w:rFonts w:hint="eastAsia" w:asciiTheme="minorEastAsia" w:hAnsiTheme="minorEastAsia"/>
        </w:rPr>
        <w:t>谈判文件的修改将以书面形式通知所有已报名供应商，并对竞标供应商具有约束力。供应商收到修改文件后，应于1个工作日内回复采购人，逾期不回的，视同已收。</w:t>
      </w:r>
    </w:p>
    <w:p>
      <w:pPr>
        <w:spacing w:line="500" w:lineRule="exact"/>
        <w:ind w:firstLine="480" w:firstLineChars="200"/>
        <w:jc w:val="left"/>
        <w:rPr>
          <w:rFonts w:asciiTheme="minorEastAsia" w:hAnsiTheme="minorEastAsia"/>
        </w:rPr>
      </w:pPr>
      <w:r>
        <w:rPr>
          <w:rFonts w:asciiTheme="minorEastAsia" w:hAnsiTheme="minorEastAsia"/>
        </w:rPr>
        <w:t>3.3</w:t>
      </w:r>
      <w:r>
        <w:rPr>
          <w:rFonts w:hint="eastAsia" w:asciiTheme="minorEastAsia" w:hAnsiTheme="minorEastAsia"/>
        </w:rPr>
        <w:t>为使供应商有充分的时间对谈判文件的修改部分进行分析、研究，采购人有权推迟响应文件接收截止日期和谈判时间，并将此变更书面通知所有购买谈判文件的供应商。</w:t>
      </w:r>
    </w:p>
    <w:p>
      <w:pPr>
        <w:spacing w:line="500" w:lineRule="exact"/>
        <w:ind w:firstLine="480" w:firstLineChars="200"/>
        <w:jc w:val="left"/>
        <w:rPr>
          <w:rFonts w:asciiTheme="minorEastAsia" w:hAnsiTheme="minorEastAsia"/>
          <w:b/>
          <w:sz w:val="30"/>
          <w:szCs w:val="30"/>
        </w:rPr>
      </w:pPr>
      <w:r>
        <w:rPr>
          <w:rFonts w:asciiTheme="minorEastAsia" w:hAnsiTheme="minorEastAsia"/>
        </w:rPr>
        <w:t>3.4</w:t>
      </w:r>
      <w:r>
        <w:rPr>
          <w:rFonts w:hint="eastAsia" w:asciiTheme="minorEastAsia" w:hAnsiTheme="minorEastAsia"/>
        </w:rPr>
        <w:t>采购人发出的所有补充、修改和变更文件均作为谈判文件的组成部分，与谈判文件具有同等法律效力。</w:t>
      </w:r>
    </w:p>
    <w:p>
      <w:pPr>
        <w:pStyle w:val="7"/>
        <w:ind w:firstLine="643"/>
      </w:pPr>
      <w:bookmarkStart w:id="11" w:name="_Toc137929605"/>
      <w:r>
        <w:rPr>
          <w:rFonts w:hint="eastAsia"/>
        </w:rPr>
        <w:t>三、响应文件的编制</w:t>
      </w:r>
      <w:bookmarkEnd w:id="11"/>
    </w:p>
    <w:p>
      <w:pPr>
        <w:spacing w:line="500" w:lineRule="exact"/>
        <w:ind w:firstLine="482" w:firstLineChars="200"/>
        <w:jc w:val="left"/>
        <w:rPr>
          <w:rFonts w:asciiTheme="minorEastAsia" w:hAnsiTheme="minorEastAsia"/>
          <w:b/>
          <w:bCs/>
        </w:rPr>
      </w:pPr>
      <w:r>
        <w:rPr>
          <w:rFonts w:hint="eastAsia" w:asciiTheme="minorEastAsia" w:hAnsiTheme="minorEastAsia"/>
          <w:b/>
          <w:bCs/>
        </w:rPr>
        <w:t>1、响应文件的编制要求</w:t>
      </w:r>
    </w:p>
    <w:p>
      <w:pPr>
        <w:spacing w:line="500" w:lineRule="exact"/>
        <w:ind w:firstLine="480" w:firstLineChars="200"/>
        <w:rPr>
          <w:rFonts w:cs="Arial" w:asciiTheme="minorEastAsia" w:hAnsiTheme="minorEastAsia"/>
        </w:rPr>
      </w:pPr>
      <w:r>
        <w:rPr>
          <w:rFonts w:cs="Arial" w:asciiTheme="minorEastAsia" w:hAnsiTheme="minorEastAsia"/>
        </w:rPr>
        <w:t>1.1</w:t>
      </w:r>
      <w:r>
        <w:rPr>
          <w:rFonts w:hint="eastAsia" w:cs="Arial" w:asciiTheme="minorEastAsia" w:hAnsiTheme="minorEastAsia"/>
        </w:rPr>
        <w:t>供应商应仔细阅读“谈判文件”的所有内容，按“谈判文件”的要求编制“响应文件”，并保证所提供的全部资料的真实性、完整性及有效性，以使其竞标对“谈判文件”做出实质性响应。否则，将被拒绝。</w:t>
      </w:r>
    </w:p>
    <w:p>
      <w:pPr>
        <w:spacing w:line="500" w:lineRule="exact"/>
        <w:ind w:firstLine="482" w:firstLineChars="200"/>
        <w:rPr>
          <w:rFonts w:asciiTheme="minorEastAsia" w:hAnsiTheme="minorEastAsia"/>
        </w:rPr>
      </w:pPr>
      <w:r>
        <w:rPr>
          <w:rFonts w:hint="eastAsia" w:asciiTheme="minorEastAsia" w:hAnsiTheme="minorEastAsia"/>
          <w:b/>
          <w:bCs/>
        </w:rPr>
        <w:t>2、响应文件构成</w:t>
      </w:r>
    </w:p>
    <w:p>
      <w:pPr>
        <w:ind w:firstLine="480"/>
        <w:rPr>
          <w:rFonts w:cs="宋体" w:asciiTheme="minorEastAsia" w:hAnsiTheme="minorEastAsia"/>
        </w:rPr>
      </w:pPr>
      <w:bookmarkStart w:id="12" w:name="_Toc12229"/>
      <w:bookmarkStart w:id="13" w:name="_Toc13878"/>
      <w:bookmarkStart w:id="14" w:name="_Toc41935387"/>
      <w:r>
        <w:rPr>
          <w:rFonts w:hint="eastAsia" w:cs="宋体" w:asciiTheme="minorEastAsia" w:hAnsiTheme="minorEastAsia"/>
        </w:rPr>
        <w:t>见第五部分 响应</w:t>
      </w:r>
      <w:r>
        <w:rPr>
          <w:rFonts w:cs="宋体" w:asciiTheme="minorEastAsia" w:hAnsiTheme="minorEastAsia"/>
        </w:rPr>
        <w:t>文件格式</w:t>
      </w:r>
    </w:p>
    <w:p>
      <w:pPr>
        <w:ind w:firstLine="482"/>
        <w:rPr>
          <w:b/>
        </w:rPr>
      </w:pPr>
      <w:r>
        <w:rPr>
          <w:rFonts w:hint="eastAsia"/>
          <w:b/>
          <w:bCs/>
        </w:rPr>
        <w:t>注：供应商根据评标方法如有需要的其他资料自行添加，以上材料须加盖单位公章</w:t>
      </w:r>
      <w:r>
        <w:rPr>
          <w:rFonts w:hint="eastAsia"/>
          <w:b/>
        </w:rPr>
        <w:t>。（供应商须按附件格式编制投标文件，附件没有提供格式的可自拟格式）</w:t>
      </w:r>
      <w:bookmarkEnd w:id="12"/>
      <w:bookmarkEnd w:id="13"/>
      <w:bookmarkEnd w:id="14"/>
    </w:p>
    <w:p>
      <w:pPr>
        <w:spacing w:line="500" w:lineRule="exact"/>
        <w:ind w:firstLine="482" w:firstLineChars="200"/>
        <w:jc w:val="left"/>
        <w:rPr>
          <w:rFonts w:asciiTheme="minorEastAsia" w:hAnsiTheme="minorEastAsia"/>
        </w:rPr>
      </w:pPr>
      <w:r>
        <w:rPr>
          <w:rFonts w:hint="eastAsia" w:asciiTheme="minorEastAsia" w:hAnsiTheme="minorEastAsia"/>
          <w:b/>
          <w:bCs/>
        </w:rPr>
        <w:t>3、响应文件格式</w:t>
      </w:r>
    </w:p>
    <w:p>
      <w:pPr>
        <w:spacing w:line="500" w:lineRule="exact"/>
        <w:ind w:firstLine="480" w:firstLineChars="200"/>
        <w:jc w:val="left"/>
        <w:rPr>
          <w:rFonts w:asciiTheme="minorEastAsia" w:hAnsiTheme="minorEastAsia"/>
        </w:rPr>
      </w:pPr>
      <w:r>
        <w:rPr>
          <w:rFonts w:hint="eastAsia" w:asciiTheme="minorEastAsia" w:hAnsiTheme="minorEastAsia"/>
        </w:rPr>
        <w:t>供应商需按照上述响应文件构成顺序编制响应文件，并按谈判文件中提供的格式填写投标函、授权委托书、报价一览表等材料。</w:t>
      </w:r>
    </w:p>
    <w:p>
      <w:pPr>
        <w:spacing w:line="500" w:lineRule="exact"/>
        <w:ind w:firstLine="482" w:firstLineChars="200"/>
        <w:jc w:val="left"/>
        <w:rPr>
          <w:rFonts w:asciiTheme="minorEastAsia" w:hAnsiTheme="minorEastAsia"/>
        </w:rPr>
      </w:pPr>
      <w:r>
        <w:rPr>
          <w:rFonts w:hint="eastAsia" w:asciiTheme="minorEastAsia" w:hAnsiTheme="minorEastAsia"/>
          <w:b/>
          <w:bCs/>
        </w:rPr>
        <w:t>4、竞标报价</w:t>
      </w:r>
    </w:p>
    <w:p>
      <w:pPr>
        <w:spacing w:line="500" w:lineRule="exact"/>
        <w:ind w:firstLine="480" w:firstLineChars="200"/>
        <w:rPr>
          <w:rFonts w:asciiTheme="minorEastAsia" w:hAnsiTheme="minorEastAsia"/>
          <w:szCs w:val="24"/>
        </w:rPr>
      </w:pPr>
      <w:r>
        <w:rPr>
          <w:rFonts w:asciiTheme="minorEastAsia" w:hAnsiTheme="minorEastAsia"/>
          <w:szCs w:val="24"/>
        </w:rPr>
        <w:t>1.</w:t>
      </w:r>
      <w:r>
        <w:rPr>
          <w:rFonts w:hint="eastAsia" w:asciiTheme="minorEastAsia" w:hAnsiTheme="minorEastAsia"/>
          <w:szCs w:val="24"/>
        </w:rPr>
        <w:t>本项目的谈判报价已在供应商须知前附表说明。</w:t>
      </w:r>
    </w:p>
    <w:p>
      <w:pPr>
        <w:spacing w:line="500" w:lineRule="exact"/>
        <w:ind w:firstLine="480" w:firstLineChars="200"/>
        <w:rPr>
          <w:rFonts w:asciiTheme="minorEastAsia" w:hAnsiTheme="minorEastAsia"/>
          <w:szCs w:val="24"/>
        </w:rPr>
      </w:pPr>
      <w:r>
        <w:rPr>
          <w:rFonts w:asciiTheme="minorEastAsia" w:hAnsiTheme="minorEastAsia"/>
          <w:szCs w:val="24"/>
        </w:rPr>
        <w:t>2.</w:t>
      </w:r>
      <w:r>
        <w:rPr>
          <w:rFonts w:hint="eastAsia" w:asciiTheme="minorEastAsia" w:hAnsiTheme="minorEastAsia"/>
          <w:szCs w:val="24"/>
        </w:rPr>
        <w:t>供应商所报的谈判报价不得超过供应商须知前附表中的招标控制价。</w:t>
      </w:r>
    </w:p>
    <w:p>
      <w:pPr>
        <w:spacing w:line="500" w:lineRule="exact"/>
        <w:ind w:firstLine="480" w:firstLineChars="200"/>
        <w:rPr>
          <w:rFonts w:asciiTheme="minorEastAsia" w:hAnsiTheme="minorEastAsia"/>
          <w:szCs w:val="24"/>
        </w:rPr>
      </w:pPr>
      <w:r>
        <w:rPr>
          <w:rFonts w:asciiTheme="minorEastAsia" w:hAnsiTheme="minorEastAsia"/>
          <w:szCs w:val="24"/>
        </w:rPr>
        <w:t>3.</w:t>
      </w:r>
      <w:r>
        <w:rPr>
          <w:rFonts w:hint="eastAsia" w:asciiTheme="minorEastAsia" w:hAnsiTheme="minorEastAsia"/>
          <w:szCs w:val="24"/>
        </w:rPr>
        <w:t>供应商的谈判报价只允许有一个，采购人不接受有任何选择的报价。</w:t>
      </w:r>
    </w:p>
    <w:p>
      <w:pPr>
        <w:spacing w:line="500" w:lineRule="exact"/>
        <w:ind w:firstLine="480" w:firstLineChars="200"/>
        <w:rPr>
          <w:rFonts w:asciiTheme="minorEastAsia" w:hAnsiTheme="minorEastAsia"/>
          <w:szCs w:val="24"/>
        </w:rPr>
      </w:pPr>
      <w:r>
        <w:rPr>
          <w:rFonts w:asciiTheme="minorEastAsia" w:hAnsiTheme="minorEastAsia"/>
          <w:szCs w:val="24"/>
        </w:rPr>
        <w:t>4.</w:t>
      </w:r>
      <w:r>
        <w:rPr>
          <w:rFonts w:hint="eastAsia" w:asciiTheme="minorEastAsia" w:hAnsiTheme="minorEastAsia"/>
          <w:szCs w:val="24"/>
        </w:rPr>
        <w:tab/>
      </w:r>
      <w:r>
        <w:rPr>
          <w:rFonts w:hint="eastAsia" w:asciiTheme="minorEastAsia" w:hAnsiTheme="minorEastAsia"/>
          <w:szCs w:val="24"/>
        </w:rPr>
        <w:t>供应商一律用人民币报价。</w:t>
      </w:r>
    </w:p>
    <w:p>
      <w:pPr>
        <w:spacing w:line="500" w:lineRule="exact"/>
        <w:ind w:firstLine="480" w:firstLineChars="200"/>
        <w:rPr>
          <w:rFonts w:asciiTheme="minorEastAsia" w:hAnsiTheme="minorEastAsia"/>
          <w:szCs w:val="24"/>
        </w:rPr>
      </w:pPr>
      <w:r>
        <w:rPr>
          <w:rFonts w:asciiTheme="minorEastAsia" w:hAnsiTheme="minorEastAsia"/>
          <w:szCs w:val="24"/>
        </w:rPr>
        <w:t>5.</w:t>
      </w:r>
      <w:r>
        <w:rPr>
          <w:rFonts w:hint="eastAsia" w:asciiTheme="minorEastAsia" w:hAnsiTheme="minorEastAsia"/>
          <w:szCs w:val="24"/>
        </w:rPr>
        <w:t>谈判报价由供应商自主确定，但不得低于成本。</w:t>
      </w:r>
    </w:p>
    <w:p>
      <w:pPr>
        <w:spacing w:line="500" w:lineRule="exact"/>
        <w:ind w:firstLine="480" w:firstLineChars="200"/>
        <w:rPr>
          <w:rFonts w:asciiTheme="minorEastAsia" w:hAnsiTheme="minorEastAsia"/>
          <w:szCs w:val="24"/>
        </w:rPr>
      </w:pPr>
      <w:r>
        <w:rPr>
          <w:rFonts w:asciiTheme="minorEastAsia" w:hAnsiTheme="minorEastAsia"/>
          <w:szCs w:val="24"/>
        </w:rPr>
        <w:t>6</w:t>
      </w:r>
      <w:r>
        <w:rPr>
          <w:rFonts w:hint="eastAsia" w:asciiTheme="minorEastAsia" w:hAnsiTheme="minorEastAsia"/>
          <w:szCs w:val="24"/>
        </w:rPr>
        <w:t>.本次谈判采用二轮报价法，供应商递交的响应文件中的报价为第一轮报价，最终报价以第二轮报价为准，第一轮报价与第二轮报价超出本项目采购预算金额的视为无效谈判。</w:t>
      </w:r>
    </w:p>
    <w:p>
      <w:pPr>
        <w:spacing w:line="500" w:lineRule="exact"/>
        <w:ind w:firstLine="482" w:firstLineChars="200"/>
        <w:rPr>
          <w:rFonts w:asciiTheme="minorEastAsia" w:hAnsiTheme="minorEastAsia"/>
        </w:rPr>
      </w:pPr>
      <w:r>
        <w:rPr>
          <w:rFonts w:hint="eastAsia" w:asciiTheme="minorEastAsia" w:hAnsiTheme="minorEastAsia"/>
          <w:b/>
          <w:bCs/>
        </w:rPr>
        <w:t>5、投标保证金</w:t>
      </w:r>
    </w:p>
    <w:p>
      <w:pPr>
        <w:spacing w:line="500" w:lineRule="exact"/>
        <w:ind w:firstLine="480" w:firstLineChars="200"/>
        <w:jc w:val="left"/>
        <w:rPr>
          <w:rFonts w:asciiTheme="minorEastAsia" w:hAnsiTheme="minorEastAsia"/>
        </w:rPr>
      </w:pPr>
      <w:r>
        <w:rPr>
          <w:rFonts w:asciiTheme="minorEastAsia" w:hAnsiTheme="minorEastAsia"/>
        </w:rPr>
        <w:t>5.</w:t>
      </w:r>
      <w:r>
        <w:rPr>
          <w:rFonts w:hint="eastAsia" w:asciiTheme="minorEastAsia" w:hAnsiTheme="minorEastAsia"/>
        </w:rPr>
        <w:t xml:space="preserve">1、供应商需提交投标保证金（具体详见前附表），并作为投标组成部分之一。 </w:t>
      </w:r>
    </w:p>
    <w:p>
      <w:pPr>
        <w:spacing w:line="500" w:lineRule="exact"/>
        <w:ind w:firstLine="480" w:firstLineChars="200"/>
        <w:jc w:val="left"/>
        <w:rPr>
          <w:rFonts w:asciiTheme="minorEastAsia" w:hAnsiTheme="minorEastAsia"/>
        </w:rPr>
      </w:pPr>
      <w:r>
        <w:rPr>
          <w:rFonts w:asciiTheme="minorEastAsia" w:hAnsiTheme="minorEastAsia"/>
        </w:rPr>
        <w:t>5.</w:t>
      </w:r>
      <w:r>
        <w:rPr>
          <w:rFonts w:hint="eastAsia" w:asciiTheme="minorEastAsia" w:hAnsiTheme="minorEastAsia"/>
        </w:rPr>
        <w:t>2、对于未按要求提交投标保证金的，将被视为非响应性投标而予以拒绝。</w:t>
      </w:r>
    </w:p>
    <w:p>
      <w:pPr>
        <w:spacing w:line="500" w:lineRule="exact"/>
        <w:ind w:firstLine="480" w:firstLineChars="200"/>
        <w:jc w:val="left"/>
        <w:rPr>
          <w:rFonts w:asciiTheme="minorEastAsia" w:hAnsiTheme="minorEastAsia"/>
          <w:u w:val="single"/>
        </w:rPr>
      </w:pPr>
      <w:r>
        <w:rPr>
          <w:rFonts w:asciiTheme="minorEastAsia" w:hAnsiTheme="minorEastAsia"/>
        </w:rPr>
        <w:t>5.</w:t>
      </w:r>
      <w:r>
        <w:rPr>
          <w:rFonts w:hint="eastAsia" w:asciiTheme="minorEastAsia" w:hAnsiTheme="minorEastAsia"/>
        </w:rPr>
        <w:t>3、未成交人的投标保证金将在成交通知书签发后5个工作日内退还。</w:t>
      </w:r>
    </w:p>
    <w:p>
      <w:pPr>
        <w:spacing w:line="500" w:lineRule="exact"/>
        <w:ind w:firstLine="480" w:firstLineChars="200"/>
        <w:jc w:val="left"/>
        <w:rPr>
          <w:rFonts w:asciiTheme="minorEastAsia" w:hAnsiTheme="minorEastAsia"/>
        </w:rPr>
      </w:pPr>
      <w:r>
        <w:rPr>
          <w:rFonts w:hint="eastAsia" w:asciiTheme="minorEastAsia" w:hAnsiTheme="minorEastAsia"/>
        </w:rPr>
        <w:t>因供应商提供的开户行和银行账号信息不准确或错误导致投标保证金不能及时退付或退付出现问题和纠纷的，由供应商承担责任。</w:t>
      </w:r>
    </w:p>
    <w:p>
      <w:pPr>
        <w:spacing w:line="500" w:lineRule="exact"/>
        <w:ind w:firstLine="480" w:firstLineChars="200"/>
        <w:jc w:val="left"/>
        <w:rPr>
          <w:rFonts w:asciiTheme="minorEastAsia" w:hAnsiTheme="minorEastAsia"/>
        </w:rPr>
      </w:pPr>
      <w:r>
        <w:rPr>
          <w:rFonts w:asciiTheme="minorEastAsia" w:hAnsiTheme="minorEastAsia"/>
        </w:rPr>
        <w:t>5.</w:t>
      </w:r>
      <w:r>
        <w:rPr>
          <w:rFonts w:hint="eastAsia" w:asciiTheme="minorEastAsia" w:hAnsiTheme="minorEastAsia"/>
        </w:rPr>
        <w:t>4、成交候选人（最终排名前三的供应商）的投标保证金，在成交人按规定签订合同后5个工作日退还。</w:t>
      </w:r>
    </w:p>
    <w:p>
      <w:pPr>
        <w:spacing w:line="500" w:lineRule="exact"/>
        <w:ind w:firstLine="480" w:firstLineChars="200"/>
        <w:jc w:val="left"/>
        <w:rPr>
          <w:rFonts w:asciiTheme="minorEastAsia" w:hAnsiTheme="minorEastAsia"/>
        </w:rPr>
      </w:pPr>
      <w:r>
        <w:rPr>
          <w:rFonts w:asciiTheme="minorEastAsia" w:hAnsiTheme="minorEastAsia"/>
        </w:rPr>
        <w:t>5.5</w:t>
      </w:r>
      <w:r>
        <w:rPr>
          <w:rFonts w:hint="eastAsia" w:asciiTheme="minorEastAsia" w:hAnsiTheme="minorEastAsia"/>
        </w:rPr>
        <w:t>、退还保证金所需资料：</w:t>
      </w:r>
    </w:p>
    <w:p>
      <w:pPr>
        <w:spacing w:line="500" w:lineRule="exact"/>
        <w:ind w:firstLine="480" w:firstLineChars="200"/>
        <w:jc w:val="left"/>
        <w:rPr>
          <w:rFonts w:asciiTheme="minorEastAsia" w:hAnsiTheme="minorEastAsia"/>
        </w:rPr>
      </w:pPr>
      <w:r>
        <w:rPr>
          <w:rFonts w:hint="eastAsia" w:asciiTheme="minorEastAsia" w:hAnsiTheme="minorEastAsia"/>
        </w:rPr>
        <w:t>（1）退还投标保证金的函（格式后附）；退还保证金收据一份：</w:t>
      </w:r>
    </w:p>
    <w:p>
      <w:pPr>
        <w:spacing w:line="500" w:lineRule="exact"/>
        <w:ind w:firstLine="480" w:firstLineChars="200"/>
        <w:jc w:val="left"/>
        <w:rPr>
          <w:rFonts w:asciiTheme="minorEastAsia" w:hAnsiTheme="minorEastAsia"/>
        </w:rPr>
      </w:pPr>
      <w:r>
        <w:rPr>
          <w:rFonts w:hint="eastAsia" w:asciiTheme="minorEastAsia" w:hAnsiTheme="minorEastAsia"/>
        </w:rPr>
        <w:t>（2）中标人需缴纳中标服务费并提供采购合同复印件或者扫描件，与其他材料一并邮寄至我公司或发送电子版PDF文件扫描件至指定邮箱，邮件需注明项目名称、项目编号及项目分包。邮箱：</w:t>
      </w:r>
      <w:r>
        <w:fldChar w:fldCharType="begin"/>
      </w:r>
      <w:r>
        <w:instrText xml:space="preserve"> HYPERLINK "mailto:3232654292@qq.com" </w:instrText>
      </w:r>
      <w:r>
        <w:fldChar w:fldCharType="separate"/>
      </w:r>
      <w:r>
        <w:rPr>
          <w:rFonts w:asciiTheme="minorEastAsia" w:hAnsiTheme="minorEastAsia"/>
        </w:rPr>
        <w:t>3232654292</w:t>
      </w:r>
      <w:r>
        <w:rPr>
          <w:rFonts w:hint="eastAsia" w:asciiTheme="minorEastAsia" w:hAnsiTheme="minorEastAsia"/>
        </w:rPr>
        <w:t>@qq.com</w:t>
      </w:r>
      <w:r>
        <w:rPr>
          <w:rFonts w:hint="eastAsia" w:asciiTheme="minorEastAsia" w:hAnsiTheme="minorEastAsia"/>
        </w:rPr>
        <w:fldChar w:fldCharType="end"/>
      </w:r>
      <w:r>
        <w:rPr>
          <w:rFonts w:hint="eastAsia" w:asciiTheme="minorEastAsia" w:hAnsiTheme="minorEastAsia"/>
        </w:rPr>
        <w:t>。</w:t>
      </w:r>
    </w:p>
    <w:p>
      <w:pPr>
        <w:ind w:firstLine="600"/>
        <w:jc w:val="center"/>
        <w:rPr>
          <w:sz w:val="30"/>
          <w:szCs w:val="30"/>
        </w:rPr>
      </w:pPr>
      <w:r>
        <w:rPr>
          <w:rFonts w:hint="eastAsia"/>
          <w:sz w:val="30"/>
          <w:szCs w:val="30"/>
        </w:rPr>
        <w:t>退投标保证金函</w:t>
      </w:r>
    </w:p>
    <w:tbl>
      <w:tblPr>
        <w:tblStyle w:val="24"/>
        <w:tblpPr w:leftFromText="180" w:rightFromText="180" w:vertAnchor="text" w:horzAnchor="margin" w:tblpXSpec="center" w:tblpY="135"/>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0"/>
        <w:gridCol w:w="1665"/>
        <w:gridCol w:w="4985"/>
        <w:gridCol w:w="705"/>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项目名称</w:t>
            </w:r>
          </w:p>
        </w:tc>
        <w:tc>
          <w:tcPr>
            <w:tcW w:w="4985" w:type="dxa"/>
          </w:tcPr>
          <w:p>
            <w:pPr>
              <w:pStyle w:val="5"/>
            </w:pPr>
          </w:p>
        </w:tc>
        <w:tc>
          <w:tcPr>
            <w:tcW w:w="705" w:type="dxa"/>
            <w:vMerge w:val="restart"/>
          </w:tcPr>
          <w:p>
            <w:pPr>
              <w:pStyle w:val="5"/>
            </w:pPr>
            <w:r>
              <w:rPr>
                <w:rFonts w:hint="eastAsia"/>
              </w:rPr>
              <w:t>标段</w:t>
            </w:r>
          </w:p>
        </w:tc>
        <w:tc>
          <w:tcPr>
            <w:tcW w:w="1715" w:type="dxa"/>
            <w:vMerge w:val="restart"/>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项目编号</w:t>
            </w:r>
          </w:p>
        </w:tc>
        <w:tc>
          <w:tcPr>
            <w:tcW w:w="4985" w:type="dxa"/>
          </w:tcPr>
          <w:p>
            <w:pPr>
              <w:pStyle w:val="5"/>
            </w:pPr>
          </w:p>
        </w:tc>
        <w:tc>
          <w:tcPr>
            <w:tcW w:w="705" w:type="dxa"/>
            <w:vMerge w:val="continue"/>
          </w:tcPr>
          <w:p>
            <w:pPr>
              <w:pStyle w:val="5"/>
            </w:pPr>
          </w:p>
        </w:tc>
        <w:tc>
          <w:tcPr>
            <w:tcW w:w="1715" w:type="dxa"/>
            <w:vMerge w:val="continue"/>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公司名称</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Merge w:val="restart"/>
            <w:vAlign w:val="center"/>
          </w:tcPr>
          <w:p>
            <w:pPr>
              <w:pStyle w:val="5"/>
            </w:pPr>
            <w:r>
              <w:rPr>
                <w:rFonts w:hint="eastAsia"/>
              </w:rPr>
              <w:t>基本户</w:t>
            </w:r>
          </w:p>
        </w:tc>
        <w:tc>
          <w:tcPr>
            <w:tcW w:w="1665" w:type="dxa"/>
          </w:tcPr>
          <w:p>
            <w:pPr>
              <w:pStyle w:val="5"/>
            </w:pPr>
            <w:r>
              <w:rPr>
                <w:rFonts w:hint="eastAsia"/>
              </w:rPr>
              <w:t>开户行名称</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Merge w:val="continue"/>
          </w:tcPr>
          <w:p>
            <w:pPr>
              <w:pStyle w:val="5"/>
            </w:pPr>
          </w:p>
        </w:tc>
        <w:tc>
          <w:tcPr>
            <w:tcW w:w="1665" w:type="dxa"/>
          </w:tcPr>
          <w:p>
            <w:pPr>
              <w:pStyle w:val="5"/>
            </w:pPr>
            <w:r>
              <w:rPr>
                <w:rFonts w:hint="eastAsia"/>
              </w:rPr>
              <w:t>账号</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Merge w:val="continue"/>
          </w:tcPr>
          <w:p>
            <w:pPr>
              <w:pStyle w:val="5"/>
            </w:pPr>
          </w:p>
        </w:tc>
        <w:tc>
          <w:tcPr>
            <w:tcW w:w="1665" w:type="dxa"/>
          </w:tcPr>
          <w:p>
            <w:pPr>
              <w:pStyle w:val="5"/>
            </w:pPr>
            <w:r>
              <w:rPr>
                <w:rFonts w:hint="eastAsia"/>
              </w:rPr>
              <w:t>行号</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保证金金额</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联系人</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联系人电话</w:t>
            </w:r>
          </w:p>
        </w:tc>
        <w:tc>
          <w:tcPr>
            <w:tcW w:w="7405" w:type="dxa"/>
            <w:gridSpan w:val="3"/>
          </w:tcPr>
          <w:p>
            <w:pPr>
              <w:pStyle w:val="5"/>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tcPr>
          <w:p>
            <w:pPr>
              <w:pStyle w:val="5"/>
            </w:pPr>
            <w:r>
              <w:rPr>
                <w:rFonts w:hint="eastAsia"/>
              </w:rPr>
              <w:t>办理日期</w:t>
            </w:r>
          </w:p>
        </w:tc>
        <w:tc>
          <w:tcPr>
            <w:tcW w:w="7405" w:type="dxa"/>
            <w:gridSpan w:val="3"/>
          </w:tcPr>
          <w:p>
            <w:pPr>
              <w:pStyle w:val="5"/>
            </w:pPr>
          </w:p>
        </w:tc>
      </w:tr>
    </w:tbl>
    <w:p>
      <w:pPr>
        <w:spacing w:line="500" w:lineRule="exact"/>
        <w:ind w:firstLine="482" w:firstLineChars="200"/>
        <w:jc w:val="left"/>
        <w:rPr>
          <w:rFonts w:asciiTheme="minorEastAsia" w:hAnsiTheme="minorEastAsia"/>
          <w:b/>
        </w:rPr>
      </w:pPr>
      <w:r>
        <w:rPr>
          <w:rFonts w:asciiTheme="minorEastAsia" w:hAnsiTheme="minorEastAsia"/>
          <w:b/>
        </w:rPr>
        <w:t>6</w:t>
      </w:r>
      <w:r>
        <w:rPr>
          <w:rFonts w:hint="eastAsia" w:asciiTheme="minorEastAsia" w:hAnsiTheme="minorEastAsia"/>
          <w:b/>
        </w:rPr>
        <w:t>、下列任何情况发生时，投标保证金将被不予退还:</w:t>
      </w:r>
    </w:p>
    <w:p>
      <w:pPr>
        <w:spacing w:line="500" w:lineRule="exact"/>
        <w:ind w:firstLine="480" w:firstLineChars="200"/>
        <w:jc w:val="left"/>
        <w:rPr>
          <w:rFonts w:asciiTheme="minorEastAsia" w:hAnsiTheme="minorEastAsia"/>
        </w:rPr>
      </w:pPr>
      <w:r>
        <w:rPr>
          <w:rFonts w:hint="eastAsia" w:asciiTheme="minorEastAsia" w:hAnsiTheme="minorEastAsia"/>
        </w:rPr>
        <w:t>（1）供应商在竞标有效期内撤回其响应文件的；</w:t>
      </w:r>
    </w:p>
    <w:p>
      <w:pPr>
        <w:spacing w:line="500" w:lineRule="exact"/>
        <w:ind w:firstLine="480" w:firstLineChars="200"/>
        <w:jc w:val="left"/>
        <w:rPr>
          <w:rFonts w:asciiTheme="minorEastAsia" w:hAnsiTheme="minorEastAsia"/>
        </w:rPr>
      </w:pPr>
      <w:r>
        <w:rPr>
          <w:rFonts w:hint="eastAsia" w:asciiTheme="minorEastAsia" w:hAnsiTheme="minorEastAsia"/>
        </w:rPr>
        <w:t>（2）成交人未在规定期限内及时签订项目合同的；</w:t>
      </w:r>
    </w:p>
    <w:p>
      <w:pPr>
        <w:spacing w:line="500" w:lineRule="exact"/>
        <w:ind w:firstLine="480" w:firstLineChars="200"/>
        <w:jc w:val="left"/>
        <w:rPr>
          <w:rFonts w:asciiTheme="minorEastAsia" w:hAnsiTheme="minorEastAsia"/>
        </w:rPr>
      </w:pPr>
      <w:r>
        <w:rPr>
          <w:rFonts w:hint="eastAsia" w:asciiTheme="minorEastAsia" w:hAnsiTheme="minorEastAsia"/>
        </w:rPr>
        <w:t>（3）其它违反政府采购法律法规的有关情况。</w:t>
      </w:r>
    </w:p>
    <w:p>
      <w:pPr>
        <w:spacing w:line="500" w:lineRule="exact"/>
        <w:ind w:firstLine="236" w:firstLineChars="98"/>
        <w:jc w:val="left"/>
        <w:rPr>
          <w:rFonts w:asciiTheme="minorEastAsia" w:hAnsiTheme="minorEastAsia"/>
        </w:rPr>
      </w:pPr>
      <w:r>
        <w:rPr>
          <w:rFonts w:hint="eastAsia" w:asciiTheme="minorEastAsia" w:hAnsiTheme="minorEastAsia"/>
          <w:b/>
          <w:bCs/>
        </w:rPr>
        <w:t>7、投标有效期</w:t>
      </w:r>
    </w:p>
    <w:p>
      <w:pPr>
        <w:spacing w:line="500" w:lineRule="exact"/>
        <w:ind w:firstLine="480" w:firstLineChars="200"/>
        <w:jc w:val="left"/>
        <w:rPr>
          <w:rFonts w:asciiTheme="minorEastAsia" w:hAnsiTheme="minorEastAsia"/>
        </w:rPr>
      </w:pPr>
      <w:r>
        <w:rPr>
          <w:rFonts w:asciiTheme="minorEastAsia" w:hAnsiTheme="minorEastAsia"/>
        </w:rPr>
        <w:t>7.</w:t>
      </w:r>
      <w:r>
        <w:rPr>
          <w:rFonts w:hint="eastAsia" w:asciiTheme="minorEastAsia" w:hAnsiTheme="minorEastAsia"/>
        </w:rPr>
        <w:t>1、竞标有效期为谈判文件规定的供应商提交响应文件截止之日起</w:t>
      </w:r>
      <w:r>
        <w:rPr>
          <w:rFonts w:asciiTheme="minorEastAsia" w:hAnsiTheme="minorEastAsia"/>
          <w:u w:val="single"/>
        </w:rPr>
        <w:t>9</w:t>
      </w:r>
      <w:r>
        <w:rPr>
          <w:rFonts w:hint="eastAsia" w:asciiTheme="minorEastAsia" w:hAnsiTheme="minorEastAsia"/>
          <w:u w:val="single"/>
        </w:rPr>
        <w:t>0</w:t>
      </w:r>
      <w:r>
        <w:rPr>
          <w:rFonts w:hint="eastAsia" w:asciiTheme="minorEastAsia" w:hAnsiTheme="minorEastAsia"/>
        </w:rPr>
        <w:t>天。竞标有效期不满足谈判文件要求的将视为非响应性文件而予以拒绝。</w:t>
      </w:r>
    </w:p>
    <w:p>
      <w:pPr>
        <w:spacing w:line="500" w:lineRule="exact"/>
        <w:ind w:firstLine="480" w:firstLineChars="200"/>
        <w:jc w:val="left"/>
        <w:rPr>
          <w:rFonts w:asciiTheme="minorEastAsia" w:hAnsiTheme="minorEastAsia"/>
        </w:rPr>
      </w:pPr>
      <w:r>
        <w:rPr>
          <w:rFonts w:asciiTheme="minorEastAsia" w:hAnsiTheme="minorEastAsia"/>
        </w:rPr>
        <w:t>7.</w:t>
      </w:r>
      <w:r>
        <w:rPr>
          <w:rFonts w:hint="eastAsia" w:asciiTheme="minorEastAsia" w:hAnsiTheme="minorEastAsia"/>
        </w:rPr>
        <w:t>2、在特殊情况下，采购人于原竞标有效期满之前，可向供应商提出延长竞标有效期的要求，这种要求与答复均应采用书面形式（如信件、传真或电报等），供应商可以拒绝采购人的这一要求而放弃竞标，竞标保证金予以退回；同意延长的供应商既不能要求也不允许修改其响应文件。第十四条有关竞标保证金的没收和退还的规定在延长期内继续有效。</w:t>
      </w:r>
    </w:p>
    <w:p>
      <w:pPr>
        <w:pStyle w:val="7"/>
        <w:ind w:firstLine="643"/>
      </w:pPr>
      <w:bookmarkStart w:id="15" w:name="_Toc137929606"/>
      <w:r>
        <w:rPr>
          <w:rFonts w:hint="eastAsia"/>
        </w:rPr>
        <w:t>四、响应文件的递交</w:t>
      </w:r>
      <w:bookmarkEnd w:id="15"/>
    </w:p>
    <w:p>
      <w:pPr>
        <w:ind w:firstLine="482"/>
        <w:rPr>
          <w:rFonts w:ascii="宋体" w:hAnsi="宋体"/>
          <w:b/>
        </w:rPr>
      </w:pPr>
      <w:bookmarkStart w:id="16" w:name="_Toc16321"/>
      <w:bookmarkStart w:id="17" w:name="_Toc14114"/>
      <w:bookmarkStart w:id="18" w:name="_Toc490155545"/>
      <w:bookmarkStart w:id="19" w:name="_Toc489694842"/>
      <w:bookmarkStart w:id="20" w:name="_Toc8983611"/>
      <w:bookmarkStart w:id="21" w:name="_Toc31171"/>
      <w:bookmarkStart w:id="22" w:name="_Toc213839734"/>
      <w:r>
        <w:rPr>
          <w:rFonts w:hint="eastAsia" w:ascii="宋体" w:hAnsi="宋体"/>
          <w:b/>
        </w:rPr>
        <w:t>1.投标文件递交截止日期及方式</w:t>
      </w:r>
      <w:bookmarkEnd w:id="16"/>
      <w:bookmarkEnd w:id="17"/>
      <w:bookmarkEnd w:id="18"/>
      <w:bookmarkEnd w:id="19"/>
      <w:bookmarkEnd w:id="20"/>
      <w:bookmarkEnd w:id="21"/>
    </w:p>
    <w:p>
      <w:pPr>
        <w:ind w:firstLine="480"/>
        <w:rPr>
          <w:rFonts w:ascii="宋体" w:hAnsi="宋体" w:cs="宋体"/>
          <w:color w:val="000000"/>
        </w:rPr>
      </w:pPr>
      <w:r>
        <w:rPr>
          <w:rFonts w:hint="eastAsia" w:ascii="宋体" w:hAnsi="宋体" w:cs="宋体"/>
          <w:color w:val="000000"/>
        </w:rPr>
        <w:t>1.1本项目采用不见面开标，供应商须在投标截止时间前通过CA在政采云平台上传加密的电子响应文件。</w:t>
      </w:r>
    </w:p>
    <w:p>
      <w:pPr>
        <w:ind w:firstLine="480"/>
        <w:rPr>
          <w:rFonts w:ascii="宋体" w:hAnsi="宋体" w:cs="宋体"/>
          <w:b/>
          <w:color w:val="000000"/>
        </w:rPr>
      </w:pPr>
      <w:r>
        <w:rPr>
          <w:rFonts w:hint="eastAsia" w:ascii="宋体" w:hAnsi="宋体" w:cs="宋体"/>
          <w:color w:val="000000"/>
        </w:rPr>
        <w:t>1.2采购代理机构将在招标文件规定的时间和地点组织评标会议，</w:t>
      </w:r>
      <w:r>
        <w:rPr>
          <w:rFonts w:hint="eastAsia" w:ascii="宋体" w:hAnsi="宋体" w:cs="宋体"/>
          <w:b/>
          <w:color w:val="000000"/>
        </w:rPr>
        <w:t>供应商必须派法定代表人或其授权的委托人出席会议。</w:t>
      </w:r>
    </w:p>
    <w:p>
      <w:pPr>
        <w:ind w:firstLine="480"/>
        <w:rPr>
          <w:rFonts w:ascii="宋体" w:hAnsi="宋体" w:cs="宋体"/>
          <w:color w:val="000000"/>
        </w:rPr>
      </w:pPr>
      <w:r>
        <w:rPr>
          <w:rFonts w:hint="eastAsia" w:ascii="宋体" w:hAnsi="宋体" w:cs="宋体"/>
          <w:color w:val="000000"/>
        </w:rPr>
        <w:t>1.3采购人可以通过修改招标文件酌情延长投标文件接收截止日期，在此情况下，供应商的所有权利和义务以及供应商受制约的截止日期均应以延长后新的截止日期为准。</w:t>
      </w:r>
    </w:p>
    <w:p>
      <w:pPr>
        <w:ind w:firstLine="482"/>
        <w:rPr>
          <w:rFonts w:ascii="宋体" w:hAnsi="宋体"/>
          <w:b/>
        </w:rPr>
      </w:pPr>
      <w:bookmarkStart w:id="23" w:name="_Toc490155546"/>
      <w:bookmarkStart w:id="24" w:name="_Toc489694843"/>
      <w:bookmarkStart w:id="25" w:name="_Toc18567"/>
      <w:bookmarkStart w:id="26" w:name="_Toc2527"/>
      <w:bookmarkStart w:id="27" w:name="_Toc15270"/>
      <w:bookmarkStart w:id="28" w:name="_Toc8983612"/>
      <w:r>
        <w:rPr>
          <w:rFonts w:hint="eastAsia" w:ascii="宋体" w:hAnsi="宋体"/>
          <w:b/>
        </w:rPr>
        <w:t>2.迟交的投标文件</w:t>
      </w:r>
      <w:bookmarkEnd w:id="23"/>
      <w:bookmarkEnd w:id="24"/>
      <w:bookmarkEnd w:id="25"/>
      <w:bookmarkEnd w:id="26"/>
      <w:bookmarkEnd w:id="27"/>
      <w:bookmarkEnd w:id="28"/>
    </w:p>
    <w:p>
      <w:pPr>
        <w:ind w:firstLine="480"/>
        <w:rPr>
          <w:rFonts w:ascii="宋体" w:hAnsi="宋体" w:cs="宋体"/>
          <w:color w:val="000000"/>
        </w:rPr>
      </w:pPr>
      <w:r>
        <w:rPr>
          <w:rFonts w:hint="eastAsia" w:ascii="宋体" w:hAnsi="宋体" w:cs="宋体"/>
          <w:color w:val="000000"/>
        </w:rPr>
        <w:t>采购人将拒绝接收在规定的截止日期后递交的任何投标文件。</w:t>
      </w:r>
      <w:bookmarkStart w:id="29" w:name="_Toc213839733"/>
    </w:p>
    <w:p>
      <w:pPr>
        <w:ind w:firstLine="480"/>
        <w:rPr>
          <w:rFonts w:ascii="宋体" w:hAnsi="宋体" w:cs="宋体"/>
          <w:color w:val="000000"/>
        </w:rPr>
      </w:pPr>
      <w:bookmarkStart w:id="30" w:name="_Toc489694844"/>
      <w:bookmarkStart w:id="31" w:name="_Toc17938"/>
      <w:bookmarkStart w:id="32" w:name="_Toc490155547"/>
      <w:bookmarkStart w:id="33" w:name="_Toc22149"/>
      <w:bookmarkStart w:id="34" w:name="_Toc8983613"/>
      <w:bookmarkStart w:id="35" w:name="_Toc19922"/>
      <w:r>
        <w:rPr>
          <w:rFonts w:hint="eastAsia" w:ascii="宋体" w:hAnsi="宋体" w:cs="宋体"/>
          <w:color w:val="000000"/>
        </w:rPr>
        <w:t>3.投标文件的修改</w:t>
      </w:r>
      <w:bookmarkEnd w:id="29"/>
      <w:bookmarkEnd w:id="30"/>
      <w:bookmarkEnd w:id="31"/>
      <w:bookmarkEnd w:id="32"/>
      <w:bookmarkEnd w:id="33"/>
      <w:bookmarkEnd w:id="34"/>
      <w:bookmarkEnd w:id="35"/>
    </w:p>
    <w:p>
      <w:pPr>
        <w:ind w:firstLine="480"/>
        <w:rPr>
          <w:rFonts w:ascii="宋体" w:hAnsi="宋体" w:cs="宋体"/>
          <w:color w:val="000000"/>
        </w:rPr>
      </w:pPr>
      <w:r>
        <w:rPr>
          <w:rFonts w:hint="eastAsia" w:ascii="宋体" w:hAnsi="宋体" w:cs="宋体"/>
          <w:color w:val="000000"/>
        </w:rPr>
        <w:t>供应商在递交投标文件截止时间之前，对所递交的投标文件可以补充、修改，补充、修改的内容为投标文件的组成部分，对供应商具有约束力。</w:t>
      </w:r>
    </w:p>
    <w:p>
      <w:pPr>
        <w:spacing w:line="500" w:lineRule="exact"/>
        <w:ind w:firstLine="480" w:firstLineChars="200"/>
        <w:rPr>
          <w:rFonts w:cs="Arial" w:asciiTheme="minorEastAsia" w:hAnsiTheme="minorEastAsia"/>
        </w:rPr>
      </w:pPr>
    </w:p>
    <w:p>
      <w:pPr>
        <w:pStyle w:val="7"/>
        <w:ind w:firstLine="643"/>
      </w:pPr>
      <w:bookmarkStart w:id="36" w:name="_Toc137929607"/>
      <w:r>
        <w:rPr>
          <w:rFonts w:hint="eastAsia"/>
        </w:rPr>
        <w:t>五、无效标、废标条款</w:t>
      </w:r>
      <w:bookmarkEnd w:id="36"/>
    </w:p>
    <w:p>
      <w:pPr>
        <w:spacing w:line="500" w:lineRule="exact"/>
        <w:ind w:firstLine="482" w:firstLineChars="200"/>
        <w:jc w:val="left"/>
        <w:rPr>
          <w:rFonts w:asciiTheme="minorEastAsia" w:hAnsiTheme="minorEastAsia"/>
          <w:b/>
          <w:bCs/>
        </w:rPr>
      </w:pPr>
      <w:r>
        <w:rPr>
          <w:rFonts w:hint="eastAsia" w:asciiTheme="minorEastAsia" w:hAnsiTheme="minorEastAsia"/>
          <w:b/>
          <w:bCs/>
        </w:rPr>
        <w:t>1、无效竞标条款</w:t>
      </w:r>
    </w:p>
    <w:p>
      <w:pPr>
        <w:spacing w:line="500" w:lineRule="exact"/>
        <w:ind w:firstLine="480" w:firstLineChars="200"/>
        <w:jc w:val="left"/>
        <w:rPr>
          <w:rFonts w:asciiTheme="minorEastAsia" w:hAnsiTheme="minorEastAsia"/>
        </w:rPr>
      </w:pPr>
      <w:r>
        <w:rPr>
          <w:rFonts w:asciiTheme="minorEastAsia" w:hAnsiTheme="minorEastAsia"/>
        </w:rPr>
        <w:t>1.</w:t>
      </w:r>
      <w:r>
        <w:rPr>
          <w:rFonts w:hint="eastAsia" w:asciiTheme="minorEastAsia" w:hAnsiTheme="minorEastAsia"/>
        </w:rPr>
        <w:t>1供应商资格不符合谈判文件规定或未按规定提交资质证件的；</w:t>
      </w:r>
    </w:p>
    <w:p>
      <w:pPr>
        <w:spacing w:line="500" w:lineRule="exact"/>
        <w:ind w:firstLine="480" w:firstLineChars="200"/>
        <w:jc w:val="left"/>
        <w:rPr>
          <w:rFonts w:asciiTheme="minorEastAsia" w:hAnsiTheme="minorEastAsia"/>
        </w:rPr>
      </w:pPr>
      <w:r>
        <w:rPr>
          <w:rFonts w:asciiTheme="minorEastAsia" w:hAnsiTheme="minorEastAsia"/>
        </w:rPr>
        <w:t>1.</w:t>
      </w:r>
      <w:r>
        <w:rPr>
          <w:rFonts w:hint="eastAsia" w:asciiTheme="minorEastAsia" w:hAnsiTheme="minorEastAsia"/>
        </w:rPr>
        <w:t>2供应商未在规定的时间内提交竞标保证金的；</w:t>
      </w:r>
    </w:p>
    <w:p>
      <w:pPr>
        <w:spacing w:line="500" w:lineRule="exact"/>
        <w:ind w:firstLine="480" w:firstLineChars="200"/>
        <w:jc w:val="left"/>
        <w:rPr>
          <w:rFonts w:asciiTheme="minorEastAsia" w:hAnsiTheme="minorEastAsia"/>
        </w:rPr>
      </w:pPr>
      <w:r>
        <w:rPr>
          <w:rFonts w:asciiTheme="minorEastAsia" w:hAnsiTheme="minorEastAsia"/>
        </w:rPr>
        <w:t>1.3</w:t>
      </w:r>
      <w:r>
        <w:rPr>
          <w:rFonts w:hint="eastAsia" w:asciiTheme="minorEastAsia" w:hAnsiTheme="minorEastAsia"/>
        </w:rPr>
        <w:t>响应文件出现重大偏差，未对谈判文件进行实质性响应</w:t>
      </w:r>
    </w:p>
    <w:p>
      <w:pPr>
        <w:spacing w:line="500" w:lineRule="exact"/>
        <w:ind w:firstLine="480" w:firstLineChars="200"/>
        <w:jc w:val="left"/>
        <w:rPr>
          <w:rFonts w:asciiTheme="minorEastAsia" w:hAnsiTheme="minorEastAsia"/>
        </w:rPr>
      </w:pPr>
      <w:r>
        <w:rPr>
          <w:rFonts w:asciiTheme="minorEastAsia" w:hAnsiTheme="minorEastAsia"/>
        </w:rPr>
        <w:t>1.4</w:t>
      </w:r>
      <w:r>
        <w:rPr>
          <w:rFonts w:hint="eastAsia" w:asciiTheme="minorEastAsia" w:hAnsiTheme="minorEastAsia"/>
        </w:rPr>
        <w:t>被授权人不参加谈判仪式及质询事宜的；</w:t>
      </w:r>
    </w:p>
    <w:p>
      <w:pPr>
        <w:spacing w:line="500" w:lineRule="exact"/>
        <w:ind w:firstLine="480" w:firstLineChars="200"/>
        <w:jc w:val="left"/>
        <w:rPr>
          <w:rFonts w:asciiTheme="minorEastAsia" w:hAnsiTheme="minorEastAsia"/>
        </w:rPr>
      </w:pPr>
      <w:r>
        <w:rPr>
          <w:rFonts w:asciiTheme="minorEastAsia" w:hAnsiTheme="minorEastAsia"/>
        </w:rPr>
        <w:t>1.5</w:t>
      </w:r>
      <w:r>
        <w:rPr>
          <w:rFonts w:hint="eastAsia" w:asciiTheme="minorEastAsia" w:hAnsiTheme="minorEastAsia"/>
        </w:rPr>
        <w:t>其它谈判小组认为有必要取消的竞标；</w:t>
      </w:r>
    </w:p>
    <w:p>
      <w:pPr>
        <w:spacing w:line="500" w:lineRule="exact"/>
        <w:ind w:firstLine="480" w:firstLineChars="200"/>
        <w:jc w:val="left"/>
        <w:rPr>
          <w:rFonts w:asciiTheme="minorEastAsia" w:hAnsiTheme="minorEastAsia"/>
        </w:rPr>
      </w:pPr>
      <w:r>
        <w:rPr>
          <w:rFonts w:asciiTheme="minorEastAsia" w:hAnsiTheme="minorEastAsia"/>
        </w:rPr>
        <w:t>1.6</w:t>
      </w:r>
      <w:r>
        <w:rPr>
          <w:rFonts w:hint="eastAsia" w:asciiTheme="minorEastAsia" w:hAnsiTheme="minorEastAsia"/>
        </w:rPr>
        <w:t>法律、法规规定的其他情况；</w:t>
      </w:r>
    </w:p>
    <w:p>
      <w:pPr>
        <w:snapToGrid w:val="0"/>
        <w:spacing w:line="520" w:lineRule="exact"/>
        <w:ind w:firstLine="482" w:firstLineChars="200"/>
        <w:rPr>
          <w:rFonts w:asciiTheme="minorEastAsia" w:hAnsiTheme="minorEastAsia"/>
          <w:b/>
        </w:rPr>
      </w:pPr>
      <w:r>
        <w:rPr>
          <w:rFonts w:hint="eastAsia" w:asciiTheme="minorEastAsia" w:hAnsiTheme="minorEastAsia"/>
          <w:b/>
        </w:rPr>
        <w:t>2、废标条款</w:t>
      </w:r>
    </w:p>
    <w:p>
      <w:pPr>
        <w:spacing w:line="500" w:lineRule="exact"/>
        <w:ind w:firstLine="480" w:firstLineChars="200"/>
        <w:jc w:val="left"/>
        <w:rPr>
          <w:rFonts w:asciiTheme="minorEastAsia" w:hAnsiTheme="minorEastAsia"/>
          <w:bCs/>
        </w:rPr>
      </w:pPr>
      <w:r>
        <w:rPr>
          <w:rFonts w:asciiTheme="minorEastAsia" w:hAnsiTheme="minorEastAsia"/>
          <w:bCs/>
        </w:rPr>
        <w:t>2.</w:t>
      </w:r>
      <w:r>
        <w:rPr>
          <w:rFonts w:hint="eastAsia" w:asciiTheme="minorEastAsia" w:hAnsiTheme="minorEastAsia"/>
          <w:bCs/>
        </w:rPr>
        <w:t>1符合专业条件的供应商或者对谈判文件作实质响应的供应商不足三家的；</w:t>
      </w:r>
    </w:p>
    <w:p>
      <w:pPr>
        <w:snapToGrid w:val="0"/>
        <w:spacing w:line="520" w:lineRule="exact"/>
        <w:ind w:firstLine="480" w:firstLineChars="200"/>
        <w:rPr>
          <w:rFonts w:asciiTheme="minorEastAsia" w:hAnsiTheme="minorEastAsia"/>
        </w:rPr>
      </w:pPr>
      <w:r>
        <w:rPr>
          <w:rFonts w:asciiTheme="minorEastAsia" w:hAnsiTheme="minorEastAsia"/>
          <w:bCs/>
        </w:rPr>
        <w:t>2.</w:t>
      </w:r>
      <w:r>
        <w:rPr>
          <w:rFonts w:hint="eastAsia" w:asciiTheme="minorEastAsia" w:hAnsiTheme="minorEastAsia"/>
        </w:rPr>
        <w:t>2出现影响招标公正的违法、违规行为的；</w:t>
      </w:r>
    </w:p>
    <w:p>
      <w:pPr>
        <w:snapToGrid w:val="0"/>
        <w:spacing w:line="520" w:lineRule="exact"/>
        <w:ind w:firstLine="480" w:firstLineChars="200"/>
        <w:rPr>
          <w:rFonts w:asciiTheme="minorEastAsia" w:hAnsiTheme="minorEastAsia"/>
        </w:rPr>
      </w:pPr>
      <w:r>
        <w:rPr>
          <w:rFonts w:asciiTheme="minorEastAsia" w:hAnsiTheme="minorEastAsia"/>
          <w:bCs/>
        </w:rPr>
        <w:t>2.</w:t>
      </w:r>
      <w:r>
        <w:rPr>
          <w:rFonts w:hint="eastAsia" w:asciiTheme="minorEastAsia" w:hAnsiTheme="minorEastAsia"/>
        </w:rPr>
        <w:t>3供应商的报价均超过了采购预算，采购人不能支付的；</w:t>
      </w:r>
    </w:p>
    <w:p>
      <w:pPr>
        <w:snapToGrid w:val="0"/>
        <w:spacing w:line="520" w:lineRule="exact"/>
        <w:ind w:firstLine="480" w:firstLineChars="200"/>
        <w:rPr>
          <w:rFonts w:asciiTheme="minorEastAsia" w:hAnsiTheme="minorEastAsia"/>
        </w:rPr>
      </w:pPr>
      <w:r>
        <w:rPr>
          <w:rFonts w:asciiTheme="minorEastAsia" w:hAnsiTheme="minorEastAsia"/>
          <w:bCs/>
        </w:rPr>
        <w:t>2.</w:t>
      </w:r>
      <w:r>
        <w:rPr>
          <w:rFonts w:hint="eastAsia" w:asciiTheme="minorEastAsia" w:hAnsiTheme="minorEastAsia"/>
        </w:rPr>
        <w:t>4因重大变故，招标任务取消的。</w:t>
      </w:r>
    </w:p>
    <w:p>
      <w:pPr>
        <w:spacing w:line="500" w:lineRule="exact"/>
        <w:ind w:firstLine="482" w:firstLineChars="200"/>
        <w:jc w:val="left"/>
        <w:rPr>
          <w:rFonts w:asciiTheme="minorEastAsia" w:hAnsiTheme="minorEastAsia"/>
          <w:b/>
          <w:bCs/>
        </w:rPr>
      </w:pPr>
      <w:r>
        <w:rPr>
          <w:rFonts w:hint="eastAsia" w:asciiTheme="minorEastAsia" w:hAnsiTheme="minorEastAsia"/>
          <w:b/>
          <w:bCs/>
        </w:rPr>
        <w:t>3、供应商不足三家情形处理</w:t>
      </w:r>
    </w:p>
    <w:p>
      <w:pPr>
        <w:snapToGrid w:val="0"/>
        <w:spacing w:line="500" w:lineRule="exact"/>
        <w:ind w:firstLine="480" w:firstLineChars="200"/>
        <w:rPr>
          <w:rFonts w:asciiTheme="minorEastAsia" w:hAnsiTheme="minorEastAsia"/>
        </w:rPr>
      </w:pPr>
      <w:r>
        <w:rPr>
          <w:rFonts w:asciiTheme="minorEastAsia" w:hAnsiTheme="minorEastAsia"/>
        </w:rPr>
        <w:t>3.1如出现竞标截止时间结束后参加的供应商不足三家的，依照中华人民共和国财政部令第74号第三章第三十七条的规定处理。</w:t>
      </w:r>
    </w:p>
    <w:p>
      <w:pPr>
        <w:snapToGrid w:val="0"/>
        <w:spacing w:line="500" w:lineRule="exact"/>
        <w:ind w:firstLine="482" w:firstLineChars="200"/>
        <w:rPr>
          <w:rFonts w:asciiTheme="minorEastAsia" w:hAnsiTheme="minorEastAsia"/>
        </w:rPr>
      </w:pPr>
      <w:r>
        <w:rPr>
          <w:rFonts w:hint="eastAsia" w:asciiTheme="minorEastAsia" w:hAnsiTheme="minorEastAsia"/>
          <w:b/>
          <w:bCs/>
        </w:rPr>
        <w:t>4、取消成交候选人资格条款</w:t>
      </w:r>
    </w:p>
    <w:p>
      <w:pPr>
        <w:snapToGrid w:val="0"/>
        <w:spacing w:line="500" w:lineRule="exact"/>
        <w:ind w:firstLine="480" w:firstLineChars="200"/>
        <w:rPr>
          <w:rFonts w:asciiTheme="minorEastAsia" w:hAnsiTheme="minorEastAsia"/>
        </w:rPr>
      </w:pPr>
      <w:r>
        <w:rPr>
          <w:rFonts w:asciiTheme="minorEastAsia" w:hAnsiTheme="minorEastAsia"/>
        </w:rPr>
        <w:t>4.</w:t>
      </w:r>
      <w:r>
        <w:rPr>
          <w:rFonts w:hint="eastAsia" w:asciiTheme="minorEastAsia" w:hAnsiTheme="minorEastAsia"/>
        </w:rPr>
        <w:t>1提供虚假材料谋取成交的；</w:t>
      </w:r>
    </w:p>
    <w:p>
      <w:pPr>
        <w:snapToGrid w:val="0"/>
        <w:spacing w:line="500" w:lineRule="exact"/>
        <w:ind w:firstLine="480" w:firstLineChars="200"/>
        <w:rPr>
          <w:rFonts w:asciiTheme="minorEastAsia" w:hAnsiTheme="minorEastAsia"/>
        </w:rPr>
      </w:pPr>
      <w:r>
        <w:rPr>
          <w:rFonts w:asciiTheme="minorEastAsia" w:hAnsiTheme="minorEastAsia"/>
        </w:rPr>
        <w:t>4.</w:t>
      </w:r>
      <w:r>
        <w:rPr>
          <w:rFonts w:hint="eastAsia" w:asciiTheme="minorEastAsia" w:hAnsiTheme="minorEastAsia"/>
        </w:rPr>
        <w:t>2采取不正当手段诋毁、排挤其他供应商的；</w:t>
      </w:r>
    </w:p>
    <w:p>
      <w:pPr>
        <w:snapToGrid w:val="0"/>
        <w:spacing w:line="500" w:lineRule="exact"/>
        <w:ind w:firstLine="480" w:firstLineChars="200"/>
        <w:rPr>
          <w:rFonts w:asciiTheme="minorEastAsia" w:hAnsiTheme="minorEastAsia"/>
        </w:rPr>
      </w:pPr>
      <w:r>
        <w:rPr>
          <w:rFonts w:asciiTheme="minorEastAsia" w:hAnsiTheme="minorEastAsia"/>
        </w:rPr>
        <w:t>4.</w:t>
      </w:r>
      <w:r>
        <w:rPr>
          <w:rFonts w:hint="eastAsia" w:asciiTheme="minorEastAsia" w:hAnsiTheme="minorEastAsia"/>
        </w:rPr>
        <w:t>3与采购人、其他供应商或者采购代理机构恶意串通的；</w:t>
      </w:r>
    </w:p>
    <w:p>
      <w:pPr>
        <w:snapToGrid w:val="0"/>
        <w:spacing w:line="500" w:lineRule="exact"/>
        <w:ind w:firstLine="480" w:firstLineChars="200"/>
        <w:rPr>
          <w:rFonts w:asciiTheme="minorEastAsia" w:hAnsiTheme="minorEastAsia"/>
        </w:rPr>
      </w:pPr>
      <w:r>
        <w:rPr>
          <w:rFonts w:asciiTheme="minorEastAsia" w:hAnsiTheme="minorEastAsia"/>
        </w:rPr>
        <w:t>4.</w:t>
      </w:r>
      <w:r>
        <w:rPr>
          <w:rFonts w:hint="eastAsia" w:asciiTheme="minorEastAsia" w:hAnsiTheme="minorEastAsia"/>
        </w:rPr>
        <w:t>4向采购人、招标代理机构行贿或者提供其他不正当利益的；</w:t>
      </w:r>
    </w:p>
    <w:p>
      <w:pPr>
        <w:snapToGrid w:val="0"/>
        <w:spacing w:line="500" w:lineRule="exact"/>
        <w:ind w:firstLine="480" w:firstLineChars="200"/>
        <w:rPr>
          <w:rFonts w:asciiTheme="minorEastAsia" w:hAnsiTheme="minorEastAsia"/>
        </w:rPr>
      </w:pPr>
      <w:r>
        <w:rPr>
          <w:rFonts w:asciiTheme="minorEastAsia" w:hAnsiTheme="minorEastAsia"/>
        </w:rPr>
        <w:t>4.</w:t>
      </w:r>
      <w:r>
        <w:rPr>
          <w:rFonts w:hint="eastAsia" w:asciiTheme="minorEastAsia" w:hAnsiTheme="minorEastAsia"/>
        </w:rPr>
        <w:t>5在规定的时间内未与采购人签订采购合同的；</w:t>
      </w:r>
    </w:p>
    <w:p>
      <w:pPr>
        <w:snapToGrid w:val="0"/>
        <w:spacing w:line="500" w:lineRule="exact"/>
        <w:ind w:firstLine="480" w:firstLineChars="200"/>
        <w:rPr>
          <w:rFonts w:asciiTheme="minorEastAsia" w:hAnsiTheme="minorEastAsia"/>
        </w:rPr>
      </w:pPr>
      <w:r>
        <w:rPr>
          <w:rFonts w:asciiTheme="minorEastAsia" w:hAnsiTheme="minorEastAsia"/>
        </w:rPr>
        <w:t>4.</w:t>
      </w:r>
      <w:r>
        <w:rPr>
          <w:rFonts w:hint="eastAsia" w:asciiTheme="minorEastAsia" w:hAnsiTheme="minorEastAsia"/>
        </w:rPr>
        <w:t>6法律、法规规定的其他情况。</w:t>
      </w:r>
    </w:p>
    <w:p>
      <w:pPr>
        <w:pStyle w:val="7"/>
        <w:ind w:firstLine="643"/>
      </w:pPr>
      <w:bookmarkStart w:id="37" w:name="_Toc137929608"/>
      <w:r>
        <w:rPr>
          <w:rFonts w:hint="eastAsia"/>
        </w:rPr>
        <w:t>六、谈判程序及最终报价</w:t>
      </w:r>
      <w:bookmarkEnd w:id="22"/>
      <w:bookmarkEnd w:id="37"/>
    </w:p>
    <w:p>
      <w:pPr>
        <w:spacing w:line="500" w:lineRule="exact"/>
        <w:ind w:firstLine="482" w:firstLineChars="200"/>
        <w:rPr>
          <w:rFonts w:asciiTheme="minorEastAsia" w:hAnsiTheme="minorEastAsia"/>
          <w:b/>
          <w:bCs/>
        </w:rPr>
      </w:pPr>
      <w:r>
        <w:rPr>
          <w:rFonts w:asciiTheme="minorEastAsia" w:hAnsiTheme="minorEastAsia"/>
          <w:b/>
          <w:bCs/>
        </w:rPr>
        <w:t>1</w:t>
      </w:r>
      <w:r>
        <w:rPr>
          <w:rFonts w:hint="eastAsia" w:asciiTheme="minorEastAsia" w:hAnsiTheme="minorEastAsia"/>
          <w:b/>
          <w:bCs/>
        </w:rPr>
        <w:t>、谈判原则</w:t>
      </w:r>
    </w:p>
    <w:p>
      <w:pPr>
        <w:adjustRightInd w:val="0"/>
        <w:ind w:firstLine="480" w:firstLineChars="200"/>
        <w:rPr>
          <w:rFonts w:asciiTheme="minorEastAsia" w:hAnsiTheme="minorEastAsia"/>
          <w:szCs w:val="24"/>
        </w:rPr>
      </w:pPr>
      <w:r>
        <w:rPr>
          <w:rFonts w:hint="eastAsia" w:asciiTheme="minorEastAsia" w:hAnsiTheme="minorEastAsia"/>
          <w:szCs w:val="24"/>
        </w:rPr>
        <w:t>评、定标依据《中华人民共和国政府采购法》、《政府采购非招标采购方式管理办法》及新疆维吾尔自治区财政厅等相关规定，遵循公开、公平、公正、竞争的原则。采购方将根据《中华人民共和国政府采购法》的规定，依法组建本次采购的评审小组，负责本次采购的评标活动。评审小组负责向采购方推荐中标候选人或者根据采购方的授权直接确定成交供应商。</w:t>
      </w:r>
    </w:p>
    <w:p>
      <w:pPr>
        <w:adjustRightInd w:val="0"/>
        <w:ind w:firstLine="480" w:firstLineChars="200"/>
        <w:rPr>
          <w:rFonts w:asciiTheme="minorEastAsia" w:hAnsiTheme="minorEastAsia"/>
          <w:szCs w:val="24"/>
        </w:rPr>
      </w:pPr>
      <w:r>
        <w:rPr>
          <w:rFonts w:asciiTheme="minorEastAsia" w:hAnsiTheme="minorEastAsia"/>
          <w:szCs w:val="24"/>
        </w:rPr>
        <w:t>1.</w:t>
      </w:r>
      <w:r>
        <w:rPr>
          <w:rFonts w:hint="eastAsia" w:asciiTheme="minorEastAsia" w:hAnsiTheme="minorEastAsia"/>
          <w:szCs w:val="24"/>
        </w:rPr>
        <w:t>1严格执行《中华人民共和国政府采购法》及自治区有关法规、政策、维护采购人、供应商的合法权益，选择对招标单位最为有利的中标单位或中标候选单位；</w:t>
      </w:r>
    </w:p>
    <w:p>
      <w:pPr>
        <w:adjustRightInd w:val="0"/>
        <w:ind w:firstLine="480" w:firstLineChars="200"/>
        <w:rPr>
          <w:rFonts w:asciiTheme="minorEastAsia" w:hAnsiTheme="minorEastAsia"/>
          <w:szCs w:val="24"/>
        </w:rPr>
      </w:pPr>
      <w:r>
        <w:rPr>
          <w:rFonts w:asciiTheme="minorEastAsia" w:hAnsiTheme="minorEastAsia"/>
          <w:szCs w:val="24"/>
        </w:rPr>
        <w:t>1.</w:t>
      </w:r>
      <w:r>
        <w:rPr>
          <w:rFonts w:hint="eastAsia" w:asciiTheme="minorEastAsia" w:hAnsiTheme="minorEastAsia"/>
          <w:szCs w:val="24"/>
        </w:rPr>
        <w:t>2谈判小组所有成员应当集中与每一位供应商分别进行谈判，并给予所有参加谈判的供应商平等的机会。不应谈及与供应商所提供的服务质量、技术、价格等无关的话题。</w:t>
      </w:r>
    </w:p>
    <w:p>
      <w:pPr>
        <w:adjustRightInd w:val="0"/>
        <w:ind w:firstLine="480" w:firstLineChars="200"/>
        <w:rPr>
          <w:rFonts w:asciiTheme="minorEastAsia" w:hAnsiTheme="minorEastAsia"/>
          <w:szCs w:val="24"/>
        </w:rPr>
      </w:pPr>
      <w:r>
        <w:rPr>
          <w:rFonts w:asciiTheme="minorEastAsia" w:hAnsiTheme="minorEastAsia"/>
          <w:szCs w:val="24"/>
        </w:rPr>
        <w:t>1.</w:t>
      </w:r>
      <w:r>
        <w:rPr>
          <w:rFonts w:hint="eastAsia" w:asciiTheme="minorEastAsia" w:hAnsiTheme="minorEastAsia"/>
          <w:szCs w:val="24"/>
        </w:rPr>
        <w:t>3在谈判过程中，谈判小组可以根据谈判文件和谈判情况实质性变动采购需求中的技术、服务要求以及合同草案条款，但不得变动谈判文件中的其他内容。实质性变动的内容，须经采购人代表确认。对谈判文件做出的实质性变动是谈判文件的有效组成部分，谈判小组应当及时以书面形式同时通知所有参加谈判的供应商。</w:t>
      </w:r>
    </w:p>
    <w:p>
      <w:pPr>
        <w:adjustRightInd w:val="0"/>
        <w:ind w:firstLine="480" w:firstLineChars="200"/>
        <w:rPr>
          <w:rFonts w:asciiTheme="minorEastAsia" w:hAnsiTheme="minorEastAsia"/>
        </w:rPr>
      </w:pPr>
      <w:r>
        <w:rPr>
          <w:rFonts w:asciiTheme="minorEastAsia" w:hAnsiTheme="minorEastAsia"/>
          <w:szCs w:val="24"/>
        </w:rPr>
        <w:t>1.</w:t>
      </w:r>
      <w:r>
        <w:rPr>
          <w:rFonts w:hint="eastAsia" w:asciiTheme="minorEastAsia" w:hAnsiTheme="minorEastAsia"/>
        </w:rPr>
        <w:t>4谈判工作由评审专家及采购人代表共同组建的谈判小组承担。谈判评审专家占谈判小组总数的三分之二以上。</w:t>
      </w:r>
    </w:p>
    <w:p>
      <w:pPr>
        <w:adjustRightInd w:val="0"/>
        <w:ind w:firstLine="480" w:firstLineChars="200"/>
        <w:rPr>
          <w:rFonts w:asciiTheme="minorEastAsia" w:hAnsiTheme="minorEastAsia"/>
        </w:rPr>
      </w:pPr>
      <w:r>
        <w:rPr>
          <w:rFonts w:asciiTheme="minorEastAsia" w:hAnsiTheme="minorEastAsia"/>
          <w:szCs w:val="24"/>
        </w:rPr>
        <w:t>1.</w:t>
      </w:r>
      <w:r>
        <w:rPr>
          <w:rFonts w:hint="eastAsia" w:asciiTheme="minorEastAsia" w:hAnsiTheme="minorEastAsia"/>
        </w:rPr>
        <w:t>5评审专家的条件和回避规定</w:t>
      </w:r>
    </w:p>
    <w:p>
      <w:pPr>
        <w:adjustRightInd w:val="0"/>
        <w:ind w:firstLine="480" w:firstLineChars="200"/>
        <w:rPr>
          <w:rFonts w:asciiTheme="minorEastAsia" w:hAnsiTheme="minorEastAsia"/>
        </w:rPr>
      </w:pPr>
      <w:r>
        <w:rPr>
          <w:rFonts w:hint="eastAsia" w:asciiTheme="minorEastAsia" w:hAnsiTheme="minorEastAsia"/>
        </w:rPr>
        <w:t>1</w:t>
      </w:r>
      <w:r>
        <w:rPr>
          <w:rFonts w:asciiTheme="minorEastAsia" w:hAnsiTheme="minorEastAsia"/>
        </w:rPr>
        <w:t>.5.1</w:t>
      </w:r>
      <w:r>
        <w:rPr>
          <w:rFonts w:hint="eastAsia" w:asciiTheme="minorEastAsia" w:hAnsiTheme="minorEastAsia"/>
        </w:rPr>
        <w:t>评审专家应符合下列条件：</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1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①</w:t>
      </w:r>
      <w:r>
        <w:rPr>
          <w:rFonts w:asciiTheme="minorEastAsia" w:hAnsiTheme="minorEastAsia"/>
        </w:rPr>
        <w:fldChar w:fldCharType="end"/>
      </w:r>
      <w:r>
        <w:rPr>
          <w:rFonts w:hint="eastAsia" w:asciiTheme="minorEastAsia" w:hAnsiTheme="minorEastAsia"/>
        </w:rPr>
        <w:t>熟悉有关政府采购和招标投标的法律法规；</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2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②</w:t>
      </w:r>
      <w:r>
        <w:rPr>
          <w:rFonts w:asciiTheme="minorEastAsia" w:hAnsiTheme="minorEastAsia"/>
        </w:rPr>
        <w:fldChar w:fldCharType="end"/>
      </w:r>
      <w:r>
        <w:rPr>
          <w:rFonts w:hint="eastAsia" w:asciiTheme="minorEastAsia" w:hAnsiTheme="minorEastAsia"/>
        </w:rPr>
        <w:t xml:space="preserve"> 熟悉有关招标投标的法律法规，并具有与采购项目相关的实践经验；</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3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③</w:t>
      </w:r>
      <w:r>
        <w:rPr>
          <w:rFonts w:asciiTheme="minorEastAsia" w:hAnsiTheme="minorEastAsia"/>
        </w:rPr>
        <w:fldChar w:fldCharType="end"/>
      </w:r>
      <w:r>
        <w:rPr>
          <w:rFonts w:hint="eastAsia" w:asciiTheme="minorEastAsia" w:hAnsiTheme="minorEastAsia"/>
        </w:rPr>
        <w:t xml:space="preserve"> 能够认真、公正、诚实、廉洁的履行职责。</w:t>
      </w:r>
    </w:p>
    <w:p>
      <w:pPr>
        <w:adjustRightInd w:val="0"/>
        <w:ind w:firstLine="480" w:firstLineChars="200"/>
        <w:rPr>
          <w:rFonts w:asciiTheme="minorEastAsia" w:hAnsiTheme="minorEastAsia"/>
        </w:rPr>
      </w:pPr>
      <w:r>
        <w:rPr>
          <w:rFonts w:hint="eastAsia" w:asciiTheme="minorEastAsia" w:hAnsiTheme="minorEastAsia"/>
        </w:rPr>
        <w:t>1</w:t>
      </w:r>
      <w:r>
        <w:rPr>
          <w:rFonts w:asciiTheme="minorEastAsia" w:hAnsiTheme="minorEastAsia"/>
        </w:rPr>
        <w:t>.5.2</w:t>
      </w:r>
      <w:r>
        <w:rPr>
          <w:rFonts w:hint="eastAsia" w:asciiTheme="minorEastAsia" w:hAnsiTheme="minorEastAsia"/>
        </w:rPr>
        <w:t>有下列情形之一的，不得担任评审小组成员：</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1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①</w:t>
      </w:r>
      <w:r>
        <w:rPr>
          <w:rFonts w:asciiTheme="minorEastAsia" w:hAnsiTheme="minorEastAsia"/>
        </w:rPr>
        <w:fldChar w:fldCharType="end"/>
      </w:r>
      <w:r>
        <w:rPr>
          <w:rFonts w:hint="eastAsia" w:asciiTheme="minorEastAsia" w:hAnsiTheme="minorEastAsia"/>
        </w:rPr>
        <w:t>与投标方或者投标方主要负责人有近亲关系的；</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2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②</w:t>
      </w:r>
      <w:r>
        <w:rPr>
          <w:rFonts w:asciiTheme="minorEastAsia" w:hAnsiTheme="minorEastAsia"/>
        </w:rPr>
        <w:fldChar w:fldCharType="end"/>
      </w:r>
      <w:r>
        <w:rPr>
          <w:rFonts w:hint="eastAsia" w:asciiTheme="minorEastAsia" w:hAnsiTheme="minorEastAsia"/>
        </w:rPr>
        <w:t>与项目主管部门或者行政监督部门的人员有近亲关系的；</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3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③</w:t>
      </w:r>
      <w:r>
        <w:rPr>
          <w:rFonts w:asciiTheme="minorEastAsia" w:hAnsiTheme="minorEastAsia"/>
        </w:rPr>
        <w:fldChar w:fldCharType="end"/>
      </w:r>
      <w:r>
        <w:rPr>
          <w:rFonts w:hint="eastAsia" w:asciiTheme="minorEastAsia" w:hAnsiTheme="minorEastAsia"/>
        </w:rPr>
        <w:t>与投标供应商有经济利益关系，可能影响对投标公正评审的；</w:t>
      </w:r>
    </w:p>
    <w:p>
      <w:pPr>
        <w:adjustRightInd w:val="0"/>
        <w:ind w:firstLine="480" w:firstLineChars="200"/>
        <w:rPr>
          <w:rFonts w:asciiTheme="minorEastAsia" w:hAnsiTheme="minorEastAsia"/>
        </w:rPr>
      </w:pPr>
      <w:r>
        <w:rPr>
          <w:rFonts w:asciiTheme="minorEastAsia" w:hAnsiTheme="minorEastAsia"/>
        </w:rPr>
        <w:fldChar w:fldCharType="begin"/>
      </w:r>
      <w:r>
        <w:rPr>
          <w:rFonts w:asciiTheme="minorEastAsia" w:hAnsiTheme="minorEastAsia"/>
        </w:rPr>
        <w:instrText xml:space="preserve"> </w:instrText>
      </w:r>
      <w:r>
        <w:rPr>
          <w:rFonts w:hint="eastAsia" w:asciiTheme="minorEastAsia" w:hAnsiTheme="minorEastAsia"/>
        </w:rPr>
        <w:instrText xml:space="preserve">= 4 \* GB3</w:instrText>
      </w:r>
      <w:r>
        <w:rPr>
          <w:rFonts w:asciiTheme="minorEastAsia" w:hAnsiTheme="minorEastAsia"/>
        </w:rPr>
        <w:instrText xml:space="preserve"> </w:instrText>
      </w:r>
      <w:r>
        <w:rPr>
          <w:rFonts w:asciiTheme="minorEastAsia" w:hAnsiTheme="minorEastAsia"/>
        </w:rPr>
        <w:fldChar w:fldCharType="separate"/>
      </w:r>
      <w:r>
        <w:rPr>
          <w:rFonts w:hint="eastAsia" w:asciiTheme="minorEastAsia" w:hAnsiTheme="minorEastAsia"/>
        </w:rPr>
        <w:t>④</w:t>
      </w:r>
      <w:r>
        <w:rPr>
          <w:rFonts w:asciiTheme="minorEastAsia" w:hAnsiTheme="minorEastAsia"/>
        </w:rPr>
        <w:fldChar w:fldCharType="end"/>
      </w:r>
      <w:r>
        <w:rPr>
          <w:rFonts w:hint="eastAsia" w:asciiTheme="minorEastAsia" w:hAnsiTheme="minorEastAsia"/>
        </w:rPr>
        <w:t>曾因在招标、评标以及其他与招标投标有关活动中从事违法行为而受过行政处罚或刑事处罚的。</w:t>
      </w:r>
    </w:p>
    <w:p>
      <w:pPr>
        <w:adjustRightInd w:val="0"/>
        <w:ind w:firstLine="480" w:firstLineChars="200"/>
        <w:rPr>
          <w:rFonts w:asciiTheme="minorEastAsia" w:hAnsiTheme="minorEastAsia"/>
        </w:rPr>
      </w:pPr>
      <w:r>
        <w:rPr>
          <w:rFonts w:hint="eastAsia" w:asciiTheme="minorEastAsia" w:hAnsiTheme="minorEastAsia"/>
        </w:rPr>
        <w:t>评审小组成员有前款规定情形之一的应当主动提出回避</w:t>
      </w:r>
    </w:p>
    <w:p>
      <w:pPr>
        <w:adjustRightInd w:val="0"/>
        <w:ind w:firstLine="482" w:firstLineChars="200"/>
        <w:rPr>
          <w:rFonts w:asciiTheme="minorEastAsia" w:hAnsiTheme="minorEastAsia"/>
          <w:b/>
        </w:rPr>
      </w:pPr>
      <w:r>
        <w:rPr>
          <w:rFonts w:hint="eastAsia" w:asciiTheme="minorEastAsia" w:hAnsiTheme="minorEastAsia"/>
          <w:b/>
        </w:rPr>
        <w:t>2、谈判小组</w:t>
      </w:r>
    </w:p>
    <w:p>
      <w:pPr>
        <w:spacing w:line="500" w:lineRule="exact"/>
        <w:ind w:firstLine="480" w:firstLineChars="200"/>
        <w:rPr>
          <w:rFonts w:asciiTheme="minorEastAsia" w:hAnsiTheme="minorEastAsia"/>
        </w:rPr>
      </w:pPr>
      <w:r>
        <w:rPr>
          <w:rFonts w:hint="eastAsia" w:asciiTheme="minorEastAsia" w:hAnsiTheme="minorEastAsia"/>
        </w:rPr>
        <w:t>招标采购单位根据本项目的特点，于开标前，从评审专家库中随机抽取组建评标委员会，其组员由有关技术、经济等方面的专家等三人以上单数组成其中采购人代表一人，随机抽取专家两人。评标委员会在监督人员的监督下独立完成评标工作，负责对响应文件进行审查、质询、评审、推选中标候选人。</w:t>
      </w:r>
    </w:p>
    <w:p>
      <w:pPr>
        <w:spacing w:line="500" w:lineRule="exact"/>
        <w:ind w:firstLine="480" w:firstLineChars="200"/>
        <w:rPr>
          <w:rFonts w:asciiTheme="minorEastAsia" w:hAnsiTheme="minorEastAsia"/>
        </w:rPr>
      </w:pPr>
      <w:r>
        <w:rPr>
          <w:rFonts w:hint="eastAsia" w:asciiTheme="minorEastAsia" w:hAnsiTheme="minorEastAsia"/>
        </w:rPr>
        <w:t>按前款规定，评审小组的成员，由采购方从政府采购专家库中采取随机抽取的方式确定。对于技术复杂、专业性要求较高或者国家有特殊要求的采购项目，采取随机抽取的方式抽取的专家不能满足评标工作需要时，将采取直接确定的方式选定评审小组的人选。</w:t>
      </w:r>
    </w:p>
    <w:p>
      <w:pPr>
        <w:spacing w:line="500" w:lineRule="exact"/>
        <w:ind w:firstLine="480" w:firstLineChars="200"/>
        <w:rPr>
          <w:rFonts w:asciiTheme="minorEastAsia" w:hAnsiTheme="minorEastAsia"/>
        </w:rPr>
      </w:pPr>
      <w:r>
        <w:rPr>
          <w:rFonts w:hint="eastAsia" w:asciiTheme="minorEastAsia" w:hAnsiTheme="minorEastAsia"/>
        </w:rPr>
        <w:t>评标中因评审成员缺席、回避或者健康等特殊原因导致评标委员会组成不符合《政府采购货物和服务招标投标管理办法》规定的，采购人或者采购代理机构应当依法补足后继续评标。被更换的评标委员会成员所做出的评标意见无效。</w:t>
      </w:r>
    </w:p>
    <w:p>
      <w:pPr>
        <w:spacing w:line="500" w:lineRule="exact"/>
        <w:ind w:firstLine="480" w:firstLineChars="200"/>
        <w:rPr>
          <w:rFonts w:asciiTheme="minorEastAsia" w:hAnsiTheme="minorEastAsia"/>
        </w:rPr>
      </w:pPr>
      <w:r>
        <w:rPr>
          <w:rFonts w:hint="eastAsia" w:asciiTheme="minorEastAsia" w:hAnsiTheme="minorEastAsia"/>
        </w:rPr>
        <w:t>无法及时补足评标委员会成员的，采购人或者采购代理机构应当停止评标活动，封存所有响应文件和开标、评标资料，依法重新组建评标委员会进行评标。原评标委员会所做出的评标意见无效。</w:t>
      </w:r>
    </w:p>
    <w:p>
      <w:pPr>
        <w:spacing w:line="500" w:lineRule="exact"/>
        <w:ind w:firstLine="480" w:firstLineChars="200"/>
        <w:rPr>
          <w:rFonts w:asciiTheme="minorEastAsia" w:hAnsiTheme="minorEastAsia"/>
        </w:rPr>
      </w:pPr>
      <w:r>
        <w:rPr>
          <w:rFonts w:hint="eastAsia" w:asciiTheme="minorEastAsia" w:hAnsiTheme="minorEastAsia"/>
        </w:rPr>
        <w:t>采购人或者采购代理机构应当将变更、重新组建评标委员会的情况予以记录，并随采购文件一并存档。</w:t>
      </w:r>
    </w:p>
    <w:p>
      <w:pPr>
        <w:spacing w:line="500" w:lineRule="exact"/>
        <w:ind w:firstLine="482" w:firstLineChars="200"/>
        <w:rPr>
          <w:rFonts w:asciiTheme="minorEastAsia" w:hAnsiTheme="minorEastAsia"/>
          <w:b/>
          <w:bCs/>
        </w:rPr>
      </w:pPr>
      <w:r>
        <w:rPr>
          <w:rFonts w:hint="eastAsia" w:asciiTheme="minorEastAsia" w:hAnsiTheme="minorEastAsia"/>
          <w:b/>
          <w:bCs/>
        </w:rPr>
        <w:t>3、谈判程序</w:t>
      </w:r>
    </w:p>
    <w:p>
      <w:pPr>
        <w:widowControl/>
        <w:spacing w:line="500" w:lineRule="exact"/>
        <w:ind w:firstLine="480" w:firstLineChars="200"/>
        <w:rPr>
          <w:rFonts w:asciiTheme="minorEastAsia" w:hAnsiTheme="minorEastAsia"/>
        </w:rPr>
      </w:pPr>
      <w:r>
        <w:rPr>
          <w:rFonts w:asciiTheme="minorEastAsia" w:hAnsiTheme="minorEastAsia"/>
        </w:rPr>
        <w:t>3.1</w:t>
      </w:r>
      <w:r>
        <w:rPr>
          <w:rFonts w:hint="eastAsia" w:asciiTheme="minorEastAsia" w:hAnsiTheme="minorEastAsia"/>
        </w:rPr>
        <w:t>代理机构按谈判文件规定的时间、地点组织开标、竞标。采购单位代表及有关工作人员参加，政府采购监管部门视情况参与。</w:t>
      </w:r>
    </w:p>
    <w:p>
      <w:pPr>
        <w:widowControl/>
        <w:spacing w:line="500" w:lineRule="exact"/>
        <w:ind w:firstLine="480" w:firstLineChars="200"/>
        <w:rPr>
          <w:rFonts w:asciiTheme="minorEastAsia" w:hAnsiTheme="minorEastAsia"/>
          <w:b/>
        </w:rPr>
      </w:pPr>
      <w:r>
        <w:rPr>
          <w:rFonts w:asciiTheme="minorEastAsia" w:hAnsiTheme="minorEastAsia"/>
        </w:rPr>
        <w:t>3.2</w:t>
      </w:r>
      <w:r>
        <w:rPr>
          <w:rFonts w:hint="eastAsia" w:asciiTheme="minorEastAsia" w:hAnsiTheme="minorEastAsia"/>
        </w:rPr>
        <w:t>开标由采购人或招标代理机构主持，邀请监督部门人员现场全过程监督，并做好录音、录像工作；录音录像应当清晰可辨，音像资料作为采购文件一并存档。</w:t>
      </w:r>
    </w:p>
    <w:p>
      <w:pPr>
        <w:spacing w:line="500" w:lineRule="exact"/>
        <w:ind w:firstLine="480" w:firstLineChars="200"/>
        <w:rPr>
          <w:rFonts w:asciiTheme="minorEastAsia" w:hAnsiTheme="minorEastAsia"/>
        </w:rPr>
      </w:pPr>
      <w:r>
        <w:rPr>
          <w:rFonts w:asciiTheme="minorEastAsia" w:hAnsiTheme="minorEastAsia"/>
        </w:rPr>
        <w:t>3.</w:t>
      </w:r>
      <w:r>
        <w:rPr>
          <w:rFonts w:hint="eastAsia" w:asciiTheme="minorEastAsia" w:hAnsiTheme="minorEastAsia"/>
        </w:rPr>
        <w:t>5经采购人委托，开标会议由代理机构主持。开标时，由资格审查小组检查供应商的资格条件。对检查未通过的，采购人将拒绝并原封退回其响应文件。</w:t>
      </w:r>
    </w:p>
    <w:p>
      <w:pPr>
        <w:spacing w:line="500" w:lineRule="exact"/>
        <w:ind w:firstLine="480" w:firstLineChars="200"/>
        <w:rPr>
          <w:rFonts w:asciiTheme="minorEastAsia" w:hAnsiTheme="minorEastAsia"/>
        </w:rPr>
      </w:pPr>
      <w:r>
        <w:rPr>
          <w:rFonts w:hint="eastAsia" w:asciiTheme="minorEastAsia" w:hAnsiTheme="minorEastAsia"/>
        </w:rPr>
        <w:t>供应商不足 3 家的，不得开标。供应商未参加开标的，视同认可开标结果。</w:t>
      </w:r>
    </w:p>
    <w:p>
      <w:pPr>
        <w:spacing w:line="500" w:lineRule="exact"/>
        <w:ind w:left="420" w:firstLine="60" w:firstLineChars="25"/>
        <w:rPr>
          <w:rFonts w:asciiTheme="minorEastAsia" w:hAnsiTheme="minorEastAsia"/>
        </w:rPr>
      </w:pPr>
      <w:r>
        <w:rPr>
          <w:rFonts w:asciiTheme="minorEastAsia" w:hAnsiTheme="minorEastAsia"/>
        </w:rPr>
        <w:t>3.</w:t>
      </w:r>
      <w:r>
        <w:rPr>
          <w:rFonts w:hint="eastAsia" w:asciiTheme="minorEastAsia" w:hAnsiTheme="minorEastAsia"/>
        </w:rPr>
        <w:t>7谈判会议由谈判小组组长主持。</w:t>
      </w:r>
      <w:r>
        <w:rPr>
          <w:rFonts w:hint="eastAsia" w:cs="Arial" w:asciiTheme="minorEastAsia" w:hAnsiTheme="minorEastAsia"/>
        </w:rPr>
        <w:t>符合性检查</w:t>
      </w:r>
      <w:r>
        <w:rPr>
          <w:rFonts w:hint="eastAsia" w:asciiTheme="minorEastAsia" w:hAnsiTheme="minorEastAsia"/>
        </w:rPr>
        <w:t>首先对各响应文件进行初步审查未通过审查的为无效标。</w:t>
      </w:r>
    </w:p>
    <w:p>
      <w:pPr>
        <w:spacing w:line="500" w:lineRule="exact"/>
        <w:ind w:firstLine="482" w:firstLineChars="200"/>
        <w:rPr>
          <w:rFonts w:asciiTheme="minorEastAsia" w:hAnsiTheme="minorEastAsia"/>
          <w:b/>
          <w:bCs/>
        </w:rPr>
      </w:pPr>
      <w:r>
        <w:rPr>
          <w:rFonts w:hint="eastAsia" w:asciiTheme="minorEastAsia" w:hAnsiTheme="minorEastAsia"/>
          <w:b/>
          <w:bCs/>
        </w:rPr>
        <w:t>4、评审程序</w:t>
      </w:r>
    </w:p>
    <w:p>
      <w:pPr>
        <w:spacing w:line="500" w:lineRule="exact"/>
        <w:ind w:firstLine="482" w:firstLineChars="200"/>
        <w:rPr>
          <w:rFonts w:asciiTheme="minorEastAsia" w:hAnsiTheme="minorEastAsia"/>
          <w:b/>
          <w:bCs/>
        </w:rPr>
      </w:pPr>
      <w:r>
        <w:rPr>
          <w:rFonts w:hint="eastAsia" w:asciiTheme="minorEastAsia" w:hAnsiTheme="minorEastAsia"/>
          <w:b/>
          <w:bCs/>
        </w:rPr>
        <w:t>评审程序：</w:t>
      </w:r>
    </w:p>
    <w:p>
      <w:pPr>
        <w:spacing w:line="500" w:lineRule="exact"/>
        <w:ind w:firstLine="482" w:firstLineChars="200"/>
        <w:rPr>
          <w:rFonts w:asciiTheme="minorEastAsia" w:hAnsiTheme="minorEastAsia"/>
          <w:b/>
          <w:bCs/>
        </w:rPr>
      </w:pPr>
      <w:r>
        <w:rPr>
          <w:rFonts w:hint="eastAsia" w:asciiTheme="minorEastAsia" w:hAnsiTheme="minorEastAsia"/>
          <w:b/>
          <w:bCs/>
        </w:rPr>
        <w:t>成立评审小组→初步评审→谈判、二次报价→推荐成交候选人→采购人书面确认书→完成评审报告。</w:t>
      </w:r>
    </w:p>
    <w:p>
      <w:pPr>
        <w:pStyle w:val="8"/>
        <w:ind w:firstLine="602"/>
      </w:pPr>
      <w:bookmarkStart w:id="38" w:name="_Toc137929609"/>
      <w:bookmarkStart w:id="39" w:name="_Toc14494"/>
      <w:r>
        <w:rPr>
          <w:rFonts w:hint="eastAsia"/>
        </w:rPr>
        <w:t>初步评审表</w:t>
      </w:r>
      <w:bookmarkEnd w:id="38"/>
      <w:bookmarkEnd w:id="39"/>
    </w:p>
    <w:p>
      <w:pPr>
        <w:ind w:firstLine="482"/>
        <w:jc w:val="center"/>
        <w:rPr>
          <w:b/>
          <w:bCs/>
        </w:rPr>
      </w:pPr>
      <w:r>
        <w:rPr>
          <w:rFonts w:hint="eastAsia"/>
          <w:b/>
          <w:bCs/>
        </w:rPr>
        <w:t>资格审查表</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9"/>
        <w:gridCol w:w="2010"/>
        <w:gridCol w:w="6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23" w:type="pct"/>
          </w:tcPr>
          <w:p/>
        </w:tc>
        <w:tc>
          <w:tcPr>
            <w:tcW w:w="4777" w:type="pct"/>
            <w:gridSpan w:val="2"/>
            <w:vAlign w:val="center"/>
          </w:tcPr>
          <w:p>
            <w:r>
              <w:rPr>
                <w:rFonts w:hint="eastAsia"/>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223" w:type="pct"/>
            <w:vAlign w:val="center"/>
          </w:tcPr>
          <w:p>
            <w:r>
              <w:rPr>
                <w:rFonts w:hint="eastAsia"/>
              </w:rPr>
              <w:t>1</w:t>
            </w:r>
          </w:p>
        </w:tc>
        <w:tc>
          <w:tcPr>
            <w:tcW w:w="1183" w:type="pct"/>
            <w:vAlign w:val="center"/>
          </w:tcPr>
          <w:p>
            <w:r>
              <w:rPr>
                <w:rFonts w:hint="eastAsia"/>
              </w:rPr>
              <w:t>（1）具有独立承担民事责任的能力</w:t>
            </w:r>
          </w:p>
        </w:tc>
        <w:tc>
          <w:tcPr>
            <w:tcW w:w="3594" w:type="pct"/>
            <w:vAlign w:val="center"/>
          </w:tcPr>
          <w:p>
            <w:r>
              <w:rPr>
                <w:rFonts w:hint="eastAsia"/>
              </w:rPr>
              <w:t>如供应商是企业（包括合伙企业），应提供在工商部门注册的有效“企业法人营业执照”或“营业执照”；如供应商是事业单位，应提供有效的“事业单位法人证书”；供应商是非企业专业服务机构的，应提供执业许可证等证明文件；如供应商是个体工商户，应提供有效的“个体工商户营业执照”；</w:t>
            </w:r>
            <w: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23" w:type="pct"/>
            <w:vAlign w:val="center"/>
          </w:tcPr>
          <w:p>
            <w:r>
              <w:rPr>
                <w:rFonts w:hint="eastAsia"/>
              </w:rPr>
              <w:t>2</w:t>
            </w:r>
          </w:p>
        </w:tc>
        <w:tc>
          <w:tcPr>
            <w:tcW w:w="1183" w:type="pct"/>
            <w:vAlign w:val="center"/>
          </w:tcPr>
          <w:p>
            <w:r>
              <w:rPr>
                <w:rFonts w:hint="eastAsia"/>
              </w:rPr>
              <w:t>（2）具有良好的商业信誉和健全的财务会计制度</w:t>
            </w:r>
          </w:p>
        </w:tc>
        <w:tc>
          <w:tcPr>
            <w:tcW w:w="3594" w:type="pct"/>
            <w:vAlign w:val="center"/>
          </w:tcPr>
          <w:p>
            <w:r>
              <w:rPr>
                <w:rFonts w:hint="eastAsia"/>
              </w:rPr>
              <w:t>供应商应提供上一年度经审计的财务报告，或其基本开户银行出具的资信证明。无法提供财务审计报告，则提供银行出具的资信证明。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223" w:type="pct"/>
            <w:vAlign w:val="center"/>
          </w:tcPr>
          <w:p>
            <w:r>
              <w:t>3</w:t>
            </w:r>
          </w:p>
        </w:tc>
        <w:tc>
          <w:tcPr>
            <w:tcW w:w="1183" w:type="pct"/>
            <w:vAlign w:val="center"/>
          </w:tcPr>
          <w:p>
            <w:r>
              <w:rPr>
                <w:rFonts w:hint="eastAsia"/>
              </w:rPr>
              <w:t>（3）具有履行合同所必须的设备和专业技术能力</w:t>
            </w:r>
          </w:p>
        </w:tc>
        <w:tc>
          <w:tcPr>
            <w:tcW w:w="3594" w:type="pct"/>
            <w:vAlign w:val="center"/>
          </w:tcPr>
          <w:p>
            <w:r>
              <w:rPr>
                <w:rFonts w:hint="eastAsia"/>
              </w:rPr>
              <w:t>供应商履行合同所必须的设备和专业技术能力的证明材料或声明（格式自拟）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23" w:type="pct"/>
            <w:vAlign w:val="center"/>
          </w:tcPr>
          <w:p>
            <w:r>
              <w:t>4</w:t>
            </w:r>
          </w:p>
        </w:tc>
        <w:tc>
          <w:tcPr>
            <w:tcW w:w="1183" w:type="pct"/>
            <w:vAlign w:val="center"/>
          </w:tcPr>
          <w:p>
            <w:r>
              <w:rPr>
                <w:rFonts w:hint="eastAsia"/>
              </w:rPr>
              <w:t>（4）有依法缴纳税收和社会保障金的良好记录</w:t>
            </w:r>
          </w:p>
        </w:tc>
        <w:tc>
          <w:tcPr>
            <w:tcW w:w="3594" w:type="pct"/>
            <w:vAlign w:val="center"/>
          </w:tcPr>
          <w:p>
            <w:r>
              <w:rPr>
                <w:rFonts w:hint="eastAsia"/>
              </w:rPr>
              <w:t>1</w:t>
            </w:r>
            <w:r>
              <w:t>.</w:t>
            </w:r>
            <w:r>
              <w:rPr>
                <w:rFonts w:hint="eastAsia"/>
              </w:rPr>
              <w:t>供应商依法缴纳税收的证明材料：本项目响应截止时间前</w:t>
            </w:r>
            <w:r>
              <w:t>3</w:t>
            </w:r>
            <w:r>
              <w:rPr>
                <w:rFonts w:hint="eastAsia"/>
              </w:rPr>
              <w:t>个月内（任意一个月）缴纳税收的凭据（完税证、缴款书、印花税票、银行代扣（代缴）转账凭证等均可），当月新成立公司不需提供；无需纳税或免税的也需提供相应证明材料；</w:t>
            </w:r>
          </w:p>
          <w:p>
            <w:r>
              <w:rPr>
                <w:rFonts w:hint="eastAsia"/>
              </w:rPr>
              <w:t>2</w:t>
            </w:r>
            <w:r>
              <w:t>.</w:t>
            </w:r>
            <w:r>
              <w:rPr>
                <w:rFonts w:hint="eastAsia"/>
              </w:rPr>
              <w:t>供应商依法缴纳社会保障资金的证明材料：本项目响应截止时间时间前</w:t>
            </w:r>
            <w:r>
              <w:t>3</w:t>
            </w:r>
            <w:r>
              <w:rPr>
                <w:rFonts w:hint="eastAsia"/>
              </w:rPr>
              <w:t>个月内（任意一个月）缴纳社会保险的凭据（专用收据或社会保险交纳清单）；供应商为其他组织的，也需要按此项规定提供缴纳税收的凭据和交纳社会保险的凭据。当月新成立公司不需提供。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223" w:type="pct"/>
            <w:vAlign w:val="center"/>
          </w:tcPr>
          <w:p>
            <w:r>
              <w:t>5</w:t>
            </w:r>
          </w:p>
        </w:tc>
        <w:tc>
          <w:tcPr>
            <w:tcW w:w="1183" w:type="pct"/>
            <w:vAlign w:val="center"/>
          </w:tcPr>
          <w:p>
            <w:r>
              <w:rPr>
                <w:rFonts w:hint="eastAsia"/>
              </w:rPr>
              <w:t>（5）参加政府采购活动近3年内，在经营活动中没有重大违法记录</w:t>
            </w:r>
          </w:p>
        </w:tc>
        <w:tc>
          <w:tcPr>
            <w:tcW w:w="3594" w:type="pct"/>
            <w:vAlign w:val="center"/>
          </w:tcPr>
          <w:p>
            <w:r>
              <w:rPr>
                <w:rFonts w:hint="eastAsia"/>
              </w:rPr>
              <w:t>参加政府采购活动前3年内在经营活动中没有重大违法记录的书面声明（格式自拟），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223" w:type="pct"/>
            <w:vAlign w:val="center"/>
          </w:tcPr>
          <w:p>
            <w:r>
              <w:rPr>
                <w:rFonts w:hint="eastAsia"/>
              </w:rPr>
              <w:t>6</w:t>
            </w:r>
          </w:p>
        </w:tc>
        <w:tc>
          <w:tcPr>
            <w:tcW w:w="1183" w:type="pct"/>
            <w:vAlign w:val="center"/>
          </w:tcPr>
          <w:p>
            <w:r>
              <w:rPr>
                <w:rFonts w:hint="eastAsia"/>
              </w:rPr>
              <w:t>中小</w:t>
            </w:r>
            <w:r>
              <w:t>企业</w:t>
            </w:r>
          </w:p>
        </w:tc>
        <w:tc>
          <w:tcPr>
            <w:tcW w:w="3594" w:type="pct"/>
            <w:vAlign w:val="center"/>
          </w:tcPr>
          <w:p>
            <w:r>
              <w:rPr>
                <w:rFonts w:hint="eastAsia"/>
                <w:szCs w:val="24"/>
              </w:rPr>
              <w:t>供应商应提供中小企业声明函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223" w:type="pct"/>
            <w:vAlign w:val="center"/>
          </w:tcPr>
          <w:p>
            <w:pPr>
              <w:pStyle w:val="17"/>
              <w:jc w:val="center"/>
            </w:pPr>
            <w:r>
              <w:rPr>
                <w:rFonts w:hint="eastAsia"/>
                <w:szCs w:val="24"/>
              </w:rPr>
              <w:t>7</w:t>
            </w:r>
          </w:p>
        </w:tc>
        <w:tc>
          <w:tcPr>
            <w:tcW w:w="4777" w:type="pct"/>
            <w:gridSpan w:val="2"/>
            <w:vAlign w:val="center"/>
          </w:tcPr>
          <w:p>
            <w:pPr>
              <w:pStyle w:val="17"/>
              <w:jc w:val="left"/>
              <w:rPr>
                <w:szCs w:val="24"/>
              </w:rPr>
            </w:pPr>
            <w:r>
              <w:rPr>
                <w:rFonts w:hint="eastAsia"/>
                <w:szCs w:val="24"/>
                <w:lang w:val="zh-CN"/>
              </w:rPr>
              <w:t>本次项目不接受联合体投标。</w:t>
            </w:r>
          </w:p>
        </w:tc>
      </w:tr>
    </w:tbl>
    <w:p>
      <w:pPr>
        <w:ind w:firstLine="482"/>
        <w:rPr>
          <w:b/>
          <w:bCs/>
        </w:rPr>
      </w:pPr>
    </w:p>
    <w:p>
      <w:pPr>
        <w:rPr>
          <w:b/>
          <w:bCs/>
        </w:rPr>
      </w:pPr>
      <w:r>
        <w:rPr>
          <w:rFonts w:hint="eastAsia"/>
          <w:b/>
          <w:bCs/>
        </w:rPr>
        <w:br w:type="page"/>
      </w:r>
    </w:p>
    <w:p>
      <w:pPr>
        <w:ind w:firstLine="482"/>
        <w:jc w:val="center"/>
        <w:rPr>
          <w:b/>
          <w:bCs/>
        </w:rPr>
      </w:pPr>
      <w:r>
        <w:rPr>
          <w:rFonts w:hint="eastAsia"/>
          <w:b/>
          <w:bCs/>
        </w:rPr>
        <w:t>符合性审查表</w:t>
      </w:r>
    </w:p>
    <w:tbl>
      <w:tblPr>
        <w:tblStyle w:val="2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75" w:type="dxa"/>
          <w:left w:w="75" w:type="dxa"/>
          <w:bottom w:w="75" w:type="dxa"/>
          <w:right w:w="75" w:type="dxa"/>
        </w:tblCellMar>
      </w:tblPr>
      <w:tblGrid>
        <w:gridCol w:w="397"/>
        <w:gridCol w:w="609"/>
        <w:gridCol w:w="1831"/>
        <w:gridCol w:w="5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80" w:hRule="atLeast"/>
          <w:jc w:val="center"/>
        </w:trPr>
        <w:tc>
          <w:tcPr>
            <w:tcW w:w="236" w:type="pct"/>
            <w:tcBorders>
              <w:top w:val="single" w:color="auto" w:sz="4" w:space="0"/>
              <w:left w:val="single" w:color="auto" w:sz="4" w:space="0"/>
              <w:right w:val="single" w:color="auto" w:sz="4" w:space="0"/>
            </w:tcBorders>
            <w:vAlign w:val="center"/>
          </w:tcPr>
          <w:p>
            <w:pPr>
              <w:pStyle w:val="17"/>
            </w:pPr>
          </w:p>
        </w:tc>
        <w:tc>
          <w:tcPr>
            <w:tcW w:w="361" w:type="pct"/>
            <w:tcBorders>
              <w:top w:val="single" w:color="auto" w:sz="4" w:space="0"/>
              <w:left w:val="single" w:color="auto" w:sz="4" w:space="0"/>
              <w:right w:val="single" w:color="auto" w:sz="4" w:space="0"/>
            </w:tcBorders>
          </w:tcPr>
          <w:p>
            <w:pPr>
              <w:pStyle w:val="17"/>
              <w:rPr>
                <w:rFonts w:cs="宋体;SimSun"/>
              </w:rPr>
            </w:pPr>
          </w:p>
        </w:tc>
        <w:tc>
          <w:tcPr>
            <w:tcW w:w="4403" w:type="pct"/>
            <w:gridSpan w:val="2"/>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cs="宋体;SimSun"/>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80" w:hRule="atLeast"/>
          <w:jc w:val="center"/>
        </w:trPr>
        <w:tc>
          <w:tcPr>
            <w:tcW w:w="236" w:type="pct"/>
            <w:vMerge w:val="restart"/>
            <w:tcBorders>
              <w:top w:val="single" w:color="auto" w:sz="4" w:space="0"/>
              <w:left w:val="single" w:color="auto" w:sz="4" w:space="0"/>
              <w:right w:val="single" w:color="auto" w:sz="4" w:space="0"/>
            </w:tcBorders>
            <w:vAlign w:val="center"/>
          </w:tcPr>
          <w:p>
            <w:pPr>
              <w:pStyle w:val="17"/>
            </w:pPr>
            <w:r>
              <w:rPr>
                <w:rFonts w:hint="eastAsia"/>
              </w:rPr>
              <w:t>商务</w:t>
            </w:r>
          </w:p>
          <w:p>
            <w:pPr>
              <w:pStyle w:val="17"/>
            </w:pPr>
            <w:r>
              <w:rPr>
                <w:rFonts w:hint="eastAsia"/>
              </w:rPr>
              <w:t>评审</w:t>
            </w:r>
          </w:p>
        </w:tc>
        <w:tc>
          <w:tcPr>
            <w:tcW w:w="361" w:type="pct"/>
            <w:tcBorders>
              <w:top w:val="single" w:color="auto" w:sz="4" w:space="0"/>
              <w:left w:val="single" w:color="auto" w:sz="4" w:space="0"/>
              <w:right w:val="single" w:color="auto" w:sz="4" w:space="0"/>
            </w:tcBorders>
          </w:tcPr>
          <w:p>
            <w:pPr>
              <w:pStyle w:val="17"/>
              <w:rPr>
                <w:rFonts w:cs="宋体;SimSun"/>
              </w:rPr>
            </w:pPr>
            <w:r>
              <w:rPr>
                <w:rFonts w:hint="eastAsia" w:cs="宋体;SimSun"/>
              </w:rPr>
              <w:t>1</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cs="宋体;SimSun"/>
              </w:rPr>
              <w:t>供应商名称</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cs="宋体;SimSu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80"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rPr>
                <w:rFonts w:cs="宋体;SimSun"/>
              </w:rPr>
            </w:pPr>
            <w:r>
              <w:rPr>
                <w:rFonts w:hint="eastAsia" w:cs="宋体;SimSun"/>
              </w:rPr>
              <w:t>2</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响应文件签署</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响应文件的签章符合谈判文件要求；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3"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rPr>
                <w:rFonts w:cs="宋体;SimSun"/>
              </w:rPr>
            </w:pPr>
            <w:r>
              <w:rPr>
                <w:rFonts w:hint="eastAsia" w:cs="宋体;SimSun"/>
              </w:rPr>
              <w:t>3</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递交的响应文件</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供应商递交的响应文件按照谈判文件要求提供，且满足正常开标、评标使用功能的；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11"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rPr>
                <w:rFonts w:cs="宋体;SimSun"/>
              </w:rPr>
            </w:pPr>
            <w:r>
              <w:rPr>
                <w:rFonts w:cs="宋体;SimSun"/>
              </w:rPr>
              <w:t>4</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投标有效期</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满足谈判文件规定；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1"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pPr>
            <w:r>
              <w:t>5</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rPr>
              <w:t>谈判文件格式</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rPr>
              <w:t>响应文件按谈判文件规定格式填写完整；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3"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rPr>
                <w:rFonts w:cs="宋体;SimSun"/>
              </w:rPr>
            </w:pPr>
            <w:r>
              <w:rPr>
                <w:rFonts w:cs="宋体;SimSun"/>
              </w:rPr>
              <w:t>6</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其他</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响应文件未附有采购人不能接受的附加条件及法律、法规和谈判文件规定的其他无效情形；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3" w:hRule="atLeast"/>
          <w:jc w:val="center"/>
        </w:trPr>
        <w:tc>
          <w:tcPr>
            <w:tcW w:w="236" w:type="pct"/>
            <w:tcBorders>
              <w:left w:val="single" w:color="auto" w:sz="4" w:space="0"/>
              <w:right w:val="single" w:color="auto" w:sz="4" w:space="0"/>
            </w:tcBorders>
            <w:vAlign w:val="center"/>
          </w:tcPr>
          <w:p>
            <w:pPr>
              <w:pStyle w:val="17"/>
            </w:pPr>
            <w:r>
              <w:rPr>
                <w:rFonts w:hint="eastAsia"/>
              </w:rPr>
              <w:t>报价</w:t>
            </w:r>
          </w:p>
        </w:tc>
        <w:tc>
          <w:tcPr>
            <w:tcW w:w="361" w:type="pct"/>
            <w:tcBorders>
              <w:left w:val="single" w:color="auto" w:sz="4" w:space="0"/>
              <w:right w:val="single" w:color="auto" w:sz="4" w:space="0"/>
            </w:tcBorders>
          </w:tcPr>
          <w:p>
            <w:pPr>
              <w:pStyle w:val="17"/>
              <w:rPr>
                <w:rFonts w:cs="宋体;SimSun"/>
              </w:rPr>
            </w:pPr>
            <w:r>
              <w:rPr>
                <w:rFonts w:hint="eastAsia" w:cs="宋体;SimSun"/>
              </w:rPr>
              <w:t>7</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cs="宋体;SimSun"/>
              </w:rPr>
              <w:t>谈判报价</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rPr>
              <w:t>供应商报价唯一且不超过预算；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3" w:hRule="atLeast"/>
          <w:jc w:val="center"/>
        </w:trPr>
        <w:tc>
          <w:tcPr>
            <w:tcW w:w="236" w:type="pct"/>
            <w:vMerge w:val="restart"/>
            <w:tcBorders>
              <w:left w:val="single" w:color="auto" w:sz="4" w:space="0"/>
              <w:right w:val="single" w:color="auto" w:sz="4" w:space="0"/>
            </w:tcBorders>
            <w:vAlign w:val="center"/>
          </w:tcPr>
          <w:p>
            <w:pPr>
              <w:pStyle w:val="17"/>
            </w:pPr>
            <w:r>
              <w:rPr>
                <w:rFonts w:hint="eastAsia"/>
              </w:rPr>
              <w:t>技术</w:t>
            </w:r>
          </w:p>
          <w:p>
            <w:pPr>
              <w:pStyle w:val="17"/>
            </w:pPr>
            <w:r>
              <w:rPr>
                <w:rFonts w:hint="eastAsia"/>
              </w:rPr>
              <w:t>评审</w:t>
            </w:r>
          </w:p>
        </w:tc>
        <w:tc>
          <w:tcPr>
            <w:tcW w:w="361" w:type="pct"/>
            <w:tcBorders>
              <w:left w:val="single" w:color="auto" w:sz="4" w:space="0"/>
              <w:right w:val="single" w:color="auto" w:sz="4" w:space="0"/>
            </w:tcBorders>
          </w:tcPr>
          <w:p>
            <w:pPr>
              <w:pStyle w:val="17"/>
              <w:rPr>
                <w:rFonts w:cs="宋体;SimSun"/>
              </w:rPr>
            </w:pPr>
            <w:r>
              <w:rPr>
                <w:rFonts w:hint="eastAsia" w:cs="宋体;SimSun"/>
              </w:rPr>
              <w:t>8</w:t>
            </w:r>
          </w:p>
        </w:tc>
        <w:tc>
          <w:tcPr>
            <w:tcW w:w="1086" w:type="pct"/>
            <w:tcBorders>
              <w:top w:val="single" w:color="auto" w:sz="4" w:space="0"/>
              <w:left w:val="single" w:color="auto" w:sz="4" w:space="0"/>
              <w:bottom w:val="single" w:color="auto" w:sz="4" w:space="0"/>
              <w:right w:val="single" w:color="auto" w:sz="4" w:space="0"/>
            </w:tcBorders>
            <w:vAlign w:val="center"/>
          </w:tcPr>
          <w:p>
            <w:r>
              <w:rPr>
                <w:rFonts w:hint="eastAsia" w:cs="宋体;SimSun"/>
              </w:rPr>
              <w:t>实施计划方案</w:t>
            </w:r>
          </w:p>
        </w:tc>
        <w:tc>
          <w:tcPr>
            <w:tcW w:w="3317" w:type="pct"/>
            <w:tcBorders>
              <w:top w:val="single" w:color="auto" w:sz="4" w:space="0"/>
              <w:left w:val="single" w:color="auto" w:sz="4" w:space="0"/>
              <w:bottom w:val="single" w:color="auto" w:sz="4" w:space="0"/>
              <w:right w:val="single" w:color="auto" w:sz="4" w:space="0"/>
            </w:tcBorders>
            <w:vAlign w:val="center"/>
          </w:tcPr>
          <w:p>
            <w:r>
              <w:rPr>
                <w:rFonts w:hint="eastAsia"/>
              </w:rPr>
              <w:t>响应文件所附项目实施计划方案符合采购人的需求，且项目实施计划内容具体可行；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3"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rPr>
                <w:rFonts w:cs="宋体;SimSun"/>
              </w:rPr>
            </w:pPr>
            <w:r>
              <w:rPr>
                <w:rFonts w:hint="eastAsia" w:cs="宋体;SimSun"/>
              </w:rPr>
              <w:t>9</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cs="仿宋_GB2312" w:hAnsiTheme="minorEastAsia"/>
                <w:lang w:val="zh-TW" w:eastAsia="zh-TW"/>
              </w:rPr>
              <w:t>售后服务方案</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rPr>
              <w:t>提供</w:t>
            </w:r>
            <w:r>
              <w:t>完善的售后服务</w:t>
            </w:r>
            <w:r>
              <w:rPr>
                <w:rFonts w:hint="eastAsia"/>
              </w:rPr>
              <w:t>方案</w:t>
            </w:r>
            <w:r>
              <w:t>。</w:t>
            </w:r>
            <w:r>
              <w:rPr>
                <w:rFonts w:hint="eastAsia"/>
              </w:rPr>
              <w:t>其中包括</w:t>
            </w:r>
            <w:r>
              <w:t>：</w:t>
            </w:r>
          </w:p>
          <w:p>
            <w:pPr>
              <w:pStyle w:val="17"/>
            </w:pPr>
            <w:r>
              <w:t>1.</w:t>
            </w:r>
            <w:r>
              <w:rPr>
                <w:rFonts w:hint="eastAsia"/>
              </w:rPr>
              <w:t>质保期满后，若有零部件出现故障，经权威部门鉴定属于寿命异常问题（明显短于该零部件正常寿命时），则由供方负责免费更换及维修。</w:t>
            </w:r>
          </w:p>
          <w:p>
            <w:pPr>
              <w:pStyle w:val="17"/>
            </w:pPr>
            <w:r>
              <w:t>2.</w:t>
            </w:r>
            <w:r>
              <w:rPr>
                <w:rFonts w:hint="eastAsia"/>
              </w:rPr>
              <w:t>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pPr>
              <w:pStyle w:val="17"/>
            </w:pPr>
            <w:r>
              <w:t>3.</w:t>
            </w:r>
            <w:r>
              <w:rPr>
                <w:rFonts w:hint="eastAsia"/>
              </w:rPr>
              <w:t>乙方交货后，若设备发生故障，乙方应在甲方报修后24小时内到达。（中标人在合同履行期间提供接到通知24小时内响应服务）</w:t>
            </w:r>
          </w:p>
          <w:p>
            <w:pPr>
              <w:pStyle w:val="17"/>
            </w:pPr>
            <w:r>
              <w:rPr>
                <w:rFonts w:hint="eastAsia"/>
              </w:rPr>
              <w:t>4.中标方应负责对采购人进行专业培训，直至采购人能完全操作使用（投标人列明具体培训计划方案），提供详细培训计划。</w:t>
            </w:r>
          </w:p>
          <w:p>
            <w:pPr>
              <w:pStyle w:val="17"/>
              <w:rPr>
                <w:lang w:eastAsia="zh-TW"/>
              </w:rPr>
            </w:pPr>
            <w:r>
              <w:rPr>
                <w:rFonts w:hint="eastAsia"/>
              </w:rPr>
              <w:t>5. 售后服务非采购人的人为原因而出现产品质量问题由中标人负责包换或包退，并承担因此而产生的一切费用。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3" w:hRule="atLeast"/>
          <w:jc w:val="center"/>
        </w:trPr>
        <w:tc>
          <w:tcPr>
            <w:tcW w:w="236" w:type="pct"/>
            <w:vMerge w:val="continue"/>
            <w:tcBorders>
              <w:left w:val="single" w:color="auto" w:sz="4" w:space="0"/>
              <w:right w:val="single" w:color="auto" w:sz="4" w:space="0"/>
            </w:tcBorders>
            <w:vAlign w:val="center"/>
          </w:tcPr>
          <w:p>
            <w:pPr>
              <w:pStyle w:val="17"/>
            </w:pPr>
          </w:p>
        </w:tc>
        <w:tc>
          <w:tcPr>
            <w:tcW w:w="361" w:type="pct"/>
            <w:tcBorders>
              <w:left w:val="single" w:color="auto" w:sz="4" w:space="0"/>
              <w:right w:val="single" w:color="auto" w:sz="4" w:space="0"/>
            </w:tcBorders>
          </w:tcPr>
          <w:p>
            <w:pPr>
              <w:pStyle w:val="17"/>
              <w:rPr>
                <w:rFonts w:cs="宋体;SimSun"/>
              </w:rPr>
            </w:pPr>
            <w:r>
              <w:rPr>
                <w:rFonts w:hint="eastAsia" w:cs="宋体;SimSun"/>
              </w:rPr>
              <w:t>10</w:t>
            </w:r>
          </w:p>
        </w:tc>
        <w:tc>
          <w:tcPr>
            <w:tcW w:w="1086" w:type="pct"/>
            <w:tcBorders>
              <w:top w:val="single" w:color="auto" w:sz="4" w:space="0"/>
              <w:left w:val="single" w:color="auto" w:sz="4" w:space="0"/>
              <w:bottom w:val="single" w:color="auto" w:sz="4" w:space="0"/>
              <w:right w:val="single" w:color="auto" w:sz="4" w:space="0"/>
            </w:tcBorders>
            <w:vAlign w:val="center"/>
          </w:tcPr>
          <w:p>
            <w:pPr>
              <w:pStyle w:val="17"/>
              <w:rPr>
                <w:rFonts w:cs="宋体;SimSun"/>
              </w:rPr>
            </w:pPr>
            <w:r>
              <w:rPr>
                <w:rFonts w:hint="eastAsia" w:cs="宋体;SimSun"/>
              </w:rPr>
              <w:t>供货</w:t>
            </w:r>
            <w:r>
              <w:rPr>
                <w:rFonts w:cs="宋体;SimSun"/>
              </w:rPr>
              <w:t>方案</w:t>
            </w:r>
          </w:p>
        </w:tc>
        <w:tc>
          <w:tcPr>
            <w:tcW w:w="3317" w:type="pct"/>
            <w:tcBorders>
              <w:top w:val="single" w:color="auto" w:sz="4" w:space="0"/>
              <w:left w:val="single" w:color="auto" w:sz="4" w:space="0"/>
              <w:bottom w:val="single" w:color="auto" w:sz="4" w:space="0"/>
              <w:right w:val="single" w:color="auto" w:sz="4" w:space="0"/>
            </w:tcBorders>
            <w:vAlign w:val="center"/>
          </w:tcPr>
          <w:p>
            <w:pPr>
              <w:pStyle w:val="17"/>
            </w:pPr>
            <w:r>
              <w:rPr>
                <w:rFonts w:hint="eastAsia"/>
              </w:rPr>
              <w:t>投标人需根据本项目采购需求自行拟定供货及安装方案。包括但不限于：（1）配送方式（2）供货时间（3）技术方案及保障措施（4）货物交接的具体技术方案（5）风险分析与解决方案。</w:t>
            </w:r>
          </w:p>
        </w:tc>
      </w:tr>
    </w:tbl>
    <w:p>
      <w:pPr>
        <w:ind w:firstLine="482"/>
        <w:rPr>
          <w:b/>
          <w:bCs/>
        </w:rPr>
      </w:pPr>
    </w:p>
    <w:p>
      <w:pPr>
        <w:ind w:firstLine="480"/>
      </w:pPr>
      <w:r>
        <w:rPr>
          <w:rFonts w:hint="eastAsia"/>
        </w:rPr>
        <w:t>说明： （1）上述各项中用“√”表示通过，“×”表示不通过； （2）上述各项中如有一项为“×”，则结论为“×”，表示该投标文件中存在重大偏差，不能通过 初步评审；评委对某一分项评审认为不合格时，必须要写明原因。 （3）投标文件最终合格与否，以所有评委的评审意见中少数服从多数为原则定论。 （4）供应商请认真阅读和理解上述内容，避免投标文件中有违背上述审查标准之一的情况发生而造成 投标被否决。</w:t>
      </w:r>
    </w:p>
    <w:p>
      <w:pPr>
        <w:ind w:firstLine="480"/>
      </w:pPr>
      <w:r>
        <w:rPr>
          <w:rFonts w:hint="eastAsia"/>
        </w:rPr>
        <w:t>8、谈判小组判断“响应文件”的响应性，仅基于“响应文件”本身而不靠外部证据。对非实质性响应的响应文件，供应商不能通过修正或撤销不符之处，而使其成为实质性响应。</w:t>
      </w:r>
    </w:p>
    <w:p>
      <w:pPr>
        <w:ind w:firstLine="480"/>
      </w:pPr>
      <w:r>
        <w:rPr>
          <w:rFonts w:hint="eastAsia"/>
        </w:rPr>
        <w:t>9、谈判小组根据谈判文件要求，讨论、通过谈判工作流程和谈判要点。</w:t>
      </w:r>
    </w:p>
    <w:p>
      <w:pPr>
        <w:ind w:firstLine="480"/>
      </w:pPr>
      <w:r>
        <w:rPr>
          <w:rFonts w:hint="eastAsia"/>
        </w:rPr>
        <w:t>10、谈判小组通知有效供应商谈判。</w:t>
      </w:r>
    </w:p>
    <w:p>
      <w:pPr>
        <w:ind w:firstLine="480"/>
      </w:pPr>
      <w:r>
        <w:rPr>
          <w:rFonts w:hint="eastAsia"/>
        </w:rPr>
        <w:t>11、围绕谈判要点，谈判小组全体成员集中与单一供应商分别进行谈判，逐家谈判一次为一个轮次，谈判轮次原则上为一轮，具体由谈判小组视情况决定。</w:t>
      </w:r>
    </w:p>
    <w:p>
      <w:pPr>
        <w:ind w:firstLine="480"/>
      </w:pPr>
      <w:r>
        <w:rPr>
          <w:rFonts w:hint="eastAsia"/>
        </w:rPr>
        <w:t>11、谈判文件有较大变动的，谈判小组将以书面形式通知所有参加谈判的供应商。</w:t>
      </w:r>
    </w:p>
    <w:p>
      <w:pPr>
        <w:ind w:firstLine="482"/>
        <w:rPr>
          <w:b/>
          <w:u w:val="single"/>
        </w:rPr>
      </w:pPr>
      <w:r>
        <w:rPr>
          <w:rFonts w:hint="eastAsia"/>
          <w:b/>
          <w:u w:val="single"/>
        </w:rPr>
        <w:t>12、供应商未及时参与谈判或多次报价的，视为自动放弃竞标资格。</w:t>
      </w:r>
    </w:p>
    <w:p>
      <w:pPr>
        <w:pStyle w:val="7"/>
        <w:ind w:firstLine="643"/>
      </w:pPr>
      <w:bookmarkStart w:id="40" w:name="_Toc137929610"/>
      <w:r>
        <w:rPr>
          <w:rFonts w:hint="eastAsia"/>
        </w:rPr>
        <w:t>七、成交及合同签订</w:t>
      </w:r>
      <w:bookmarkEnd w:id="40"/>
    </w:p>
    <w:p>
      <w:pPr>
        <w:spacing w:line="500" w:lineRule="exact"/>
        <w:ind w:firstLine="482" w:firstLineChars="200"/>
        <w:jc w:val="left"/>
        <w:rPr>
          <w:rFonts w:asciiTheme="minorEastAsia" w:hAnsiTheme="minorEastAsia"/>
        </w:rPr>
      </w:pPr>
      <w:r>
        <w:rPr>
          <w:rFonts w:hint="eastAsia" w:asciiTheme="minorEastAsia" w:hAnsiTheme="minorEastAsia"/>
          <w:b/>
          <w:bCs/>
        </w:rPr>
        <w:t>1、成交人</w:t>
      </w:r>
    </w:p>
    <w:p>
      <w:pPr>
        <w:snapToGrid w:val="0"/>
        <w:spacing w:line="500" w:lineRule="exact"/>
        <w:ind w:firstLine="480" w:firstLineChars="200"/>
        <w:rPr>
          <w:rFonts w:asciiTheme="minorEastAsia" w:hAnsiTheme="minorEastAsia"/>
        </w:rPr>
      </w:pPr>
      <w:r>
        <w:rPr>
          <w:rFonts w:hint="eastAsia" w:asciiTheme="minorEastAsia" w:hAnsiTheme="minorEastAsia"/>
        </w:rPr>
        <w:t>根据谈判小组对各供应商满足谈判文件实质性响应（所谓实质性响应，是指文件应与谈判文件的所有实质性条款、条件和要求相符，无显著差异或保留（由谈判小组确定）、质量和服务相等且报价最低的原则确定成交候选人。</w:t>
      </w:r>
    </w:p>
    <w:p>
      <w:pPr>
        <w:snapToGrid w:val="0"/>
        <w:spacing w:line="500" w:lineRule="exact"/>
        <w:ind w:firstLine="480" w:firstLineChars="200"/>
        <w:rPr>
          <w:rFonts w:cs="Arial" w:asciiTheme="minorEastAsia" w:hAnsiTheme="minorEastAsia"/>
        </w:rPr>
      </w:pPr>
      <w:r>
        <w:rPr>
          <w:rFonts w:cs="Arial" w:asciiTheme="minorEastAsia" w:hAnsiTheme="minorEastAsia"/>
        </w:rPr>
        <w:t>采购人从</w:t>
      </w:r>
      <w:r>
        <w:rPr>
          <w:rFonts w:hint="eastAsia" w:cs="Arial" w:asciiTheme="minorEastAsia" w:hAnsiTheme="minorEastAsia"/>
        </w:rPr>
        <w:t>谈判</w:t>
      </w:r>
      <w:r>
        <w:rPr>
          <w:rFonts w:cs="Arial" w:asciiTheme="minorEastAsia" w:hAnsiTheme="minorEastAsia"/>
        </w:rPr>
        <w:t>小组提出的成交候选供应商中根据符合采购需求、质量和服务相等且</w:t>
      </w:r>
      <w:r>
        <w:rPr>
          <w:rFonts w:hint="eastAsia" w:cs="Arial" w:asciiTheme="minorEastAsia" w:hAnsiTheme="minorEastAsia"/>
        </w:rPr>
        <w:t>满足</w:t>
      </w:r>
      <w:r>
        <w:rPr>
          <w:rFonts w:cs="Arial" w:asciiTheme="minorEastAsia" w:hAnsiTheme="minorEastAsia"/>
        </w:rPr>
        <w:t>谈判文件得分最高的确定成交供应商。</w:t>
      </w:r>
    </w:p>
    <w:p>
      <w:pPr>
        <w:snapToGrid w:val="0"/>
        <w:spacing w:line="500" w:lineRule="exact"/>
        <w:ind w:firstLine="482" w:firstLineChars="200"/>
        <w:rPr>
          <w:rFonts w:cs="Arial" w:asciiTheme="minorEastAsia" w:hAnsiTheme="minorEastAsia"/>
        </w:rPr>
      </w:pPr>
      <w:r>
        <w:rPr>
          <w:rFonts w:hint="eastAsia" w:asciiTheme="minorEastAsia" w:hAnsiTheme="minorEastAsia"/>
          <w:b/>
          <w:bCs/>
        </w:rPr>
        <w:t>2、成交候选人审查</w:t>
      </w:r>
    </w:p>
    <w:p>
      <w:pPr>
        <w:spacing w:line="500" w:lineRule="exact"/>
        <w:ind w:firstLine="480" w:firstLineChars="200"/>
        <w:jc w:val="left"/>
        <w:rPr>
          <w:rFonts w:asciiTheme="minorEastAsia" w:hAnsiTheme="minorEastAsia"/>
        </w:rPr>
      </w:pPr>
      <w:r>
        <w:rPr>
          <w:rFonts w:hint="eastAsia" w:asciiTheme="minorEastAsia" w:hAnsiTheme="minorEastAsia"/>
        </w:rPr>
        <w:t>采购人若发现成交候选人在竞标过程中提供虚假证明文件，故意隐瞒公司不良信誉和财务状况，以及存在可能对合同圆满履行造成风险的其他因素等，则按规定取消其成交资格，监管部门依法进行处理。</w:t>
      </w:r>
    </w:p>
    <w:p>
      <w:pPr>
        <w:spacing w:line="500" w:lineRule="exact"/>
        <w:ind w:firstLine="480" w:firstLineChars="200"/>
        <w:jc w:val="left"/>
        <w:rPr>
          <w:rFonts w:asciiTheme="minorEastAsia" w:hAnsiTheme="minorEastAsia"/>
        </w:rPr>
      </w:pPr>
      <w:r>
        <w:rPr>
          <w:rFonts w:hint="eastAsia" w:asciiTheme="minorEastAsia" w:hAnsiTheme="minorEastAsia"/>
        </w:rPr>
        <w:t>如果成交候选供应商被确认为不具备执行合同的能力，采购人将考虑按同样的程序审查下一个成交候选人。</w:t>
      </w:r>
    </w:p>
    <w:p>
      <w:pPr>
        <w:spacing w:line="500" w:lineRule="exact"/>
        <w:ind w:firstLine="482" w:firstLineChars="200"/>
        <w:jc w:val="left"/>
        <w:rPr>
          <w:rFonts w:asciiTheme="minorEastAsia" w:hAnsiTheme="minorEastAsia"/>
        </w:rPr>
      </w:pPr>
      <w:r>
        <w:rPr>
          <w:rFonts w:hint="eastAsia" w:asciiTheme="minorEastAsia" w:hAnsiTheme="minorEastAsia"/>
          <w:b/>
          <w:bCs/>
        </w:rPr>
        <w:t>3、成交通知书</w:t>
      </w:r>
    </w:p>
    <w:p>
      <w:pPr>
        <w:spacing w:line="500" w:lineRule="exact"/>
        <w:ind w:firstLine="480" w:firstLineChars="200"/>
        <w:jc w:val="left"/>
        <w:rPr>
          <w:rFonts w:asciiTheme="minorEastAsia" w:hAnsiTheme="minorEastAsia"/>
        </w:rPr>
      </w:pPr>
      <w:r>
        <w:rPr>
          <w:rFonts w:asciiTheme="minorEastAsia" w:hAnsiTheme="minorEastAsia"/>
        </w:rPr>
        <w:t>3.1</w:t>
      </w:r>
      <w:r>
        <w:rPr>
          <w:rFonts w:hint="eastAsia" w:asciiTheme="minorEastAsia" w:hAnsiTheme="minorEastAsia"/>
        </w:rPr>
        <w:t>成交通知书将于中标结果公示结束后由代理机构向供应商发出。</w:t>
      </w:r>
    </w:p>
    <w:p>
      <w:pPr>
        <w:spacing w:line="500" w:lineRule="exact"/>
        <w:ind w:firstLine="480" w:firstLineChars="200"/>
        <w:jc w:val="left"/>
        <w:rPr>
          <w:rFonts w:asciiTheme="minorEastAsia" w:hAnsiTheme="minorEastAsia"/>
        </w:rPr>
      </w:pPr>
      <w:r>
        <w:rPr>
          <w:rFonts w:asciiTheme="minorEastAsia" w:hAnsiTheme="minorEastAsia"/>
        </w:rPr>
        <w:t>3.2</w:t>
      </w:r>
      <w:r>
        <w:rPr>
          <w:rFonts w:hint="eastAsia" w:asciiTheme="minorEastAsia" w:hAnsiTheme="minorEastAsia"/>
        </w:rPr>
        <w:t>成交供应商应及时到采购代理机构领取成交通知书，成交通知书是签订合同的依据和组成部分。</w:t>
      </w:r>
    </w:p>
    <w:p>
      <w:pPr>
        <w:spacing w:line="500" w:lineRule="exact"/>
        <w:ind w:firstLine="482" w:firstLineChars="200"/>
        <w:jc w:val="left"/>
        <w:rPr>
          <w:rFonts w:asciiTheme="minorEastAsia" w:hAnsiTheme="minorEastAsia"/>
        </w:rPr>
      </w:pPr>
      <w:r>
        <w:rPr>
          <w:rFonts w:hint="eastAsia" w:asciiTheme="minorEastAsia" w:hAnsiTheme="minorEastAsia"/>
          <w:b/>
          <w:bCs/>
        </w:rPr>
        <w:t>4、签订合同</w:t>
      </w:r>
    </w:p>
    <w:p>
      <w:pPr>
        <w:spacing w:line="500" w:lineRule="exact"/>
        <w:ind w:firstLine="480" w:firstLineChars="200"/>
        <w:jc w:val="left"/>
        <w:rPr>
          <w:rFonts w:asciiTheme="minorEastAsia" w:hAnsiTheme="minorEastAsia"/>
        </w:rPr>
      </w:pPr>
      <w:r>
        <w:rPr>
          <w:rFonts w:hint="eastAsia" w:asciiTheme="minorEastAsia" w:hAnsiTheme="minorEastAsia"/>
        </w:rPr>
        <w:t>成交供应商在自成交通知书发出之日起30日内，依据《中华人民共和国经济合同法》和有关法规及招、投标文件与采购人签订合同。招投标文件、成交供应商的投标文件及服务承诺文件以及评标过程中有关澄清文件均作为合同附件，合同经采购人审核盖章后实施。</w:t>
      </w:r>
    </w:p>
    <w:p>
      <w:pPr>
        <w:spacing w:line="500" w:lineRule="exact"/>
        <w:ind w:firstLine="480" w:firstLineChars="200"/>
        <w:jc w:val="left"/>
        <w:rPr>
          <w:rFonts w:asciiTheme="minorEastAsia" w:hAnsiTheme="minorEastAsia"/>
        </w:rPr>
      </w:pPr>
      <w:r>
        <w:rPr>
          <w:rFonts w:hint="eastAsia" w:asciiTheme="minorEastAsia" w:hAnsiTheme="minorEastAsia"/>
        </w:rPr>
        <w:t>成交供应商未能按谈判文件要求与采购单位签订政府采购合同，逾期将视为自动放弃中标资格，采购人将顺延下一中标候选人为成交供应商，依次类推或依法重新进行招标。</w:t>
      </w:r>
    </w:p>
    <w:p>
      <w:pPr>
        <w:spacing w:line="500" w:lineRule="exact"/>
        <w:ind w:firstLine="482" w:firstLineChars="200"/>
        <w:jc w:val="left"/>
        <w:rPr>
          <w:rFonts w:asciiTheme="minorEastAsia" w:hAnsiTheme="minorEastAsia"/>
          <w:b/>
          <w:bCs/>
        </w:rPr>
      </w:pPr>
      <w:r>
        <w:rPr>
          <w:rFonts w:hint="eastAsia" w:asciiTheme="minorEastAsia" w:hAnsiTheme="minorEastAsia"/>
          <w:b/>
          <w:bCs/>
        </w:rPr>
        <w:t>5、中标服务费</w:t>
      </w:r>
    </w:p>
    <w:p>
      <w:pPr>
        <w:spacing w:line="600" w:lineRule="exact"/>
        <w:ind w:firstLine="720" w:firstLineChars="300"/>
        <w:jc w:val="left"/>
        <w:rPr>
          <w:rFonts w:asciiTheme="minorEastAsia" w:hAnsiTheme="minorEastAsia"/>
        </w:rPr>
      </w:pPr>
      <w:r>
        <w:rPr>
          <w:rFonts w:hint="eastAsia" w:asciiTheme="minorEastAsia" w:hAnsiTheme="minorEastAsia"/>
        </w:rPr>
        <w:t>详见前附表。</w:t>
      </w:r>
    </w:p>
    <w:p>
      <w:pPr>
        <w:pStyle w:val="7"/>
        <w:ind w:firstLine="643"/>
      </w:pPr>
      <w:bookmarkStart w:id="41" w:name="_Toc137929611"/>
      <w:r>
        <w:rPr>
          <w:rFonts w:hint="eastAsia"/>
        </w:rPr>
        <w:t>八、付款</w:t>
      </w:r>
      <w:bookmarkEnd w:id="41"/>
    </w:p>
    <w:p>
      <w:pPr>
        <w:snapToGrid w:val="0"/>
        <w:ind w:left="1" w:firstLine="479" w:firstLineChars="199"/>
        <w:jc w:val="left"/>
        <w:rPr>
          <w:rFonts w:asciiTheme="minorEastAsia" w:hAnsiTheme="minorEastAsia"/>
          <w:b/>
          <w:bCs/>
        </w:rPr>
      </w:pPr>
      <w:r>
        <w:rPr>
          <w:rFonts w:hint="eastAsia" w:asciiTheme="minorEastAsia" w:hAnsiTheme="minorEastAsia"/>
          <w:b/>
          <w:bCs/>
        </w:rPr>
        <w:t>1、付款方式：</w:t>
      </w:r>
    </w:p>
    <w:p>
      <w:pPr>
        <w:snapToGrid w:val="0"/>
        <w:ind w:left="1" w:firstLine="477" w:firstLineChars="199"/>
        <w:jc w:val="left"/>
        <w:rPr>
          <w:rFonts w:asciiTheme="minorEastAsia" w:hAnsiTheme="minorEastAsia"/>
        </w:rPr>
      </w:pPr>
      <w:r>
        <w:rPr>
          <w:rFonts w:hint="eastAsia" w:asciiTheme="minorEastAsia" w:hAnsiTheme="minorEastAsia"/>
        </w:rPr>
        <w:t>付款方式：详见前附表</w:t>
      </w:r>
    </w:p>
    <w:p>
      <w:pPr>
        <w:snapToGrid w:val="0"/>
        <w:ind w:left="1" w:firstLine="477" w:firstLineChars="199"/>
        <w:jc w:val="left"/>
        <w:rPr>
          <w:rFonts w:asciiTheme="minorEastAsia" w:hAnsiTheme="minorEastAsia"/>
        </w:rPr>
      </w:pPr>
    </w:p>
    <w:p>
      <w:pPr>
        <w:snapToGrid w:val="0"/>
        <w:ind w:left="1" w:firstLine="477" w:firstLineChars="199"/>
        <w:jc w:val="left"/>
        <w:rPr>
          <w:rFonts w:asciiTheme="minorEastAsia" w:hAnsiTheme="minorEastAsia"/>
        </w:rPr>
      </w:pPr>
    </w:p>
    <w:p>
      <w:pPr>
        <w:snapToGrid w:val="0"/>
        <w:ind w:left="1" w:firstLine="477" w:firstLineChars="199"/>
        <w:jc w:val="left"/>
        <w:rPr>
          <w:rFonts w:asciiTheme="minorEastAsia" w:hAnsiTheme="minorEastAsia"/>
        </w:rPr>
      </w:pPr>
    </w:p>
    <w:p>
      <w:pPr>
        <w:snapToGrid w:val="0"/>
        <w:ind w:left="1" w:firstLine="477" w:firstLineChars="199"/>
        <w:jc w:val="left"/>
        <w:rPr>
          <w:rFonts w:asciiTheme="minorEastAsia" w:hAnsiTheme="minorEastAsia"/>
        </w:rPr>
      </w:pPr>
    </w:p>
    <w:p>
      <w:pPr>
        <w:snapToGrid w:val="0"/>
        <w:ind w:left="1" w:firstLine="477" w:firstLineChars="199"/>
        <w:jc w:val="left"/>
        <w:rPr>
          <w:rFonts w:asciiTheme="minorEastAsia" w:hAnsiTheme="minorEastAsia"/>
        </w:rPr>
      </w:pPr>
    </w:p>
    <w:p>
      <w:pPr>
        <w:snapToGrid w:val="0"/>
        <w:ind w:left="1" w:firstLine="477" w:firstLineChars="199"/>
        <w:jc w:val="left"/>
        <w:rPr>
          <w:rFonts w:asciiTheme="minorEastAsia" w:hAnsiTheme="minorEastAsia"/>
        </w:rPr>
      </w:pPr>
    </w:p>
    <w:p>
      <w:pPr>
        <w:snapToGrid w:val="0"/>
        <w:ind w:left="1" w:firstLine="477" w:firstLineChars="199"/>
        <w:jc w:val="left"/>
        <w:rPr>
          <w:rFonts w:asciiTheme="minorEastAsia" w:hAnsiTheme="minorEastAsia"/>
        </w:rPr>
      </w:pPr>
    </w:p>
    <w:p>
      <w:pPr>
        <w:pStyle w:val="6"/>
        <w:ind w:firstLine="723"/>
        <w:rPr>
          <w:rFonts w:ascii="宋体" w:hAnsi="宋体" w:eastAsia="宋体"/>
        </w:rPr>
      </w:pPr>
      <w:bookmarkStart w:id="42" w:name="_Toc28778"/>
      <w:bookmarkStart w:id="43" w:name="_Toc490155603"/>
      <w:bookmarkStart w:id="44" w:name="_Toc6109"/>
      <w:bookmarkStart w:id="45" w:name="_Toc137929612"/>
      <w:bookmarkStart w:id="46" w:name="_Toc14398_WPSOffice_Level1"/>
      <w:bookmarkStart w:id="47" w:name="_Toc25104"/>
      <w:bookmarkStart w:id="48" w:name="_Toc20477"/>
      <w:bookmarkStart w:id="49" w:name="_Toc28841_WPSOffice_Level1"/>
      <w:bookmarkStart w:id="50" w:name="_Toc5562_WPSOffice_Level1"/>
      <w:bookmarkStart w:id="51" w:name="_Toc4646_WPSOffice_Level1"/>
      <w:r>
        <w:rPr>
          <w:rFonts w:hint="eastAsia" w:ascii="宋体" w:hAnsi="宋体" w:eastAsia="宋体"/>
        </w:rPr>
        <w:t>第三部分  授予合同</w:t>
      </w:r>
      <w:bookmarkEnd w:id="42"/>
      <w:bookmarkEnd w:id="43"/>
      <w:bookmarkEnd w:id="44"/>
      <w:r>
        <w:rPr>
          <w:rFonts w:hint="eastAsia" w:ascii="宋体" w:hAnsi="宋体" w:eastAsia="宋体"/>
        </w:rPr>
        <w:t>（参考）</w:t>
      </w:r>
      <w:bookmarkEnd w:id="45"/>
    </w:p>
    <w:p>
      <w:pPr>
        <w:ind w:firstLine="482"/>
        <w:jc w:val="center"/>
        <w:rPr>
          <w:rFonts w:ascii="宋体" w:hAnsi="宋体" w:cs="宋体"/>
          <w:b/>
          <w:bCs/>
        </w:rPr>
      </w:pPr>
      <w:r>
        <w:rPr>
          <w:rFonts w:hint="eastAsia" w:ascii="宋体" w:hAnsi="宋体" w:cs="宋体"/>
          <w:b/>
          <w:bCs/>
        </w:rPr>
        <w:t>本合同为参考合同，最终以与甲方实际签订的为准。</w:t>
      </w:r>
    </w:p>
    <w:p>
      <w:pPr>
        <w:pStyle w:val="7"/>
        <w:ind w:firstLine="643"/>
      </w:pPr>
      <w:bookmarkStart w:id="52" w:name="_Toc137929613"/>
      <w:r>
        <w:rPr>
          <w:rFonts w:hint="eastAsia"/>
        </w:rPr>
        <w:t>政府采购合同</w:t>
      </w:r>
      <w:bookmarkEnd w:id="52"/>
    </w:p>
    <w:p>
      <w:pPr>
        <w:ind w:firstLine="480"/>
        <w:rPr>
          <w:rFonts w:ascii="宋体" w:hAnsi="宋体" w:eastAsia="宋体" w:cs="微软雅黑"/>
        </w:rPr>
      </w:pPr>
    </w:p>
    <w:p>
      <w:pPr>
        <w:spacing w:line="400" w:lineRule="exact"/>
        <w:ind w:firstLine="480"/>
        <w:rPr>
          <w:rFonts w:ascii="宋体" w:hAnsi="宋体" w:eastAsia="宋体" w:cs="微软雅黑"/>
          <w:u w:val="single"/>
        </w:rPr>
      </w:pPr>
      <w:r>
        <w:rPr>
          <w:rFonts w:hint="eastAsia" w:ascii="宋体" w:hAnsi="宋体" w:eastAsia="宋体" w:cs="微软雅黑"/>
        </w:rPr>
        <w:t>合同编号：</w:t>
      </w:r>
      <w:r>
        <w:rPr>
          <w:rFonts w:hint="eastAsia" w:ascii="宋体" w:hAnsi="宋体" w:eastAsia="宋体" w:cs="微软雅黑"/>
          <w:u w:val="single"/>
        </w:rPr>
        <w:t xml:space="preserve">           </w:t>
      </w:r>
    </w:p>
    <w:p>
      <w:pPr>
        <w:spacing w:line="400" w:lineRule="exact"/>
        <w:ind w:firstLine="562"/>
        <w:jc w:val="center"/>
        <w:rPr>
          <w:rFonts w:ascii="宋体" w:hAnsi="宋体" w:eastAsia="宋体" w:cs="微软雅黑"/>
          <w:b/>
          <w:sz w:val="28"/>
          <w:szCs w:val="28"/>
        </w:rPr>
      </w:pPr>
    </w:p>
    <w:p>
      <w:pPr>
        <w:spacing w:line="400" w:lineRule="exact"/>
        <w:ind w:firstLine="562"/>
        <w:jc w:val="center"/>
        <w:rPr>
          <w:rFonts w:ascii="宋体" w:hAnsi="宋体" w:eastAsia="宋体" w:cs="微软雅黑"/>
          <w:b/>
          <w:sz w:val="28"/>
          <w:szCs w:val="28"/>
        </w:rPr>
      </w:pPr>
    </w:p>
    <w:p>
      <w:pPr>
        <w:spacing w:line="500" w:lineRule="exact"/>
        <w:ind w:firstLine="562"/>
        <w:jc w:val="center"/>
        <w:rPr>
          <w:rFonts w:ascii="宋体" w:hAnsi="宋体" w:eastAsia="宋体" w:cs="微软雅黑"/>
          <w:b/>
          <w:sz w:val="28"/>
          <w:szCs w:val="28"/>
        </w:rPr>
      </w:pPr>
    </w:p>
    <w:p>
      <w:pPr>
        <w:spacing w:line="500" w:lineRule="exact"/>
        <w:ind w:firstLine="883"/>
        <w:jc w:val="center"/>
        <w:rPr>
          <w:rFonts w:ascii="宋体" w:hAnsi="宋体" w:eastAsia="宋体" w:cs="微软雅黑"/>
          <w:b/>
          <w:sz w:val="44"/>
          <w:szCs w:val="44"/>
        </w:rPr>
      </w:pPr>
      <w:r>
        <w:rPr>
          <w:rFonts w:hint="eastAsia" w:ascii="宋体" w:hAnsi="宋体" w:eastAsia="宋体" w:cs="微软雅黑"/>
          <w:b/>
          <w:sz w:val="44"/>
          <w:szCs w:val="44"/>
        </w:rPr>
        <w:t>政府采购合同参考范本</w:t>
      </w:r>
    </w:p>
    <w:p>
      <w:pPr>
        <w:spacing w:line="500" w:lineRule="exact"/>
        <w:ind w:firstLine="482"/>
        <w:jc w:val="center"/>
        <w:rPr>
          <w:rFonts w:ascii="宋体" w:hAnsi="宋体" w:eastAsia="宋体" w:cs="微软雅黑"/>
          <w:b/>
        </w:rPr>
      </w:pPr>
      <w:r>
        <w:rPr>
          <w:rFonts w:hint="eastAsia" w:ascii="宋体" w:hAnsi="宋体" w:eastAsia="宋体" w:cs="微软雅黑"/>
          <w:b/>
        </w:rPr>
        <w:t>（服务类）</w:t>
      </w:r>
    </w:p>
    <w:p>
      <w:pPr>
        <w:spacing w:line="400" w:lineRule="exact"/>
        <w:ind w:firstLine="480"/>
        <w:rPr>
          <w:rFonts w:hAnsi="宋体" w:cs="微软雅黑"/>
          <w:szCs w:val="24"/>
        </w:rPr>
      </w:pPr>
    </w:p>
    <w:p>
      <w:pPr>
        <w:spacing w:line="400" w:lineRule="exact"/>
        <w:ind w:firstLine="480"/>
        <w:rPr>
          <w:rFonts w:hAnsi="宋体" w:cs="微软雅黑"/>
          <w:szCs w:val="24"/>
        </w:rPr>
      </w:pPr>
    </w:p>
    <w:p>
      <w:pPr>
        <w:spacing w:line="400" w:lineRule="exact"/>
        <w:ind w:firstLine="480"/>
        <w:rPr>
          <w:rFonts w:hAnsi="宋体" w:cs="微软雅黑"/>
          <w:szCs w:val="24"/>
        </w:rPr>
      </w:pPr>
    </w:p>
    <w:p>
      <w:pPr>
        <w:pStyle w:val="8"/>
        <w:ind w:firstLine="602"/>
      </w:pPr>
      <w:bookmarkStart w:id="53" w:name="_Toc137929614"/>
      <w:r>
        <w:rPr>
          <w:rFonts w:hint="eastAsia"/>
        </w:rPr>
        <w:t>第一部分 合同书</w:t>
      </w:r>
      <w:bookmarkEnd w:id="53"/>
    </w:p>
    <w:p>
      <w:pPr>
        <w:spacing w:line="400" w:lineRule="exact"/>
        <w:ind w:firstLine="480"/>
        <w:rPr>
          <w:rFonts w:hAnsi="宋体" w:cs="微软雅黑"/>
          <w:szCs w:val="24"/>
        </w:rPr>
      </w:pPr>
    </w:p>
    <w:p>
      <w:pPr>
        <w:spacing w:line="400" w:lineRule="exact"/>
        <w:ind w:firstLine="480"/>
        <w:rPr>
          <w:rFonts w:hAnsi="宋体" w:cs="微软雅黑"/>
          <w:szCs w:val="24"/>
        </w:rPr>
      </w:pPr>
    </w:p>
    <w:p>
      <w:pPr>
        <w:spacing w:before="120" w:line="400" w:lineRule="exact"/>
        <w:ind w:firstLine="480"/>
        <w:rPr>
          <w:rFonts w:ascii="宋体" w:hAnsi="宋体" w:eastAsia="宋体" w:cs="微软雅黑"/>
        </w:rPr>
      </w:pPr>
    </w:p>
    <w:p>
      <w:pPr>
        <w:spacing w:before="120" w:line="400" w:lineRule="exact"/>
        <w:ind w:left="960" w:firstLine="480"/>
        <w:rPr>
          <w:rFonts w:ascii="宋体" w:hAnsi="宋体" w:eastAsia="宋体" w:cs="微软雅黑"/>
        </w:rPr>
      </w:pPr>
      <w:r>
        <w:rPr>
          <w:rFonts w:hint="eastAsia" w:ascii="宋体" w:hAnsi="宋体" w:eastAsia="宋体" w:cs="微软雅黑"/>
        </w:rPr>
        <w:t>项目名称：</w:t>
      </w:r>
      <w:r>
        <w:rPr>
          <w:rFonts w:hint="eastAsia" w:ascii="宋体" w:hAnsi="宋体" w:eastAsia="宋体" w:cs="微软雅黑"/>
          <w:u w:val="single"/>
        </w:rPr>
        <w:t xml:space="preserve">                                   </w:t>
      </w:r>
    </w:p>
    <w:p>
      <w:pPr>
        <w:spacing w:before="120" w:line="400" w:lineRule="exact"/>
        <w:ind w:left="480" w:firstLine="480"/>
        <w:rPr>
          <w:rFonts w:ascii="宋体" w:hAnsi="宋体" w:eastAsia="宋体" w:cs="微软雅黑"/>
          <w:szCs w:val="24"/>
        </w:rPr>
      </w:pPr>
    </w:p>
    <w:p>
      <w:pPr>
        <w:spacing w:line="400" w:lineRule="exact"/>
        <w:ind w:firstLine="480"/>
        <w:rPr>
          <w:rFonts w:ascii="宋体" w:hAnsi="宋体" w:eastAsia="宋体" w:cs="微软雅黑"/>
        </w:rPr>
      </w:pPr>
    </w:p>
    <w:p>
      <w:pPr>
        <w:spacing w:before="120" w:line="400" w:lineRule="exact"/>
        <w:ind w:left="960" w:firstLine="480"/>
        <w:rPr>
          <w:rFonts w:ascii="宋体" w:hAnsi="宋体" w:eastAsia="宋体" w:cs="微软雅黑"/>
          <w:u w:val="single"/>
        </w:rPr>
      </w:pPr>
      <w:r>
        <w:rPr>
          <w:rFonts w:hint="eastAsia" w:ascii="宋体" w:hAnsi="宋体" w:eastAsia="宋体" w:cs="微软雅黑"/>
        </w:rPr>
        <w:t>甲方：</w:t>
      </w:r>
      <w:r>
        <w:rPr>
          <w:rFonts w:hint="eastAsia" w:ascii="宋体" w:hAnsi="宋体" w:eastAsia="宋体" w:cs="微软雅黑"/>
          <w:u w:val="single"/>
        </w:rPr>
        <w:t xml:space="preserve">                                       </w:t>
      </w:r>
    </w:p>
    <w:p>
      <w:pPr>
        <w:spacing w:before="120" w:line="400" w:lineRule="exact"/>
        <w:ind w:firstLine="480"/>
        <w:rPr>
          <w:rFonts w:ascii="宋体" w:hAnsi="宋体" w:eastAsia="宋体" w:cs="微软雅黑"/>
        </w:rPr>
      </w:pPr>
    </w:p>
    <w:p>
      <w:pPr>
        <w:spacing w:before="120" w:line="400" w:lineRule="exact"/>
        <w:ind w:left="960" w:firstLine="480"/>
        <w:rPr>
          <w:rFonts w:ascii="宋体" w:hAnsi="宋体" w:eastAsia="宋体" w:cs="微软雅黑"/>
          <w:u w:val="single"/>
        </w:rPr>
      </w:pPr>
      <w:r>
        <w:rPr>
          <w:rFonts w:hint="eastAsia" w:ascii="宋体" w:hAnsi="宋体" w:eastAsia="宋体" w:cs="微软雅黑"/>
        </w:rPr>
        <w:t>乙方：</w:t>
      </w:r>
      <w:r>
        <w:rPr>
          <w:rFonts w:hint="eastAsia" w:ascii="宋体" w:hAnsi="宋体" w:eastAsia="宋体" w:cs="微软雅黑"/>
          <w:u w:val="single"/>
        </w:rPr>
        <w:t xml:space="preserve">                                       </w:t>
      </w:r>
    </w:p>
    <w:p>
      <w:pPr>
        <w:spacing w:before="120" w:line="400" w:lineRule="exact"/>
        <w:ind w:firstLine="480"/>
        <w:rPr>
          <w:rFonts w:ascii="宋体" w:hAnsi="宋体" w:eastAsia="宋体" w:cs="微软雅黑"/>
        </w:rPr>
      </w:pPr>
    </w:p>
    <w:p>
      <w:pPr>
        <w:spacing w:before="120" w:line="400" w:lineRule="exact"/>
        <w:ind w:firstLine="960" w:firstLineChars="400"/>
        <w:rPr>
          <w:rFonts w:ascii="宋体" w:hAnsi="宋体" w:eastAsia="宋体" w:cs="微软雅黑"/>
          <w:u w:val="single"/>
        </w:rPr>
      </w:pPr>
      <w:r>
        <w:rPr>
          <w:rFonts w:hint="eastAsia" w:ascii="宋体" w:hAnsi="宋体" w:eastAsia="宋体" w:cs="微软雅黑"/>
        </w:rPr>
        <w:t>签订地：</w:t>
      </w:r>
      <w:r>
        <w:rPr>
          <w:rFonts w:hint="eastAsia" w:ascii="宋体" w:hAnsi="宋体" w:eastAsia="宋体" w:cs="微软雅黑"/>
          <w:u w:val="single"/>
        </w:rPr>
        <w:t xml:space="preserve">                                     </w:t>
      </w:r>
    </w:p>
    <w:p>
      <w:pPr>
        <w:spacing w:before="120" w:line="400" w:lineRule="exact"/>
        <w:ind w:firstLine="480"/>
        <w:rPr>
          <w:rFonts w:ascii="宋体" w:hAnsi="宋体" w:eastAsia="宋体" w:cs="微软雅黑"/>
        </w:rPr>
      </w:pPr>
    </w:p>
    <w:p>
      <w:pPr>
        <w:spacing w:before="120" w:line="400" w:lineRule="exact"/>
        <w:ind w:firstLine="960" w:firstLineChars="400"/>
        <w:rPr>
          <w:rFonts w:ascii="宋体" w:hAnsi="宋体" w:eastAsia="宋体" w:cs="微软雅黑"/>
          <w:u w:val="single"/>
        </w:rPr>
      </w:pPr>
      <w:r>
        <w:rPr>
          <w:rFonts w:hint="eastAsia" w:ascii="宋体" w:hAnsi="宋体" w:eastAsia="宋体" w:cs="微软雅黑"/>
        </w:rPr>
        <w:t>签订日期：</w:t>
      </w:r>
      <w:r>
        <w:rPr>
          <w:rFonts w:hint="eastAsia" w:ascii="宋体" w:hAnsi="宋体" w:eastAsia="宋体" w:cs="微软雅黑"/>
          <w:u w:val="single"/>
        </w:rPr>
        <w:t xml:space="preserve">               </w:t>
      </w:r>
      <w:r>
        <w:rPr>
          <w:rFonts w:hint="eastAsia" w:ascii="宋体" w:hAnsi="宋体" w:eastAsia="宋体" w:cs="微软雅黑"/>
        </w:rPr>
        <w:t>年</w:t>
      </w:r>
      <w:r>
        <w:rPr>
          <w:rFonts w:hint="eastAsia" w:ascii="宋体" w:hAnsi="宋体" w:eastAsia="宋体" w:cs="微软雅黑"/>
          <w:u w:val="single"/>
        </w:rPr>
        <w:t xml:space="preserve">       </w:t>
      </w:r>
      <w:r>
        <w:rPr>
          <w:rFonts w:hint="eastAsia" w:ascii="宋体" w:hAnsi="宋体" w:eastAsia="宋体" w:cs="微软雅黑"/>
        </w:rPr>
        <w:t>月</w:t>
      </w:r>
      <w:r>
        <w:rPr>
          <w:rFonts w:hint="eastAsia" w:ascii="宋体" w:hAnsi="宋体" w:eastAsia="宋体" w:cs="微软雅黑"/>
          <w:u w:val="single"/>
        </w:rPr>
        <w:t xml:space="preserve">       </w:t>
      </w:r>
      <w:r>
        <w:rPr>
          <w:rFonts w:hint="eastAsia" w:ascii="宋体" w:hAnsi="宋体" w:eastAsia="宋体" w:cs="微软雅黑"/>
        </w:rPr>
        <w:t>日</w:t>
      </w:r>
    </w:p>
    <w:p>
      <w:pPr>
        <w:autoSpaceDE w:val="0"/>
        <w:autoSpaceDN w:val="0"/>
        <w:adjustRightInd w:val="0"/>
        <w:spacing w:line="400" w:lineRule="exact"/>
        <w:ind w:firstLine="480"/>
        <w:jc w:val="center"/>
        <w:rPr>
          <w:rFonts w:ascii="宋体" w:hAnsi="宋体" w:eastAsia="宋体" w:cs="微软雅黑"/>
        </w:rPr>
        <w:sectPr>
          <w:pgSz w:w="11907" w:h="16840"/>
          <w:pgMar w:top="1474" w:right="1814" w:bottom="1474" w:left="1814" w:header="851" w:footer="851" w:gutter="0"/>
          <w:cols w:space="720" w:num="1"/>
          <w:docGrid w:linePitch="462" w:charSpace="0"/>
        </w:sectPr>
      </w:pPr>
    </w:p>
    <w:p>
      <w:pPr>
        <w:ind w:firstLine="480"/>
        <w:rPr>
          <w:u w:val="single"/>
        </w:rPr>
      </w:pPr>
      <w:r>
        <w:rPr>
          <w:rFonts w:hint="eastAsia"/>
          <w:u w:val="single"/>
        </w:rPr>
        <w:t xml:space="preserve">        年    月    日，   （采购人名称）   以   （政府采购方式）  对   （同前页项目名称）   项目进行了采购。经   （相关评定主体名称）   评定，   （成交供应商名称） 为该项目成交供应商。现于成交通知书发出之日起三十日内，按照采购文件确定的事项签订本合同。</w:t>
      </w:r>
    </w:p>
    <w:p>
      <w:pPr>
        <w:ind w:firstLine="480"/>
        <w:rPr>
          <w:u w:val="single"/>
        </w:rPr>
      </w:pPr>
      <w:r>
        <w:rPr>
          <w:rFonts w:hint="eastAsia"/>
          <w:u w:val="single"/>
        </w:rPr>
        <w:t>根据《中华人民共和国合同法》、《中华人民共和国政府采购法》等相关法律法规之规定，按照平等、自愿、公平和诚实信用的原则，经   （采购人名称）   (以下简称：甲方)和   （成交供应商名称）   (以下简称：乙方)协商一致，约定以下合同条款，以兹共同遵守、全面履行。</w:t>
      </w:r>
    </w:p>
    <w:p>
      <w:pPr>
        <w:ind w:firstLine="480"/>
      </w:pPr>
      <w:bookmarkStart w:id="54" w:name="_Toc15367"/>
      <w:bookmarkStart w:id="55" w:name="_Toc20566"/>
      <w:bookmarkStart w:id="56" w:name="_Toc20421"/>
      <w:bookmarkStart w:id="57" w:name="_Toc1880"/>
      <w:bookmarkStart w:id="58" w:name="_Toc19273"/>
      <w:bookmarkStart w:id="59" w:name="_Toc3665"/>
      <w:bookmarkStart w:id="60" w:name="_Toc18383"/>
      <w:bookmarkStart w:id="61" w:name="_Toc11864"/>
      <w:bookmarkStart w:id="62" w:name="_Toc32571"/>
      <w:bookmarkStart w:id="63" w:name="_Toc26315"/>
      <w:bookmarkStart w:id="64" w:name="_Toc23100"/>
      <w:bookmarkStart w:id="65" w:name="_Toc20041"/>
      <w:bookmarkStart w:id="66" w:name="_Toc106792074"/>
      <w:bookmarkStart w:id="67" w:name="_Toc28855"/>
      <w:bookmarkStart w:id="68" w:name="_Toc13594"/>
      <w:bookmarkStart w:id="69" w:name="_Toc24117"/>
      <w:bookmarkStart w:id="70" w:name="_Toc369"/>
      <w:bookmarkStart w:id="71" w:name="_Toc5753"/>
      <w:bookmarkStart w:id="72" w:name="_Toc1256"/>
      <w:bookmarkStart w:id="73" w:name="_Toc8106"/>
      <w:r>
        <w:rPr>
          <w:rFonts w:hint="eastAsia"/>
        </w:rPr>
        <w:t>1.1 合同组成部分</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p>
      <w:pPr>
        <w:ind w:firstLine="480"/>
      </w:pPr>
      <w:r>
        <w:rPr>
          <w:rFonts w:hint="eastAsia"/>
        </w:rPr>
        <w:t>下列文件为本合同的组成部分，并构成一个整体，需综合解释、相互补充。如果下列文件内容出现不一致的情形，那么在保证按照采购文件确定的事项的前提下，组成本合同的多个文件的优先适用顺序如下：</w:t>
      </w:r>
    </w:p>
    <w:p>
      <w:pPr>
        <w:ind w:firstLine="480"/>
      </w:pPr>
      <w:r>
        <w:rPr>
          <w:rFonts w:hint="eastAsia"/>
        </w:rPr>
        <w:t>1.1.1 本合同及其补充合同、变更协议；</w:t>
      </w:r>
    </w:p>
    <w:p>
      <w:pPr>
        <w:ind w:firstLine="480"/>
      </w:pPr>
      <w:r>
        <w:rPr>
          <w:rFonts w:hint="eastAsia"/>
        </w:rPr>
        <w:t>1.1.2中标通知书；</w:t>
      </w:r>
    </w:p>
    <w:p>
      <w:pPr>
        <w:ind w:firstLine="480"/>
      </w:pPr>
      <w:r>
        <w:rPr>
          <w:rFonts w:hint="eastAsia"/>
        </w:rPr>
        <w:t>1.1.3 竞争性谈判文件（含澄清或者说明文件）；</w:t>
      </w:r>
    </w:p>
    <w:p>
      <w:pPr>
        <w:ind w:firstLine="480"/>
      </w:pPr>
      <w:r>
        <w:rPr>
          <w:rFonts w:hint="eastAsia"/>
        </w:rPr>
        <w:t>1.1.4 竞争性谈判文件（含澄清或者修改文件）；</w:t>
      </w:r>
    </w:p>
    <w:p>
      <w:pPr>
        <w:ind w:firstLine="480"/>
      </w:pPr>
      <w:r>
        <w:rPr>
          <w:rFonts w:hint="eastAsia"/>
        </w:rPr>
        <w:t>1.1.5 其他相关采购文件。</w:t>
      </w:r>
    </w:p>
    <w:p>
      <w:pPr>
        <w:ind w:firstLine="482"/>
        <w:rPr>
          <w:rFonts w:ascii="宋体" w:hAnsi="宋体" w:cs="微软雅黑"/>
          <w:b/>
        </w:rPr>
      </w:pPr>
      <w:bookmarkStart w:id="74" w:name="_Toc6313"/>
      <w:bookmarkStart w:id="75" w:name="_Toc15369"/>
      <w:bookmarkStart w:id="76" w:name="_Toc15104"/>
      <w:bookmarkStart w:id="77" w:name="_Toc24493"/>
      <w:bookmarkStart w:id="78" w:name="_Toc22185"/>
      <w:bookmarkStart w:id="79" w:name="_Toc23275"/>
      <w:bookmarkStart w:id="80" w:name="_Toc538"/>
      <w:bookmarkStart w:id="81" w:name="_Toc27983"/>
      <w:bookmarkStart w:id="82" w:name="_Toc6773"/>
      <w:bookmarkStart w:id="83" w:name="_Toc18585"/>
      <w:bookmarkStart w:id="84" w:name="_Toc12685"/>
      <w:bookmarkStart w:id="85" w:name="_Toc28751"/>
      <w:bookmarkStart w:id="86" w:name="_Toc106792075"/>
      <w:bookmarkStart w:id="87" w:name="_Toc1090"/>
      <w:bookmarkStart w:id="88" w:name="_Toc2918"/>
      <w:bookmarkStart w:id="89" w:name="_Toc1944"/>
      <w:bookmarkStart w:id="90" w:name="_Toc27911"/>
      <w:bookmarkStart w:id="91" w:name="_Toc18571"/>
      <w:bookmarkStart w:id="92" w:name="_Toc30602"/>
      <w:bookmarkStart w:id="93" w:name="_Toc6311"/>
      <w:bookmarkStart w:id="94" w:name="_Toc31498"/>
      <w:r>
        <w:rPr>
          <w:rFonts w:hint="eastAsia" w:ascii="宋体" w:hAnsi="宋体" w:cs="微软雅黑"/>
          <w:b/>
        </w:rPr>
        <w:t>1.2 标的</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p>
    <w:p>
      <w:pPr>
        <w:ind w:firstLine="480"/>
        <w:rPr>
          <w:rFonts w:ascii="宋体" w:hAnsi="宋体" w:cs="微软雅黑"/>
          <w:u w:val="single"/>
        </w:rPr>
      </w:pPr>
      <w:r>
        <w:rPr>
          <w:rFonts w:hint="eastAsia" w:ascii="宋体" w:hAnsi="宋体" w:cs="微软雅黑"/>
        </w:rPr>
        <w:t>1.2.1 标的名称：</w:t>
      </w:r>
      <w:r>
        <w:rPr>
          <w:rFonts w:hint="eastAsia" w:ascii="宋体" w:hAnsi="宋体" w:cs="微软雅黑"/>
          <w:u w:val="single"/>
        </w:rPr>
        <w:t xml:space="preserve">                                                </w:t>
      </w:r>
      <w:r>
        <w:rPr>
          <w:rFonts w:hint="eastAsia" w:ascii="宋体" w:hAnsi="宋体" w:cs="微软雅黑"/>
        </w:rPr>
        <w:t>；</w:t>
      </w:r>
    </w:p>
    <w:p>
      <w:pPr>
        <w:ind w:firstLine="480"/>
        <w:rPr>
          <w:rFonts w:ascii="宋体" w:hAnsi="宋体" w:cs="微软雅黑"/>
          <w:u w:val="single"/>
        </w:rPr>
      </w:pPr>
      <w:r>
        <w:rPr>
          <w:rFonts w:hint="eastAsia" w:ascii="宋体" w:hAnsi="宋体" w:cs="微软雅黑"/>
        </w:rPr>
        <w:t>1.2.2 标的数量：</w:t>
      </w:r>
      <w:r>
        <w:rPr>
          <w:rFonts w:hint="eastAsia" w:ascii="宋体" w:hAnsi="宋体" w:cs="微软雅黑"/>
          <w:u w:val="single"/>
        </w:rPr>
        <w:t xml:space="preserve">                                                </w:t>
      </w:r>
      <w:r>
        <w:rPr>
          <w:rFonts w:hint="eastAsia" w:ascii="宋体" w:hAnsi="宋体" w:cs="微软雅黑"/>
        </w:rPr>
        <w:t>；</w:t>
      </w:r>
    </w:p>
    <w:p>
      <w:pPr>
        <w:ind w:firstLine="480"/>
        <w:rPr>
          <w:rFonts w:ascii="宋体" w:hAnsi="宋体" w:cs="微软雅黑"/>
        </w:rPr>
      </w:pPr>
      <w:r>
        <w:rPr>
          <w:rFonts w:hint="eastAsia" w:ascii="宋体" w:hAnsi="宋体" w:cs="微软雅黑"/>
        </w:rPr>
        <w:t>1.2.3 标的质量：</w:t>
      </w:r>
      <w:r>
        <w:rPr>
          <w:rFonts w:hint="eastAsia" w:ascii="宋体" w:hAnsi="宋体" w:cs="微软雅黑"/>
          <w:u w:val="single"/>
        </w:rPr>
        <w:t xml:space="preserve">　　　　　　　　　                      　      </w:t>
      </w:r>
      <w:r>
        <w:rPr>
          <w:rFonts w:hint="eastAsia" w:ascii="宋体" w:hAnsi="宋体" w:cs="微软雅黑"/>
        </w:rPr>
        <w:t>。</w:t>
      </w:r>
    </w:p>
    <w:p>
      <w:pPr>
        <w:ind w:firstLine="482"/>
        <w:rPr>
          <w:rFonts w:ascii="宋体" w:hAnsi="宋体" w:cs="微软雅黑"/>
          <w:b/>
        </w:rPr>
      </w:pPr>
      <w:bookmarkStart w:id="95" w:name="_Toc4929"/>
      <w:bookmarkStart w:id="96" w:name="_Toc24305"/>
      <w:bookmarkStart w:id="97" w:name="_Toc5635"/>
      <w:bookmarkStart w:id="98" w:name="_Toc23906"/>
      <w:bookmarkStart w:id="99" w:name="_Toc32314"/>
      <w:bookmarkStart w:id="100" w:name="_Toc28143"/>
      <w:bookmarkStart w:id="101" w:name="_Toc23026"/>
      <w:bookmarkStart w:id="102" w:name="_Toc13554"/>
      <w:bookmarkStart w:id="103" w:name="_Toc13512"/>
      <w:bookmarkStart w:id="104" w:name="_Toc31200"/>
      <w:bookmarkStart w:id="105" w:name="_Toc13918"/>
      <w:bookmarkStart w:id="106" w:name="_Toc10671"/>
      <w:bookmarkStart w:id="107" w:name="_Toc27077"/>
      <w:bookmarkStart w:id="108" w:name="_Toc17541"/>
      <w:bookmarkStart w:id="109" w:name="_Toc2888"/>
      <w:bookmarkStart w:id="110" w:name="_Toc106792076"/>
      <w:bookmarkStart w:id="111" w:name="_Toc26191"/>
      <w:bookmarkStart w:id="112" w:name="_Toc4932"/>
      <w:bookmarkStart w:id="113" w:name="_Toc21124"/>
      <w:bookmarkStart w:id="114" w:name="_Toc4687"/>
      <w:bookmarkStart w:id="115" w:name="_Toc1386"/>
      <w:r>
        <w:rPr>
          <w:rFonts w:hint="eastAsia" w:ascii="宋体" w:hAnsi="宋体" w:cs="微软雅黑"/>
          <w:b/>
        </w:rPr>
        <w:t>1.3 价款</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p>
    <w:p>
      <w:pPr>
        <w:ind w:firstLine="480"/>
        <w:rPr>
          <w:rFonts w:ascii="宋体" w:hAnsi="宋体" w:cs="微软雅黑"/>
        </w:rPr>
      </w:pPr>
      <w:r>
        <w:rPr>
          <w:rFonts w:hint="eastAsia" w:ascii="宋体" w:hAnsi="宋体" w:cs="微软雅黑"/>
        </w:rPr>
        <w:t>本合同总价为：￥</w:t>
      </w:r>
      <w:r>
        <w:rPr>
          <w:rFonts w:hint="eastAsia" w:ascii="宋体" w:hAnsi="宋体" w:cs="微软雅黑"/>
          <w:u w:val="single"/>
        </w:rPr>
        <w:t xml:space="preserve">           </w:t>
      </w:r>
      <w:r>
        <w:rPr>
          <w:rFonts w:hint="eastAsia" w:ascii="宋体" w:hAnsi="宋体" w:cs="微软雅黑"/>
        </w:rPr>
        <w:t>元（大写：</w:t>
      </w:r>
      <w:r>
        <w:rPr>
          <w:rFonts w:hint="eastAsia" w:ascii="宋体" w:hAnsi="宋体" w:cs="微软雅黑"/>
          <w:u w:val="single"/>
        </w:rPr>
        <w:t xml:space="preserve">                 </w:t>
      </w:r>
      <w:r>
        <w:rPr>
          <w:rFonts w:hint="eastAsia" w:ascii="宋体" w:hAnsi="宋体" w:cs="微软雅黑"/>
        </w:rPr>
        <w:t>元人民币）。</w:t>
      </w:r>
    </w:p>
    <w:p>
      <w:pPr>
        <w:ind w:firstLine="480"/>
        <w:rPr>
          <w:rFonts w:ascii="宋体" w:hAnsi="宋体" w:cs="微软雅黑"/>
          <w:u w:val="single"/>
        </w:rPr>
      </w:pPr>
      <w:r>
        <w:rPr>
          <w:rFonts w:hint="eastAsia" w:ascii="宋体" w:hAnsi="宋体" w:cs="微软雅黑"/>
        </w:rPr>
        <w:t>分项价格：</w:t>
      </w:r>
    </w:p>
    <w:tbl>
      <w:tblPr>
        <w:tblStyle w:val="2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spacing w:line="400" w:lineRule="exact"/>
              <w:ind w:firstLine="480"/>
              <w:jc w:val="center"/>
              <w:rPr>
                <w:rFonts w:hAnsi="宋体" w:cs="微软雅黑"/>
                <w:szCs w:val="24"/>
              </w:rPr>
            </w:pPr>
            <w:r>
              <w:rPr>
                <w:rFonts w:hint="eastAsia" w:hAnsi="宋体" w:cs="微软雅黑"/>
                <w:szCs w:val="24"/>
              </w:rPr>
              <w:t>序号</w:t>
            </w:r>
          </w:p>
        </w:tc>
        <w:tc>
          <w:tcPr>
            <w:tcW w:w="3402" w:type="dxa"/>
            <w:vAlign w:val="center"/>
          </w:tcPr>
          <w:p>
            <w:pPr>
              <w:spacing w:line="400" w:lineRule="exact"/>
              <w:ind w:firstLine="480"/>
              <w:jc w:val="center"/>
              <w:rPr>
                <w:rFonts w:hAnsi="宋体" w:cs="微软雅黑"/>
                <w:szCs w:val="24"/>
              </w:rPr>
            </w:pPr>
            <w:r>
              <w:rPr>
                <w:rFonts w:hint="eastAsia" w:hAnsi="宋体" w:cs="微软雅黑"/>
                <w:szCs w:val="24"/>
              </w:rPr>
              <w:t>分项名称</w:t>
            </w:r>
          </w:p>
        </w:tc>
        <w:tc>
          <w:tcPr>
            <w:tcW w:w="2552" w:type="dxa"/>
            <w:vAlign w:val="center"/>
          </w:tcPr>
          <w:p>
            <w:pPr>
              <w:spacing w:line="400" w:lineRule="exact"/>
              <w:ind w:firstLine="480"/>
              <w:jc w:val="center"/>
              <w:rPr>
                <w:rFonts w:hAnsi="宋体" w:cs="微软雅黑"/>
                <w:szCs w:val="24"/>
              </w:rPr>
            </w:pPr>
            <w:r>
              <w:rPr>
                <w:rFonts w:hint="eastAsia" w:hAnsi="宋体" w:cs="微软雅黑"/>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spacing w:line="400" w:lineRule="exact"/>
              <w:ind w:firstLine="480"/>
              <w:jc w:val="center"/>
              <w:rPr>
                <w:rFonts w:hAnsi="宋体" w:cs="微软雅黑"/>
                <w:szCs w:val="24"/>
              </w:rPr>
            </w:pPr>
          </w:p>
        </w:tc>
        <w:tc>
          <w:tcPr>
            <w:tcW w:w="3402" w:type="dxa"/>
            <w:vAlign w:val="center"/>
          </w:tcPr>
          <w:p>
            <w:pPr>
              <w:spacing w:line="400" w:lineRule="exact"/>
              <w:ind w:firstLine="480"/>
              <w:jc w:val="center"/>
              <w:rPr>
                <w:rFonts w:hAnsi="宋体" w:cs="微软雅黑"/>
                <w:szCs w:val="24"/>
              </w:rPr>
            </w:pPr>
          </w:p>
        </w:tc>
        <w:tc>
          <w:tcPr>
            <w:tcW w:w="2552" w:type="dxa"/>
            <w:vAlign w:val="center"/>
          </w:tcPr>
          <w:p>
            <w:pPr>
              <w:spacing w:line="400" w:lineRule="exact"/>
              <w:ind w:firstLine="480"/>
              <w:jc w:val="center"/>
              <w:rPr>
                <w:rFonts w:hAnsi="宋体" w:cs="微软雅黑"/>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spacing w:line="400" w:lineRule="exact"/>
              <w:ind w:firstLine="480"/>
              <w:jc w:val="center"/>
              <w:rPr>
                <w:rFonts w:hAnsi="宋体" w:cs="微软雅黑"/>
                <w:szCs w:val="24"/>
              </w:rPr>
            </w:pPr>
          </w:p>
        </w:tc>
        <w:tc>
          <w:tcPr>
            <w:tcW w:w="3402" w:type="dxa"/>
            <w:vAlign w:val="center"/>
          </w:tcPr>
          <w:p>
            <w:pPr>
              <w:spacing w:line="400" w:lineRule="exact"/>
              <w:ind w:firstLine="480"/>
              <w:jc w:val="center"/>
              <w:rPr>
                <w:rFonts w:hAnsi="宋体" w:cs="微软雅黑"/>
                <w:szCs w:val="24"/>
              </w:rPr>
            </w:pPr>
          </w:p>
        </w:tc>
        <w:tc>
          <w:tcPr>
            <w:tcW w:w="2552" w:type="dxa"/>
            <w:vAlign w:val="center"/>
          </w:tcPr>
          <w:p>
            <w:pPr>
              <w:spacing w:line="400" w:lineRule="exact"/>
              <w:ind w:firstLine="480"/>
              <w:jc w:val="center"/>
              <w:rPr>
                <w:rFonts w:hAnsi="宋体" w:cs="微软雅黑"/>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spacing w:line="400" w:lineRule="exact"/>
              <w:ind w:firstLine="480"/>
              <w:jc w:val="center"/>
              <w:rPr>
                <w:rFonts w:hAnsi="宋体" w:cs="微软雅黑"/>
                <w:szCs w:val="24"/>
              </w:rPr>
            </w:pPr>
          </w:p>
        </w:tc>
        <w:tc>
          <w:tcPr>
            <w:tcW w:w="3402" w:type="dxa"/>
            <w:vAlign w:val="center"/>
          </w:tcPr>
          <w:p>
            <w:pPr>
              <w:spacing w:line="400" w:lineRule="exact"/>
              <w:ind w:firstLine="480"/>
              <w:jc w:val="center"/>
              <w:rPr>
                <w:rFonts w:hAnsi="宋体" w:cs="微软雅黑"/>
                <w:szCs w:val="24"/>
              </w:rPr>
            </w:pPr>
          </w:p>
        </w:tc>
        <w:tc>
          <w:tcPr>
            <w:tcW w:w="2552" w:type="dxa"/>
            <w:vAlign w:val="center"/>
          </w:tcPr>
          <w:p>
            <w:pPr>
              <w:spacing w:line="400" w:lineRule="exact"/>
              <w:ind w:firstLine="480"/>
              <w:jc w:val="center"/>
              <w:rPr>
                <w:rFonts w:hAnsi="宋体" w:cs="微软雅黑"/>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spacing w:line="400" w:lineRule="exact"/>
              <w:ind w:firstLine="480"/>
              <w:jc w:val="center"/>
              <w:rPr>
                <w:rFonts w:hAnsi="宋体" w:cs="微软雅黑"/>
                <w:szCs w:val="24"/>
              </w:rPr>
            </w:pPr>
          </w:p>
        </w:tc>
        <w:tc>
          <w:tcPr>
            <w:tcW w:w="3402" w:type="dxa"/>
            <w:vAlign w:val="center"/>
          </w:tcPr>
          <w:p>
            <w:pPr>
              <w:spacing w:line="400" w:lineRule="exact"/>
              <w:ind w:firstLine="480"/>
              <w:jc w:val="center"/>
              <w:rPr>
                <w:rFonts w:hAnsi="宋体" w:cs="微软雅黑"/>
                <w:szCs w:val="24"/>
              </w:rPr>
            </w:pPr>
          </w:p>
        </w:tc>
        <w:tc>
          <w:tcPr>
            <w:tcW w:w="2552" w:type="dxa"/>
            <w:vAlign w:val="center"/>
          </w:tcPr>
          <w:p>
            <w:pPr>
              <w:spacing w:line="400" w:lineRule="exact"/>
              <w:ind w:firstLine="480"/>
              <w:jc w:val="center"/>
              <w:rPr>
                <w:rFonts w:hAnsi="宋体" w:cs="微软雅黑"/>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spacing w:line="400" w:lineRule="exact"/>
              <w:ind w:firstLine="480"/>
              <w:jc w:val="center"/>
              <w:rPr>
                <w:rFonts w:hAnsi="宋体" w:cs="微软雅黑"/>
                <w:szCs w:val="24"/>
              </w:rPr>
            </w:pPr>
            <w:r>
              <w:rPr>
                <w:rFonts w:hint="eastAsia" w:hAnsi="宋体" w:cs="微软雅黑"/>
                <w:szCs w:val="24"/>
              </w:rPr>
              <w:t>总价</w:t>
            </w:r>
          </w:p>
        </w:tc>
        <w:tc>
          <w:tcPr>
            <w:tcW w:w="2552" w:type="dxa"/>
            <w:vAlign w:val="center"/>
          </w:tcPr>
          <w:p>
            <w:pPr>
              <w:spacing w:line="400" w:lineRule="exact"/>
              <w:ind w:firstLine="480"/>
              <w:jc w:val="center"/>
              <w:rPr>
                <w:rFonts w:hAnsi="宋体" w:cs="微软雅黑"/>
                <w:szCs w:val="24"/>
              </w:rPr>
            </w:pPr>
          </w:p>
        </w:tc>
      </w:tr>
    </w:tbl>
    <w:p>
      <w:pPr>
        <w:ind w:firstLine="480"/>
      </w:pPr>
      <w:bookmarkStart w:id="116" w:name="_Toc21059"/>
      <w:bookmarkStart w:id="117" w:name="_Toc30506"/>
      <w:bookmarkStart w:id="118" w:name="_Toc28761"/>
      <w:bookmarkStart w:id="119" w:name="_Toc3654"/>
      <w:bookmarkStart w:id="120" w:name="_Toc5510"/>
      <w:bookmarkStart w:id="121" w:name="_Toc28219"/>
      <w:bookmarkStart w:id="122" w:name="_Toc6998"/>
      <w:bookmarkStart w:id="123" w:name="_Toc32305"/>
      <w:bookmarkStart w:id="124" w:name="_Toc19221"/>
      <w:bookmarkStart w:id="125" w:name="_Toc106792077"/>
      <w:bookmarkStart w:id="126" w:name="_Toc14993"/>
      <w:bookmarkStart w:id="127" w:name="_Toc23173"/>
      <w:bookmarkStart w:id="128" w:name="_Toc2559"/>
      <w:bookmarkStart w:id="129" w:name="_Toc19143"/>
      <w:bookmarkStart w:id="130" w:name="_Toc25910"/>
      <w:bookmarkStart w:id="131" w:name="_Toc30158"/>
      <w:bookmarkStart w:id="132" w:name="_Toc26916"/>
      <w:bookmarkStart w:id="133" w:name="_Toc8041"/>
      <w:bookmarkStart w:id="134" w:name="_Toc7832"/>
      <w:bookmarkStart w:id="135" w:name="_Toc17855"/>
      <w:r>
        <w:rPr>
          <w:rFonts w:hint="eastAsia"/>
        </w:rPr>
        <w:t>1.4 付款方式和发票开具方式</w:t>
      </w:r>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
      <w:pPr>
        <w:ind w:firstLine="480"/>
      </w:pPr>
      <w:r>
        <w:rPr>
          <w:rFonts w:hint="eastAsia"/>
        </w:rPr>
        <w:t>1.4.1付款方式：</w:t>
      </w:r>
      <w:r>
        <w:rPr>
          <w:rFonts w:hint="eastAsia"/>
          <w:u w:val="single"/>
        </w:rPr>
        <w:t xml:space="preserve">                                                </w:t>
      </w:r>
      <w:r>
        <w:rPr>
          <w:rFonts w:hint="eastAsia"/>
        </w:rPr>
        <w:t>；</w:t>
      </w:r>
    </w:p>
    <w:p>
      <w:pPr>
        <w:ind w:firstLine="480"/>
      </w:pPr>
      <w:r>
        <w:rPr>
          <w:rFonts w:hint="eastAsia"/>
        </w:rPr>
        <w:t>1.4.2 发票开具方式：</w:t>
      </w:r>
      <w:r>
        <w:rPr>
          <w:rFonts w:hint="eastAsia"/>
          <w:u w:val="single"/>
        </w:rPr>
        <w:t xml:space="preserve">                                            </w:t>
      </w:r>
      <w:r>
        <w:rPr>
          <w:rFonts w:hint="eastAsia"/>
        </w:rPr>
        <w:t>。</w:t>
      </w:r>
    </w:p>
    <w:p>
      <w:pPr>
        <w:ind w:firstLine="480"/>
      </w:pPr>
      <w:bookmarkStart w:id="136" w:name="_Toc4760"/>
      <w:bookmarkStart w:id="137" w:name="_Toc28212"/>
      <w:bookmarkStart w:id="138" w:name="_Toc4301"/>
      <w:bookmarkStart w:id="139" w:name="_Toc23903"/>
      <w:bookmarkStart w:id="140" w:name="_Toc3007"/>
      <w:bookmarkStart w:id="141" w:name="_Toc6280"/>
      <w:bookmarkStart w:id="142" w:name="_Toc24233"/>
      <w:bookmarkStart w:id="143" w:name="_Toc21606"/>
      <w:bookmarkStart w:id="144" w:name="_Toc3251"/>
      <w:bookmarkStart w:id="145" w:name="_Toc8772"/>
      <w:bookmarkStart w:id="146" w:name="_Toc26729"/>
      <w:bookmarkStart w:id="147" w:name="_Toc11108"/>
      <w:bookmarkStart w:id="148" w:name="_Toc17889"/>
      <w:bookmarkStart w:id="149" w:name="_Toc32135"/>
      <w:bookmarkStart w:id="150" w:name="_Toc12261"/>
      <w:bookmarkStart w:id="151" w:name="_Toc106792078"/>
      <w:bookmarkStart w:id="152" w:name="_Toc25762"/>
      <w:bookmarkStart w:id="153" w:name="_Toc31421"/>
      <w:bookmarkStart w:id="154" w:name="_Toc29115"/>
      <w:bookmarkStart w:id="155" w:name="_Toc19186"/>
      <w:bookmarkStart w:id="156" w:name="_Toc3625"/>
      <w:r>
        <w:rPr>
          <w:rFonts w:hint="eastAsia"/>
        </w:rPr>
        <w:t>1.5 履行期限、地点和方式</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p>
      <w:pPr>
        <w:ind w:firstLine="480"/>
        <w:rPr>
          <w:u w:val="single"/>
        </w:rPr>
      </w:pPr>
      <w:r>
        <w:rPr>
          <w:rFonts w:hint="eastAsia"/>
        </w:rPr>
        <w:t>1.5.1 履行期限：</w:t>
      </w:r>
      <w:r>
        <w:rPr>
          <w:rFonts w:hint="eastAsia"/>
          <w:u w:val="single"/>
        </w:rPr>
        <w:t xml:space="preserve">                                                </w:t>
      </w:r>
      <w:r>
        <w:rPr>
          <w:rFonts w:hint="eastAsia"/>
        </w:rPr>
        <w:t>；</w:t>
      </w:r>
    </w:p>
    <w:p>
      <w:pPr>
        <w:ind w:firstLine="480"/>
      </w:pPr>
      <w:r>
        <w:rPr>
          <w:rFonts w:hint="eastAsia"/>
        </w:rPr>
        <w:t>1.5.2 履行地点：</w:t>
      </w:r>
      <w:r>
        <w:rPr>
          <w:rFonts w:hint="eastAsia"/>
          <w:u w:val="single"/>
        </w:rPr>
        <w:t xml:space="preserve">                                                </w:t>
      </w:r>
      <w:r>
        <w:rPr>
          <w:rFonts w:hint="eastAsia"/>
        </w:rPr>
        <w:t>；</w:t>
      </w:r>
    </w:p>
    <w:p>
      <w:pPr>
        <w:ind w:firstLine="480"/>
      </w:pPr>
      <w:r>
        <w:rPr>
          <w:rFonts w:hint="eastAsia"/>
        </w:rPr>
        <w:t>1.5.3 履行方式：</w:t>
      </w:r>
      <w:r>
        <w:rPr>
          <w:rFonts w:hint="eastAsia"/>
          <w:u w:val="single"/>
        </w:rPr>
        <w:t xml:space="preserve">　　　　　　　　　                      　      </w:t>
      </w:r>
      <w:r>
        <w:rPr>
          <w:rFonts w:hint="eastAsia"/>
        </w:rPr>
        <w:t>。</w:t>
      </w:r>
    </w:p>
    <w:p>
      <w:pPr>
        <w:ind w:firstLine="480"/>
        <w:rPr>
          <w:u w:val="single"/>
        </w:rPr>
      </w:pPr>
      <w:bookmarkStart w:id="157" w:name="_Toc1814"/>
      <w:bookmarkStart w:id="158" w:name="_Toc106792079"/>
      <w:bookmarkStart w:id="159" w:name="_Toc22963"/>
      <w:bookmarkStart w:id="160" w:name="_Toc18474"/>
      <w:bookmarkStart w:id="161" w:name="_Toc7639"/>
      <w:bookmarkStart w:id="162" w:name="_Toc8586"/>
      <w:bookmarkStart w:id="163" w:name="_Toc5863"/>
      <w:bookmarkStart w:id="164" w:name="_Toc24662"/>
      <w:bookmarkStart w:id="165" w:name="_Toc2375"/>
      <w:bookmarkStart w:id="166" w:name="_Toc30025"/>
      <w:bookmarkStart w:id="167" w:name="_Toc16708"/>
      <w:bookmarkStart w:id="168" w:name="_Toc27990"/>
      <w:bookmarkStart w:id="169" w:name="_Toc12514"/>
      <w:bookmarkStart w:id="170" w:name="_Toc3079"/>
      <w:bookmarkStart w:id="171" w:name="_Toc5418"/>
      <w:bookmarkStart w:id="172" w:name="_Toc5698"/>
      <w:bookmarkStart w:id="173" w:name="_Toc18326"/>
      <w:bookmarkStart w:id="174" w:name="_Toc25461"/>
      <w:bookmarkStart w:id="175" w:name="_Toc10490"/>
      <w:bookmarkStart w:id="176" w:name="_Toc3290"/>
      <w:r>
        <w:rPr>
          <w:rFonts w:hint="eastAsia"/>
        </w:rPr>
        <w:t>1.6 违约责任</w:t>
      </w:r>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p>
    <w:p>
      <w:pPr>
        <w:ind w:firstLine="480"/>
      </w:pPr>
      <w:r>
        <w:rPr>
          <w:rFonts w:hint="eastAsia"/>
        </w:rPr>
        <w:t>1.6.1 除不可抗力外，如果乙方没有按照本合同约定的期限、地点和方式履行，那么甲方可要求乙方支付违约金，违约金按每迟延履行一日的应提供而未提供服务价格的</w:t>
      </w:r>
      <w:r>
        <w:rPr>
          <w:rFonts w:hint="eastAsia"/>
          <w:u w:val="single"/>
        </w:rPr>
        <w:t xml:space="preserve">    </w:t>
      </w:r>
      <w:r>
        <w:rPr>
          <w:rFonts w:hint="eastAsia"/>
        </w:rPr>
        <w:t>%计算，最高限额为本合同总价的</w:t>
      </w:r>
      <w:r>
        <w:rPr>
          <w:rFonts w:hint="eastAsia"/>
          <w:u w:val="single"/>
        </w:rPr>
        <w:t xml:space="preserve">     </w:t>
      </w:r>
      <w:r>
        <w:rPr>
          <w:rFonts w:hint="eastAsia"/>
        </w:rPr>
        <w:t>%；迟延履行的违约金计算数额达到前述最高限额之日起，甲方有权在要求乙方支付违约金的同时，书面通知乙方解除本合同；</w:t>
      </w:r>
    </w:p>
    <w:p>
      <w:pPr>
        <w:ind w:firstLine="480"/>
      </w:pPr>
      <w:r>
        <w:rPr>
          <w:rFonts w:hint="eastAsia"/>
        </w:rPr>
        <w:t>1.6.2 除不可抗力外，如果甲方没有按照本合同约定的付款方式付款，那么乙方可要求甲方支付违约金，违约金按每迟延付款一日的应付而未付款的</w:t>
      </w:r>
      <w:r>
        <w:rPr>
          <w:rFonts w:hint="eastAsia"/>
          <w:u w:val="single"/>
        </w:rPr>
        <w:t xml:space="preserve">    </w:t>
      </w:r>
      <w:r>
        <w:rPr>
          <w:rFonts w:hint="eastAsia"/>
        </w:rPr>
        <w:t>%计算，最高限额为本合同总价的</w:t>
      </w:r>
      <w:r>
        <w:rPr>
          <w:rFonts w:hint="eastAsia"/>
          <w:u w:val="single"/>
        </w:rPr>
        <w:t xml:space="preserve">     </w:t>
      </w:r>
      <w:r>
        <w:rPr>
          <w:rFonts w:hint="eastAsia"/>
        </w:rPr>
        <w:t>%；迟延付款的违约金计算数额达到前述最高限额之日起，乙方有权在要求甲方支付违约金的同时，书面通知甲方解除本合同；</w:t>
      </w:r>
    </w:p>
    <w:p>
      <w:pPr>
        <w:ind w:firstLine="480"/>
      </w:pPr>
      <w:r>
        <w:rPr>
          <w:rFonts w:hint="eastAsia"/>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ind w:firstLine="480"/>
      </w:pPr>
      <w:r>
        <w:rPr>
          <w:rFonts w:hint="eastAsia"/>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ind w:firstLine="480"/>
      </w:pPr>
      <w:r>
        <w:rPr>
          <w:rFonts w:hint="eastAsia"/>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ind w:firstLine="480"/>
      </w:pPr>
      <w:r>
        <w:rPr>
          <w:rFonts w:hint="eastAsia"/>
        </w:rPr>
        <w:t>1.6.6 如果出现政府采购监督管理部门在处理投诉事项期间，书面通知甲方暂停采购活动的情形，或者询问或质疑事项可能影响成交结果的，导致甲方中止履行合同的情形，均不视为甲方违约。</w:t>
      </w:r>
    </w:p>
    <w:p>
      <w:pPr>
        <w:ind w:firstLine="480"/>
      </w:pPr>
      <w:bookmarkStart w:id="177" w:name="_Toc23069"/>
      <w:bookmarkStart w:id="178" w:name="_Toc774"/>
      <w:bookmarkStart w:id="179" w:name="_Toc25283"/>
      <w:bookmarkStart w:id="180" w:name="_Toc32097"/>
      <w:bookmarkStart w:id="181" w:name="_Toc18683"/>
      <w:bookmarkStart w:id="182" w:name="_Toc32454"/>
      <w:bookmarkStart w:id="183" w:name="_Toc13634"/>
      <w:bookmarkStart w:id="184" w:name="_Toc4563"/>
      <w:bookmarkStart w:id="185" w:name="_Toc12954"/>
      <w:bookmarkStart w:id="186" w:name="_Toc26807"/>
      <w:bookmarkStart w:id="187" w:name="_Toc30329"/>
      <w:bookmarkStart w:id="188" w:name="_Toc3964"/>
      <w:bookmarkStart w:id="189" w:name="_Toc4448"/>
      <w:bookmarkStart w:id="190" w:name="_Toc9782"/>
      <w:bookmarkStart w:id="191" w:name="_Toc16127"/>
      <w:bookmarkStart w:id="192" w:name="_Toc13358"/>
      <w:bookmarkStart w:id="193" w:name="_Toc106792080"/>
      <w:bookmarkStart w:id="194" w:name="_Toc21818"/>
      <w:bookmarkStart w:id="195" w:name="_Toc10575"/>
      <w:bookmarkStart w:id="196" w:name="_Toc9497"/>
      <w:bookmarkStart w:id="197" w:name="_Toc14940"/>
      <w:r>
        <w:rPr>
          <w:rFonts w:hint="eastAsia"/>
        </w:rPr>
        <w:t>1.7 合同争议的解决</w:t>
      </w:r>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p>
    <w:p>
      <w:pPr>
        <w:ind w:firstLine="480"/>
      </w:pPr>
      <w:r>
        <w:rPr>
          <w:rFonts w:hint="eastAsia"/>
        </w:rPr>
        <w:t>本合同履行过程中发生的任何争议，双方当事人均可通过和解或者调解解决；不愿和解、调解或者和解、调解不成的，可以选择下列第</w:t>
      </w:r>
      <w:r>
        <w:rPr>
          <w:rFonts w:hint="eastAsia"/>
          <w:u w:val="single"/>
        </w:rPr>
        <w:t xml:space="preserve">    </w:t>
      </w:r>
      <w:r>
        <w:rPr>
          <w:rFonts w:hint="eastAsia"/>
        </w:rPr>
        <w:t>种方式解决：</w:t>
      </w:r>
    </w:p>
    <w:p>
      <w:pPr>
        <w:ind w:firstLine="480"/>
      </w:pPr>
      <w:r>
        <w:rPr>
          <w:rFonts w:hint="eastAsia"/>
        </w:rPr>
        <w:t>1.7.1 将争议提交</w:t>
      </w:r>
      <w:r>
        <w:rPr>
          <w:rFonts w:hint="eastAsia"/>
          <w:u w:val="single"/>
        </w:rPr>
        <w:t xml:space="preserve">              </w:t>
      </w:r>
      <w:r>
        <w:rPr>
          <w:rFonts w:hint="eastAsia"/>
        </w:rPr>
        <w:t>仲裁委员会依申请仲裁时其现行有效的仲裁规则裁决；</w:t>
      </w:r>
    </w:p>
    <w:p>
      <w:pPr>
        <w:ind w:firstLine="480"/>
      </w:pPr>
      <w:r>
        <w:rPr>
          <w:rFonts w:hint="eastAsia"/>
        </w:rPr>
        <w:t>1.7.2 向</w:t>
      </w:r>
      <w:r>
        <w:rPr>
          <w:rFonts w:hint="eastAsia"/>
          <w:u w:val="single"/>
        </w:rPr>
        <w:t xml:space="preserve">   （被告住所地、合同履行地、合同签订地、原告住所地、标的物所在地等与争议有实际联系的地点中选出的人民法院名称）    </w:t>
      </w:r>
      <w:r>
        <w:rPr>
          <w:rFonts w:hint="eastAsia"/>
        </w:rPr>
        <w:t>人民法院起诉。</w:t>
      </w:r>
    </w:p>
    <w:p>
      <w:pPr>
        <w:ind w:firstLine="480"/>
      </w:pPr>
      <w:bookmarkStart w:id="198" w:name="_Toc6707"/>
      <w:bookmarkStart w:id="199" w:name="_Toc14204"/>
      <w:bookmarkStart w:id="200" w:name="_Toc6048"/>
      <w:bookmarkStart w:id="201" w:name="_Toc12273"/>
      <w:bookmarkStart w:id="202" w:name="_Toc32664"/>
      <w:bookmarkStart w:id="203" w:name="_Toc23784"/>
      <w:bookmarkStart w:id="204" w:name="_Toc26227"/>
      <w:bookmarkStart w:id="205" w:name="_Toc28524"/>
      <w:bookmarkStart w:id="206" w:name="_Toc8068"/>
      <w:bookmarkStart w:id="207" w:name="_Toc18071"/>
      <w:bookmarkStart w:id="208" w:name="_Toc15827"/>
      <w:bookmarkStart w:id="209" w:name="_Toc13173"/>
      <w:bookmarkStart w:id="210" w:name="_Toc13186"/>
      <w:bookmarkStart w:id="211" w:name="_Toc106792081"/>
      <w:bookmarkStart w:id="212" w:name="_Toc18583"/>
      <w:bookmarkStart w:id="213" w:name="_Toc17508"/>
      <w:bookmarkStart w:id="214" w:name="_Toc10526"/>
      <w:bookmarkStart w:id="215" w:name="_Toc16417"/>
      <w:bookmarkStart w:id="216" w:name="_Toc1472"/>
      <w:bookmarkStart w:id="217" w:name="_Toc1048"/>
      <w:r>
        <w:rPr>
          <w:rFonts w:hint="eastAsia"/>
        </w:rPr>
        <w:t>1.8 合同生效</w:t>
      </w:r>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p>
    <w:p>
      <w:pPr>
        <w:ind w:firstLine="480"/>
      </w:pPr>
      <w:r>
        <w:rPr>
          <w:rFonts w:hint="eastAsia"/>
        </w:rPr>
        <w:t>本合同自双方当事人盖章或者签字时生效。</w:t>
      </w:r>
    </w:p>
    <w:p>
      <w:pPr>
        <w:ind w:firstLine="480"/>
      </w:pPr>
      <w:r>
        <w:rPr>
          <w:rFonts w:hint="eastAsia"/>
        </w:rPr>
        <w:t>甲方：                                   乙方：</w:t>
      </w:r>
    </w:p>
    <w:p>
      <w:pPr>
        <w:ind w:firstLine="480"/>
      </w:pPr>
      <w:r>
        <w:rPr>
          <w:rFonts w:hint="eastAsia"/>
        </w:rPr>
        <w:t>统一社会信用代码：                        统一社会信用代码或身份证号码：</w:t>
      </w:r>
    </w:p>
    <w:p>
      <w:pPr>
        <w:ind w:firstLine="480"/>
      </w:pPr>
    </w:p>
    <w:p>
      <w:pPr>
        <w:ind w:firstLine="480"/>
      </w:pPr>
      <w:r>
        <w:rPr>
          <w:rFonts w:hint="eastAsia"/>
        </w:rPr>
        <w:t>住所：                                   住所：</w:t>
      </w:r>
    </w:p>
    <w:p>
      <w:pPr>
        <w:ind w:firstLine="480"/>
      </w:pPr>
      <w:r>
        <w:rPr>
          <w:rFonts w:hint="eastAsia"/>
        </w:rPr>
        <w:t>法定代表人或                             法定代表人</w:t>
      </w:r>
    </w:p>
    <w:p>
      <w:pPr>
        <w:ind w:firstLine="480"/>
      </w:pPr>
      <w:r>
        <w:rPr>
          <w:rFonts w:hint="eastAsia"/>
        </w:rPr>
        <w:t xml:space="preserve">授权代表（签字）：                        或授权代表（签字）: </w:t>
      </w:r>
    </w:p>
    <w:p>
      <w:pPr>
        <w:ind w:firstLine="480"/>
      </w:pPr>
      <w:r>
        <w:rPr>
          <w:rFonts w:hint="eastAsia"/>
        </w:rPr>
        <w:t>联系人：                                 联系人：</w:t>
      </w:r>
    </w:p>
    <w:p>
      <w:pPr>
        <w:ind w:firstLine="480"/>
      </w:pPr>
      <w:r>
        <w:rPr>
          <w:rFonts w:hint="eastAsia"/>
        </w:rPr>
        <w:t>约定送达地址：                           约定送达地址：</w:t>
      </w:r>
    </w:p>
    <w:p>
      <w:pPr>
        <w:ind w:firstLine="480"/>
      </w:pPr>
      <w:r>
        <w:rPr>
          <w:rFonts w:hint="eastAsia"/>
        </w:rPr>
        <w:t>邮政编码：                               邮政编码：</w:t>
      </w:r>
    </w:p>
    <w:p>
      <w:pPr>
        <w:ind w:firstLine="480"/>
      </w:pPr>
      <w:r>
        <w:rPr>
          <w:rFonts w:hint="eastAsia"/>
        </w:rPr>
        <w:t xml:space="preserve">电话:                                    电话: </w:t>
      </w:r>
    </w:p>
    <w:p>
      <w:pPr>
        <w:ind w:firstLine="480"/>
      </w:pPr>
      <w:r>
        <w:rPr>
          <w:rFonts w:hint="eastAsia"/>
        </w:rPr>
        <w:t>传真:                                    传真:</w:t>
      </w:r>
    </w:p>
    <w:p>
      <w:pPr>
        <w:ind w:firstLine="480"/>
      </w:pPr>
      <w:r>
        <w:rPr>
          <w:rFonts w:hint="eastAsia"/>
        </w:rPr>
        <w:t>电子邮箱：                               电子邮箱：</w:t>
      </w:r>
    </w:p>
    <w:p>
      <w:pPr>
        <w:ind w:firstLine="480"/>
      </w:pPr>
      <w:r>
        <w:rPr>
          <w:rFonts w:hint="eastAsia"/>
        </w:rPr>
        <w:t xml:space="preserve">开户银行：                               开户银行： </w:t>
      </w:r>
    </w:p>
    <w:p>
      <w:pPr>
        <w:ind w:firstLine="480"/>
      </w:pPr>
      <w:r>
        <w:rPr>
          <w:rFonts w:hint="eastAsia"/>
        </w:rPr>
        <w:t xml:space="preserve">开户名称：                               开户名称： </w:t>
      </w:r>
    </w:p>
    <w:p>
      <w:pPr>
        <w:ind w:firstLine="480"/>
      </w:pPr>
      <w:r>
        <w:rPr>
          <w:rFonts w:hint="eastAsia"/>
        </w:rPr>
        <w:t>开户账号：                               开户账号：</w:t>
      </w:r>
    </w:p>
    <w:p>
      <w:pPr>
        <w:pStyle w:val="8"/>
        <w:ind w:firstLine="602"/>
      </w:pPr>
      <w:bookmarkStart w:id="218" w:name="_Toc331685783"/>
      <w:bookmarkStart w:id="219" w:name="_Toc137929615"/>
      <w:r>
        <w:rPr>
          <w:rFonts w:hint="eastAsia"/>
        </w:rPr>
        <w:t>第二部分 合同一般条款</w:t>
      </w:r>
      <w:bookmarkEnd w:id="218"/>
      <w:bookmarkEnd w:id="219"/>
    </w:p>
    <w:p>
      <w:pPr>
        <w:ind w:firstLine="480"/>
      </w:pPr>
      <w:bookmarkStart w:id="220" w:name="_Toc10827"/>
      <w:bookmarkStart w:id="221" w:name="_Ref467379101"/>
      <w:bookmarkStart w:id="222" w:name="_Ref467379094"/>
      <w:bookmarkStart w:id="223" w:name="_Toc9585"/>
      <w:bookmarkStart w:id="224" w:name="_Ref467379195"/>
      <w:bookmarkStart w:id="225" w:name="_Toc29024"/>
      <w:bookmarkStart w:id="226" w:name="_Toc279701240"/>
      <w:bookmarkStart w:id="227" w:name="_Toc31103"/>
      <w:bookmarkStart w:id="228" w:name="_Toc106792082"/>
      <w:bookmarkStart w:id="229" w:name="_Toc20882"/>
      <w:bookmarkStart w:id="230" w:name="_Ref467379109"/>
      <w:bookmarkStart w:id="231" w:name="_Toc19680"/>
      <w:bookmarkStart w:id="232" w:name="_Toc31297"/>
      <w:bookmarkStart w:id="233" w:name="_Ref467379205"/>
      <w:bookmarkStart w:id="234" w:name="_Ref467378499"/>
      <w:bookmarkStart w:id="235" w:name="_Ref467379214"/>
      <w:bookmarkStart w:id="236" w:name="_Toc25079"/>
      <w:bookmarkStart w:id="237" w:name="_Ref467379225"/>
      <w:bookmarkStart w:id="238" w:name="_Toc25610"/>
      <w:bookmarkStart w:id="239" w:name="_Toc17704"/>
      <w:bookmarkStart w:id="240" w:name="_Toc29074"/>
      <w:bookmarkStart w:id="241" w:name="_Toc14021"/>
      <w:bookmarkStart w:id="242" w:name="_Toc13941"/>
      <w:bookmarkStart w:id="243" w:name="_Toc487900349"/>
      <w:bookmarkStart w:id="244" w:name="_Toc28701"/>
      <w:bookmarkStart w:id="245" w:name="_Toc16934"/>
      <w:bookmarkStart w:id="246" w:name="_Ref467378463"/>
      <w:bookmarkStart w:id="247" w:name="_Toc5117"/>
      <w:bookmarkStart w:id="248" w:name="_Toc5228"/>
      <w:bookmarkStart w:id="249" w:name="_Toc9037"/>
      <w:bookmarkStart w:id="250" w:name="_Ref467378404"/>
      <w:bookmarkStart w:id="251" w:name="_Toc28840"/>
      <w:bookmarkStart w:id="252" w:name="_Toc259093669"/>
      <w:r>
        <w:rPr>
          <w:rFonts w:hint="eastAsia"/>
        </w:rPr>
        <w:t>2.1 定义</w:t>
      </w:r>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p>
    <w:p>
      <w:pPr>
        <w:ind w:firstLine="480"/>
      </w:pPr>
      <w:r>
        <w:rPr>
          <w:rFonts w:hint="eastAsia"/>
        </w:rPr>
        <w:t>本合同中的下列词语应按以下内容进行解释：</w:t>
      </w:r>
    </w:p>
    <w:p>
      <w:pPr>
        <w:ind w:firstLine="480"/>
      </w:pPr>
      <w:r>
        <w:rPr>
          <w:rFonts w:hint="eastAsia"/>
        </w:rPr>
        <w:t>2.1.1 “合同”系指采购人和成交供应商签订的载明双方当事人所达成的协议，并包括所有的附件、附录和构成合同的其他文件。</w:t>
      </w:r>
    </w:p>
    <w:p>
      <w:pPr>
        <w:ind w:firstLine="480"/>
      </w:pPr>
      <w:r>
        <w:rPr>
          <w:rFonts w:hint="eastAsia"/>
        </w:rPr>
        <w:t>2.1.2 “合同价”系指根据合同约定，成交供应商在完全履行合同义务后，采购人应支付给成交供应商的价格。</w:t>
      </w:r>
    </w:p>
    <w:p>
      <w:pPr>
        <w:ind w:firstLine="480"/>
      </w:pPr>
      <w:r>
        <w:rPr>
          <w:rFonts w:hint="eastAsia"/>
        </w:rPr>
        <w:t>2.1.3 “服务”系指成交供应商根据合同约定应向采购人履行的除货物和工程以外的其他政府采购对象，包括采购人自身需要的服务和向社会公众提供的公共服务。</w:t>
      </w:r>
    </w:p>
    <w:p>
      <w:pPr>
        <w:ind w:firstLine="480"/>
      </w:pPr>
      <w:bookmarkStart w:id="253" w:name="_Ref467378840"/>
      <w:r>
        <w:rPr>
          <w:rFonts w:hint="eastAsia"/>
        </w:rPr>
        <w:t>2.1.4 “甲方”系指与成交供应商签署合同的采购人</w:t>
      </w:r>
      <w:bookmarkEnd w:id="253"/>
      <w:r>
        <w:rPr>
          <w:rFonts w:hint="eastAsia"/>
        </w:rPr>
        <w:t>；采购人委托采购代理机构代表其与乙方签订合同的，采购人的授权委托书作为合同附件。</w:t>
      </w:r>
    </w:p>
    <w:p>
      <w:pPr>
        <w:ind w:firstLine="480"/>
      </w:pPr>
      <w:bookmarkStart w:id="254" w:name="_Ref467379400"/>
      <w:r>
        <w:rPr>
          <w:rFonts w:hint="eastAsia"/>
        </w:rPr>
        <w:t>2.1.5 “乙方”系指根据合同约定提供服务的成交供应商</w:t>
      </w:r>
      <w:bookmarkEnd w:id="254"/>
      <w:r>
        <w:rPr>
          <w:rFonts w:hint="eastAsia"/>
        </w:rPr>
        <w:t>；两个以上的自然人、法人或者其他组织组成一个联合体，以一个供应商的身份共同参加政府采购的，联合体各方均应为乙方或者与乙方相同地位的合同当事人，并就合同约定的事项对甲方承担连带责任。</w:t>
      </w:r>
    </w:p>
    <w:p>
      <w:pPr>
        <w:ind w:firstLine="480"/>
      </w:pPr>
      <w:bookmarkStart w:id="255" w:name="_Ref467379436"/>
      <w:r>
        <w:rPr>
          <w:rFonts w:hint="eastAsia"/>
        </w:rPr>
        <w:t>2.1.6 “现场”系指合同约定提供服务的地点。</w:t>
      </w:r>
      <w:bookmarkEnd w:id="255"/>
    </w:p>
    <w:p>
      <w:pPr>
        <w:ind w:firstLine="480"/>
      </w:pPr>
      <w:bookmarkStart w:id="256" w:name="_Toc17467"/>
      <w:bookmarkStart w:id="257" w:name="_Toc25980"/>
      <w:bookmarkStart w:id="258" w:name="_Toc23289"/>
      <w:bookmarkStart w:id="259" w:name="_Toc279701241"/>
      <w:bookmarkStart w:id="260" w:name="_Toc7471"/>
      <w:bookmarkStart w:id="261" w:name="_Toc487900350"/>
      <w:bookmarkStart w:id="262" w:name="_Toc7411"/>
      <w:bookmarkStart w:id="263" w:name="_Toc31402"/>
      <w:bookmarkStart w:id="264" w:name="_Toc106792083"/>
      <w:bookmarkStart w:id="265" w:name="_Toc13884"/>
      <w:bookmarkStart w:id="266" w:name="_Toc28811"/>
      <w:bookmarkStart w:id="267" w:name="_Toc21068"/>
      <w:bookmarkStart w:id="268" w:name="_Toc16752"/>
      <w:bookmarkStart w:id="269" w:name="_Toc19539"/>
      <w:bookmarkStart w:id="270" w:name="_Toc12973"/>
      <w:bookmarkStart w:id="271" w:name="_Toc10249"/>
      <w:bookmarkStart w:id="272" w:name="_Toc13639"/>
      <w:bookmarkStart w:id="273" w:name="_Toc22493"/>
      <w:bookmarkStart w:id="274" w:name="_Toc24501"/>
      <w:bookmarkStart w:id="275" w:name="_Toc6001"/>
      <w:bookmarkStart w:id="276" w:name="_Toc3769"/>
      <w:bookmarkStart w:id="277" w:name="_Toc8861"/>
      <w:bookmarkStart w:id="278" w:name="_Toc15686"/>
      <w:bookmarkStart w:id="279" w:name="_Toc259093670"/>
      <w:r>
        <w:rPr>
          <w:rFonts w:hint="eastAsia"/>
        </w:rPr>
        <w:t>2.2 技术需求</w:t>
      </w:r>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p>
    <w:p>
      <w:pPr>
        <w:ind w:firstLine="480"/>
      </w:pPr>
      <w:r>
        <w:rPr>
          <w:rFonts w:hint="eastAsia"/>
        </w:rPr>
        <w:t>服务所应遵守的技术需求应与采购文件规定的技术需求和技术需求附件(如果有的话)及其技术需求偏差表(如果被甲方接受的话)相一致；如果采购文件中没有技术需求的相应说明，那么应以国家有关部门最新颁布的相应标准和规范为准。</w:t>
      </w:r>
    </w:p>
    <w:p>
      <w:pPr>
        <w:ind w:firstLine="480"/>
      </w:pPr>
      <w:bookmarkStart w:id="280" w:name="_Toc30138"/>
      <w:bookmarkStart w:id="281" w:name="_Toc8378"/>
      <w:bookmarkStart w:id="282" w:name="_Toc24369"/>
      <w:bookmarkStart w:id="283" w:name="_Toc106792084"/>
      <w:bookmarkStart w:id="284" w:name="_Toc7280"/>
      <w:bookmarkStart w:id="285" w:name="_Toc259093671"/>
      <w:bookmarkStart w:id="286" w:name="_Toc22279"/>
      <w:bookmarkStart w:id="287" w:name="_Toc13673"/>
      <w:bookmarkStart w:id="288" w:name="_Toc12412"/>
      <w:bookmarkStart w:id="289" w:name="_Toc27945"/>
      <w:bookmarkStart w:id="290" w:name="_Toc22416"/>
      <w:bookmarkStart w:id="291" w:name="_Toc31472"/>
      <w:bookmarkStart w:id="292" w:name="_Toc12727"/>
      <w:bookmarkStart w:id="293" w:name="_Toc24660"/>
      <w:bookmarkStart w:id="294" w:name="_Toc1240"/>
      <w:bookmarkStart w:id="295" w:name="_Toc9161"/>
      <w:bookmarkStart w:id="296" w:name="_Toc20195"/>
      <w:bookmarkStart w:id="297" w:name="_Toc12881"/>
      <w:bookmarkStart w:id="298" w:name="_Toc487900351"/>
      <w:bookmarkStart w:id="299" w:name="_Toc279701242"/>
      <w:bookmarkStart w:id="300" w:name="_Toc1059"/>
      <w:bookmarkStart w:id="301" w:name="_Toc9578"/>
      <w:bookmarkStart w:id="302" w:name="_Toc32402"/>
      <w:r>
        <w:rPr>
          <w:rFonts w:hint="eastAsia"/>
        </w:rPr>
        <w:t>2.3 知识产权</w:t>
      </w:r>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p>
    <w:p>
      <w:pPr>
        <w:ind w:firstLine="480"/>
      </w:pPr>
      <w:r>
        <w:rPr>
          <w:rFonts w:hint="eastAsia"/>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ind w:firstLine="480"/>
      </w:pPr>
      <w:r>
        <w:rPr>
          <w:rFonts w:hint="eastAsia"/>
        </w:rPr>
        <w:t>2.3.2 合同涉及技术成果的归属和收益的分成办法的，详见</w:t>
      </w:r>
      <w:r>
        <w:rPr>
          <w:rFonts w:hint="eastAsia"/>
          <w:i/>
          <w:u w:val="single"/>
        </w:rPr>
        <w:t>合同专用条款</w:t>
      </w:r>
      <w:r>
        <w:rPr>
          <w:rFonts w:hint="eastAsia"/>
        </w:rPr>
        <w:t>。</w:t>
      </w:r>
    </w:p>
    <w:p>
      <w:pPr>
        <w:ind w:firstLine="480"/>
      </w:pPr>
      <w:r>
        <w:rPr>
          <w:rFonts w:hint="eastAsia"/>
        </w:rPr>
        <w:t>2.4 履约检查和问题反馈</w:t>
      </w:r>
    </w:p>
    <w:p>
      <w:pPr>
        <w:ind w:firstLine="480"/>
      </w:pPr>
      <w:bookmarkStart w:id="303" w:name="_Ref467379657"/>
      <w:r>
        <w:rPr>
          <w:rFonts w:hint="eastAsia"/>
        </w:rPr>
        <w:t>2.4.1</w:t>
      </w:r>
      <w:bookmarkEnd w:id="303"/>
      <w:bookmarkStart w:id="304" w:name="_Toc186431854"/>
      <w:bookmarkStart w:id="305" w:name="_Toc279701247"/>
      <w:bookmarkStart w:id="306" w:name="_Ref467379807"/>
      <w:bookmarkStart w:id="307" w:name="_Toc487900357"/>
      <w:bookmarkStart w:id="308" w:name="_Toc259093676"/>
      <w:bookmarkStart w:id="309" w:name="_Ref467379793"/>
      <w:r>
        <w:rPr>
          <w:rFonts w:hint="eastAsia"/>
        </w:rPr>
        <w:t>甲方有权在其认为必要时，对乙方是否能够按照合同约定提供服务进行履约检查，以确保乙方所提供的服务能够依约满足甲方之项目需求，但不得因履约检查妨碍乙方的正常工作，乙方应予积极配合；</w:t>
      </w:r>
    </w:p>
    <w:p>
      <w:pPr>
        <w:ind w:firstLine="480"/>
      </w:pPr>
      <w:r>
        <w:rPr>
          <w:rFonts w:hint="eastAsia"/>
        </w:rPr>
        <w:t>2.4.2 合同履行期间，甲方有权将履行过程中出现的问题反馈给乙方，双方当事人应以书面形式约定需要完善和改进的内容</w:t>
      </w:r>
      <w:bookmarkEnd w:id="304"/>
      <w:bookmarkStart w:id="310" w:name="_Toc186431855"/>
      <w:r>
        <w:rPr>
          <w:rFonts w:hint="eastAsia"/>
        </w:rPr>
        <w:t>。</w:t>
      </w:r>
    </w:p>
    <w:bookmarkEnd w:id="310"/>
    <w:p>
      <w:pPr>
        <w:ind w:firstLine="480"/>
      </w:pPr>
      <w:bookmarkStart w:id="311" w:name="_Toc4237"/>
      <w:bookmarkStart w:id="312" w:name="_Toc15567"/>
      <w:bookmarkStart w:id="313" w:name="_Toc31233"/>
      <w:bookmarkStart w:id="314" w:name="_Toc19538"/>
      <w:bookmarkStart w:id="315" w:name="_Toc8411"/>
      <w:bookmarkStart w:id="316" w:name="_Toc31494"/>
      <w:bookmarkStart w:id="317" w:name="_Toc26555"/>
      <w:bookmarkStart w:id="318" w:name="_Toc8763"/>
      <w:bookmarkStart w:id="319" w:name="_Toc11053"/>
      <w:bookmarkStart w:id="320" w:name="_Toc32670"/>
      <w:bookmarkStart w:id="321" w:name="_Toc28361"/>
      <w:bookmarkStart w:id="322" w:name="_Toc21474"/>
      <w:bookmarkStart w:id="323" w:name="_Toc32043"/>
      <w:bookmarkStart w:id="324" w:name="_Toc24593"/>
      <w:bookmarkStart w:id="325" w:name="_Toc106792085"/>
      <w:bookmarkStart w:id="326" w:name="_Toc12450"/>
      <w:bookmarkStart w:id="327" w:name="_Toc15447"/>
      <w:bookmarkStart w:id="328" w:name="_Toc22011"/>
      <w:bookmarkStart w:id="329" w:name="_Toc16045"/>
      <w:r>
        <w:rPr>
          <w:rFonts w:hint="eastAsia"/>
        </w:rPr>
        <w:t>2.5 结算方式和付款条件</w:t>
      </w:r>
      <w:bookmarkEnd w:id="305"/>
      <w:bookmarkEnd w:id="306"/>
      <w:bookmarkEnd w:id="307"/>
      <w:bookmarkEnd w:id="308"/>
      <w:bookmarkEnd w:id="309"/>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p>
    <w:p>
      <w:pPr>
        <w:ind w:firstLine="480"/>
      </w:pPr>
      <w:r>
        <w:rPr>
          <w:rFonts w:hint="eastAsia"/>
        </w:rPr>
        <w:t>详见</w:t>
      </w:r>
      <w:r>
        <w:rPr>
          <w:rFonts w:hint="eastAsia"/>
          <w:i/>
          <w:u w:val="single"/>
        </w:rPr>
        <w:t>合同专用条款</w:t>
      </w:r>
      <w:r>
        <w:rPr>
          <w:rFonts w:hint="eastAsia"/>
        </w:rPr>
        <w:t>。</w:t>
      </w:r>
    </w:p>
    <w:p>
      <w:pPr>
        <w:ind w:firstLine="480"/>
      </w:pPr>
      <w:bookmarkStart w:id="330" w:name="_Toc487900358"/>
      <w:bookmarkStart w:id="331" w:name="_Toc279701248"/>
      <w:bookmarkStart w:id="332" w:name="_Toc259093677"/>
      <w:bookmarkStart w:id="333" w:name="_Ref467379852"/>
      <w:bookmarkStart w:id="334" w:name="_Ref467379923"/>
      <w:bookmarkStart w:id="335" w:name="_Ref467379863"/>
      <w:bookmarkStart w:id="336" w:name="_Toc23530"/>
      <w:bookmarkStart w:id="337" w:name="_Toc25982"/>
      <w:bookmarkStart w:id="338" w:name="_Toc19435"/>
      <w:bookmarkStart w:id="339" w:name="_Toc13467"/>
      <w:bookmarkStart w:id="340" w:name="_Toc23122"/>
      <w:bookmarkStart w:id="341" w:name="_Toc18990"/>
      <w:bookmarkStart w:id="342" w:name="_Toc16163"/>
      <w:bookmarkStart w:id="343" w:name="_Toc106792086"/>
      <w:bookmarkStart w:id="344" w:name="_Toc31145"/>
      <w:bookmarkStart w:id="345" w:name="_Toc5430"/>
      <w:bookmarkStart w:id="346" w:name="_Toc9514"/>
      <w:bookmarkStart w:id="347" w:name="_Toc13154"/>
      <w:bookmarkStart w:id="348" w:name="_Toc18186"/>
      <w:bookmarkStart w:id="349" w:name="_Toc20627"/>
      <w:bookmarkStart w:id="350" w:name="_Toc8376"/>
      <w:bookmarkStart w:id="351" w:name="_Toc4632"/>
      <w:bookmarkStart w:id="352" w:name="_Toc12925"/>
      <w:bookmarkStart w:id="353" w:name="_Toc30507"/>
      <w:bookmarkStart w:id="354" w:name="_Toc3982"/>
      <w:bookmarkStart w:id="355" w:name="_Toc29402"/>
      <w:bookmarkStart w:id="356" w:name="_Toc13772"/>
      <w:r>
        <w:rPr>
          <w:rFonts w:hint="eastAsia"/>
        </w:rPr>
        <w:t>2.6 技术资料</w:t>
      </w:r>
      <w:bookmarkEnd w:id="330"/>
      <w:bookmarkEnd w:id="331"/>
      <w:bookmarkEnd w:id="332"/>
      <w:bookmarkEnd w:id="333"/>
      <w:bookmarkEnd w:id="334"/>
      <w:bookmarkEnd w:id="335"/>
      <w:r>
        <w:rPr>
          <w:rFonts w:hint="eastAsia"/>
        </w:rPr>
        <w:t>和保密义务</w:t>
      </w:r>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pPr>
        <w:ind w:firstLine="480"/>
      </w:pPr>
      <w:r>
        <w:rPr>
          <w:rFonts w:hint="eastAsia"/>
        </w:rPr>
        <w:t>2.6.1 乙方有权依据合同约定和项目需要，向甲方了解有关情况，调阅有关资料等，甲方应予积极配合；</w:t>
      </w:r>
    </w:p>
    <w:p>
      <w:pPr>
        <w:ind w:firstLine="480"/>
      </w:pPr>
      <w:r>
        <w:rPr>
          <w:rFonts w:hint="eastAsia"/>
        </w:rPr>
        <w:t>2.6.2 乙方有义务妥善保管和保护由甲方提供的前款信息和资料等；</w:t>
      </w:r>
    </w:p>
    <w:p>
      <w:pPr>
        <w:ind w:firstLine="480"/>
      </w:pPr>
      <w:r>
        <w:rPr>
          <w:rFonts w:hint="eastAsia"/>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ind w:firstLine="480"/>
      </w:pPr>
      <w:bookmarkStart w:id="357" w:name="_Toc106792087"/>
      <w:bookmarkStart w:id="358" w:name="_Toc18372"/>
      <w:bookmarkStart w:id="359" w:name="_Toc339"/>
      <w:bookmarkStart w:id="360" w:name="_Toc32354"/>
      <w:bookmarkStart w:id="361" w:name="_Toc13112"/>
      <w:bookmarkStart w:id="362" w:name="_Toc29615"/>
      <w:bookmarkStart w:id="363" w:name="_Toc1851"/>
      <w:bookmarkStart w:id="364" w:name="_Toc2664"/>
      <w:bookmarkStart w:id="365" w:name="_Toc15010"/>
      <w:bookmarkStart w:id="366" w:name="_Toc24552"/>
      <w:bookmarkStart w:id="367" w:name="_Toc19069"/>
      <w:bookmarkStart w:id="368" w:name="_Toc20114"/>
      <w:bookmarkStart w:id="369" w:name="_Toc30162"/>
      <w:bookmarkStart w:id="370" w:name="_Toc1948"/>
      <w:bookmarkStart w:id="371" w:name="_Toc28791"/>
      <w:bookmarkStart w:id="372" w:name="_Toc23487"/>
      <w:bookmarkStart w:id="373" w:name="_Toc259093681"/>
      <w:bookmarkStart w:id="374" w:name="_Toc279701252"/>
      <w:bookmarkStart w:id="375" w:name="_Toc487900362"/>
      <w:r>
        <w:rPr>
          <w:rFonts w:hint="eastAsia"/>
        </w:rPr>
        <w:t>2.7 质量保证</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p>
    <w:p>
      <w:pPr>
        <w:ind w:firstLine="480"/>
      </w:pPr>
      <w:r>
        <w:rPr>
          <w:rFonts w:hint="eastAsia"/>
        </w:rPr>
        <w:t>2.7.1 乙方应建立和完善履行合同的内部质量保证体系，并提供相关内部规章制度给甲方，以便甲方进行监督检查；</w:t>
      </w:r>
    </w:p>
    <w:p>
      <w:pPr>
        <w:ind w:firstLine="480"/>
      </w:pPr>
      <w:r>
        <w:rPr>
          <w:rFonts w:hint="eastAsia"/>
        </w:rPr>
        <w:t>2.7.2 乙方应保证履行合同的人员数量和素质、软件和硬件设备的配置、场地、环境和设施等满足全面履行合同的要求，并应接受甲方的监督检查。</w:t>
      </w:r>
    </w:p>
    <w:p>
      <w:pPr>
        <w:ind w:firstLine="480"/>
      </w:pPr>
      <w:bookmarkStart w:id="376" w:name="_Toc22267"/>
      <w:bookmarkStart w:id="377" w:name="_Toc11034"/>
      <w:bookmarkStart w:id="378" w:name="_Toc7710"/>
      <w:bookmarkStart w:id="379" w:name="_Toc10063"/>
      <w:bookmarkStart w:id="380" w:name="_Toc106792088"/>
      <w:bookmarkStart w:id="381" w:name="_Toc15967"/>
      <w:bookmarkStart w:id="382" w:name="_Toc29203"/>
      <w:bookmarkStart w:id="383" w:name="_Toc28170"/>
      <w:bookmarkStart w:id="384" w:name="_Toc8481"/>
      <w:bookmarkStart w:id="385" w:name="_Toc10485"/>
      <w:bookmarkStart w:id="386" w:name="_Toc9187"/>
      <w:bookmarkStart w:id="387" w:name="_Toc32399"/>
      <w:bookmarkStart w:id="388" w:name="_Toc22198"/>
      <w:bookmarkStart w:id="389" w:name="_Toc11272"/>
      <w:bookmarkStart w:id="390" w:name="_Toc32424"/>
      <w:bookmarkStart w:id="391" w:name="_Toc1263"/>
      <w:bookmarkStart w:id="392" w:name="_Toc30394"/>
      <w:r>
        <w:rPr>
          <w:rFonts w:hint="eastAsia"/>
        </w:rPr>
        <w:t>2.8 延迟</w:t>
      </w:r>
      <w:bookmarkEnd w:id="373"/>
      <w:bookmarkEnd w:id="374"/>
      <w:bookmarkEnd w:id="375"/>
      <w:r>
        <w:rPr>
          <w:rFonts w:hint="eastAsia"/>
        </w:rPr>
        <w:t>履行</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p>
    <w:p>
      <w:pPr>
        <w:ind w:firstLine="480"/>
      </w:pPr>
      <w:r>
        <w:rPr>
          <w:rFonts w:hint="eastAsia"/>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ind w:firstLine="480"/>
      </w:pPr>
      <w:bookmarkStart w:id="393" w:name="_Toc12112"/>
      <w:bookmarkStart w:id="394" w:name="_Toc27101"/>
      <w:bookmarkStart w:id="395" w:name="_Toc18862"/>
      <w:bookmarkStart w:id="396" w:name="_Toc30296"/>
      <w:bookmarkStart w:id="397" w:name="_Toc2244"/>
      <w:bookmarkStart w:id="398" w:name="_Toc13769"/>
      <w:bookmarkStart w:id="399" w:name="_Toc10611"/>
      <w:bookmarkStart w:id="400" w:name="_Toc3810"/>
      <w:bookmarkStart w:id="401" w:name="_Toc21410"/>
      <w:bookmarkStart w:id="402" w:name="_Toc20254"/>
      <w:bookmarkStart w:id="403" w:name="_Toc10750"/>
      <w:bookmarkStart w:id="404" w:name="_Toc3758"/>
      <w:bookmarkStart w:id="405" w:name="_Toc12190"/>
      <w:bookmarkStart w:id="406" w:name="_Toc28758"/>
      <w:bookmarkStart w:id="407" w:name="_Toc2469"/>
      <w:bookmarkStart w:id="408" w:name="_Toc106792089"/>
      <w:bookmarkStart w:id="409" w:name="_Toc25613"/>
      <w:bookmarkStart w:id="410" w:name="_Toc279701254"/>
      <w:bookmarkStart w:id="411" w:name="_Ref467378121"/>
      <w:bookmarkStart w:id="412" w:name="_Toc487900364"/>
      <w:bookmarkStart w:id="413" w:name="_Toc259093683"/>
      <w:r>
        <w:rPr>
          <w:rFonts w:hint="eastAsia"/>
        </w:rPr>
        <w:t>2.9 合同变更</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p>
    <w:p>
      <w:pPr>
        <w:ind w:firstLine="480"/>
      </w:pPr>
      <w:r>
        <w:rPr>
          <w:rFonts w:hint="eastAsia"/>
        </w:rPr>
        <w:t>2.9.1 双方当事人协商一致，可以签订书面补充合同的形式变更合同，但不得违背采购文件确定的事项，且如果系追加与合同标的相同的服务的，那么所有补充合同的采购金额不得超过原合同价的10%；</w:t>
      </w:r>
    </w:p>
    <w:p>
      <w:pPr>
        <w:ind w:firstLine="480"/>
      </w:pPr>
      <w:r>
        <w:rPr>
          <w:rFonts w:hint="eastAsia"/>
        </w:rPr>
        <w:t>2.9.2 合同继续履行将损害国家利益和社会公共利益的，双方当事人应当以书面形式变更合同。有过错的一方应当承担赔偿责任，双方当事人都有过错的，各自承担相应的责任。</w:t>
      </w:r>
      <w:bookmarkStart w:id="414" w:name="_Toc259093688"/>
      <w:bookmarkStart w:id="415" w:name="_Toc487900369"/>
      <w:bookmarkStart w:id="416" w:name="_Toc279701259"/>
    </w:p>
    <w:p>
      <w:pPr>
        <w:ind w:firstLine="480"/>
      </w:pPr>
      <w:bookmarkStart w:id="417" w:name="_Toc17116"/>
      <w:bookmarkStart w:id="418" w:name="_Toc24271"/>
      <w:bookmarkStart w:id="419" w:name="_Toc30446"/>
      <w:bookmarkStart w:id="420" w:name="_Toc18298"/>
      <w:bookmarkStart w:id="421" w:name="_Toc23368"/>
      <w:bookmarkStart w:id="422" w:name="_Toc6424"/>
      <w:bookmarkStart w:id="423" w:name="_Toc106792090"/>
      <w:bookmarkStart w:id="424" w:name="_Toc14972"/>
      <w:bookmarkStart w:id="425" w:name="_Toc4347"/>
      <w:bookmarkStart w:id="426" w:name="_Toc42"/>
      <w:bookmarkStart w:id="427" w:name="_Toc27242"/>
      <w:bookmarkStart w:id="428" w:name="_Toc28640"/>
      <w:bookmarkStart w:id="429" w:name="_Toc4195"/>
      <w:bookmarkStart w:id="430" w:name="_Toc26689"/>
      <w:bookmarkStart w:id="431" w:name="_Toc22130"/>
      <w:bookmarkStart w:id="432" w:name="_Toc10663"/>
      <w:bookmarkStart w:id="433" w:name="_Toc21830"/>
      <w:bookmarkStart w:id="434" w:name="_Toc8222"/>
      <w:bookmarkStart w:id="435" w:name="_Toc4033"/>
      <w:bookmarkStart w:id="436" w:name="_Toc6422"/>
      <w:bookmarkStart w:id="437" w:name="_Toc6143"/>
      <w:r>
        <w:rPr>
          <w:rFonts w:hint="eastAsia"/>
        </w:rPr>
        <w:t>2.10 合同转让</w:t>
      </w:r>
      <w:bookmarkEnd w:id="414"/>
      <w:bookmarkEnd w:id="415"/>
      <w:bookmarkEnd w:id="416"/>
      <w:r>
        <w:rPr>
          <w:rFonts w:hint="eastAsia"/>
        </w:rPr>
        <w:t>和分包</w:t>
      </w:r>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p>
      <w:pPr>
        <w:ind w:firstLine="480"/>
      </w:pPr>
      <w:r>
        <w:rPr>
          <w:rFonts w:hint="eastAsia"/>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ind w:firstLine="480"/>
      </w:pPr>
      <w:bookmarkStart w:id="438" w:name="_Toc17450"/>
      <w:bookmarkStart w:id="439" w:name="_Toc23855"/>
      <w:bookmarkStart w:id="440" w:name="_Toc24708"/>
      <w:bookmarkStart w:id="441" w:name="_Toc32622"/>
      <w:bookmarkStart w:id="442" w:name="_Toc25571"/>
      <w:bookmarkStart w:id="443" w:name="_Toc8431"/>
      <w:bookmarkStart w:id="444" w:name="_Toc4720"/>
      <w:bookmarkStart w:id="445" w:name="_Toc10203"/>
      <w:bookmarkStart w:id="446" w:name="_Toc15171"/>
      <w:bookmarkStart w:id="447" w:name="_Toc30847"/>
      <w:bookmarkStart w:id="448" w:name="_Toc13135"/>
      <w:bookmarkStart w:id="449" w:name="_Toc4684"/>
      <w:bookmarkStart w:id="450" w:name="_Toc26633"/>
      <w:bookmarkStart w:id="451" w:name="_Toc31065"/>
      <w:bookmarkStart w:id="452" w:name="_Toc32494"/>
      <w:bookmarkStart w:id="453" w:name="_Toc9462"/>
      <w:bookmarkStart w:id="454" w:name="_Toc9705"/>
      <w:bookmarkStart w:id="455" w:name="_Toc30261"/>
      <w:bookmarkStart w:id="456" w:name="_Toc26602"/>
      <w:bookmarkStart w:id="457" w:name="_Toc106792091"/>
      <w:bookmarkStart w:id="458" w:name="_Toc14371"/>
      <w:r>
        <w:rPr>
          <w:rFonts w:hint="eastAsia"/>
        </w:rPr>
        <w:t>2.11 不可抗力</w:t>
      </w:r>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p>
    <w:p>
      <w:pPr>
        <w:ind w:firstLine="480"/>
      </w:pPr>
      <w:r>
        <w:rPr>
          <w:rFonts w:hint="eastAsia"/>
        </w:rPr>
        <w:t>2.11.1如果任何一方遭遇法律规定的不可抗力，致使合同履行受阻时，履行合同的期限应予延长，延长的期限应相当于不可抗力所影响的时间；</w:t>
      </w:r>
    </w:p>
    <w:p>
      <w:pPr>
        <w:ind w:firstLine="480"/>
      </w:pPr>
      <w:r>
        <w:rPr>
          <w:rFonts w:hint="eastAsia"/>
        </w:rPr>
        <w:t>2.11.2 因不可抗力致使不能实现合同目的的，当事人可以解除合同；</w:t>
      </w:r>
    </w:p>
    <w:p>
      <w:pPr>
        <w:ind w:firstLine="480"/>
      </w:pPr>
      <w:r>
        <w:rPr>
          <w:rFonts w:hint="eastAsia"/>
        </w:rPr>
        <w:t>2.11.3 因不可抗力致使合同有变更必要的，双方当事人应在</w:t>
      </w:r>
      <w:r>
        <w:rPr>
          <w:rFonts w:hint="eastAsia"/>
          <w:i/>
          <w:u w:val="single"/>
        </w:rPr>
        <w:t>合同专用条款</w:t>
      </w:r>
      <w:r>
        <w:rPr>
          <w:rFonts w:hint="eastAsia"/>
        </w:rPr>
        <w:t>约定时间内以书面形式变更合同；</w:t>
      </w:r>
    </w:p>
    <w:p>
      <w:pPr>
        <w:ind w:firstLine="480"/>
      </w:pPr>
      <w:r>
        <w:rPr>
          <w:rFonts w:hint="eastAsia"/>
        </w:rPr>
        <w:t>2.11.4受不可抗力影响的一方在不可抗力发生后，应在</w:t>
      </w:r>
      <w:r>
        <w:rPr>
          <w:rFonts w:hint="eastAsia"/>
          <w:i/>
          <w:u w:val="single"/>
        </w:rPr>
        <w:t>合同专用条款</w:t>
      </w:r>
      <w:r>
        <w:rPr>
          <w:rFonts w:hint="eastAsia"/>
        </w:rPr>
        <w:t>约定时间内以书面形式通知对方当事人，并在</w:t>
      </w:r>
      <w:r>
        <w:rPr>
          <w:rFonts w:hint="eastAsia"/>
          <w:i/>
          <w:u w:val="single"/>
        </w:rPr>
        <w:t>合同专用条款</w:t>
      </w:r>
      <w:r>
        <w:rPr>
          <w:rFonts w:hint="eastAsia"/>
        </w:rPr>
        <w:t>约定时间内，将有关部门出具的证明文件送达对方当事人。</w:t>
      </w:r>
    </w:p>
    <w:p>
      <w:pPr>
        <w:ind w:firstLine="480"/>
      </w:pPr>
      <w:bookmarkStart w:id="459" w:name="_Toc106792092"/>
      <w:bookmarkStart w:id="460" w:name="_Toc17127"/>
      <w:bookmarkStart w:id="461" w:name="_Toc7981"/>
      <w:bookmarkStart w:id="462" w:name="_Toc3638"/>
      <w:bookmarkStart w:id="463" w:name="_Toc14370"/>
      <w:bookmarkStart w:id="464" w:name="_Toc23602"/>
      <w:bookmarkStart w:id="465" w:name="_Toc23373"/>
      <w:bookmarkStart w:id="466" w:name="_Toc219"/>
      <w:bookmarkStart w:id="467" w:name="_Toc1959"/>
      <w:bookmarkStart w:id="468" w:name="_Toc24465"/>
      <w:bookmarkStart w:id="469" w:name="_Toc23854"/>
      <w:bookmarkStart w:id="470" w:name="_Toc487900365"/>
      <w:bookmarkStart w:id="471" w:name="_Toc12690"/>
      <w:bookmarkStart w:id="472" w:name="_Toc279701255"/>
      <w:bookmarkStart w:id="473" w:name="_Toc31716"/>
      <w:bookmarkStart w:id="474" w:name="_Toc6743"/>
      <w:bookmarkStart w:id="475" w:name="_Toc14115"/>
      <w:bookmarkStart w:id="476" w:name="_Toc259093684"/>
      <w:bookmarkStart w:id="477" w:name="_Toc25783"/>
      <w:bookmarkStart w:id="478" w:name="_Toc3156"/>
      <w:bookmarkStart w:id="479" w:name="_Toc5053"/>
      <w:bookmarkStart w:id="480" w:name="_Toc6465"/>
      <w:bookmarkStart w:id="481" w:name="_Toc11275"/>
      <w:bookmarkStart w:id="482" w:name="_Toc32181"/>
      <w:r>
        <w:rPr>
          <w:rFonts w:hint="eastAsia"/>
        </w:rPr>
        <w:t>2.12 税费</w:t>
      </w:r>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p>
      <w:pPr>
        <w:ind w:firstLine="480"/>
      </w:pPr>
      <w:r>
        <w:rPr>
          <w:rFonts w:hint="eastAsia"/>
        </w:rPr>
        <w:t>与合同有关的一切税费，均按照中华人民共和国法律的相关规定缴纳。</w:t>
      </w:r>
    </w:p>
    <w:p>
      <w:pPr>
        <w:ind w:firstLine="480"/>
      </w:pPr>
      <w:bookmarkStart w:id="483" w:name="_Toc26883"/>
      <w:bookmarkStart w:id="484" w:name="_Toc30105"/>
      <w:bookmarkStart w:id="485" w:name="_Toc426"/>
      <w:bookmarkStart w:id="486" w:name="_Toc106792093"/>
      <w:bookmarkStart w:id="487" w:name="_Toc4896"/>
      <w:bookmarkStart w:id="488" w:name="_Toc7315"/>
      <w:bookmarkStart w:id="489" w:name="_Toc5989"/>
      <w:bookmarkStart w:id="490" w:name="_Toc14814"/>
      <w:bookmarkStart w:id="491" w:name="_Toc279701258"/>
      <w:bookmarkStart w:id="492" w:name="_Toc15966"/>
      <w:bookmarkStart w:id="493" w:name="_Toc24809"/>
      <w:bookmarkStart w:id="494" w:name="_Toc31237"/>
      <w:bookmarkStart w:id="495" w:name="_Toc487900368"/>
      <w:bookmarkStart w:id="496" w:name="_Toc259093687"/>
      <w:bookmarkStart w:id="497" w:name="_Toc27492"/>
      <w:bookmarkStart w:id="498" w:name="_Toc10398"/>
      <w:bookmarkStart w:id="499" w:name="_Toc3759"/>
      <w:bookmarkStart w:id="500" w:name="_Toc12415"/>
      <w:bookmarkStart w:id="501" w:name="_Toc19880"/>
      <w:bookmarkStart w:id="502" w:name="_Toc25525"/>
      <w:bookmarkStart w:id="503" w:name="_Toc6054"/>
      <w:bookmarkStart w:id="504" w:name="_Toc5156"/>
      <w:bookmarkStart w:id="505" w:name="_Toc3775"/>
      <w:r>
        <w:rPr>
          <w:rFonts w:hint="eastAsia"/>
        </w:rPr>
        <w:t>2.13 乙方破产</w:t>
      </w:r>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p>
    <w:p>
      <w:pPr>
        <w:ind w:firstLine="480"/>
      </w:pPr>
      <w:r>
        <w:rPr>
          <w:rFonts w:hint="eastAsia"/>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ind w:firstLine="480"/>
      </w:pPr>
      <w:bookmarkStart w:id="506" w:name="_Toc6484"/>
      <w:bookmarkStart w:id="507" w:name="_Toc30682"/>
      <w:bookmarkStart w:id="508" w:name="_Toc2016"/>
      <w:bookmarkStart w:id="509" w:name="_Toc15650"/>
      <w:bookmarkStart w:id="510" w:name="_Toc4472"/>
      <w:bookmarkStart w:id="511" w:name="_Toc8066"/>
      <w:bookmarkStart w:id="512" w:name="_Toc23323"/>
      <w:bookmarkStart w:id="513" w:name="_Toc6032"/>
      <w:bookmarkStart w:id="514" w:name="_Toc106792094"/>
      <w:bookmarkStart w:id="515" w:name="_Toc18650"/>
      <w:bookmarkStart w:id="516" w:name="_Toc13023"/>
      <w:bookmarkStart w:id="517" w:name="_Toc25092"/>
      <w:bookmarkStart w:id="518" w:name="_Toc4845"/>
      <w:bookmarkStart w:id="519" w:name="_Toc31298"/>
      <w:bookmarkStart w:id="520" w:name="_Toc26320"/>
      <w:bookmarkStart w:id="521" w:name="_Toc1675"/>
      <w:bookmarkStart w:id="522" w:name="_Toc1123"/>
      <w:bookmarkStart w:id="523" w:name="_Toc17626"/>
      <w:bookmarkStart w:id="524" w:name="_Toc8069"/>
      <w:r>
        <w:rPr>
          <w:rFonts w:hint="eastAsia"/>
        </w:rPr>
        <w:t>2.14 合同中止、终止</w:t>
      </w:r>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p>
    <w:p>
      <w:pPr>
        <w:ind w:firstLine="480"/>
      </w:pPr>
      <w:r>
        <w:rPr>
          <w:rFonts w:hint="eastAsia"/>
        </w:rPr>
        <w:t>2.14.1 双方当事人不得擅自中止或者终止合同；</w:t>
      </w:r>
    </w:p>
    <w:p>
      <w:pPr>
        <w:ind w:firstLine="480"/>
      </w:pPr>
      <w:r>
        <w:rPr>
          <w:rFonts w:hint="eastAsia"/>
        </w:rPr>
        <w:t>2.14.2合同继续履行将损害国家利益和社会公共利益的，双方当事人应当中止或者终止合同。有过错的一方应当承担赔偿责任，双方当事人都有过错的，各自承担相应的责任。</w:t>
      </w:r>
    </w:p>
    <w:p>
      <w:pPr>
        <w:ind w:firstLine="480"/>
      </w:pPr>
      <w:bookmarkStart w:id="525" w:name="_Toc12473"/>
      <w:bookmarkStart w:id="526" w:name="_Toc25815"/>
      <w:bookmarkStart w:id="527" w:name="_Toc5120"/>
      <w:bookmarkStart w:id="528" w:name="_Toc31348"/>
      <w:bookmarkStart w:id="529" w:name="_Toc16250"/>
      <w:bookmarkStart w:id="530" w:name="_Toc30002"/>
      <w:bookmarkStart w:id="531" w:name="_Toc22355"/>
      <w:bookmarkStart w:id="532" w:name="_Toc17363"/>
      <w:bookmarkStart w:id="533" w:name="_Toc10291"/>
      <w:bookmarkStart w:id="534" w:name="_Toc26407"/>
      <w:bookmarkStart w:id="535" w:name="_Toc22475"/>
      <w:bookmarkStart w:id="536" w:name="_Toc14653"/>
      <w:bookmarkStart w:id="537" w:name="_Toc1969"/>
      <w:bookmarkStart w:id="538" w:name="_Toc106792095"/>
      <w:bookmarkStart w:id="539" w:name="_Toc295"/>
      <w:bookmarkStart w:id="540" w:name="_Toc25753"/>
      <w:bookmarkStart w:id="541" w:name="_Toc14752"/>
      <w:bookmarkStart w:id="542" w:name="_Toc12981"/>
      <w:r>
        <w:rPr>
          <w:rFonts w:hint="eastAsia"/>
        </w:rPr>
        <w:t>2.15 检验和验收</w:t>
      </w:r>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p>
    <w:p>
      <w:pPr>
        <w:ind w:firstLine="480"/>
      </w:pPr>
      <w:r>
        <w:rPr>
          <w:rFonts w:hint="eastAsia"/>
        </w:rPr>
        <w:t>2.15.1 乙方按照</w:t>
      </w:r>
      <w:r>
        <w:rPr>
          <w:rFonts w:hint="eastAsia"/>
          <w:i/>
          <w:u w:val="single"/>
        </w:rPr>
        <w:t>合同专用条款</w:t>
      </w:r>
      <w:r>
        <w:rPr>
          <w:rFonts w:hint="eastAsia"/>
        </w:rPr>
        <w:t>的约定，定期提交服务报告，甲方按照</w:t>
      </w:r>
      <w:r>
        <w:rPr>
          <w:rFonts w:hint="eastAsia"/>
          <w:i/>
          <w:u w:val="single"/>
        </w:rPr>
        <w:t>合同专用条款</w:t>
      </w:r>
      <w:r>
        <w:rPr>
          <w:rFonts w:hint="eastAsia"/>
        </w:rPr>
        <w:t>的约定进行定期验收；</w:t>
      </w:r>
    </w:p>
    <w:p>
      <w:pPr>
        <w:ind w:firstLine="480"/>
      </w:pPr>
      <w:r>
        <w:rPr>
          <w:rFonts w:hint="eastAsia"/>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ind w:firstLine="480"/>
      </w:pPr>
      <w:r>
        <w:rPr>
          <w:rFonts w:hint="eastAsia"/>
        </w:rPr>
        <w:t>2.15.3 检验和验收标准、程序等具体内容以及前述验收书的效力详见</w:t>
      </w:r>
      <w:r>
        <w:rPr>
          <w:rFonts w:hint="eastAsia"/>
          <w:i/>
          <w:u w:val="single"/>
        </w:rPr>
        <w:t>合同专用条款</w:t>
      </w:r>
      <w:r>
        <w:rPr>
          <w:rFonts w:hint="eastAsia"/>
          <w:i/>
        </w:rPr>
        <w:t>。</w:t>
      </w:r>
    </w:p>
    <w:bookmarkEnd w:id="410"/>
    <w:bookmarkEnd w:id="411"/>
    <w:bookmarkEnd w:id="412"/>
    <w:bookmarkEnd w:id="413"/>
    <w:p>
      <w:pPr>
        <w:ind w:firstLine="480"/>
      </w:pPr>
      <w:bookmarkStart w:id="543" w:name="_Toc279701261"/>
      <w:bookmarkStart w:id="544" w:name="_Toc487900371"/>
      <w:bookmarkStart w:id="545" w:name="_Toc259093690"/>
      <w:bookmarkStart w:id="546" w:name="_Toc15393"/>
      <w:bookmarkStart w:id="547" w:name="_Toc9808"/>
      <w:bookmarkStart w:id="548" w:name="_Toc29667"/>
      <w:bookmarkStart w:id="549" w:name="_Toc6307"/>
      <w:bookmarkStart w:id="550" w:name="_Toc22987"/>
      <w:bookmarkStart w:id="551" w:name="_Toc10819"/>
      <w:bookmarkStart w:id="552" w:name="_Toc13486"/>
      <w:bookmarkStart w:id="553" w:name="_Toc12970"/>
      <w:bookmarkStart w:id="554" w:name="_Toc13544"/>
      <w:bookmarkStart w:id="555" w:name="_Toc2308"/>
      <w:bookmarkStart w:id="556" w:name="_Toc13224"/>
      <w:bookmarkStart w:id="557" w:name="_Toc17528"/>
      <w:bookmarkStart w:id="558" w:name="_Toc1691"/>
      <w:bookmarkStart w:id="559" w:name="_Toc106792096"/>
      <w:bookmarkStart w:id="560" w:name="_Toc19041"/>
      <w:bookmarkStart w:id="561" w:name="_Toc12666"/>
      <w:bookmarkStart w:id="562" w:name="_Toc26095"/>
      <w:bookmarkStart w:id="563" w:name="_Toc25198"/>
      <w:bookmarkStart w:id="564" w:name="_Toc10525"/>
      <w:bookmarkStart w:id="565" w:name="_Toc31892"/>
      <w:bookmarkStart w:id="566" w:name="_Toc3309"/>
      <w:r>
        <w:rPr>
          <w:rFonts w:hint="eastAsia"/>
        </w:rPr>
        <w:t>2.16 通知</w:t>
      </w:r>
      <w:bookmarkEnd w:id="543"/>
      <w:bookmarkEnd w:id="544"/>
      <w:bookmarkEnd w:id="545"/>
      <w:r>
        <w:rPr>
          <w:rFonts w:hint="eastAsia"/>
        </w:rPr>
        <w:t>和送达</w:t>
      </w:r>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p>
    <w:p>
      <w:pPr>
        <w:ind w:firstLine="480"/>
      </w:pPr>
      <w:bookmarkStart w:id="567" w:name="_Toc7073"/>
      <w:bookmarkStart w:id="568" w:name="_Toc279701262"/>
      <w:bookmarkStart w:id="569" w:name="_Toc487900372"/>
      <w:bookmarkStart w:id="570" w:name="_Toc259093691"/>
      <w:r>
        <w:rPr>
          <w:rFonts w:hint="eastAsia"/>
        </w:rPr>
        <w:t>2.16.1 任何一方因履行合同而以合同第一部分尾部所列明的</w:t>
      </w:r>
      <w:r>
        <w:rPr>
          <w:rFonts w:hint="eastAsia"/>
          <w:u w:val="single"/>
        </w:rPr>
        <w:t xml:space="preserve">          </w:t>
      </w:r>
      <w:r>
        <w:rPr>
          <w:rFonts w:hint="eastAsia"/>
        </w:rPr>
        <w:t>发出的所有通知、文件、材料，均视为已向对方当事人送达；任何一方变更上述送达方式或者地址的，应于</w:t>
      </w:r>
      <w:r>
        <w:rPr>
          <w:rFonts w:hint="eastAsia"/>
          <w:u w:val="single"/>
        </w:rPr>
        <w:t xml:space="preserve">   </w:t>
      </w:r>
      <w:r>
        <w:rPr>
          <w:rFonts w:hint="eastAsia"/>
        </w:rPr>
        <w:t>个工作日内书面通知对方当事人，在对方当事人收到有关变更通知之前，变更前的约定送达方式或者地址仍视为有效。</w:t>
      </w:r>
      <w:bookmarkEnd w:id="567"/>
    </w:p>
    <w:p>
      <w:pPr>
        <w:ind w:firstLine="480"/>
      </w:pPr>
      <w:bookmarkStart w:id="571" w:name="_Toc27674"/>
      <w:bookmarkStart w:id="572" w:name="_Toc18401"/>
      <w:r>
        <w:rPr>
          <w:rFonts w:hint="eastAsia"/>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571"/>
      <w:bookmarkEnd w:id="572"/>
    </w:p>
    <w:bookmarkEnd w:id="568"/>
    <w:bookmarkEnd w:id="569"/>
    <w:bookmarkEnd w:id="570"/>
    <w:p>
      <w:pPr>
        <w:ind w:firstLine="480"/>
      </w:pPr>
      <w:bookmarkStart w:id="573" w:name="_Toc10141"/>
      <w:bookmarkStart w:id="574" w:name="_Toc18906"/>
      <w:bookmarkStart w:id="575" w:name="_Toc19439"/>
      <w:bookmarkStart w:id="576" w:name="_Toc12254"/>
      <w:bookmarkStart w:id="577" w:name="_Toc16009"/>
      <w:bookmarkStart w:id="578" w:name="_Toc1846"/>
      <w:bookmarkStart w:id="579" w:name="_Toc28906"/>
      <w:bookmarkStart w:id="580" w:name="_Toc27644"/>
      <w:bookmarkStart w:id="581" w:name="_Toc4407"/>
      <w:bookmarkStart w:id="582" w:name="_Toc106792097"/>
      <w:bookmarkStart w:id="583" w:name="_Toc23050"/>
      <w:bookmarkStart w:id="584" w:name="_Toc5063"/>
      <w:bookmarkStart w:id="585" w:name="_Toc31615"/>
      <w:bookmarkStart w:id="586" w:name="_Toc20808"/>
      <w:bookmarkStart w:id="587" w:name="_Toc259093692"/>
      <w:bookmarkStart w:id="588" w:name="_Toc18708"/>
      <w:bookmarkStart w:id="589" w:name="_Toc13433"/>
      <w:bookmarkStart w:id="590" w:name="_Toc556"/>
      <w:bookmarkStart w:id="591" w:name="_Toc10103"/>
      <w:bookmarkStart w:id="592" w:name="_Toc28590"/>
      <w:bookmarkStart w:id="593" w:name="_Toc487900373"/>
      <w:bookmarkStart w:id="594" w:name="_Toc18788"/>
      <w:bookmarkStart w:id="595" w:name="_Toc18929"/>
      <w:bookmarkStart w:id="596" w:name="_Toc279701263"/>
      <w:r>
        <w:rPr>
          <w:rFonts w:hint="eastAsia"/>
        </w:rPr>
        <w:t>2.17 合同使用的文字和适用的法律</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p>
    <w:p>
      <w:pPr>
        <w:ind w:firstLine="480"/>
      </w:pPr>
      <w:r>
        <w:rPr>
          <w:rFonts w:hint="eastAsia"/>
        </w:rPr>
        <w:t>2.17.1 合同使用汉语书就、变更和解释；</w:t>
      </w:r>
    </w:p>
    <w:p>
      <w:pPr>
        <w:ind w:firstLine="480"/>
      </w:pPr>
      <w:r>
        <w:rPr>
          <w:rFonts w:hint="eastAsia"/>
        </w:rPr>
        <w:t>2.17.2 合同适用中华人民共和国法律。</w:t>
      </w:r>
    </w:p>
    <w:p>
      <w:pPr>
        <w:ind w:firstLine="480"/>
      </w:pPr>
      <w:bookmarkStart w:id="597" w:name="_Toc31884"/>
      <w:bookmarkStart w:id="598" w:name="_Toc20271"/>
      <w:bookmarkStart w:id="599" w:name="_Toc32540"/>
      <w:bookmarkStart w:id="600" w:name="_Toc1356"/>
      <w:bookmarkStart w:id="601" w:name="_Toc30096"/>
      <w:bookmarkStart w:id="602" w:name="_Toc26231"/>
      <w:bookmarkStart w:id="603" w:name="_Toc259093693"/>
      <w:bookmarkStart w:id="604" w:name="_Toc18902"/>
      <w:bookmarkStart w:id="605" w:name="_Toc25138"/>
      <w:bookmarkStart w:id="606" w:name="_Toc32512"/>
      <w:bookmarkStart w:id="607" w:name="_Toc15033"/>
      <w:bookmarkStart w:id="608" w:name="_Toc27127"/>
      <w:bookmarkStart w:id="609" w:name="_Toc27403"/>
      <w:bookmarkStart w:id="610" w:name="_Toc26691"/>
      <w:bookmarkStart w:id="611" w:name="_Toc27718"/>
      <w:bookmarkStart w:id="612" w:name="_Toc1492"/>
      <w:bookmarkStart w:id="613" w:name="_Toc106792098"/>
      <w:bookmarkStart w:id="614" w:name="_Toc20559"/>
      <w:bookmarkStart w:id="615" w:name="_Toc7323"/>
      <w:bookmarkStart w:id="616" w:name="_Toc30312"/>
      <w:bookmarkStart w:id="617" w:name="_Toc5719"/>
      <w:bookmarkStart w:id="618" w:name="_Toc279701264"/>
      <w:bookmarkStart w:id="619" w:name="_Toc487900374"/>
      <w:r>
        <w:rPr>
          <w:rFonts w:hint="eastAsia"/>
        </w:rPr>
        <w:t>2.18 履约保证金</w:t>
      </w:r>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p>
    <w:p>
      <w:pPr>
        <w:ind w:firstLine="480"/>
      </w:pPr>
      <w:r>
        <w:rPr>
          <w:rFonts w:hint="eastAsia"/>
        </w:rPr>
        <w:t>2.18.1 采购文件要求乙方提交履约保证金的，乙方应按</w:t>
      </w:r>
      <w:r>
        <w:rPr>
          <w:rFonts w:hint="eastAsia"/>
          <w:i/>
          <w:u w:val="single"/>
        </w:rPr>
        <w:t>合同专用条款</w:t>
      </w:r>
      <w:r>
        <w:rPr>
          <w:rFonts w:hint="eastAsia"/>
        </w:rPr>
        <w:t>约定的方式，以支票、汇票、本票或者金融机构、担保机构出具的保函等非现金形式，提交不超过合同价10%的履约保证金；</w:t>
      </w:r>
    </w:p>
    <w:p>
      <w:pPr>
        <w:ind w:firstLine="480"/>
      </w:pPr>
      <w:r>
        <w:rPr>
          <w:rFonts w:hint="eastAsia"/>
        </w:rPr>
        <w:t>2.18.2 履约保证金在</w:t>
      </w:r>
      <w:r>
        <w:rPr>
          <w:rFonts w:hint="eastAsia"/>
          <w:i/>
          <w:u w:val="single"/>
        </w:rPr>
        <w:t>合同专用条款</w:t>
      </w:r>
      <w:r>
        <w:rPr>
          <w:rFonts w:hint="eastAsia"/>
        </w:rPr>
        <w:t>约定期间内不予退还或者应完全有效，前述约定期间届满之日起</w:t>
      </w:r>
      <w:r>
        <w:rPr>
          <w:rFonts w:hint="eastAsia"/>
          <w:u w:val="single"/>
        </w:rPr>
        <w:t xml:space="preserve">    </w:t>
      </w:r>
      <w:r>
        <w:rPr>
          <w:rFonts w:hint="eastAsia"/>
        </w:rPr>
        <w:t>个工作日内，甲方应将履约保证金退还乙方；</w:t>
      </w:r>
    </w:p>
    <w:p>
      <w:pPr>
        <w:ind w:firstLine="480"/>
      </w:pPr>
      <w:r>
        <w:rPr>
          <w:rFonts w:hint="eastAsia"/>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619"/>
    <w:p>
      <w:pPr>
        <w:ind w:firstLine="480"/>
      </w:pPr>
      <w:r>
        <w:rPr>
          <w:rFonts w:hint="eastAsia"/>
        </w:rPr>
        <w:t>2.19 合同份数</w:t>
      </w:r>
    </w:p>
    <w:p>
      <w:pPr>
        <w:ind w:firstLine="480"/>
      </w:pPr>
      <w:r>
        <w:rPr>
          <w:rFonts w:hint="eastAsia"/>
        </w:rPr>
        <w:t>合同份数按</w:t>
      </w:r>
      <w:r>
        <w:rPr>
          <w:rFonts w:hint="eastAsia"/>
          <w:i/>
          <w:u w:val="single"/>
        </w:rPr>
        <w:t>合同专用条款</w:t>
      </w:r>
      <w:r>
        <w:rPr>
          <w:rFonts w:hint="eastAsia"/>
        </w:rPr>
        <w:t>规定，每份均具有同等法律效力。</w:t>
      </w:r>
      <w:bookmarkStart w:id="620" w:name="_Toc331685784"/>
    </w:p>
    <w:p>
      <w:pPr>
        <w:ind w:firstLine="480"/>
      </w:pPr>
      <w:r>
        <w:rPr>
          <w:rFonts w:hint="eastAsia"/>
        </w:rPr>
        <w:t>第三部分  合同专用条款</w:t>
      </w:r>
      <w:bookmarkEnd w:id="620"/>
    </w:p>
    <w:p>
      <w:pPr>
        <w:ind w:firstLine="480"/>
      </w:pPr>
      <w:r>
        <w:rPr>
          <w:rFonts w:hint="eastAsia"/>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4"/>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r>
              <w:rPr>
                <w:rFonts w:hint="eastAsia"/>
              </w:rPr>
              <w:t>条款号</w:t>
            </w:r>
          </w:p>
        </w:tc>
        <w:tc>
          <w:tcPr>
            <w:tcW w:w="7633" w:type="dxa"/>
            <w:vAlign w:val="center"/>
          </w:tcPr>
          <w:p>
            <w:pPr>
              <w:ind w:firstLine="480"/>
            </w:pPr>
            <w:r>
              <w:rPr>
                <w:rFonts w:hint="eastAsia"/>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pPr>
              <w:ind w:firstLine="480"/>
            </w:pPr>
          </w:p>
        </w:tc>
        <w:tc>
          <w:tcPr>
            <w:tcW w:w="7633" w:type="dxa"/>
            <w:vAlign w:val="center"/>
          </w:tcPr>
          <w:p>
            <w:pPr>
              <w:ind w:firstLine="480"/>
            </w:pPr>
          </w:p>
        </w:tc>
      </w:tr>
    </w:tbl>
    <w:p>
      <w:pPr>
        <w:spacing w:after="156" w:line="400" w:lineRule="exact"/>
        <w:ind w:firstLine="480"/>
        <w:rPr>
          <w:rFonts w:ascii="宋体" w:hAnsi="宋体" w:eastAsia="宋体" w:cs="微软雅黑"/>
        </w:rPr>
      </w:pPr>
    </w:p>
    <w:p>
      <w:pPr>
        <w:pStyle w:val="6"/>
        <w:ind w:firstLine="723"/>
      </w:pPr>
      <w:bookmarkStart w:id="621" w:name="_Toc137929616"/>
      <w:r>
        <w:rPr>
          <w:rFonts w:hint="eastAsia"/>
        </w:rPr>
        <w:t xml:space="preserve">第四部分  </w:t>
      </w:r>
      <w:bookmarkEnd w:id="46"/>
      <w:bookmarkEnd w:id="47"/>
      <w:bookmarkEnd w:id="48"/>
      <w:bookmarkEnd w:id="49"/>
      <w:bookmarkEnd w:id="50"/>
      <w:bookmarkEnd w:id="51"/>
      <w:r>
        <w:rPr>
          <w:rFonts w:hint="eastAsia"/>
        </w:rPr>
        <w:t>技术需求</w:t>
      </w:r>
      <w:bookmarkEnd w:id="621"/>
    </w:p>
    <w:tbl>
      <w:tblPr>
        <w:tblStyle w:val="24"/>
        <w:tblW w:w="9282" w:type="dxa"/>
        <w:tblInd w:w="93" w:type="dxa"/>
        <w:tblLayout w:type="fixed"/>
        <w:tblCellMar>
          <w:top w:w="0" w:type="dxa"/>
          <w:left w:w="108" w:type="dxa"/>
          <w:bottom w:w="0" w:type="dxa"/>
          <w:right w:w="108" w:type="dxa"/>
        </w:tblCellMar>
      </w:tblPr>
      <w:tblGrid>
        <w:gridCol w:w="496"/>
        <w:gridCol w:w="1436"/>
        <w:gridCol w:w="887"/>
        <w:gridCol w:w="1525"/>
        <w:gridCol w:w="500"/>
        <w:gridCol w:w="650"/>
        <w:gridCol w:w="838"/>
        <w:gridCol w:w="825"/>
        <w:gridCol w:w="2125"/>
      </w:tblGrid>
      <w:tr>
        <w:tblPrEx>
          <w:tblCellMar>
            <w:top w:w="0" w:type="dxa"/>
            <w:left w:w="108" w:type="dxa"/>
            <w:bottom w:w="0" w:type="dxa"/>
            <w:right w:w="108" w:type="dxa"/>
          </w:tblCellMar>
        </w:tblPrEx>
        <w:trPr>
          <w:trHeight w:val="614" w:hRule="atLeast"/>
        </w:trPr>
        <w:tc>
          <w:tcPr>
            <w:tcW w:w="9282" w:type="dxa"/>
            <w:gridSpan w:val="9"/>
            <w:tcBorders>
              <w:top w:val="nil"/>
              <w:left w:val="nil"/>
              <w:bottom w:val="nil"/>
              <w:right w:val="nil"/>
            </w:tcBorders>
            <w:shd w:val="clear" w:color="auto" w:fill="auto"/>
            <w:noWrap/>
            <w:vAlign w:val="center"/>
          </w:tcPr>
          <w:p>
            <w:pPr>
              <w:widowControl/>
              <w:jc w:val="center"/>
              <w:textAlignment w:val="center"/>
              <w:rPr>
                <w:rFonts w:ascii="宋体" w:hAnsi="宋体" w:cs="宋体"/>
                <w:b/>
                <w:bCs/>
                <w:sz w:val="28"/>
                <w:szCs w:val="28"/>
              </w:rPr>
            </w:pPr>
            <w:r>
              <w:rPr>
                <w:rFonts w:hint="eastAsia" w:ascii="宋体" w:hAnsi="宋体" w:cs="宋体"/>
                <w:b/>
                <w:bCs/>
                <w:kern w:val="0"/>
                <w:sz w:val="28"/>
                <w:szCs w:val="28"/>
                <w:lang w:bidi="ar"/>
              </w:rPr>
              <w:t>资源与环境学院-5楼台柜、楼宇通风报价单</w:t>
            </w:r>
          </w:p>
        </w:tc>
      </w:tr>
      <w:tr>
        <w:tblPrEx>
          <w:tblCellMar>
            <w:top w:w="0" w:type="dxa"/>
            <w:left w:w="108" w:type="dxa"/>
            <w:bottom w:w="0" w:type="dxa"/>
            <w:right w:w="108" w:type="dxa"/>
          </w:tblCellMar>
        </w:tblPrEx>
        <w:trPr>
          <w:trHeight w:val="503"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序号</w:t>
            </w:r>
          </w:p>
        </w:tc>
        <w:tc>
          <w:tcPr>
            <w:tcW w:w="1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名称</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规格</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单位</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数量</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单价</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总价</w:t>
            </w: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备注</w:t>
            </w:r>
          </w:p>
        </w:tc>
      </w:tr>
      <w:tr>
        <w:tblPrEx>
          <w:tblCellMar>
            <w:top w:w="0" w:type="dxa"/>
            <w:left w:w="108" w:type="dxa"/>
            <w:bottom w:w="0" w:type="dxa"/>
            <w:right w:w="108" w:type="dxa"/>
          </w:tblCellMar>
        </w:tblPrEx>
        <w:trPr>
          <w:trHeight w:val="503"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通风柜</w:t>
            </w:r>
          </w:p>
        </w:tc>
        <w:tc>
          <w:tcPr>
            <w:tcW w:w="887" w:type="dxa"/>
            <w:tcBorders>
              <w:top w:val="single" w:color="000000" w:sz="4" w:space="0"/>
              <w:left w:val="single" w:color="000000" w:sz="4" w:space="0"/>
              <w:bottom w:val="single" w:color="000000" w:sz="4" w:space="0"/>
              <w:right w:val="nil"/>
            </w:tcBorders>
            <w:shd w:val="clear" w:color="auto" w:fill="auto"/>
            <w:noWrap/>
            <w:vAlign w:val="center"/>
          </w:tcPr>
          <w:p>
            <w:pPr>
              <w:widowControl/>
              <w:jc w:val="right"/>
              <w:textAlignment w:val="center"/>
              <w:rPr>
                <w:rFonts w:ascii="宋体" w:hAnsi="宋体" w:cs="宋体"/>
                <w:sz w:val="20"/>
                <w:szCs w:val="20"/>
              </w:rPr>
            </w:pPr>
            <w:r>
              <w:rPr>
                <w:rFonts w:hint="eastAsia" w:ascii="宋体" w:hAnsi="宋体" w:cs="宋体"/>
                <w:kern w:val="0"/>
                <w:sz w:val="20"/>
                <w:szCs w:val="20"/>
                <w:lang w:bidi="ar"/>
              </w:rPr>
              <w:t>1500</w:t>
            </w:r>
          </w:p>
        </w:tc>
        <w:tc>
          <w:tcPr>
            <w:tcW w:w="1525" w:type="dxa"/>
            <w:tcBorders>
              <w:top w:val="single" w:color="000000" w:sz="4" w:space="0"/>
              <w:left w:val="nil"/>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sz w:val="20"/>
                <w:szCs w:val="20"/>
              </w:rPr>
            </w:pPr>
            <w:r>
              <w:rPr>
                <w:rFonts w:hint="eastAsia" w:ascii="宋体" w:hAnsi="宋体" w:cs="宋体"/>
                <w:kern w:val="0"/>
                <w:sz w:val="20"/>
                <w:szCs w:val="20"/>
                <w:lang w:bidi="ar"/>
              </w:rPr>
              <w:t>*850*2350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台</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2</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含给排水管路改造</w:t>
            </w:r>
          </w:p>
        </w:tc>
      </w:tr>
      <w:tr>
        <w:tblPrEx>
          <w:tblCellMar>
            <w:top w:w="0" w:type="dxa"/>
            <w:left w:w="108" w:type="dxa"/>
            <w:bottom w:w="0" w:type="dxa"/>
            <w:right w:w="108" w:type="dxa"/>
          </w:tblCellMar>
        </w:tblPrEx>
        <w:trPr>
          <w:trHeight w:val="503"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高温台</w:t>
            </w:r>
          </w:p>
        </w:tc>
        <w:tc>
          <w:tcPr>
            <w:tcW w:w="887" w:type="dxa"/>
            <w:tcBorders>
              <w:top w:val="single" w:color="000000" w:sz="4" w:space="0"/>
              <w:left w:val="single" w:color="000000" w:sz="4" w:space="0"/>
              <w:bottom w:val="single" w:color="000000" w:sz="4" w:space="0"/>
              <w:right w:val="nil"/>
            </w:tcBorders>
            <w:shd w:val="clear" w:color="auto" w:fill="auto"/>
            <w:noWrap/>
            <w:vAlign w:val="center"/>
          </w:tcPr>
          <w:p>
            <w:pPr>
              <w:widowControl/>
              <w:jc w:val="right"/>
              <w:textAlignment w:val="center"/>
              <w:rPr>
                <w:rFonts w:ascii="宋体" w:hAnsi="宋体" w:cs="宋体"/>
                <w:sz w:val="20"/>
                <w:szCs w:val="20"/>
              </w:rPr>
            </w:pPr>
            <w:r>
              <w:rPr>
                <w:rFonts w:hint="eastAsia" w:ascii="宋体" w:hAnsi="宋体" w:cs="宋体"/>
                <w:kern w:val="0"/>
                <w:sz w:val="20"/>
                <w:szCs w:val="20"/>
                <w:lang w:bidi="ar"/>
              </w:rPr>
              <w:t>4000</w:t>
            </w:r>
          </w:p>
        </w:tc>
        <w:tc>
          <w:tcPr>
            <w:tcW w:w="1525" w:type="dxa"/>
            <w:tcBorders>
              <w:top w:val="single" w:color="000000" w:sz="4" w:space="0"/>
              <w:left w:val="nil"/>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sz w:val="20"/>
                <w:szCs w:val="20"/>
              </w:rPr>
            </w:pPr>
            <w:r>
              <w:rPr>
                <w:rFonts w:hint="eastAsia" w:ascii="宋体" w:hAnsi="宋体" w:cs="宋体"/>
                <w:kern w:val="0"/>
                <w:sz w:val="20"/>
                <w:szCs w:val="20"/>
                <w:lang w:bidi="ar"/>
              </w:rPr>
              <w:t>*750*600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台</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全钢结构，大理石台面</w:t>
            </w:r>
          </w:p>
        </w:tc>
      </w:tr>
      <w:tr>
        <w:tblPrEx>
          <w:tblCellMar>
            <w:top w:w="0" w:type="dxa"/>
            <w:left w:w="108" w:type="dxa"/>
            <w:bottom w:w="0" w:type="dxa"/>
            <w:right w:w="108" w:type="dxa"/>
          </w:tblCellMar>
        </w:tblPrEx>
        <w:trPr>
          <w:trHeight w:val="503"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塔式电源</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sz w:val="20"/>
                <w:szCs w:val="20"/>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套</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4</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实验室专用</w:t>
            </w:r>
          </w:p>
        </w:tc>
      </w:tr>
      <w:tr>
        <w:tblPrEx>
          <w:tblCellMar>
            <w:top w:w="0" w:type="dxa"/>
            <w:left w:w="108" w:type="dxa"/>
            <w:bottom w:w="0" w:type="dxa"/>
            <w:right w:w="108" w:type="dxa"/>
          </w:tblCellMar>
        </w:tblPrEx>
        <w:trPr>
          <w:trHeight w:val="1544"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玻璃钢离心风机</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F4-72-5A  2.2KW 转速1450r/min ，风量3864-7728m3/h，风压790-502，含电源线，室外风机水泥基础等。</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台</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w:t>
            </w:r>
          </w:p>
        </w:tc>
      </w:tr>
      <w:tr>
        <w:tblPrEx>
          <w:tblCellMar>
            <w:top w:w="0" w:type="dxa"/>
            <w:left w:w="108" w:type="dxa"/>
            <w:bottom w:w="0" w:type="dxa"/>
            <w:right w:w="108" w:type="dxa"/>
          </w:tblCellMar>
        </w:tblPrEx>
        <w:trPr>
          <w:trHeight w:val="624"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PVC风管</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￠250、315风管、弯头、变径等配件</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项</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国标</w:t>
            </w:r>
          </w:p>
        </w:tc>
      </w:tr>
      <w:tr>
        <w:tblPrEx>
          <w:tblCellMar>
            <w:top w:w="0" w:type="dxa"/>
            <w:left w:w="108" w:type="dxa"/>
            <w:bottom w:w="0" w:type="dxa"/>
            <w:right w:w="108" w:type="dxa"/>
          </w:tblCellMar>
        </w:tblPrEx>
        <w:trPr>
          <w:trHeight w:val="462"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6</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防腐电动阀</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￠250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个</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2</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w:t>
            </w:r>
          </w:p>
        </w:tc>
      </w:tr>
      <w:tr>
        <w:tblPrEx>
          <w:tblCellMar>
            <w:top w:w="0" w:type="dxa"/>
            <w:left w:w="108" w:type="dxa"/>
            <w:bottom w:w="0" w:type="dxa"/>
            <w:right w:w="108" w:type="dxa"/>
          </w:tblCellMar>
        </w:tblPrEx>
        <w:trPr>
          <w:trHeight w:val="462"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7</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变频器</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P=2.2KW，含控制信号线</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个</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w:t>
            </w:r>
          </w:p>
        </w:tc>
      </w:tr>
      <w:tr>
        <w:tblPrEx>
          <w:tblCellMar>
            <w:top w:w="0" w:type="dxa"/>
            <w:left w:w="108" w:type="dxa"/>
            <w:bottom w:w="0" w:type="dxa"/>
            <w:right w:w="108" w:type="dxa"/>
          </w:tblCellMar>
        </w:tblPrEx>
        <w:trPr>
          <w:trHeight w:val="60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8</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配电箱</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sz w:val="20"/>
                <w:szCs w:val="20"/>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套</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8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sz w:val="20"/>
                <w:szCs w:val="20"/>
              </w:rPr>
            </w:pPr>
            <w:r>
              <w:rPr>
                <w:rFonts w:hint="eastAsia" w:ascii="宋体" w:hAnsi="宋体" w:cs="宋体"/>
                <w:sz w:val="20"/>
                <w:szCs w:val="20"/>
              </w:rPr>
              <w:t>/</w:t>
            </w:r>
          </w:p>
        </w:tc>
      </w:tr>
      <w:tr>
        <w:tblPrEx>
          <w:tblCellMar>
            <w:top w:w="0" w:type="dxa"/>
            <w:left w:w="108" w:type="dxa"/>
            <w:bottom w:w="0" w:type="dxa"/>
            <w:right w:w="108" w:type="dxa"/>
          </w:tblCellMar>
        </w:tblPrEx>
        <w:trPr>
          <w:trHeight w:val="1190" w:hRule="atLeast"/>
        </w:trPr>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9</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活性炭吸附箱</w:t>
            </w:r>
          </w:p>
        </w:tc>
        <w:tc>
          <w:tcPr>
            <w:tcW w:w="2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Style w:val="45"/>
                <w:rFonts w:hint="default"/>
                <w:color w:val="auto"/>
                <w:lang w:bidi="ar"/>
              </w:rPr>
              <w:t>处理风量 Q=3600m3/h(1)成套箱式</w:t>
            </w:r>
            <w:r>
              <w:rPr>
                <w:rStyle w:val="46"/>
                <w:rFonts w:hint="default"/>
                <w:color w:val="auto"/>
                <w:lang w:bidi="ar"/>
              </w:rPr>
              <w:t>蜂窝煤</w:t>
            </w:r>
            <w:r>
              <w:rPr>
                <w:rStyle w:val="45"/>
                <w:rFonts w:hint="default"/>
                <w:color w:val="auto"/>
                <w:lang w:bidi="ar"/>
              </w:rPr>
              <w:t>吸附过滤净化箱安装</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组</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1</w:t>
            </w:r>
          </w:p>
        </w:tc>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w:t>
            </w:r>
          </w:p>
        </w:tc>
      </w:tr>
      <w:tr>
        <w:tblPrEx>
          <w:tblCellMar>
            <w:top w:w="0" w:type="dxa"/>
            <w:left w:w="108" w:type="dxa"/>
            <w:bottom w:w="0" w:type="dxa"/>
            <w:right w:w="108" w:type="dxa"/>
          </w:tblCellMar>
        </w:tblPrEx>
        <w:trPr>
          <w:trHeight w:val="610" w:hRule="atLeast"/>
        </w:trPr>
        <w:tc>
          <w:tcPr>
            <w:tcW w:w="19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r>
              <w:rPr>
                <w:rFonts w:hint="eastAsia" w:ascii="宋体" w:hAnsi="宋体" w:cs="宋体"/>
                <w:b/>
                <w:bCs/>
                <w:kern w:val="0"/>
                <w:sz w:val="20"/>
                <w:szCs w:val="20"/>
                <w:lang w:bidi="ar"/>
              </w:rPr>
              <w:t>总计(人民币）</w:t>
            </w:r>
          </w:p>
        </w:tc>
        <w:tc>
          <w:tcPr>
            <w:tcW w:w="440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sz w:val="20"/>
                <w:szCs w:val="20"/>
              </w:rPr>
            </w:pPr>
          </w:p>
        </w:tc>
        <w:tc>
          <w:tcPr>
            <w:tcW w:w="21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sz w:val="20"/>
                <w:szCs w:val="20"/>
              </w:rPr>
            </w:pPr>
            <w:r>
              <w:rPr>
                <w:rFonts w:hint="eastAsia" w:ascii="宋体" w:hAnsi="宋体" w:cs="宋体"/>
                <w:kern w:val="0"/>
                <w:sz w:val="20"/>
                <w:szCs w:val="20"/>
                <w:lang w:bidi="ar"/>
              </w:rPr>
              <w:t>元</w:t>
            </w:r>
          </w:p>
        </w:tc>
      </w:tr>
    </w:tbl>
    <w:p>
      <w:pPr>
        <w:spacing w:line="500" w:lineRule="exact"/>
        <w:ind w:firstLine="482" w:firstLineChars="200"/>
        <w:rPr>
          <w:rFonts w:ascii="宋体" w:hAnsi="宋体" w:cs="宋体"/>
          <w:b/>
          <w:bCs/>
        </w:rPr>
      </w:pPr>
      <w:r>
        <w:rPr>
          <w:rFonts w:hint="eastAsia" w:ascii="宋体" w:hAnsi="宋体" w:cs="宋体"/>
          <w:b/>
          <w:bCs/>
        </w:rPr>
        <w:t>2、参数</w:t>
      </w:r>
      <w:r>
        <w:rPr>
          <w:rFonts w:hint="eastAsia" w:ascii="宋体" w:hAnsi="宋体" w:cs="宋体"/>
        </w:rPr>
        <w:t>（项目描述、任务书：需实现的功能或者目标；满足项目需要的所有技术、服务、安全等要求，采购对象的名称、品种、数量、规格、产地、质量、运输、安全要求等内容；能够通过客观指标量化的应当量化，可附表格说明；用“★”标明主要技术参数并明确是否接受负偏离）</w:t>
      </w:r>
      <w:r>
        <w:rPr>
          <w:rFonts w:hint="eastAsia" w:ascii="宋体" w:hAnsi="宋体" w:cs="宋体"/>
          <w:b/>
          <w:bCs/>
        </w:rPr>
        <w:t>；</w:t>
      </w:r>
    </w:p>
    <w:p>
      <w:pPr>
        <w:spacing w:line="500" w:lineRule="exact"/>
        <w:ind w:firstLine="482" w:firstLineChars="200"/>
        <w:rPr>
          <w:rFonts w:ascii="宋体" w:hAnsi="宋体" w:cs="宋体"/>
          <w:b/>
          <w:bCs/>
        </w:rPr>
      </w:pPr>
      <w:r>
        <w:rPr>
          <w:rFonts w:hint="eastAsia" w:ascii="宋体" w:hAnsi="宋体" w:cs="宋体"/>
          <w:b/>
          <w:bCs/>
        </w:rPr>
        <w:t>实验室家具类参数及要求</w:t>
      </w:r>
    </w:p>
    <w:p>
      <w:pPr>
        <w:spacing w:line="500" w:lineRule="exact"/>
        <w:ind w:firstLine="480" w:firstLineChars="200"/>
        <w:jc w:val="left"/>
        <w:rPr>
          <w:rFonts w:ascii="宋体" w:hAnsi="宋体" w:cs="宋体"/>
        </w:rPr>
      </w:pPr>
      <w:r>
        <w:rPr>
          <w:rFonts w:hint="eastAsia" w:ascii="宋体" w:hAnsi="宋体" w:cs="宋体"/>
          <w:lang w:bidi="ar"/>
        </w:rPr>
        <w:t>A、执行标准：</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1.家具产品质量标准</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QB/T  1951.1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1994  木家具质量检验及评定</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QB/T  1951.2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1994  金属家具质量检验及评定</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GB/18584—2001       室内装饰装修材料、木家具中有害物质限量</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2.家具通用技术与基础标准</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GB/T    3324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1995  木家具通用技术条件</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GB/T    3325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1995   金属家具通用技术条件</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GB/T    3326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1997   家具、桌、椅、凳类主要尺寸</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GB/T    3327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1997   家具、柜类主要尺寸</w:t>
      </w:r>
    </w:p>
    <w:p>
      <w:pPr>
        <w:adjustRightInd w:val="0"/>
        <w:snapToGrid w:val="0"/>
        <w:spacing w:line="500" w:lineRule="exact"/>
        <w:ind w:firstLine="480" w:firstLineChars="200"/>
        <w:jc w:val="left"/>
        <w:rPr>
          <w:rFonts w:ascii="宋体" w:hAnsi="宋体" w:cs="宋体"/>
        </w:rPr>
      </w:pPr>
      <w:r>
        <w:rPr>
          <w:rFonts w:hint="eastAsia" w:ascii="宋体" w:hAnsi="宋体" w:cs="宋体"/>
          <w:lang w:bidi="ar"/>
        </w:rPr>
        <w:t xml:space="preserve">QB/T    1241 </w:t>
      </w:r>
      <w:r>
        <w:rPr>
          <w:rFonts w:hint="eastAsia" w:ascii="宋体" w:hAnsi="宋体" w:cs="宋体"/>
          <w:lang w:bidi="ar"/>
        </w:rPr>
        <w:sym w:font="Symbol" w:char="00BE"/>
      </w:r>
      <w:r>
        <w:rPr>
          <w:rFonts w:hint="eastAsia" w:ascii="宋体" w:hAnsi="宋体" w:cs="宋体"/>
          <w:lang w:bidi="ar"/>
        </w:rPr>
        <w:sym w:font="Symbol" w:char="00BE"/>
      </w:r>
      <w:r>
        <w:rPr>
          <w:rFonts w:hint="eastAsia" w:ascii="宋体" w:hAnsi="宋体" w:cs="宋体"/>
          <w:lang w:bidi="ar"/>
        </w:rPr>
        <w:t xml:space="preserve"> 1991   家具五金、拉手安装尺寸</w:t>
      </w:r>
    </w:p>
    <w:p>
      <w:pPr>
        <w:spacing w:line="500" w:lineRule="exact"/>
        <w:ind w:firstLine="480" w:firstLineChars="200"/>
        <w:jc w:val="left"/>
        <w:rPr>
          <w:rFonts w:ascii="宋体" w:hAnsi="宋体" w:cs="宋体"/>
        </w:rPr>
      </w:pPr>
      <w:r>
        <w:rPr>
          <w:rFonts w:hint="eastAsia" w:ascii="宋体" w:hAnsi="宋体" w:cs="宋体"/>
          <w:lang w:bidi="ar"/>
        </w:rPr>
        <w:t>3、GB/T 21747-2008 （教学实验室设备试验台（桌）的安全要求及试验方法）；</w:t>
      </w:r>
    </w:p>
    <w:p>
      <w:pPr>
        <w:spacing w:line="500" w:lineRule="exact"/>
        <w:ind w:firstLine="480" w:firstLineChars="200"/>
        <w:jc w:val="left"/>
        <w:rPr>
          <w:rFonts w:ascii="宋体" w:hAnsi="宋体" w:cs="宋体"/>
        </w:rPr>
      </w:pPr>
      <w:r>
        <w:rPr>
          <w:rFonts w:hint="eastAsia" w:ascii="宋体" w:hAnsi="宋体" w:cs="宋体"/>
          <w:lang w:bidi="ar"/>
        </w:rPr>
        <w:t>4、GB50268-97、GB50169-93水电验收规范</w:t>
      </w:r>
    </w:p>
    <w:p>
      <w:pPr>
        <w:spacing w:line="500" w:lineRule="exact"/>
        <w:ind w:firstLine="480" w:firstLineChars="200"/>
        <w:rPr>
          <w:rFonts w:ascii="宋体" w:hAnsi="宋体" w:cs="宋体"/>
        </w:rPr>
      </w:pPr>
    </w:p>
    <w:p>
      <w:pPr>
        <w:spacing w:line="500" w:lineRule="exact"/>
        <w:ind w:firstLine="482" w:firstLineChars="200"/>
        <w:rPr>
          <w:rFonts w:ascii="宋体" w:hAnsi="宋体" w:cs="宋体"/>
          <w:b/>
          <w:bCs/>
        </w:rPr>
      </w:pPr>
      <w:r>
        <w:rPr>
          <w:rFonts w:hint="eastAsia" w:ascii="宋体" w:hAnsi="宋体" w:cs="宋体"/>
          <w:b/>
          <w:bCs/>
        </w:rPr>
        <w:t>高温台</w:t>
      </w:r>
    </w:p>
    <w:p>
      <w:pPr>
        <w:pBdr>
          <w:bottom w:val="single" w:color="auto" w:sz="4" w:space="0"/>
        </w:pBdr>
        <w:spacing w:line="500" w:lineRule="exact"/>
        <w:ind w:firstLine="482" w:firstLineChars="200"/>
        <w:jc w:val="left"/>
        <w:rPr>
          <w:rFonts w:ascii="宋体" w:hAnsi="宋体" w:cs="宋体"/>
        </w:rPr>
      </w:pPr>
      <w:r>
        <w:rPr>
          <w:rFonts w:hint="eastAsia" w:ascii="宋体" w:hAnsi="宋体" w:cs="宋体"/>
          <w:b/>
          <w:bCs/>
        </w:rPr>
        <w:t>规格：</w:t>
      </w:r>
    </w:p>
    <w:p>
      <w:pPr>
        <w:pBdr>
          <w:bottom w:val="single" w:color="auto" w:sz="4" w:space="0"/>
        </w:pBdr>
        <w:spacing w:line="500" w:lineRule="exact"/>
        <w:ind w:firstLine="480" w:firstLineChars="200"/>
        <w:jc w:val="left"/>
        <w:rPr>
          <w:rFonts w:ascii="宋体" w:hAnsi="宋体" w:cs="宋体"/>
        </w:rPr>
      </w:pPr>
      <w:r>
        <w:rPr>
          <w:rFonts w:hint="eastAsia" w:ascii="宋体" w:hAnsi="宋体" w:cs="宋体"/>
        </w:rPr>
        <w:t xml:space="preserve">高温台:L*750*600 </w:t>
      </w:r>
    </w:p>
    <w:p>
      <w:pPr>
        <w:spacing w:line="500" w:lineRule="exact"/>
        <w:ind w:firstLine="480" w:firstLineChars="200"/>
        <w:rPr>
          <w:rFonts w:ascii="宋体" w:hAnsi="宋体" w:cs="宋体"/>
          <w:bCs/>
        </w:rPr>
      </w:pPr>
      <w:r>
        <w:rPr>
          <w:rFonts w:hint="eastAsia" w:ascii="宋体" w:hAnsi="宋体" w:cs="宋体"/>
          <w:bCs/>
        </w:rPr>
        <w:t>【结构】全钢结构</w:t>
      </w:r>
    </w:p>
    <w:p>
      <w:pPr>
        <w:spacing w:line="460" w:lineRule="exact"/>
        <w:ind w:firstLine="480" w:firstLineChars="200"/>
        <w:rPr>
          <w:rFonts w:ascii="宋体" w:hAnsi="宋体" w:cs="宋体"/>
        </w:rPr>
      </w:pPr>
      <w:r>
        <w:rPr>
          <w:rFonts w:hint="eastAsia" w:ascii="宋体" w:hAnsi="宋体" w:cs="宋体"/>
          <w:bCs/>
        </w:rPr>
        <w:t>【台面】耐高温大理石台面</w:t>
      </w:r>
    </w:p>
    <w:p>
      <w:pPr>
        <w:spacing w:line="500" w:lineRule="exact"/>
        <w:ind w:firstLine="480" w:firstLineChars="200"/>
        <w:rPr>
          <w:rFonts w:ascii="宋体" w:hAnsi="宋体" w:cs="宋体"/>
          <w:bCs/>
        </w:rPr>
      </w:pPr>
      <w:r>
        <w:rPr>
          <w:rFonts w:hint="eastAsia" w:ascii="宋体" w:hAnsi="宋体" w:cs="宋体"/>
          <w:bCs/>
        </w:rPr>
        <w:t>【柜体】采用1.2mm 厚知名品牌优质冷轧钢板。柜体表面经75µm厚喷涂环氧树脂静电喷涂，防腐除锈，耐磨，防潮，耐高温，预成型，预开口结构，无论垂直方向及水平方向其交叉角平面均光滑过渡，无交叠、破裂等现象。水平过渡交叉挡板应扣住，凹入并隐藏。柜体前部和后部支撑有加强筋，上有隔板调节孔。承重不小于350kg/m2。所有带门的实验柜具内置活动层板，高度可上下移动。</w:t>
      </w:r>
    </w:p>
    <w:p>
      <w:pPr>
        <w:spacing w:line="500" w:lineRule="exact"/>
        <w:ind w:firstLine="480" w:firstLineChars="200"/>
        <w:rPr>
          <w:rFonts w:ascii="宋体" w:hAnsi="宋体" w:cs="宋体"/>
          <w:bCs/>
        </w:rPr>
      </w:pPr>
      <w:r>
        <w:rPr>
          <w:rFonts w:hint="eastAsia" w:ascii="宋体" w:hAnsi="宋体" w:cs="宋体"/>
          <w:bCs/>
        </w:rPr>
        <w:t>【柜门】：采用知名品牌，厚度1.</w:t>
      </w:r>
      <w:r>
        <w:rPr>
          <w:rFonts w:ascii="宋体" w:hAnsi="宋体" w:cs="宋体"/>
          <w:bCs/>
        </w:rPr>
        <w:t>2</w:t>
      </w:r>
      <w:r>
        <w:rPr>
          <w:rFonts w:hint="eastAsia" w:ascii="宋体" w:hAnsi="宋体" w:cs="宋体"/>
          <w:bCs/>
        </w:rPr>
        <w:t>mm优质冷轧钢板，双层实体结构，夹层内填有阻燃隔音蜂巢板材料，柜门内有橡胶缓冲材料。钢板表面须经打磨、防腐除锈。75µm厚环氧树脂塑粉喷涂等处理，耐磨，耐腐蚀、防潮，耐高温，预成型，预开口结构，交叉角平面光滑过渡，无交叠、破裂等现象。柜门拉手为一体成型结构。钢板表面经打磨、防腐除锈、75µm环氧树脂塑粉喷涂等处理，合页为304#五节式高档不锈钢，开合时无噪音，性能达到国际五金行业标准。</w:t>
      </w:r>
    </w:p>
    <w:p>
      <w:pPr>
        <w:spacing w:line="500" w:lineRule="exact"/>
        <w:ind w:firstLine="480" w:firstLineChars="200"/>
        <w:rPr>
          <w:rFonts w:ascii="宋体" w:hAnsi="宋体" w:cs="宋体"/>
          <w:bCs/>
        </w:rPr>
      </w:pPr>
      <w:r>
        <w:rPr>
          <w:rFonts w:hint="eastAsia" w:ascii="宋体" w:hAnsi="宋体" w:cs="宋体"/>
          <w:bCs/>
        </w:rPr>
        <w:t>【背板】：采用知名品牌，厚度1.</w:t>
      </w:r>
      <w:r>
        <w:rPr>
          <w:rFonts w:ascii="宋体" w:hAnsi="宋体" w:cs="宋体"/>
          <w:bCs/>
        </w:rPr>
        <w:t>2</w:t>
      </w:r>
      <w:r>
        <w:rPr>
          <w:rFonts w:hint="eastAsia" w:ascii="宋体" w:hAnsi="宋体" w:cs="宋体"/>
          <w:bCs/>
        </w:rPr>
        <w:t>mm厚优质冷轧钢板，表面经打磨、防腐除锈、75µm环氧树脂塑粉喷涂等处理，背板为活动式，易拆卸；实验台配电采用后背板固定线槽和电源插座。</w:t>
      </w:r>
    </w:p>
    <w:p>
      <w:pPr>
        <w:spacing w:line="500" w:lineRule="exact"/>
        <w:ind w:firstLine="480" w:firstLineChars="200"/>
        <w:rPr>
          <w:rFonts w:ascii="宋体" w:hAnsi="宋体" w:cs="宋体"/>
          <w:bCs/>
        </w:rPr>
      </w:pPr>
      <w:r>
        <w:rPr>
          <w:rFonts w:hint="eastAsia" w:ascii="宋体" w:hAnsi="宋体" w:cs="宋体"/>
          <w:bCs/>
        </w:rPr>
        <w:t>【抽屉】：采用知名品牌，厚度1.</w:t>
      </w:r>
      <w:r>
        <w:rPr>
          <w:rFonts w:ascii="宋体" w:hAnsi="宋体" w:cs="宋体"/>
          <w:bCs/>
        </w:rPr>
        <w:t>2</w:t>
      </w:r>
      <w:r>
        <w:rPr>
          <w:rFonts w:hint="eastAsia" w:ascii="宋体" w:hAnsi="宋体" w:cs="宋体"/>
          <w:bCs/>
        </w:rPr>
        <w:t>mm厚优质冷轧钢板，抽屉面板与拉手为一体成型结构。抽屉和拉手钢板表面经打磨、防腐除锈、75µm环氧树脂塑粉喷涂等处理。</w:t>
      </w:r>
    </w:p>
    <w:p>
      <w:pPr>
        <w:spacing w:line="500" w:lineRule="exact"/>
        <w:ind w:firstLine="480" w:firstLineChars="200"/>
        <w:rPr>
          <w:rFonts w:ascii="宋体" w:hAnsi="宋体" w:cs="宋体"/>
          <w:bCs/>
        </w:rPr>
      </w:pPr>
      <w:r>
        <w:rPr>
          <w:rFonts w:hint="eastAsia" w:ascii="宋体" w:hAnsi="宋体" w:cs="宋体"/>
          <w:bCs/>
        </w:rPr>
        <w:t>【连接件】 模具开发专用连接件，表面静电喷涂</w:t>
      </w:r>
    </w:p>
    <w:p>
      <w:pPr>
        <w:spacing w:line="500" w:lineRule="exact"/>
        <w:ind w:firstLine="480" w:firstLineChars="200"/>
        <w:rPr>
          <w:rFonts w:ascii="宋体" w:hAnsi="宋体" w:cs="宋体"/>
          <w:bCs/>
        </w:rPr>
      </w:pPr>
      <w:r>
        <w:rPr>
          <w:rFonts w:hint="eastAsia" w:ascii="宋体" w:hAnsi="宋体" w:cs="宋体"/>
          <w:bCs/>
        </w:rPr>
        <w:t>【铰链】采用知名品牌防锈合金铰链。</w:t>
      </w:r>
    </w:p>
    <w:p>
      <w:pPr>
        <w:spacing w:line="500" w:lineRule="exact"/>
        <w:ind w:firstLine="480" w:firstLineChars="200"/>
        <w:rPr>
          <w:rFonts w:ascii="宋体" w:hAnsi="宋体" w:cs="宋体"/>
          <w:bCs/>
        </w:rPr>
      </w:pPr>
      <w:r>
        <w:rPr>
          <w:rFonts w:hint="eastAsia" w:ascii="宋体" w:hAnsi="宋体" w:cs="宋体"/>
          <w:bCs/>
        </w:rPr>
        <w:t>【拉手】铝合金一字型隐形拉手（完工后配色可随意更换）</w:t>
      </w:r>
    </w:p>
    <w:p>
      <w:pPr>
        <w:spacing w:line="500" w:lineRule="exact"/>
        <w:ind w:firstLine="480" w:firstLineChars="200"/>
        <w:rPr>
          <w:rFonts w:ascii="宋体" w:hAnsi="宋体" w:cs="宋体"/>
          <w:bCs/>
        </w:rPr>
      </w:pPr>
      <w:r>
        <w:rPr>
          <w:rFonts w:hint="eastAsia" w:ascii="宋体" w:hAnsi="宋体" w:cs="宋体"/>
          <w:bCs/>
        </w:rPr>
        <w:t>【导轨】采用知名品牌优质三节静音导轨，开合次数能超过十万次以上。</w:t>
      </w:r>
    </w:p>
    <w:p>
      <w:pPr>
        <w:spacing w:line="500" w:lineRule="exact"/>
        <w:ind w:firstLine="480" w:firstLineChars="200"/>
        <w:rPr>
          <w:rFonts w:ascii="宋体" w:hAnsi="宋体" w:cs="宋体"/>
          <w:bCs/>
        </w:rPr>
      </w:pPr>
      <w:r>
        <w:rPr>
          <w:rFonts w:hint="eastAsia" w:ascii="宋体" w:hAnsi="宋体" w:cs="宋体"/>
          <w:bCs/>
        </w:rPr>
        <w:t>【地脚】采用实验室专用优质不锈钢防震组合地脚，高度可调，配减震防滑功能橡胶制作，可调高度。</w:t>
      </w:r>
    </w:p>
    <w:p>
      <w:pPr>
        <w:spacing w:line="440" w:lineRule="exact"/>
        <w:ind w:firstLine="482" w:firstLineChars="200"/>
        <w:rPr>
          <w:rFonts w:ascii="宋体" w:hAnsi="宋体"/>
          <w:b/>
          <w:bCs/>
        </w:rPr>
      </w:pPr>
    </w:p>
    <w:p>
      <w:pPr>
        <w:spacing w:line="440" w:lineRule="exact"/>
        <w:ind w:firstLine="482" w:firstLineChars="200"/>
        <w:rPr>
          <w:rFonts w:ascii="宋体" w:hAnsi="宋体" w:cs="宋体"/>
          <w:bCs/>
        </w:rPr>
      </w:pPr>
      <w:r>
        <w:rPr>
          <w:rFonts w:hint="eastAsia" w:ascii="宋体" w:hAnsi="宋体"/>
          <w:b/>
          <w:bCs/>
        </w:rPr>
        <w:t>塔式电源</w:t>
      </w:r>
      <w:r>
        <w:rPr>
          <w:rFonts w:hint="eastAsia" w:ascii="宋体" w:hAnsi="宋体" w:cs="宋体"/>
          <w:bCs/>
        </w:rPr>
        <w:t>：</w:t>
      </w:r>
    </w:p>
    <w:p>
      <w:pPr>
        <w:spacing w:line="440" w:lineRule="exact"/>
        <w:ind w:firstLine="480" w:firstLineChars="200"/>
        <w:rPr>
          <w:rFonts w:ascii="宋体" w:hAnsi="宋体" w:cs="宋体"/>
          <w:b/>
        </w:rPr>
      </w:pPr>
      <w:r>
        <w:rPr>
          <w:rFonts w:hint="eastAsia" w:ascii="宋体" w:hAnsi="宋体" w:cs="宋体"/>
          <w:bCs/>
        </w:rPr>
        <w:t>采</w:t>
      </w:r>
      <w:r>
        <w:rPr>
          <w:rFonts w:hint="eastAsia" w:ascii="宋体" w:hAnsi="宋体" w:cs="宋体"/>
        </w:rPr>
        <w:t>用专用模具成型的钢制电源插座，上装5孔多功能插座，适合于各种仪器插头。</w:t>
      </w:r>
    </w:p>
    <w:p>
      <w:pPr>
        <w:tabs>
          <w:tab w:val="left" w:pos="-720"/>
          <w:tab w:val="left" w:pos="0"/>
        </w:tabs>
        <w:suppressAutoHyphens/>
        <w:adjustRightInd w:val="0"/>
        <w:snapToGrid w:val="0"/>
        <w:ind w:firstLine="482" w:firstLineChars="200"/>
        <w:rPr>
          <w:rFonts w:ascii="仿宋" w:hAnsi="仿宋" w:eastAsia="仿宋" w:cs="仿宋"/>
          <w:b/>
          <w:bCs/>
        </w:rPr>
      </w:pPr>
    </w:p>
    <w:p>
      <w:pPr>
        <w:tabs>
          <w:tab w:val="left" w:pos="-720"/>
          <w:tab w:val="left" w:pos="0"/>
        </w:tabs>
        <w:suppressAutoHyphens/>
        <w:adjustRightInd w:val="0"/>
        <w:snapToGrid w:val="0"/>
        <w:ind w:firstLine="482" w:firstLineChars="200"/>
        <w:rPr>
          <w:rFonts w:ascii="宋体" w:hAnsi="宋体" w:cs="宋体"/>
          <w:b/>
          <w:bCs/>
        </w:rPr>
      </w:pPr>
      <w:r>
        <w:rPr>
          <w:rFonts w:hint="eastAsia" w:ascii="宋体" w:hAnsi="宋体" w:cs="宋体"/>
          <w:b/>
          <w:bCs/>
        </w:rPr>
        <w:t>2.通风柜（带补风）</w:t>
      </w:r>
    </w:p>
    <w:p>
      <w:pPr>
        <w:pStyle w:val="47"/>
        <w:adjustRightInd w:val="0"/>
        <w:snapToGrid w:val="0"/>
        <w:ind w:firstLine="482"/>
        <w:jc w:val="left"/>
        <w:rPr>
          <w:rFonts w:ascii="宋体" w:hAnsi="宋体" w:cs="宋体"/>
          <w:b/>
        </w:rPr>
      </w:pPr>
      <w:r>
        <w:rPr>
          <w:rFonts w:hint="eastAsia" w:ascii="宋体" w:hAnsi="宋体" w:cs="宋体"/>
          <w:b/>
        </w:rPr>
        <w:t>2.1 技术描述：</w:t>
      </w:r>
    </w:p>
    <w:p>
      <w:pPr>
        <w:pStyle w:val="47"/>
        <w:adjustRightInd w:val="0"/>
        <w:snapToGrid w:val="0"/>
        <w:ind w:left="480" w:firstLine="0" w:firstLineChars="0"/>
        <w:jc w:val="left"/>
        <w:rPr>
          <w:rFonts w:ascii="宋体" w:hAnsi="宋体" w:cs="宋体"/>
        </w:rPr>
      </w:pPr>
      <w:r>
        <w:rPr>
          <w:rFonts w:hint="eastAsia" w:ascii="宋体" w:hAnsi="宋体" w:cs="宋体"/>
        </w:rPr>
        <w:t>（1）符合EN14175-3：2019、ASHRAE 110、GB24820-2009标准。</w:t>
      </w:r>
    </w:p>
    <w:p>
      <w:pPr>
        <w:pStyle w:val="47"/>
        <w:adjustRightInd w:val="0"/>
        <w:snapToGrid w:val="0"/>
        <w:ind w:left="480" w:firstLine="0" w:firstLineChars="0"/>
        <w:jc w:val="left"/>
        <w:rPr>
          <w:rFonts w:ascii="宋体" w:hAnsi="宋体" w:cs="宋体"/>
        </w:rPr>
      </w:pPr>
      <w:r>
        <w:rPr>
          <w:rFonts w:hint="eastAsia" w:ascii="宋体" w:hAnsi="宋体" w:cs="宋体"/>
        </w:rPr>
        <w:t>（2）规格：1500/1800*1020*2360/2700mm</w:t>
      </w:r>
    </w:p>
    <w:p>
      <w:pPr>
        <w:pStyle w:val="47"/>
        <w:adjustRightInd w:val="0"/>
        <w:snapToGrid w:val="0"/>
        <w:ind w:firstLine="480"/>
        <w:jc w:val="left"/>
        <w:rPr>
          <w:rFonts w:ascii="宋体" w:hAnsi="宋体" w:cs="宋体"/>
        </w:rPr>
      </w:pPr>
      <w:r>
        <w:rPr>
          <w:rFonts w:hint="eastAsia" w:ascii="宋体" w:hAnsi="宋体" w:cs="宋体"/>
        </w:rPr>
        <w:t>（3）通风柜的设计、制造、安装均依照EN14175-3：2019、ASHRAE 110规范标准，保证在设定面风速(0.5m/s)情况下，残留物浓度符合测试标准，保证实验人员身心健康：</w:t>
      </w:r>
    </w:p>
    <w:p>
      <w:pPr>
        <w:adjustRightInd w:val="0"/>
        <w:snapToGrid w:val="0"/>
        <w:ind w:firstLine="482" w:firstLineChars="200"/>
        <w:rPr>
          <w:rFonts w:ascii="宋体" w:hAnsi="宋体" w:cs="宋体"/>
          <w:bCs/>
        </w:rPr>
      </w:pPr>
      <w:r>
        <w:rPr>
          <w:rFonts w:hint="eastAsia" w:ascii="宋体" w:hAnsi="宋体" w:cs="宋体"/>
          <w:b/>
          <w:bCs/>
        </w:rPr>
        <w:t>2.2 通风柜主体框架：</w:t>
      </w:r>
      <w:r>
        <w:rPr>
          <w:rFonts w:hint="eastAsia" w:ascii="宋体" w:hAnsi="宋体" w:cs="宋体"/>
        </w:rPr>
        <w:t>铝合金材质，自支撑坚固构造。铝合金内外层均做抗腐蚀处理；通风柜的挂板采用环氧树脂粉末喷涂的钢板。侧板、背板、顶板采用阻燃热固树脂板确保实验过程中，保护实验人员的安全</w:t>
      </w:r>
      <w:r>
        <w:rPr>
          <w:rFonts w:hint="eastAsia" w:ascii="宋体" w:hAnsi="宋体" w:cs="宋体"/>
          <w:bCs/>
        </w:rPr>
        <w:t>。</w:t>
      </w:r>
    </w:p>
    <w:p>
      <w:pPr>
        <w:adjustRightInd w:val="0"/>
        <w:snapToGrid w:val="0"/>
        <w:ind w:firstLine="482" w:firstLineChars="200"/>
        <w:jc w:val="left"/>
        <w:rPr>
          <w:rFonts w:ascii="宋体" w:hAnsi="宋体" w:cs="宋体"/>
        </w:rPr>
      </w:pPr>
      <w:r>
        <w:rPr>
          <w:rFonts w:hint="eastAsia" w:ascii="宋体" w:hAnsi="宋体" w:cs="宋体"/>
          <w:b/>
          <w:bCs/>
        </w:rPr>
        <w:t>2.3 通风柜阻燃导流板：</w:t>
      </w:r>
      <w:r>
        <w:rPr>
          <w:rFonts w:hint="eastAsia" w:ascii="宋体" w:hAnsi="宋体" w:cs="宋体"/>
        </w:rPr>
        <w:t>采用阻燃、防爆、耐腐蚀、耐高温，一体透芯，从里到外为同一材质。厚度：采用大于或等于5 mm厚乳白色实验室专用通风柜陶瓷纤维板。</w:t>
      </w:r>
    </w:p>
    <w:p>
      <w:pPr>
        <w:adjustRightInd w:val="0"/>
        <w:snapToGrid w:val="0"/>
        <w:ind w:firstLine="482" w:firstLineChars="200"/>
        <w:jc w:val="left"/>
        <w:rPr>
          <w:rFonts w:ascii="宋体" w:hAnsi="宋体" w:cs="宋体"/>
          <w:bCs/>
        </w:rPr>
      </w:pPr>
      <w:r>
        <w:rPr>
          <w:rFonts w:hint="eastAsia" w:ascii="宋体" w:hAnsi="宋体" w:cs="宋体"/>
          <w:b/>
        </w:rPr>
        <w:t>2.4 导流板固定座：</w:t>
      </w:r>
      <w:r>
        <w:rPr>
          <w:rFonts w:hint="eastAsia" w:ascii="宋体" w:hAnsi="宋体" w:cs="宋体"/>
        </w:rPr>
        <w:t>采用耐蚀塑料材质（聚丙烯、聚氯乙烯或其它更佳的耐蚀塑料），或采用厚大于或等于1.5 mm的316不锈钢材质制作。</w:t>
      </w:r>
    </w:p>
    <w:p>
      <w:pPr>
        <w:pStyle w:val="48"/>
        <w:adjustRightInd w:val="0"/>
        <w:snapToGrid w:val="0"/>
        <w:spacing w:before="0" w:after="0" w:line="360" w:lineRule="auto"/>
        <w:jc w:val="both"/>
        <w:rPr>
          <w:rFonts w:ascii="宋体" w:hAnsi="宋体" w:cs="宋体"/>
          <w:spacing w:val="0"/>
          <w:sz w:val="24"/>
          <w:szCs w:val="24"/>
        </w:rPr>
      </w:pPr>
      <w:r>
        <w:rPr>
          <w:rFonts w:hint="eastAsia" w:ascii="宋体" w:hAnsi="宋体" w:cs="宋体"/>
          <w:b/>
          <w:bCs w:val="0"/>
          <w:spacing w:val="0"/>
          <w:sz w:val="24"/>
          <w:szCs w:val="24"/>
        </w:rPr>
        <w:t xml:space="preserve">    2.5 前视窗：</w:t>
      </w:r>
      <w:r>
        <w:rPr>
          <w:rFonts w:hint="eastAsia" w:ascii="宋体" w:hAnsi="宋体" w:cs="宋体"/>
          <w:spacing w:val="0"/>
          <w:sz w:val="24"/>
          <w:szCs w:val="24"/>
        </w:rPr>
        <w:t>主体采用铝型材加工制作，铝型材表面经环氧树脂粉末静电喷涂工艺处理。</w:t>
      </w:r>
      <w:r>
        <w:rPr>
          <w:rFonts w:hint="eastAsia" w:ascii="宋体" w:hAnsi="宋体" w:cs="宋体"/>
          <w:bCs w:val="0"/>
          <w:sz w:val="24"/>
          <w:szCs w:val="24"/>
        </w:rPr>
        <w:t>通风柜正前方全部为玻璃视窗，有良好的可视范围，</w:t>
      </w:r>
      <w:r>
        <w:rPr>
          <w:rFonts w:hint="eastAsia" w:ascii="宋体" w:hAnsi="宋体" w:cs="宋体"/>
          <w:spacing w:val="0"/>
          <w:sz w:val="24"/>
          <w:szCs w:val="24"/>
        </w:rPr>
        <w:t>前视窗开口左右侧翼、上下铝型材都应该为圆弧型导流设计，经气流仿真和实际测试，应能防止新风气流对柜体内污染空气逆流和紊流的产生。在通风柜视窗与通风柜工作台面垂直闭合处，设计留有防止气体外溢的气流栅，用以防止因温差而产生的对流气体外溢，保证当视窗关闭风机仍工作时，柜体内工作区不会产生负压。</w:t>
      </w:r>
    </w:p>
    <w:p>
      <w:pPr>
        <w:pStyle w:val="48"/>
        <w:adjustRightInd w:val="0"/>
        <w:snapToGrid w:val="0"/>
        <w:spacing w:before="0" w:after="0" w:line="360" w:lineRule="auto"/>
        <w:jc w:val="both"/>
        <w:rPr>
          <w:rFonts w:ascii="宋体" w:hAnsi="宋体" w:cs="宋体"/>
          <w:bCs w:val="0"/>
          <w:sz w:val="24"/>
          <w:szCs w:val="24"/>
        </w:rPr>
      </w:pPr>
      <w:r>
        <w:rPr>
          <w:rFonts w:hint="eastAsia" w:ascii="宋体" w:hAnsi="宋体" w:cs="宋体"/>
          <w:b/>
          <w:bCs w:val="0"/>
          <w:spacing w:val="0"/>
          <w:sz w:val="24"/>
          <w:szCs w:val="24"/>
        </w:rPr>
        <w:t xml:space="preserve">    2.6 移动视窗：</w:t>
      </w:r>
      <w:r>
        <w:rPr>
          <w:rFonts w:hint="eastAsia" w:ascii="宋体" w:hAnsi="宋体" w:cs="宋体"/>
          <w:spacing w:val="0"/>
          <w:sz w:val="24"/>
          <w:szCs w:val="24"/>
        </w:rPr>
        <w:t>采用铝型材框架、6 mm厚的钢化防爆玻璃</w:t>
      </w:r>
      <w:r>
        <w:rPr>
          <w:rFonts w:hint="eastAsia" w:ascii="宋体" w:hAnsi="宋体" w:cs="宋体"/>
          <w:bCs w:val="0"/>
          <w:spacing w:val="0"/>
          <w:sz w:val="24"/>
          <w:szCs w:val="24"/>
        </w:rPr>
        <w:t>，门开启高度为不小于700 mm，</w:t>
      </w:r>
      <w:r>
        <w:rPr>
          <w:rFonts w:hint="eastAsia" w:ascii="宋体" w:hAnsi="宋体" w:cs="宋体"/>
          <w:spacing w:val="0"/>
          <w:sz w:val="24"/>
          <w:szCs w:val="24"/>
        </w:rPr>
        <w:t>实验过程中保护人身安全，即使玻璃损坏也不会对人产生伤害；框架表面经环氧树脂粉末静电喷涂工艺处理，稳固不变形；移动视窗玻璃应使用合膜PVB 产品制作；视窗采用无间断平衡、隐蔽式结构设计，视窗配重平衡，保证视窗的平稳开、关，视窗上下滑动自如，可停留在任意位置；</w:t>
      </w:r>
      <w:r>
        <w:rPr>
          <w:rFonts w:hint="eastAsia" w:ascii="宋体" w:hAnsi="宋体" w:cs="宋体"/>
          <w:bCs w:val="0"/>
          <w:spacing w:val="0"/>
          <w:sz w:val="24"/>
          <w:szCs w:val="24"/>
        </w:rPr>
        <w:t>移门导向装置由抗腐蚀的聚氯乙稀材质构成。移门把手PP一体成型制作，移门旁边是抗化学腐蚀的塑料包裹，移门的开、闭有橡胶缓冲装置。</w:t>
      </w:r>
    </w:p>
    <w:p>
      <w:pPr>
        <w:adjustRightInd w:val="0"/>
        <w:snapToGrid w:val="0"/>
        <w:ind w:firstLine="482" w:firstLineChars="200"/>
        <w:jc w:val="left"/>
        <w:rPr>
          <w:rFonts w:ascii="宋体" w:hAnsi="宋体" w:cs="宋体"/>
        </w:rPr>
      </w:pPr>
      <w:r>
        <w:rPr>
          <w:rFonts w:hint="eastAsia" w:ascii="宋体" w:hAnsi="宋体" w:cs="宋体"/>
          <w:b/>
        </w:rPr>
        <w:t>2.7 通风柜补风系统：</w:t>
      </w:r>
      <w:r>
        <w:rPr>
          <w:rFonts w:hint="eastAsia" w:ascii="宋体" w:hAnsi="宋体" w:cs="宋体"/>
        </w:rPr>
        <w:t>应具有补风系统，操作台前边缘设有进风口，确保任何移门高度状态下流入通风柜腔体内的气流趋于稳定和持久。</w:t>
      </w:r>
    </w:p>
    <w:p>
      <w:pPr>
        <w:adjustRightInd w:val="0"/>
        <w:snapToGrid w:val="0"/>
        <w:ind w:firstLine="482" w:firstLineChars="200"/>
        <w:jc w:val="left"/>
        <w:rPr>
          <w:rFonts w:ascii="宋体" w:hAnsi="宋体" w:cs="宋体"/>
        </w:rPr>
      </w:pPr>
      <w:r>
        <w:rPr>
          <w:rFonts w:hint="eastAsia" w:ascii="宋体" w:hAnsi="宋体" w:cs="宋体"/>
          <w:b/>
        </w:rPr>
        <w:t>2.8 滑轨：</w:t>
      </w:r>
      <w:r>
        <w:rPr>
          <w:rFonts w:hint="eastAsia" w:ascii="宋体" w:hAnsi="宋体" w:cs="宋体"/>
        </w:rPr>
        <w:t>为抗腐蚀尼龙材质，移门能够轻松上下移动；移门的关、闭有橡胶缓冲装置；</w:t>
      </w:r>
    </w:p>
    <w:p>
      <w:pPr>
        <w:adjustRightInd w:val="0"/>
        <w:snapToGrid w:val="0"/>
        <w:ind w:firstLine="482" w:firstLineChars="200"/>
        <w:jc w:val="left"/>
        <w:rPr>
          <w:rFonts w:ascii="宋体" w:hAnsi="宋体" w:cs="宋体"/>
        </w:rPr>
      </w:pPr>
      <w:r>
        <w:rPr>
          <w:rFonts w:hint="eastAsia" w:ascii="宋体" w:hAnsi="宋体" w:cs="宋体"/>
          <w:b/>
        </w:rPr>
        <w:t>2.9 通风柜内部空间：</w:t>
      </w:r>
      <w:r>
        <w:rPr>
          <w:rFonts w:hint="eastAsia" w:ascii="宋体" w:hAnsi="宋体" w:cs="宋体"/>
        </w:rPr>
        <w:t>满足以下使用需求：</w:t>
      </w:r>
    </w:p>
    <w:p>
      <w:pPr>
        <w:adjustRightInd w:val="0"/>
        <w:snapToGrid w:val="0"/>
        <w:ind w:firstLine="480" w:firstLineChars="200"/>
        <w:jc w:val="left"/>
        <w:rPr>
          <w:rFonts w:ascii="宋体" w:hAnsi="宋体" w:cs="宋体"/>
        </w:rPr>
      </w:pPr>
      <w:r>
        <w:rPr>
          <w:rFonts w:hint="eastAsia" w:ascii="宋体" w:hAnsi="宋体" w:cs="宋体"/>
        </w:rPr>
        <w:t>（1）宽度1.5米通风柜内部横向操作空间不得小于1450 mm；</w:t>
      </w:r>
    </w:p>
    <w:p>
      <w:pPr>
        <w:adjustRightInd w:val="0"/>
        <w:snapToGrid w:val="0"/>
        <w:ind w:firstLine="480" w:firstLineChars="200"/>
        <w:jc w:val="left"/>
        <w:rPr>
          <w:rFonts w:ascii="宋体" w:hAnsi="宋体" w:cs="宋体"/>
        </w:rPr>
      </w:pPr>
      <w:r>
        <w:rPr>
          <w:rFonts w:hint="eastAsia" w:ascii="宋体" w:hAnsi="宋体" w:cs="宋体"/>
        </w:rPr>
        <w:t>（2）宽度1.8米通风柜内部横向操作空间不得小于1750 mm；</w:t>
      </w:r>
    </w:p>
    <w:p>
      <w:pPr>
        <w:adjustRightInd w:val="0"/>
        <w:snapToGrid w:val="0"/>
        <w:ind w:firstLine="480" w:firstLineChars="200"/>
        <w:jc w:val="left"/>
        <w:rPr>
          <w:rFonts w:ascii="宋体" w:hAnsi="宋体" w:cs="宋体"/>
        </w:rPr>
      </w:pPr>
      <w:r>
        <w:rPr>
          <w:rFonts w:hint="eastAsia" w:ascii="宋体" w:hAnsi="宋体" w:cs="宋体"/>
        </w:rPr>
        <w:t>（3）视窗玻璃到导流板深度不得小于730 mm；</w:t>
      </w:r>
    </w:p>
    <w:p>
      <w:pPr>
        <w:adjustRightInd w:val="0"/>
        <w:snapToGrid w:val="0"/>
        <w:ind w:firstLine="482" w:firstLineChars="200"/>
        <w:jc w:val="left"/>
        <w:rPr>
          <w:rFonts w:ascii="宋体" w:hAnsi="宋体" w:cs="宋体"/>
        </w:rPr>
      </w:pPr>
      <w:r>
        <w:rPr>
          <w:rFonts w:hint="eastAsia" w:ascii="宋体" w:hAnsi="宋体" w:cs="宋体"/>
          <w:b/>
        </w:rPr>
        <w:t>2.10 平均面风速值：</w:t>
      </w:r>
      <w:r>
        <w:rPr>
          <w:rFonts w:hint="eastAsia" w:ascii="宋体" w:hAnsi="宋体" w:cs="宋体"/>
        </w:rPr>
        <w:t>工作开口高度在457 mm - 500 mm范围，平均面风速值在0.49 m/s - 0.51 m/s，计算开口面风速算数平均值，其最大值与算数平均值的偏差小于20%，其最小值与算数平均值偏差小于13%；</w:t>
      </w:r>
    </w:p>
    <w:p>
      <w:pPr>
        <w:adjustRightInd w:val="0"/>
        <w:snapToGrid w:val="0"/>
        <w:ind w:firstLine="482" w:firstLineChars="200"/>
        <w:jc w:val="left"/>
        <w:rPr>
          <w:rFonts w:ascii="宋体" w:hAnsi="宋体" w:cs="宋体"/>
        </w:rPr>
      </w:pPr>
      <w:r>
        <w:rPr>
          <w:rFonts w:hint="eastAsia" w:ascii="宋体" w:hAnsi="宋体" w:cs="宋体"/>
          <w:b/>
        </w:rPr>
        <w:t>2.11 台面材料：</w:t>
      </w:r>
      <w:r>
        <w:rPr>
          <w:rFonts w:hint="eastAsia" w:ascii="宋体" w:hAnsi="宋体" w:cs="宋体"/>
        </w:rPr>
        <w:t>采用厚度大于或等于20 mm陶瓷台面，产品为一次烧铸成型陶瓷台面，应具有耐腐蚀、耐各种强酸碱和有机溶剂的侵蚀，具有一定韧性、耐冲击、和耐高温性能。台面应由托台面支架支持，与台面较好组合，有足够的承重能力。</w:t>
      </w:r>
    </w:p>
    <w:p>
      <w:pPr>
        <w:adjustRightInd w:val="0"/>
        <w:snapToGrid w:val="0"/>
        <w:ind w:firstLine="482" w:firstLineChars="200"/>
        <w:jc w:val="left"/>
        <w:rPr>
          <w:rFonts w:ascii="宋体" w:hAnsi="宋体" w:cs="宋体"/>
        </w:rPr>
      </w:pPr>
      <w:r>
        <w:rPr>
          <w:rFonts w:hint="eastAsia" w:ascii="宋体" w:hAnsi="宋体" w:cs="宋体"/>
          <w:b/>
        </w:rPr>
        <w:t>2.12 通风柜泄压孔：</w:t>
      </w:r>
      <w:r>
        <w:rPr>
          <w:rFonts w:hint="eastAsia" w:ascii="宋体" w:hAnsi="宋体" w:cs="宋体"/>
        </w:rPr>
        <w:t>配置有泄压孔，当通风柜内部压力不能及时从风阀排出时，可以通过泄压孔泄压，从而确保实验室人员的安全。</w:t>
      </w:r>
    </w:p>
    <w:p>
      <w:pPr>
        <w:adjustRightInd w:val="0"/>
        <w:snapToGrid w:val="0"/>
        <w:ind w:firstLine="482" w:firstLineChars="200"/>
        <w:jc w:val="left"/>
        <w:rPr>
          <w:rFonts w:ascii="宋体" w:hAnsi="宋体" w:cs="宋体"/>
        </w:rPr>
      </w:pPr>
      <w:r>
        <w:rPr>
          <w:rFonts w:hint="eastAsia" w:ascii="宋体" w:hAnsi="宋体" w:cs="宋体"/>
          <w:b/>
        </w:rPr>
        <w:t>2.13 伺服面板系统：</w:t>
      </w:r>
      <w:r>
        <w:rPr>
          <w:rFonts w:hint="eastAsia" w:ascii="宋体" w:hAnsi="宋体" w:cs="宋体"/>
        </w:rPr>
        <w:t>可以根据具体需求进行定制（台面、水槽、废液收集、水、电、气配件等）。能够兼容所有的控制阀，并可在有限空间内实现多元化功能的扩展，实验室内增加设备使用点时，只需更换局部的模块，就能精确的和预留点相连接。通风柜外部配置伺服功能面板。功能面板根据需求应包括电、水、气等末端接口及遥控阀、控制器等。</w:t>
      </w:r>
    </w:p>
    <w:p>
      <w:pPr>
        <w:adjustRightInd w:val="0"/>
        <w:snapToGrid w:val="0"/>
        <w:ind w:firstLine="482" w:firstLineChars="200"/>
        <w:jc w:val="left"/>
        <w:rPr>
          <w:rFonts w:ascii="宋体" w:hAnsi="宋体" w:cs="宋体"/>
          <w:b/>
        </w:rPr>
      </w:pPr>
      <w:r>
        <w:rPr>
          <w:rFonts w:hint="eastAsia" w:ascii="宋体" w:hAnsi="宋体" w:cs="宋体"/>
          <w:b/>
        </w:rPr>
        <w:t>2.14 通风柜电器系统：</w:t>
      </w:r>
    </w:p>
    <w:p>
      <w:pPr>
        <w:adjustRightInd w:val="0"/>
        <w:snapToGrid w:val="0"/>
        <w:ind w:firstLine="482" w:firstLineChars="200"/>
        <w:jc w:val="left"/>
        <w:rPr>
          <w:rFonts w:ascii="宋体" w:hAnsi="宋体" w:cs="宋体"/>
        </w:rPr>
      </w:pPr>
      <w:r>
        <w:rPr>
          <w:rFonts w:hint="eastAsia" w:ascii="宋体" w:hAnsi="宋体" w:cs="宋体"/>
          <w:b/>
        </w:rPr>
        <w:t>（1）照明装置：</w:t>
      </w:r>
      <w:r>
        <w:rPr>
          <w:rFonts w:hint="eastAsia" w:ascii="宋体" w:hAnsi="宋体" w:cs="宋体"/>
        </w:rPr>
        <w:t>采用LED灯，灯光确保足够的光照强度，快速启动类型；配有PC防护罩，不与柜内气体直接接触，易更换，安全可靠。</w:t>
      </w:r>
    </w:p>
    <w:p>
      <w:pPr>
        <w:adjustRightInd w:val="0"/>
        <w:snapToGrid w:val="0"/>
        <w:ind w:firstLine="482" w:firstLineChars="200"/>
        <w:jc w:val="left"/>
        <w:rPr>
          <w:rFonts w:ascii="宋体" w:hAnsi="宋体" w:cs="宋体"/>
        </w:rPr>
      </w:pPr>
      <w:r>
        <w:rPr>
          <w:rFonts w:hint="eastAsia" w:ascii="宋体" w:hAnsi="宋体" w:cs="宋体"/>
          <w:b/>
        </w:rPr>
        <w:t>（2）电路模块面板：</w:t>
      </w:r>
      <w:r>
        <w:rPr>
          <w:rFonts w:hint="eastAsia" w:ascii="宋体" w:hAnsi="宋体" w:cs="宋体"/>
        </w:rPr>
        <w:t>插座面板可满足设备接入，满足10A、16A设备接入，常规为配制3个220V/10A,1个220V/16A,每个插座面板配有一个透明视窗的防护面板。</w:t>
      </w:r>
    </w:p>
    <w:p>
      <w:pPr>
        <w:adjustRightInd w:val="0"/>
        <w:snapToGrid w:val="0"/>
        <w:ind w:firstLine="482" w:firstLineChars="200"/>
        <w:jc w:val="left"/>
        <w:rPr>
          <w:rFonts w:ascii="宋体" w:hAnsi="宋体" w:cs="宋体"/>
        </w:rPr>
      </w:pPr>
      <w:r>
        <w:rPr>
          <w:rFonts w:hint="eastAsia" w:ascii="宋体" w:hAnsi="宋体" w:cs="宋体"/>
          <w:b/>
        </w:rPr>
        <w:t>（3）断路器：</w:t>
      </w:r>
      <w:r>
        <w:rPr>
          <w:rFonts w:hint="eastAsia" w:ascii="宋体" w:hAnsi="宋体" w:cs="宋体"/>
        </w:rPr>
        <w:t>电路控制面板放置在通风柜外部功能区，每台通风柜应配有一个单独的电路控制单元，作为单台通风柜的电路总控及功能分控；配置有独立的漏电保护器，符合CCC认证，当一个通风柜发生电路故障时，不影响其他通风柜的正常使用；</w:t>
      </w:r>
    </w:p>
    <w:p>
      <w:pPr>
        <w:adjustRightInd w:val="0"/>
        <w:snapToGrid w:val="0"/>
        <w:ind w:firstLine="482" w:firstLineChars="200"/>
        <w:jc w:val="left"/>
        <w:rPr>
          <w:rFonts w:ascii="宋体" w:hAnsi="宋体" w:cs="宋体"/>
        </w:rPr>
      </w:pPr>
      <w:r>
        <w:rPr>
          <w:rFonts w:hint="eastAsia" w:ascii="宋体" w:hAnsi="宋体" w:cs="宋体"/>
          <w:b/>
        </w:rPr>
        <w:t>（4）紧急停止按钮：</w:t>
      </w:r>
      <w:r>
        <w:rPr>
          <w:rFonts w:hint="eastAsia" w:ascii="宋体" w:hAnsi="宋体" w:cs="宋体"/>
        </w:rPr>
        <w:t>具有急停断电功能，紧急停止按钮安装在外部功能面板上，位置应明显并方便操作；主要用途是实验室人员在操作时，如遇紧急情况可以强制性停止通风柜系统的按钮，防止误操作的安全保障。</w:t>
      </w:r>
    </w:p>
    <w:p>
      <w:pPr>
        <w:adjustRightInd w:val="0"/>
        <w:snapToGrid w:val="0"/>
        <w:ind w:firstLine="482" w:firstLineChars="200"/>
        <w:jc w:val="left"/>
        <w:rPr>
          <w:rFonts w:ascii="宋体" w:hAnsi="宋体" w:cs="宋体"/>
          <w:b/>
        </w:rPr>
      </w:pPr>
      <w:r>
        <w:rPr>
          <w:rFonts w:hint="eastAsia" w:ascii="宋体" w:hAnsi="宋体" w:cs="宋体"/>
          <w:b/>
        </w:rPr>
        <w:t>2.15通风柜台下柜：</w:t>
      </w:r>
      <w:r>
        <w:rPr>
          <w:rFonts w:hint="eastAsia" w:ascii="宋体" w:hAnsi="宋体" w:cs="宋体"/>
        </w:rPr>
        <w:t>钢制底柜材质1.0 mm厚冷轧钢板，表面经环氧树脂粉末静电喷涂工艺处理，每个柜体均为完整独立的柜体设计，带活动轮，便于灵活移动；</w:t>
      </w:r>
    </w:p>
    <w:p>
      <w:pPr>
        <w:adjustRightInd w:val="0"/>
        <w:snapToGrid w:val="0"/>
        <w:ind w:firstLine="482" w:firstLineChars="200"/>
        <w:jc w:val="left"/>
        <w:rPr>
          <w:rFonts w:ascii="宋体" w:hAnsi="宋体" w:cs="宋体"/>
          <w:b/>
        </w:rPr>
      </w:pPr>
      <w:r>
        <w:rPr>
          <w:rFonts w:hint="eastAsia" w:ascii="宋体" w:hAnsi="宋体" w:cs="宋体"/>
          <w:b/>
        </w:rPr>
        <w:t xml:space="preserve">2.16 通风柜上下水: </w:t>
      </w:r>
    </w:p>
    <w:p>
      <w:pPr>
        <w:adjustRightInd w:val="0"/>
        <w:snapToGrid w:val="0"/>
        <w:ind w:firstLine="482" w:firstLineChars="200"/>
        <w:jc w:val="left"/>
        <w:rPr>
          <w:rFonts w:ascii="宋体" w:hAnsi="宋体" w:cs="宋体"/>
        </w:rPr>
      </w:pPr>
      <w:r>
        <w:rPr>
          <w:rFonts w:hint="eastAsia" w:ascii="宋体" w:hAnsi="宋体" w:cs="宋体"/>
          <w:b/>
        </w:rPr>
        <w:t>（1）水斗：</w:t>
      </w:r>
      <w:r>
        <w:rPr>
          <w:rFonts w:hint="eastAsia" w:ascii="宋体" w:hAnsi="宋体" w:cs="宋体"/>
        </w:rPr>
        <w:t>采用高密度PP材质，耐强酸、强碱，稳定性强，具有弹性，韧性，不易老化；</w:t>
      </w:r>
    </w:p>
    <w:p>
      <w:pPr>
        <w:adjustRightInd w:val="0"/>
        <w:snapToGrid w:val="0"/>
        <w:ind w:firstLine="482" w:firstLineChars="200"/>
        <w:jc w:val="left"/>
        <w:rPr>
          <w:rFonts w:ascii="宋体" w:hAnsi="宋体" w:cs="宋体"/>
        </w:rPr>
      </w:pPr>
      <w:r>
        <w:rPr>
          <w:rFonts w:hint="eastAsia" w:ascii="宋体" w:hAnsi="宋体" w:cs="宋体"/>
          <w:b/>
        </w:rPr>
        <w:t>（2）水嘴：</w:t>
      </w:r>
      <w:r>
        <w:rPr>
          <w:rFonts w:hint="eastAsia" w:ascii="宋体" w:hAnsi="宋体" w:cs="宋体"/>
        </w:rPr>
        <w:t>主体采用加厚铜质，环氧树脂涂层，耐腐蚀，耐热，防紫外线敷设，陶瓷阀芯可满足90°旋转，静态最大耐压10Bar。满足人体工程学设计，水嘴为铜质可拆卸。</w:t>
      </w:r>
    </w:p>
    <w:p>
      <w:pPr>
        <w:adjustRightInd w:val="0"/>
        <w:snapToGrid w:val="0"/>
        <w:jc w:val="left"/>
        <w:rPr>
          <w:rFonts w:ascii="宋体" w:hAnsi="宋体" w:cs="宋体"/>
          <w:b/>
        </w:rPr>
      </w:pPr>
      <w:r>
        <w:rPr>
          <w:rFonts w:hint="eastAsia" w:ascii="宋体" w:hAnsi="宋体" w:cs="宋体"/>
          <w:b/>
        </w:rPr>
        <w:t xml:space="preserve">    2.17 通风柜须提供以下检测报告：</w:t>
      </w:r>
    </w:p>
    <w:p>
      <w:pPr>
        <w:adjustRightInd w:val="0"/>
        <w:snapToGrid w:val="0"/>
        <w:ind w:firstLine="482" w:firstLineChars="200"/>
        <w:jc w:val="left"/>
        <w:rPr>
          <w:rFonts w:ascii="宋体" w:hAnsi="宋体" w:cs="宋体"/>
          <w:b/>
        </w:rPr>
      </w:pPr>
      <w:r>
        <w:rPr>
          <w:rFonts w:hint="eastAsia" w:ascii="宋体" w:hAnsi="宋体" w:cs="宋体"/>
          <w:b/>
        </w:rPr>
        <w:t>★2.17.1 通风柜需提供符合EN14175-3：2019测试方法的第三方检测报告：</w:t>
      </w:r>
    </w:p>
    <w:p>
      <w:pPr>
        <w:adjustRightInd w:val="0"/>
        <w:snapToGrid w:val="0"/>
        <w:ind w:firstLine="480" w:firstLineChars="200"/>
        <w:jc w:val="left"/>
        <w:rPr>
          <w:rFonts w:ascii="宋体" w:hAnsi="宋体" w:cs="宋体"/>
        </w:rPr>
      </w:pPr>
      <w:r>
        <w:rPr>
          <w:rFonts w:hint="eastAsia" w:ascii="宋体" w:hAnsi="宋体" w:cs="宋体"/>
        </w:rPr>
        <w:t>测试内容包括：排风量测定；面风速试验；阻力试验；浓度测试（内测法）；浓度测试（外测法）；干扰测试；空气交换效率；</w:t>
      </w:r>
    </w:p>
    <w:p>
      <w:pPr>
        <w:adjustRightInd w:val="0"/>
        <w:snapToGrid w:val="0"/>
        <w:ind w:firstLine="480" w:firstLineChars="200"/>
        <w:jc w:val="left"/>
        <w:rPr>
          <w:rFonts w:ascii="宋体" w:hAnsi="宋体" w:cs="宋体"/>
        </w:rPr>
      </w:pPr>
      <w:r>
        <w:rPr>
          <w:rFonts w:hint="eastAsia" w:ascii="宋体" w:hAnsi="宋体" w:cs="宋体"/>
        </w:rPr>
        <w:t>（1）排风量测定：设置以达到通风柜设计工作面速度，测量并记录排风管道内的排风量（不低于10个值），计算排风量的算术平均值，平均值≥1448 m³/h；</w:t>
      </w:r>
    </w:p>
    <w:p>
      <w:pPr>
        <w:adjustRightInd w:val="0"/>
        <w:snapToGrid w:val="0"/>
        <w:ind w:firstLine="480" w:firstLineChars="200"/>
        <w:jc w:val="left"/>
        <w:rPr>
          <w:rFonts w:ascii="宋体" w:hAnsi="宋体" w:cs="宋体"/>
        </w:rPr>
      </w:pPr>
      <w:r>
        <w:rPr>
          <w:rFonts w:hint="eastAsia" w:ascii="宋体" w:hAnsi="宋体" w:cs="宋体"/>
        </w:rPr>
        <w:t>（2）面风速试验：总平均面风速在0.48 - 0.5 m/s之间；最高面风速值偏差比≤18.4%，最低面风速值偏差比≤12.2%；</w:t>
      </w:r>
    </w:p>
    <w:p>
      <w:pPr>
        <w:adjustRightInd w:val="0"/>
        <w:snapToGrid w:val="0"/>
        <w:ind w:firstLine="480" w:firstLineChars="200"/>
        <w:jc w:val="left"/>
        <w:rPr>
          <w:rFonts w:ascii="宋体" w:hAnsi="宋体" w:cs="宋体"/>
        </w:rPr>
      </w:pPr>
      <w:r>
        <w:rPr>
          <w:rFonts w:hint="eastAsia" w:ascii="宋体" w:hAnsi="宋体" w:cs="宋体"/>
        </w:rPr>
        <w:t>（3）阻力试验：静压/阻力（Pa）在90.5-91.5（Pa）之间；</w:t>
      </w:r>
    </w:p>
    <w:p>
      <w:pPr>
        <w:adjustRightInd w:val="0"/>
        <w:snapToGrid w:val="0"/>
        <w:ind w:firstLine="480" w:firstLineChars="200"/>
        <w:jc w:val="left"/>
        <w:rPr>
          <w:rFonts w:ascii="宋体" w:hAnsi="宋体" w:cs="宋体"/>
        </w:rPr>
      </w:pPr>
      <w:r>
        <w:rPr>
          <w:rFonts w:hint="eastAsia" w:ascii="宋体" w:hAnsi="宋体" w:cs="宋体"/>
        </w:rPr>
        <w:t>（4）浓度测试（内测法）：采样位置不低于6个点位，示踪气体浓度峰值＜0.01 ppm；</w:t>
      </w:r>
    </w:p>
    <w:p>
      <w:pPr>
        <w:adjustRightInd w:val="0"/>
        <w:snapToGrid w:val="0"/>
        <w:ind w:firstLine="480" w:firstLineChars="200"/>
        <w:jc w:val="left"/>
        <w:rPr>
          <w:rFonts w:ascii="宋体" w:hAnsi="宋体" w:cs="宋体"/>
        </w:rPr>
      </w:pPr>
      <w:r>
        <w:rPr>
          <w:rFonts w:hint="eastAsia" w:ascii="宋体" w:hAnsi="宋体" w:cs="宋体"/>
        </w:rPr>
        <w:t>（5）浓度测试（外测法）：测试时间段60-660 s，示踪气体释放速率0.45 L/min，排风量1448 m³/h，示踪气体浓度峰值＜0.01 ppm。</w:t>
      </w:r>
    </w:p>
    <w:p>
      <w:pPr>
        <w:adjustRightInd w:val="0"/>
        <w:snapToGrid w:val="0"/>
        <w:ind w:firstLine="480" w:firstLineChars="200"/>
        <w:jc w:val="left"/>
        <w:rPr>
          <w:rFonts w:ascii="宋体" w:hAnsi="宋体" w:cs="宋体"/>
        </w:rPr>
      </w:pPr>
      <w:r>
        <w:rPr>
          <w:rFonts w:hint="eastAsia" w:ascii="宋体" w:hAnsi="宋体" w:cs="宋体"/>
        </w:rPr>
        <w:t>（6）干扰测试：测试次数不低于3次，测试时间段60-270 s，示踪气体释放速率0.45 L/min，排风量1448 m³/h，示踪气体浓度平均值＜0.01 ppm。</w:t>
      </w:r>
    </w:p>
    <w:p>
      <w:pPr>
        <w:adjustRightInd w:val="0"/>
        <w:snapToGrid w:val="0"/>
        <w:ind w:firstLine="480" w:firstLineChars="200"/>
        <w:jc w:val="left"/>
        <w:rPr>
          <w:rFonts w:ascii="宋体" w:hAnsi="宋体" w:cs="宋体"/>
        </w:rPr>
      </w:pPr>
      <w:r>
        <w:rPr>
          <w:rFonts w:hint="eastAsia" w:ascii="宋体" w:hAnsi="宋体" w:cs="宋体"/>
        </w:rPr>
        <w:t>（7）空气交换效率：≥37%。</w:t>
      </w:r>
    </w:p>
    <w:p>
      <w:pPr>
        <w:adjustRightInd w:val="0"/>
        <w:snapToGrid w:val="0"/>
        <w:ind w:firstLine="482" w:firstLineChars="200"/>
        <w:rPr>
          <w:rFonts w:ascii="宋体" w:hAnsi="宋体" w:cs="宋体"/>
          <w:b/>
        </w:rPr>
      </w:pPr>
      <w:r>
        <w:rPr>
          <w:rFonts w:hint="eastAsia" w:ascii="宋体" w:hAnsi="宋体" w:cs="宋体"/>
          <w:b/>
        </w:rPr>
        <w:t>★2.17.2 通风柜需提供符合ASHRAE 110-2016 AM测试方法的第三方检测报告：</w:t>
      </w:r>
    </w:p>
    <w:p>
      <w:pPr>
        <w:adjustRightInd w:val="0"/>
        <w:snapToGrid w:val="0"/>
        <w:ind w:firstLine="480" w:firstLineChars="200"/>
        <w:rPr>
          <w:rFonts w:ascii="宋体" w:hAnsi="宋体" w:cs="宋体"/>
        </w:rPr>
      </w:pPr>
      <w:r>
        <w:rPr>
          <w:rFonts w:hint="eastAsia" w:ascii="宋体" w:hAnsi="宋体" w:cs="宋体"/>
        </w:rPr>
        <w:t>测试内容包括：面风速测试；可视化测试（局部）；可视化测试（大烟雾）；示踪气体浓度测试；拉门移动影响测试；周边扫描。</w:t>
      </w:r>
    </w:p>
    <w:p>
      <w:pPr>
        <w:adjustRightInd w:val="0"/>
        <w:snapToGrid w:val="0"/>
        <w:ind w:firstLine="480" w:firstLineChars="200"/>
        <w:rPr>
          <w:rFonts w:ascii="宋体" w:hAnsi="宋体" w:cs="宋体"/>
        </w:rPr>
      </w:pPr>
      <w:r>
        <w:rPr>
          <w:rFonts w:hint="eastAsia" w:ascii="宋体" w:hAnsi="宋体" w:cs="宋体"/>
        </w:rPr>
        <w:t>（1）面风速测试：平均面风速值在0.5 m/s - 0.52 m/s之间，最大面风速值偏差比≤13.7%，最小面风速值偏差比≤9.8%；</w:t>
      </w:r>
    </w:p>
    <w:p>
      <w:pPr>
        <w:adjustRightInd w:val="0"/>
        <w:snapToGrid w:val="0"/>
        <w:ind w:firstLine="480" w:firstLineChars="200"/>
        <w:rPr>
          <w:rFonts w:ascii="宋体" w:hAnsi="宋体" w:cs="宋体"/>
        </w:rPr>
      </w:pPr>
      <w:r>
        <w:rPr>
          <w:rFonts w:hint="eastAsia" w:ascii="宋体" w:hAnsi="宋体" w:cs="宋体"/>
        </w:rPr>
        <w:t>（2）可视化测试（局部）：测试项不低于9项，试验结果均为：符合。</w:t>
      </w:r>
    </w:p>
    <w:p>
      <w:pPr>
        <w:adjustRightInd w:val="0"/>
        <w:snapToGrid w:val="0"/>
        <w:ind w:firstLine="480" w:firstLineChars="200"/>
        <w:rPr>
          <w:rFonts w:ascii="宋体" w:hAnsi="宋体" w:cs="宋体"/>
        </w:rPr>
      </w:pPr>
      <w:r>
        <w:rPr>
          <w:rFonts w:hint="eastAsia" w:ascii="宋体" w:hAnsi="宋体" w:cs="宋体"/>
        </w:rPr>
        <w:t>（3）可视化测试（大烟雾）：测试项不低于9项，试验结果均为：符合。</w:t>
      </w:r>
    </w:p>
    <w:p>
      <w:pPr>
        <w:adjustRightInd w:val="0"/>
        <w:snapToGrid w:val="0"/>
        <w:ind w:firstLine="480" w:firstLineChars="200"/>
        <w:rPr>
          <w:rFonts w:ascii="宋体" w:hAnsi="宋体" w:cs="宋体"/>
        </w:rPr>
      </w:pPr>
      <w:r>
        <w:rPr>
          <w:rFonts w:hint="eastAsia" w:ascii="宋体" w:hAnsi="宋体" w:cs="宋体"/>
        </w:rPr>
        <w:t xml:space="preserve">（4）示踪气体浓度测试：在通风柜前左、中、右三个位置，示踪气体释放流量为4.0 L/min(30psi)，分别进行3段5分钟的示踪气体测试。示踪气体泄漏浓度平均值不得大于0.05 ppm； </w:t>
      </w:r>
    </w:p>
    <w:p>
      <w:pPr>
        <w:adjustRightInd w:val="0"/>
        <w:snapToGrid w:val="0"/>
        <w:ind w:firstLine="480" w:firstLineChars="200"/>
        <w:rPr>
          <w:rFonts w:ascii="宋体" w:hAnsi="宋体" w:cs="宋体"/>
        </w:rPr>
      </w:pPr>
      <w:r>
        <w:rPr>
          <w:rFonts w:hint="eastAsia" w:ascii="宋体" w:hAnsi="宋体" w:cs="宋体"/>
        </w:rPr>
        <w:t>（5）拉门移动影响测试：在通风柜前面中间位置，示踪气体释放流量为4.0 L/min(30psi),重复开关拉门3次，每次开关间隔60 s，进行示踪气体测试，示踪气体泄漏浓度45秒滚动平均值不得大于0.05 ppm；</w:t>
      </w:r>
    </w:p>
    <w:p>
      <w:pPr>
        <w:pStyle w:val="48"/>
        <w:adjustRightInd w:val="0"/>
        <w:snapToGrid w:val="0"/>
        <w:spacing w:before="0" w:after="0" w:line="360" w:lineRule="auto"/>
        <w:ind w:firstLine="200"/>
        <w:rPr>
          <w:rFonts w:ascii="宋体" w:hAnsi="宋体" w:cs="宋体"/>
          <w:sz w:val="24"/>
          <w:szCs w:val="24"/>
        </w:rPr>
      </w:pPr>
      <w:r>
        <w:rPr>
          <w:rFonts w:hint="eastAsia" w:ascii="宋体" w:hAnsi="宋体" w:cs="宋体"/>
          <w:sz w:val="24"/>
          <w:szCs w:val="24"/>
        </w:rPr>
        <w:t xml:space="preserve">  （6）周边扫描：示踪气体释放流量为4.0 L/min(30psi)，使用探测器在通风柜开口边沿25 mm处匀速扫描（75 mm/s）示踪气体浓度，示踪气体泄漏浓度平均值不得大于0.05 ppm。</w:t>
      </w:r>
    </w:p>
    <w:p>
      <w:pPr>
        <w:adjustRightInd w:val="0"/>
        <w:snapToGrid w:val="0"/>
        <w:ind w:firstLine="482" w:firstLineChars="200"/>
        <w:jc w:val="left"/>
        <w:rPr>
          <w:rFonts w:ascii="宋体" w:hAnsi="宋体" w:cs="宋体"/>
        </w:rPr>
      </w:pPr>
      <w:r>
        <w:rPr>
          <w:rFonts w:hint="eastAsia" w:ascii="宋体" w:hAnsi="宋体" w:cs="宋体"/>
          <w:b/>
        </w:rPr>
        <w:t>★2.17.3通风柜需提供符合GB 24820-2009 《实验室家具通用技术条件》测试方法的第三方检测报告</w:t>
      </w:r>
    </w:p>
    <w:p>
      <w:pPr>
        <w:adjustRightInd w:val="0"/>
        <w:snapToGrid w:val="0"/>
        <w:ind w:firstLine="480" w:firstLineChars="200"/>
        <w:jc w:val="left"/>
        <w:rPr>
          <w:rFonts w:ascii="宋体" w:hAnsi="宋体" w:cs="宋体"/>
        </w:rPr>
      </w:pPr>
      <w:r>
        <w:rPr>
          <w:rFonts w:hint="eastAsia" w:ascii="宋体" w:hAnsi="宋体" w:cs="宋体"/>
        </w:rPr>
        <w:t>测试内容包括：操作台柜体及储物柜柜体理化性能，金属喷漆（塑）涂层硬度、冲击强度、耐腐蚀。检测结果要求达到：</w:t>
      </w:r>
    </w:p>
    <w:p>
      <w:pPr>
        <w:adjustRightInd w:val="0"/>
        <w:snapToGrid w:val="0"/>
        <w:ind w:firstLine="480" w:firstLineChars="200"/>
        <w:jc w:val="left"/>
        <w:rPr>
          <w:rFonts w:ascii="宋体" w:hAnsi="宋体" w:cs="宋体"/>
        </w:rPr>
      </w:pPr>
      <w:r>
        <w:rPr>
          <w:rFonts w:hint="eastAsia" w:ascii="宋体" w:hAnsi="宋体" w:cs="宋体"/>
        </w:rPr>
        <w:t>硬度：≥3H。</w:t>
      </w:r>
    </w:p>
    <w:p>
      <w:pPr>
        <w:adjustRightInd w:val="0"/>
        <w:snapToGrid w:val="0"/>
        <w:ind w:firstLine="480" w:firstLineChars="200"/>
        <w:jc w:val="left"/>
        <w:rPr>
          <w:rFonts w:ascii="宋体" w:hAnsi="宋体" w:cs="宋体"/>
        </w:rPr>
      </w:pPr>
      <w:r>
        <w:rPr>
          <w:rFonts w:hint="eastAsia" w:ascii="宋体" w:hAnsi="宋体" w:cs="宋体"/>
        </w:rPr>
        <w:t>冲击强度：符合3.92J无剥落、裂纹、皱纹。</w:t>
      </w:r>
    </w:p>
    <w:p>
      <w:pPr>
        <w:adjustRightInd w:val="0"/>
        <w:snapToGrid w:val="0"/>
        <w:ind w:firstLine="480" w:firstLineChars="200"/>
        <w:jc w:val="left"/>
        <w:rPr>
          <w:rFonts w:ascii="宋体" w:hAnsi="宋体" w:cs="宋体"/>
        </w:rPr>
      </w:pPr>
      <w:r>
        <w:rPr>
          <w:rFonts w:hint="eastAsia" w:ascii="宋体" w:hAnsi="宋体" w:cs="宋体"/>
        </w:rPr>
        <w:t>耐腐蚀：24 h乙酸盐雾试验（ASS）≥9级。</w:t>
      </w:r>
    </w:p>
    <w:p>
      <w:pPr>
        <w:adjustRightInd w:val="0"/>
        <w:snapToGrid w:val="0"/>
        <w:ind w:firstLine="480" w:firstLineChars="200"/>
        <w:jc w:val="left"/>
        <w:rPr>
          <w:rFonts w:ascii="宋体" w:hAnsi="宋体" w:cs="宋体"/>
        </w:rPr>
      </w:pPr>
      <w:r>
        <w:rPr>
          <w:rFonts w:hint="eastAsia" w:ascii="宋体" w:hAnsi="宋体" w:cs="宋体"/>
        </w:rPr>
        <w:t>以上均要求提供制造商企业获得的，2020年1月1日起，由经国际认可的第三方检测机构出具的检测报告，所有检测结果均达到测试合格标准。</w:t>
      </w:r>
    </w:p>
    <w:p>
      <w:pPr>
        <w:spacing w:line="500" w:lineRule="exact"/>
        <w:ind w:firstLine="562" w:firstLineChars="200"/>
        <w:rPr>
          <w:rFonts w:ascii="宋体" w:hAnsi="宋体" w:cs="宋体"/>
          <w:sz w:val="28"/>
          <w:szCs w:val="28"/>
        </w:rPr>
      </w:pPr>
      <w:r>
        <w:rPr>
          <w:rFonts w:hint="eastAsia" w:ascii="宋体" w:hAnsi="宋体" w:cs="宋体"/>
          <w:b/>
          <w:bCs/>
          <w:sz w:val="28"/>
          <w:szCs w:val="28"/>
        </w:rPr>
        <w:t>理化通风及废气处理设施设备</w:t>
      </w:r>
      <w:r>
        <w:rPr>
          <w:rFonts w:hint="eastAsia" w:hAnsi="宋体" w:cs="宋体"/>
          <w:b/>
          <w:bCs/>
          <w:sz w:val="28"/>
          <w:szCs w:val="28"/>
        </w:rPr>
        <w:t>技术参数</w:t>
      </w:r>
    </w:p>
    <w:p>
      <w:pPr>
        <w:ind w:firstLine="480" w:firstLineChars="200"/>
      </w:pPr>
      <w:r>
        <w:rPr>
          <w:rFonts w:hint="eastAsia" w:ascii="宋体" w:hAnsi="宋体" w:eastAsia="宋体" w:cs="宋体"/>
        </w:rPr>
        <w:t>1.设计参数</w:t>
      </w:r>
    </w:p>
    <w:p>
      <w:pPr>
        <w:ind w:firstLine="480" w:firstLineChars="200"/>
        <w:rPr>
          <w:rFonts w:ascii="宋体" w:hAnsi="宋体" w:eastAsia="宋体" w:cs="宋体"/>
        </w:rPr>
      </w:pPr>
      <w:r>
        <w:rPr>
          <w:rFonts w:hint="eastAsia" w:ascii="宋体" w:hAnsi="宋体" w:eastAsia="宋体" w:cs="宋体"/>
        </w:rPr>
        <w:t>1.1支管路内风速6～8m/s, 干管路内风速8～12m/s；</w:t>
      </w:r>
    </w:p>
    <w:p>
      <w:pPr>
        <w:ind w:firstLine="480" w:firstLineChars="200"/>
        <w:rPr>
          <w:rFonts w:ascii="宋体" w:hAnsi="宋体" w:eastAsia="宋体" w:cs="宋体"/>
        </w:rPr>
      </w:pPr>
      <w:r>
        <w:rPr>
          <w:rFonts w:hint="eastAsia" w:ascii="宋体" w:hAnsi="宋体" w:eastAsia="宋体" w:cs="宋体"/>
        </w:rPr>
        <w:t>1.2通风设备设计风量：</w:t>
      </w:r>
    </w:p>
    <w:p>
      <w:pPr>
        <w:ind w:firstLine="480" w:firstLineChars="200"/>
        <w:rPr>
          <w:rFonts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 1 \* GB3 </w:instrText>
      </w:r>
      <w:r>
        <w:rPr>
          <w:rFonts w:hint="eastAsia" w:ascii="宋体" w:hAnsi="宋体" w:eastAsia="宋体" w:cs="宋体"/>
        </w:rPr>
        <w:fldChar w:fldCharType="separate"/>
      </w:r>
      <w:r>
        <w:rPr>
          <w:rFonts w:hint="eastAsia" w:ascii="宋体" w:hAnsi="宋体" w:eastAsia="宋体" w:cs="宋体"/>
        </w:rPr>
        <w:t>①</w:t>
      </w:r>
      <w:r>
        <w:rPr>
          <w:rFonts w:hint="eastAsia" w:ascii="宋体" w:hAnsi="宋体" w:eastAsia="宋体" w:cs="宋体"/>
        </w:rPr>
        <w:fldChar w:fldCharType="end"/>
      </w:r>
      <w:r>
        <w:rPr>
          <w:rFonts w:hint="eastAsia" w:ascii="宋体" w:hAnsi="宋体" w:eastAsia="宋体" w:cs="宋体"/>
        </w:rPr>
        <w:t>、单台通风柜设计风量1800m3/h(最大设计排风量)；</w:t>
      </w:r>
    </w:p>
    <w:p>
      <w:pPr>
        <w:ind w:firstLine="480" w:firstLineChars="200"/>
        <w:rPr>
          <w:rFonts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 2 \* GB3 </w:instrText>
      </w:r>
      <w:r>
        <w:rPr>
          <w:rFonts w:hint="eastAsia" w:ascii="宋体" w:hAnsi="宋体" w:eastAsia="宋体" w:cs="宋体"/>
        </w:rPr>
        <w:fldChar w:fldCharType="separate"/>
      </w:r>
      <w:r>
        <w:rPr>
          <w:rFonts w:hint="eastAsia" w:ascii="宋体" w:hAnsi="宋体" w:eastAsia="宋体" w:cs="宋体"/>
        </w:rPr>
        <w:t>②</w:t>
      </w:r>
      <w:r>
        <w:rPr>
          <w:rFonts w:hint="eastAsia" w:ascii="宋体" w:hAnsi="宋体" w:eastAsia="宋体" w:cs="宋体"/>
        </w:rPr>
        <w:fldChar w:fldCharType="end"/>
      </w:r>
      <w:r>
        <w:rPr>
          <w:rFonts w:hint="eastAsia" w:ascii="宋体" w:hAnsi="宋体" w:eastAsia="宋体" w:cs="宋体"/>
        </w:rPr>
        <w:t>、万向抽气面风速：≥0.35 m/s，万向抽气罩排风量150～350 m3/h；</w:t>
      </w:r>
    </w:p>
    <w:p>
      <w:pPr>
        <w:ind w:firstLine="480" w:firstLineChars="200"/>
        <w:rPr>
          <w:rFonts w:ascii="宋体" w:hAnsi="宋体" w:eastAsia="宋体" w:cs="宋体"/>
        </w:rPr>
      </w:pPr>
      <w:r>
        <w:rPr>
          <w:rFonts w:hint="eastAsia" w:ascii="宋体" w:hAnsi="宋体" w:eastAsia="宋体" w:cs="宋体"/>
        </w:rPr>
        <w:t xml:space="preserve"> </w:t>
      </w:r>
      <w:r>
        <w:rPr>
          <w:rFonts w:hint="eastAsia" w:ascii="宋体" w:hAnsi="宋体" w:eastAsia="宋体" w:cs="宋体"/>
        </w:rPr>
        <w:fldChar w:fldCharType="begin"/>
      </w:r>
      <w:r>
        <w:rPr>
          <w:rFonts w:hint="eastAsia" w:ascii="宋体" w:hAnsi="宋体" w:eastAsia="宋体" w:cs="宋体"/>
        </w:rPr>
        <w:instrText xml:space="preserve"> = 3 \* GB3 </w:instrText>
      </w:r>
      <w:r>
        <w:rPr>
          <w:rFonts w:hint="eastAsia" w:ascii="宋体" w:hAnsi="宋体" w:eastAsia="宋体" w:cs="宋体"/>
        </w:rPr>
        <w:fldChar w:fldCharType="separate"/>
      </w:r>
      <w:r>
        <w:rPr>
          <w:rFonts w:hint="eastAsia" w:ascii="宋体" w:hAnsi="宋体" w:eastAsia="宋体" w:cs="宋体"/>
        </w:rPr>
        <w:t>③</w:t>
      </w:r>
      <w:r>
        <w:rPr>
          <w:rFonts w:hint="eastAsia" w:ascii="宋体" w:hAnsi="宋体" w:eastAsia="宋体" w:cs="宋体"/>
        </w:rPr>
        <w:fldChar w:fldCharType="end"/>
      </w:r>
      <w:r>
        <w:rPr>
          <w:rFonts w:hint="eastAsia" w:ascii="宋体" w:hAnsi="宋体" w:eastAsia="宋体" w:cs="宋体"/>
        </w:rPr>
        <w:t>、原子吸收罩面风速：≥0.50 m/s，排风量400～600 m3/h（特指通风截面积400×400mm）。</w:t>
      </w:r>
    </w:p>
    <w:p>
      <w:pPr>
        <w:ind w:firstLine="480" w:firstLineChars="200"/>
        <w:rPr>
          <w:rFonts w:ascii="宋体" w:hAnsi="宋体" w:eastAsia="宋体" w:cs="宋体"/>
        </w:rPr>
      </w:pPr>
      <w:r>
        <w:rPr>
          <w:rFonts w:hint="eastAsia" w:ascii="宋体" w:hAnsi="宋体" w:eastAsia="宋体" w:cs="宋体"/>
        </w:rPr>
        <w:t>1.3换气次数： 一般实验室全面排风的换气数：4～8次/小时</w:t>
      </w:r>
    </w:p>
    <w:p>
      <w:pPr>
        <w:ind w:firstLine="480" w:firstLineChars="200"/>
        <w:rPr>
          <w:rFonts w:ascii="宋体" w:hAnsi="宋体" w:eastAsia="宋体" w:cs="宋体"/>
        </w:rPr>
      </w:pPr>
      <w:r>
        <w:rPr>
          <w:rFonts w:hint="eastAsia" w:ascii="宋体" w:hAnsi="宋体" w:eastAsia="宋体" w:cs="宋体"/>
        </w:rPr>
        <w:t>1.4通风系统使用终端噪声≤65 db。</w:t>
      </w:r>
    </w:p>
    <w:p>
      <w:pPr>
        <w:ind w:firstLine="480" w:firstLineChars="200"/>
        <w:rPr>
          <w:rFonts w:ascii="宋体" w:hAnsi="宋体" w:eastAsia="宋体" w:cs="宋体"/>
        </w:rPr>
      </w:pPr>
      <w:r>
        <w:rPr>
          <w:rFonts w:hint="eastAsia" w:ascii="宋体" w:hAnsi="宋体" w:eastAsia="宋体" w:cs="宋体"/>
        </w:rPr>
        <w:t>2.通风柜定风量设计参数</w:t>
      </w:r>
    </w:p>
    <w:p>
      <w:pPr>
        <w:ind w:firstLine="480" w:firstLineChars="200"/>
        <w:rPr>
          <w:rFonts w:ascii="宋体" w:hAnsi="宋体" w:eastAsia="宋体" w:cs="宋体"/>
        </w:rPr>
      </w:pPr>
      <w:r>
        <w:rPr>
          <w:rFonts w:hint="eastAsia" w:ascii="宋体" w:hAnsi="宋体" w:eastAsia="宋体" w:cs="宋体"/>
        </w:rPr>
        <w:t>2.1排风量</w:t>
      </w:r>
    </w:p>
    <w:p>
      <w:pPr>
        <w:ind w:firstLine="480" w:firstLineChars="200"/>
        <w:rPr>
          <w:rFonts w:ascii="宋体" w:hAnsi="宋体" w:eastAsia="宋体" w:cs="宋体"/>
        </w:rPr>
      </w:pPr>
      <w:r>
        <w:rPr>
          <w:rFonts w:hint="eastAsia" w:ascii="宋体" w:hAnsi="宋体" w:eastAsia="宋体" w:cs="宋体"/>
        </w:rPr>
        <w:t>移动门在工作开启高度0.5m，平均面风速保持0.3-0.8m/s情况下，应在《排风柜》JB/T6412－1999技术标准规定的排风量范围内，实际排风量不得大于计算排风量的5％（计算排风量＝移门宽度×移门开启高度×0.3-1.0m/s×3600秒）。</w:t>
      </w:r>
    </w:p>
    <w:p>
      <w:pPr>
        <w:ind w:firstLine="480" w:firstLineChars="200"/>
      </w:pPr>
      <w:r>
        <w:rPr>
          <w:rFonts w:hint="eastAsia" w:ascii="宋体" w:hAnsi="宋体" w:eastAsia="宋体" w:cs="宋体"/>
        </w:rPr>
        <w:t>2.2面风速</w:t>
      </w:r>
    </w:p>
    <w:p>
      <w:r>
        <w:rPr>
          <w:rFonts w:hint="eastAsia"/>
        </w:rPr>
        <w:t>实验室通风柜满足移动门位的工作开启高度0.5 m，面风速保持0.5 m/s条件下,排风量不变，移动门开启高度发生变化时，面风速可满足以下要求：</w:t>
      </w:r>
    </w:p>
    <w:p>
      <w:r>
        <w:rPr>
          <w:rFonts w:hint="eastAsia"/>
        </w:rPr>
        <w:t>移动门开启高度在门全开，平均面风速大于0.3m/s；</w:t>
      </w:r>
    </w:p>
    <w:p>
      <w:r>
        <w:rPr>
          <w:rFonts w:hint="eastAsia"/>
        </w:rPr>
        <w:t>移动门开启高度在0.15m，平均面风速小于0.8m/s；</w:t>
      </w:r>
    </w:p>
    <w:p>
      <w:r>
        <w:rPr>
          <w:rFonts w:hint="eastAsia"/>
        </w:rPr>
        <w:t>面风速均匀度（须带低风速侦测仪）；</w:t>
      </w:r>
    </w:p>
    <w:p>
      <w:r>
        <w:rPr>
          <w:rFonts w:hint="eastAsia"/>
        </w:rPr>
        <w:t>排风柜的面风速应分布均匀，在移门开启高度0.5m，面风速0.5m/s情况下，在移门开启面积内，上下左右每隔0.3m处，取一个点，测得的面风速，其最大值、最小值与算术平均值的偏差小于15％。</w:t>
      </w:r>
    </w:p>
    <w:p>
      <w:r>
        <w:rPr>
          <w:rFonts w:hint="eastAsia"/>
        </w:rPr>
        <w:t>2.3通风柜阻力</w:t>
      </w:r>
    </w:p>
    <w:p>
      <w:r>
        <w:rPr>
          <w:rFonts w:hint="eastAsia"/>
        </w:rPr>
        <w:t>2.3.1排风柜移动门开启至最高位置时，在达到《排风柜》JB/T6412-1999技术标准规定的排风量和面风速保持0.5m/s的条件下，排风柜阻力应小于或等于70Pa。</w:t>
      </w:r>
    </w:p>
    <w:p>
      <w:r>
        <w:rPr>
          <w:rFonts w:hint="eastAsia"/>
        </w:rPr>
        <w:t>2.4其它功能要求</w:t>
      </w:r>
    </w:p>
    <w:p>
      <w:r>
        <w:rPr>
          <w:rFonts w:hint="eastAsia"/>
        </w:rPr>
        <w:t>2.4.1通风柜操作面板控制系统可选按钮、液晶显示控制屏几种方式进行控制开启（使用者操作起来更安全方便）。柜内高温报警功能；如选用面风速监控声光报警器（风速过高、过低报警功能）；自动延时保护装置，能彻底抽空残余腐蚀、有害、有毒气体；电压0～220V范围内任意调节功能；步进风阀执行系统任意调节功能。</w:t>
      </w:r>
    </w:p>
    <w:p>
      <w:pPr>
        <w:ind w:firstLine="480" w:firstLineChars="200"/>
        <w:rPr>
          <w:rFonts w:ascii="宋体" w:hAnsi="宋体" w:eastAsia="宋体" w:cs="宋体"/>
        </w:rPr>
      </w:pPr>
      <w:r>
        <w:rPr>
          <w:rFonts w:hint="eastAsia" w:ascii="宋体" w:hAnsi="宋体" w:eastAsia="宋体" w:cs="宋体"/>
        </w:rPr>
        <w:t>3.系统设计原则</w:t>
      </w:r>
    </w:p>
    <w:p>
      <w:pPr>
        <w:ind w:firstLine="480" w:firstLineChars="200"/>
        <w:rPr>
          <w:rFonts w:ascii="宋体" w:hAnsi="宋体" w:eastAsia="宋体" w:cs="宋体"/>
        </w:rPr>
      </w:pPr>
      <w:r>
        <w:rPr>
          <w:rFonts w:hint="eastAsia" w:ascii="宋体" w:hAnsi="宋体" w:eastAsia="宋体" w:cs="宋体"/>
        </w:rPr>
        <w:t>通风系统设计分为排风系统与送补风系统。</w:t>
      </w:r>
    </w:p>
    <w:p>
      <w:pPr>
        <w:ind w:firstLine="480" w:firstLineChars="200"/>
        <w:rPr>
          <w:rFonts w:ascii="宋体" w:hAnsi="宋体" w:eastAsia="宋体" w:cs="宋体"/>
        </w:rPr>
      </w:pPr>
      <w:r>
        <w:rPr>
          <w:rFonts w:hint="eastAsia" w:ascii="宋体" w:hAnsi="宋体" w:eastAsia="宋体" w:cs="宋体"/>
        </w:rPr>
        <w:t>3.1安全性、舒适性、经济性原则:</w:t>
      </w:r>
    </w:p>
    <w:p>
      <w:pPr>
        <w:ind w:firstLine="480" w:firstLineChars="200"/>
        <w:rPr>
          <w:rFonts w:ascii="宋体" w:hAnsi="宋体" w:eastAsia="宋体" w:cs="宋体"/>
        </w:rPr>
      </w:pPr>
      <w:r>
        <w:rPr>
          <w:rFonts w:hint="eastAsia" w:ascii="宋体" w:hAnsi="宋体" w:eastAsia="宋体" w:cs="宋体"/>
        </w:rPr>
        <w:t>3.1.1实验室通风控制系统必须确保工作人员的安全和健康。要保证实验室的安全性必须保证排风柜的入口合适的面风速，送排风阀的快速动作，实验室内相对于建筑物其他区域一定的负压，送风应该是全新风，以及保证室内最小换气次数，保证实验室环境的舒适性。</w:t>
      </w:r>
    </w:p>
    <w:p>
      <w:pPr>
        <w:ind w:firstLine="480" w:firstLineChars="200"/>
        <w:rPr>
          <w:rFonts w:ascii="宋体" w:hAnsi="宋体" w:eastAsia="宋体" w:cs="宋体"/>
        </w:rPr>
      </w:pPr>
      <w:r>
        <w:rPr>
          <w:rFonts w:hint="eastAsia" w:ascii="宋体" w:hAnsi="宋体" w:eastAsia="宋体" w:cs="宋体"/>
        </w:rPr>
        <w:t>3.1.2排风管采用PVC阻燃材料管材，送补风风管采用镀锌钢板风管，外包阻燃保温材料，在发生火灾时不会助燃，防止火势蔓延。</w:t>
      </w:r>
    </w:p>
    <w:p>
      <w:pPr>
        <w:ind w:firstLine="480" w:firstLineChars="200"/>
        <w:rPr>
          <w:rFonts w:ascii="宋体" w:hAnsi="宋体" w:eastAsia="宋体" w:cs="宋体"/>
        </w:rPr>
      </w:pPr>
      <w:r>
        <w:rPr>
          <w:rFonts w:hint="eastAsia" w:ascii="宋体" w:hAnsi="宋体" w:eastAsia="宋体" w:cs="宋体"/>
        </w:rPr>
        <w:t>3.1.3不同的防火区域设置70度防火阀，在发生火灾时自动切断通风管道系统，防止火势蔓延，保证实验室人员安全辙离。</w:t>
      </w:r>
    </w:p>
    <w:p>
      <w:pPr>
        <w:ind w:firstLine="480" w:firstLineChars="200"/>
        <w:rPr>
          <w:rFonts w:ascii="宋体" w:hAnsi="宋体" w:eastAsia="宋体" w:cs="宋体"/>
        </w:rPr>
      </w:pPr>
      <w:r>
        <w:rPr>
          <w:rFonts w:hint="eastAsia" w:ascii="宋体" w:hAnsi="宋体" w:eastAsia="宋体" w:cs="宋体"/>
        </w:rPr>
        <w:t>3.1.4排风系统设备末端采用安装软接风管、消声器、减振器等装置，以降低通风系统的噪声，保证实验室环境的舒适性。</w:t>
      </w:r>
    </w:p>
    <w:p>
      <w:pPr>
        <w:ind w:firstLine="480" w:firstLineChars="200"/>
        <w:rPr>
          <w:rFonts w:ascii="宋体" w:hAnsi="宋体" w:eastAsia="宋体" w:cs="宋体"/>
        </w:rPr>
      </w:pPr>
      <w:r>
        <w:rPr>
          <w:rFonts w:hint="eastAsia" w:ascii="宋体" w:hAnsi="宋体" w:eastAsia="宋体" w:cs="宋体"/>
        </w:rPr>
        <w:t>3.1.5根据不同系统的排风与补风，把风速控制在合理的范围内，风管计算大小经济适宜；</w:t>
      </w:r>
    </w:p>
    <w:p>
      <w:pPr>
        <w:ind w:firstLine="480" w:firstLineChars="200"/>
        <w:rPr>
          <w:rFonts w:ascii="宋体" w:hAnsi="宋体" w:eastAsia="宋体" w:cs="宋体"/>
        </w:rPr>
      </w:pPr>
      <w:r>
        <w:rPr>
          <w:rFonts w:hint="eastAsia" w:ascii="宋体" w:hAnsi="宋体" w:eastAsia="宋体" w:cs="宋体"/>
        </w:rPr>
        <w:t>根据建筑结构特点相邻房间相同性质的通风柜末端装置尽量经同一管路进行排放，做“短、平、顺、直”，划分为若干个排风系统，做到管道布置经济合理；</w:t>
      </w:r>
    </w:p>
    <w:p>
      <w:pPr>
        <w:ind w:firstLine="480" w:firstLineChars="200"/>
        <w:rPr>
          <w:rFonts w:ascii="宋体" w:hAnsi="宋体" w:eastAsia="宋体" w:cs="宋体"/>
        </w:rPr>
      </w:pPr>
      <w:r>
        <w:rPr>
          <w:rFonts w:hint="eastAsia" w:ascii="宋体" w:hAnsi="宋体" w:eastAsia="宋体" w:cs="宋体"/>
        </w:rPr>
        <w:t>(6)排风与补风采用变风量及定风量变频控制，在通风系统运行的过程中节能降耗，减少运行经济开支 ；</w:t>
      </w:r>
    </w:p>
    <w:p>
      <w:pPr>
        <w:ind w:firstLine="480" w:firstLineChars="200"/>
        <w:rPr>
          <w:rFonts w:ascii="宋体" w:hAnsi="宋体" w:eastAsia="宋体" w:cs="宋体"/>
        </w:rPr>
      </w:pPr>
      <w:r>
        <w:rPr>
          <w:rFonts w:hint="eastAsia" w:ascii="宋体" w:hAnsi="宋体" w:eastAsia="宋体" w:cs="宋体"/>
        </w:rPr>
        <w:t>3.2规范性原则：</w:t>
      </w:r>
    </w:p>
    <w:p>
      <w:pPr>
        <w:ind w:firstLine="480" w:firstLineChars="200"/>
        <w:rPr>
          <w:rFonts w:ascii="宋体" w:hAnsi="宋体" w:eastAsia="宋体" w:cs="宋体"/>
        </w:rPr>
      </w:pPr>
      <w:r>
        <w:rPr>
          <w:rFonts w:hint="eastAsia" w:ascii="宋体" w:hAnsi="宋体" w:eastAsia="宋体" w:cs="宋体"/>
        </w:rPr>
        <w:t>3.2.1通风系统工程所有设备及材料的安装均要符合通风工程的各种规范要求；</w:t>
      </w:r>
    </w:p>
    <w:p>
      <w:pPr>
        <w:ind w:firstLine="480" w:firstLineChars="200"/>
        <w:rPr>
          <w:rFonts w:ascii="宋体" w:hAnsi="宋体" w:eastAsia="宋体" w:cs="宋体"/>
        </w:rPr>
      </w:pPr>
      <w:r>
        <w:rPr>
          <w:rFonts w:hint="eastAsia" w:ascii="宋体" w:hAnsi="宋体" w:eastAsia="宋体" w:cs="宋体"/>
        </w:rPr>
        <w:t>3.2.2为保证排风系统各排风设备装置压力均衡，排风量达到设计要求，每组通风末端控制点排风口均设可调风量阀进行压力均衡，以达到通风开端装置的风量均衡；</w:t>
      </w:r>
    </w:p>
    <w:p>
      <w:pPr>
        <w:ind w:firstLine="480" w:firstLineChars="200"/>
        <w:rPr>
          <w:rFonts w:ascii="宋体" w:hAnsi="宋体" w:eastAsia="宋体" w:cs="宋体"/>
        </w:rPr>
      </w:pPr>
      <w:r>
        <w:rPr>
          <w:rFonts w:hint="eastAsia" w:ascii="宋体" w:hAnsi="宋体" w:eastAsia="宋体" w:cs="宋体"/>
        </w:rPr>
        <w:t>3.2.3排风系统设备末端采用安装软接风管、消声器、减振器等装置，以降低通风系统的噪声。</w:t>
      </w:r>
    </w:p>
    <w:p>
      <w:pPr>
        <w:ind w:firstLine="480" w:firstLineChars="200"/>
        <w:rPr>
          <w:rFonts w:ascii="宋体" w:hAnsi="宋体" w:eastAsia="宋体" w:cs="宋体"/>
        </w:rPr>
      </w:pPr>
      <w:r>
        <w:rPr>
          <w:rFonts w:hint="eastAsia" w:ascii="宋体" w:hAnsi="宋体" w:eastAsia="宋体" w:cs="宋体"/>
        </w:rPr>
        <w:t>3.2.4室内与室外排风采用用PVC阻燃材料管材，具有防腐、耐低温和抗老化性能，要求外形美观，焊接面严实、光滑、平整，弯头、三通、变径等呈弧状连接，设置导流板，圆管采用抱箍固定风管，方管采用支吊架固定风管；补风系统采用镀锌钢板板材，风管具有耐高温和抗老化等性能，且外形美观，支、吊架圆管采用不锈钢条抱箍风管，方管采用经防锈处理的吊杆紧固角钢来支撑风管；</w:t>
      </w:r>
    </w:p>
    <w:p>
      <w:pPr>
        <w:ind w:firstLine="480" w:firstLineChars="200"/>
        <w:rPr>
          <w:rFonts w:ascii="宋体" w:hAnsi="宋体" w:eastAsia="宋体" w:cs="宋体"/>
        </w:rPr>
      </w:pPr>
    </w:p>
    <w:p>
      <w:pPr>
        <w:ind w:firstLine="480" w:firstLineChars="200"/>
        <w:rPr>
          <w:rFonts w:ascii="宋体" w:hAnsi="宋体" w:eastAsia="宋体" w:cs="宋体"/>
        </w:rPr>
      </w:pPr>
      <w:r>
        <w:rPr>
          <w:rFonts w:hint="eastAsia" w:ascii="宋体" w:hAnsi="宋体" w:eastAsia="宋体" w:cs="宋体"/>
        </w:rPr>
        <w:t>1、风机及变频器</w:t>
      </w:r>
    </w:p>
    <w:p>
      <w:pPr>
        <w:ind w:firstLine="480" w:firstLineChars="200"/>
        <w:rPr>
          <w:rFonts w:ascii="宋体" w:hAnsi="宋体" w:eastAsia="宋体" w:cs="宋体"/>
        </w:rPr>
      </w:pPr>
      <w:r>
        <w:rPr>
          <w:rFonts w:hint="eastAsia" w:ascii="宋体" w:hAnsi="宋体" w:eastAsia="宋体" w:cs="宋体"/>
        </w:rPr>
        <w:t>本工程要求采用优质耐酸碱，耐化学试剂腐蚀的PP离心式风机。</w:t>
      </w:r>
    </w:p>
    <w:p>
      <w:pPr>
        <w:ind w:firstLine="480" w:firstLineChars="200"/>
        <w:rPr>
          <w:rFonts w:ascii="宋体" w:hAnsi="宋体" w:eastAsia="宋体" w:cs="宋体"/>
        </w:rPr>
      </w:pPr>
      <w:r>
        <w:rPr>
          <w:rFonts w:hint="eastAsia" w:ascii="宋体" w:hAnsi="宋体" w:eastAsia="宋体" w:cs="宋体"/>
        </w:rPr>
        <w:t>变频离心风机要求风机性能曲线优良，满足风量、风压要求。其叶轮为翼型离心式，风机效率80%以上；电源为380V，电线为三相五线制，要具有美观大方，安全防腐等特点</w:t>
      </w:r>
    </w:p>
    <w:p>
      <w:pPr>
        <w:ind w:firstLine="480" w:firstLineChars="200"/>
        <w:rPr>
          <w:rFonts w:ascii="宋体" w:hAnsi="宋体" w:eastAsia="宋体" w:cs="宋体"/>
        </w:rPr>
      </w:pPr>
      <w:r>
        <w:rPr>
          <w:rFonts w:hint="eastAsia" w:ascii="宋体" w:hAnsi="宋体" w:eastAsia="宋体" w:cs="宋体"/>
        </w:rPr>
        <w:t>风机型号根据排气量、风压选型，投标人须提供风机选型曲线图。为了消除风机运行过程中产生的震动须在楼板设风机固定座、复合减震器及橡胶减震垫。在风机进风口安装软接头，可使风机运行时所产生的噪声和振动不至通过风管传递到各层实验室。</w:t>
      </w:r>
    </w:p>
    <w:p>
      <w:pPr>
        <w:ind w:firstLine="480" w:firstLineChars="200"/>
        <w:rPr>
          <w:rFonts w:ascii="宋体" w:hAnsi="宋体" w:eastAsia="宋体" w:cs="宋体"/>
        </w:rPr>
      </w:pPr>
      <w:r>
        <w:rPr>
          <w:rFonts w:hint="eastAsia" w:ascii="宋体" w:hAnsi="宋体" w:eastAsia="宋体" w:cs="宋体"/>
        </w:rPr>
        <w:t>变频采用变频器，其功率与通风机电机功率相应配套。</w:t>
      </w:r>
    </w:p>
    <w:p>
      <w:pPr>
        <w:ind w:firstLine="480" w:firstLineChars="200"/>
        <w:rPr>
          <w:rFonts w:ascii="宋体" w:hAnsi="宋体" w:eastAsia="宋体" w:cs="宋体"/>
        </w:rPr>
      </w:pPr>
      <w:r>
        <w:rPr>
          <w:rFonts w:hint="eastAsia" w:ascii="宋体" w:hAnsi="宋体" w:eastAsia="宋体" w:cs="宋体"/>
        </w:rPr>
        <w:t>2、软连接、消声器</w:t>
      </w:r>
    </w:p>
    <w:p>
      <w:pPr>
        <w:ind w:firstLine="480" w:firstLineChars="200"/>
        <w:rPr>
          <w:rFonts w:ascii="宋体" w:hAnsi="宋体" w:eastAsia="宋体" w:cs="宋体"/>
        </w:rPr>
      </w:pPr>
      <w:r>
        <w:rPr>
          <w:rFonts w:hint="eastAsia" w:ascii="宋体" w:hAnsi="宋体" w:eastAsia="宋体" w:cs="宋体"/>
        </w:rPr>
        <w:t>软连接须采用5mm塑料软胶材料，且有阻燃性及防腐蚀性的功能，能有效减缓风机运行时所引起的风管振动。</w:t>
      </w:r>
    </w:p>
    <w:p>
      <w:pPr>
        <w:ind w:firstLine="480" w:firstLineChars="200"/>
        <w:rPr>
          <w:rFonts w:ascii="宋体" w:hAnsi="宋体" w:eastAsia="宋体" w:cs="宋体"/>
        </w:rPr>
      </w:pPr>
      <w:r>
        <w:rPr>
          <w:rFonts w:hint="eastAsia" w:ascii="宋体" w:hAnsi="宋体" w:eastAsia="宋体" w:cs="宋体"/>
        </w:rPr>
        <w:t>消声器要求采用阻抗型消声器或微孔消音器。</w:t>
      </w:r>
    </w:p>
    <w:p>
      <w:pPr>
        <w:ind w:firstLine="480" w:firstLineChars="200"/>
        <w:rPr>
          <w:rFonts w:ascii="宋体" w:hAnsi="宋体" w:eastAsia="宋体" w:cs="宋体"/>
        </w:rPr>
      </w:pPr>
      <w:r>
        <w:rPr>
          <w:rFonts w:hint="eastAsia" w:ascii="宋体" w:hAnsi="宋体" w:eastAsia="宋体" w:cs="宋体"/>
        </w:rPr>
        <w:t>阻抗型消声器进口尺寸与风机出口一致，消声器消声棉厚度不小于100mm，消声器内、外管采用PVC材质，内置玻璃丝布和超细玻璃吸声棉。消声器内管截面的突变和内外管这间的膨胀室所构成的外壳呈矩形，对中低频及高频有较大的消声作用，可用于通风系统中的中低压风机噪声及有腐蚀性作用的气体场所。</w:t>
      </w:r>
    </w:p>
    <w:p>
      <w:pPr>
        <w:ind w:firstLine="480" w:firstLineChars="200"/>
        <w:rPr>
          <w:rFonts w:ascii="宋体" w:hAnsi="宋体" w:eastAsia="宋体" w:cs="宋体"/>
        </w:rPr>
      </w:pPr>
      <w:r>
        <w:rPr>
          <w:rFonts w:hint="eastAsia" w:ascii="宋体" w:hAnsi="宋体" w:eastAsia="宋体" w:cs="宋体"/>
        </w:rPr>
        <w:t xml:space="preserve">微孔消音器材质：内胆采用0.5mm镀锌微孔板材，外壳采用1mm 镀锌铁皮；厚度符合行业质量规范；结构：密布微孔内胆,孔隙率大于95%；消音隔层厚度不小于100mm。    </w:t>
      </w:r>
    </w:p>
    <w:p>
      <w:pPr>
        <w:ind w:firstLine="480" w:firstLineChars="200"/>
        <w:rPr>
          <w:rFonts w:ascii="宋体" w:hAnsi="宋体" w:eastAsia="宋体" w:cs="宋体"/>
        </w:rPr>
      </w:pPr>
      <w:r>
        <w:rPr>
          <w:rFonts w:hint="eastAsia" w:ascii="宋体" w:hAnsi="宋体" w:eastAsia="宋体" w:cs="宋体"/>
        </w:rPr>
        <w:t>消声器安装后运转噪音距离1M处需小于85 dBa。</w:t>
      </w:r>
    </w:p>
    <w:p>
      <w:pPr>
        <w:ind w:firstLine="480" w:firstLineChars="200"/>
        <w:rPr>
          <w:rFonts w:ascii="宋体" w:hAnsi="宋体" w:eastAsia="宋体" w:cs="宋体"/>
        </w:rPr>
      </w:pPr>
      <w:r>
        <w:rPr>
          <w:rFonts w:hint="eastAsia" w:ascii="宋体" w:hAnsi="宋体" w:eastAsia="宋体" w:cs="宋体"/>
        </w:rPr>
        <w:t>3、电动密闭调节阀</w:t>
      </w:r>
    </w:p>
    <w:p>
      <w:pPr>
        <w:ind w:firstLine="480" w:firstLineChars="200"/>
        <w:rPr>
          <w:rFonts w:ascii="宋体" w:hAnsi="宋体" w:eastAsia="宋体" w:cs="宋体"/>
        </w:rPr>
      </w:pPr>
      <w:r>
        <w:rPr>
          <w:rFonts w:hint="eastAsia" w:ascii="宋体" w:hAnsi="宋体" w:eastAsia="宋体" w:cs="宋体"/>
        </w:rPr>
        <w:t xml:space="preserve">  调节阀门要求采用数显自动可调角度的快速电动密闭蝶阀，电动密闭蝶阀由阀体与执行器构成，执行器须采用角行程执行器，阀体由防腐材料制作,可调节每个通风末端的压阻平衡。（电动调节阀只控制排风设备的“开”“关”，频率由静压传感器信号进行控制）阀门具有防腐防爆低噪音功能。</w:t>
      </w:r>
    </w:p>
    <w:p>
      <w:pPr>
        <w:ind w:firstLine="480" w:firstLineChars="200"/>
        <w:rPr>
          <w:rFonts w:ascii="宋体" w:hAnsi="宋体" w:eastAsia="宋体" w:cs="宋体"/>
        </w:rPr>
      </w:pPr>
      <w:r>
        <w:rPr>
          <w:rFonts w:hint="eastAsia" w:ascii="宋体" w:hAnsi="宋体" w:eastAsia="宋体" w:cs="宋体"/>
        </w:rPr>
        <w:t>4、风管</w:t>
      </w:r>
    </w:p>
    <w:p>
      <w:pPr>
        <w:ind w:firstLine="480" w:firstLineChars="200"/>
        <w:rPr>
          <w:rFonts w:ascii="宋体" w:hAnsi="宋体" w:eastAsia="宋体" w:cs="宋体"/>
        </w:rPr>
      </w:pPr>
      <w:r>
        <w:rPr>
          <w:rFonts w:hint="eastAsia" w:ascii="宋体" w:hAnsi="宋体" w:eastAsia="宋体" w:cs="宋体"/>
        </w:rPr>
        <w:t>排风风管采用阻燃硬聚氯乙烯UPVC管材（含阻燃成分，下同），风管具有防腐等性能，且内壁光滑，外形美观，圆管厚度3mm, 方管厚度5mm。支、吊架圆管采用A3钢抱箍风管，方管采用经防锈处理的吊杆紧固角钢来支撑风管。</w:t>
      </w:r>
    </w:p>
    <w:p>
      <w:pPr>
        <w:ind w:firstLine="480" w:firstLineChars="200"/>
        <w:rPr>
          <w:rFonts w:ascii="宋体" w:hAnsi="宋体" w:eastAsia="宋体" w:cs="宋体"/>
        </w:rPr>
      </w:pPr>
      <w:r>
        <w:rPr>
          <w:rFonts w:hint="eastAsia" w:ascii="宋体" w:hAnsi="宋体" w:eastAsia="宋体" w:cs="宋体"/>
        </w:rPr>
        <w:t>5、通风排风风管施工工艺及技术要求</w:t>
      </w:r>
    </w:p>
    <w:p>
      <w:pPr>
        <w:ind w:firstLine="480" w:firstLineChars="200"/>
        <w:rPr>
          <w:rFonts w:ascii="宋体" w:hAnsi="宋体" w:eastAsia="宋体" w:cs="宋体"/>
        </w:rPr>
      </w:pPr>
      <w:r>
        <w:rPr>
          <w:rFonts w:hint="eastAsia" w:ascii="宋体" w:hAnsi="宋体" w:eastAsia="宋体" w:cs="宋体"/>
        </w:rPr>
        <w:t>本工程风管采用阻燃风管UPVC一体成型实验室专用通风风管,采用整体焊接。</w:t>
      </w:r>
    </w:p>
    <w:p>
      <w:pPr>
        <w:ind w:firstLine="480" w:firstLineChars="200"/>
        <w:rPr>
          <w:rFonts w:ascii="宋体" w:hAnsi="宋体" w:eastAsia="宋体" w:cs="宋体"/>
        </w:rPr>
      </w:pPr>
      <w:r>
        <w:rPr>
          <w:rFonts w:hint="eastAsia" w:ascii="宋体" w:hAnsi="宋体" w:eastAsia="宋体" w:cs="宋体"/>
        </w:rPr>
        <w:t>1、硬聚氯乙烯板风管制作要求规范：</w:t>
      </w:r>
    </w:p>
    <w:p>
      <w:pPr>
        <w:ind w:firstLine="480" w:firstLineChars="200"/>
        <w:rPr>
          <w:rFonts w:ascii="宋体" w:hAnsi="宋体" w:eastAsia="宋体" w:cs="宋体"/>
        </w:rPr>
      </w:pPr>
      <w:r>
        <w:rPr>
          <w:rFonts w:hint="eastAsia" w:ascii="宋体" w:hAnsi="宋体" w:eastAsia="宋体" w:cs="宋体"/>
        </w:rPr>
        <w:t>1.1风管采用的硬聚氯乙烯板材应符合《硬质聚氯乙烯层压板材》GB/T4454或《硬质聚氯乙烯挤出板材》GB/T13520标准。板材应为B1级难燃材料，横向抗拉强度大于或等于0.20Mpa。热成型的硬聚氯乙烯板不得出现气泡、分层、碳化、变形和裂纹等缺陷。</w:t>
      </w:r>
    </w:p>
    <w:p>
      <w:pPr>
        <w:ind w:firstLine="480" w:firstLineChars="200"/>
        <w:rPr>
          <w:rFonts w:ascii="宋体" w:hAnsi="宋体" w:eastAsia="宋体" w:cs="宋体"/>
        </w:rPr>
      </w:pPr>
      <w:r>
        <w:rPr>
          <w:rFonts w:hint="eastAsia" w:ascii="宋体" w:hAnsi="宋体" w:eastAsia="宋体" w:cs="宋体"/>
        </w:rPr>
        <w:t>1. 2 风管板材厚度及其外径（或外边长）允许偏差应符合表1.2-1或表1.2－2规定。</w:t>
      </w:r>
    </w:p>
    <w:p>
      <w:pPr>
        <w:ind w:firstLine="480" w:firstLineChars="200"/>
        <w:rPr>
          <w:rFonts w:ascii="宋体" w:hAnsi="宋体" w:eastAsia="宋体" w:cs="宋体"/>
        </w:rPr>
      </w:pPr>
      <w:r>
        <w:rPr>
          <w:rFonts w:hint="eastAsia" w:ascii="宋体" w:hAnsi="宋体" w:eastAsia="宋体" w:cs="宋体"/>
        </w:rPr>
        <w:t xml:space="preserve">表1.2-1硬聚氯乙烯板圆形风管板材厚度及直径允许偏差（mm）              </w:t>
      </w:r>
    </w:p>
    <w:p>
      <w:pPr>
        <w:ind w:firstLine="480" w:firstLineChars="200"/>
        <w:rPr>
          <w:rFonts w:ascii="宋体" w:hAnsi="宋体" w:cs="宋体"/>
        </w:rPr>
      </w:pPr>
      <w:r>
        <w:rPr>
          <w:rFonts w:hint="eastAsia" w:ascii="宋体" w:hAnsi="宋体" w:eastAsia="宋体" w:cs="宋体"/>
        </w:rPr>
        <w:t>表1.2-2硬聚氯乙烯板矩形风管板材厚度及外边长允许偏差（mm）</w:t>
      </w:r>
    </w:p>
    <w:p>
      <w:pPr>
        <w:pStyle w:val="2"/>
        <w:ind w:left="480"/>
      </w:pP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25"/>
        <w:gridCol w:w="2232"/>
        <w:gridCol w:w="2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3125"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风管直径D</w:t>
            </w:r>
          </w:p>
        </w:tc>
        <w:tc>
          <w:tcPr>
            <w:tcW w:w="2232"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板材厚度</w:t>
            </w:r>
          </w:p>
        </w:tc>
        <w:tc>
          <w:tcPr>
            <w:tcW w:w="2666"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内径允许偏差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3125"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D≤320</w:t>
            </w:r>
          </w:p>
        </w:tc>
        <w:tc>
          <w:tcPr>
            <w:tcW w:w="2232"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3</w:t>
            </w:r>
          </w:p>
        </w:tc>
        <w:tc>
          <w:tcPr>
            <w:tcW w:w="2666"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3125"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320＜D≤630</w:t>
            </w:r>
          </w:p>
        </w:tc>
        <w:tc>
          <w:tcPr>
            <w:tcW w:w="2232"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4</w:t>
            </w:r>
          </w:p>
        </w:tc>
        <w:tc>
          <w:tcPr>
            <w:tcW w:w="2666"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3125"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630＜D≤1000</w:t>
            </w:r>
          </w:p>
        </w:tc>
        <w:tc>
          <w:tcPr>
            <w:tcW w:w="2232"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5</w:t>
            </w:r>
          </w:p>
        </w:tc>
        <w:tc>
          <w:tcPr>
            <w:tcW w:w="2666"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3125"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1000＜D≤2000</w:t>
            </w:r>
          </w:p>
        </w:tc>
        <w:tc>
          <w:tcPr>
            <w:tcW w:w="2232"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6</w:t>
            </w:r>
          </w:p>
        </w:tc>
        <w:tc>
          <w:tcPr>
            <w:tcW w:w="2666" w:type="dxa"/>
            <w:tcBorders>
              <w:top w:val="single" w:color="auto" w:sz="4" w:space="0"/>
              <w:left w:val="single" w:color="auto" w:sz="4" w:space="0"/>
              <w:bottom w:val="single" w:color="auto" w:sz="4" w:space="0"/>
              <w:right w:val="single" w:color="auto" w:sz="4" w:space="0"/>
            </w:tcBorders>
          </w:tcPr>
          <w:p>
            <w:pPr>
              <w:ind w:firstLine="200"/>
              <w:jc w:val="center"/>
              <w:rPr>
                <w:rFonts w:ascii="宋体" w:hAnsi="宋体"/>
              </w:rPr>
            </w:pPr>
            <w:r>
              <w:rPr>
                <w:rFonts w:hint="eastAsia" w:ascii="宋体" w:hAnsi="宋体"/>
              </w:rPr>
              <w:t>-2</w:t>
            </w:r>
          </w:p>
        </w:tc>
      </w:tr>
    </w:tbl>
    <w:p>
      <w:pPr>
        <w:ind w:firstLine="480" w:firstLineChars="200"/>
        <w:rPr>
          <w:rFonts w:ascii="宋体" w:hAnsi="宋体" w:eastAsia="宋体" w:cs="宋体"/>
        </w:rPr>
      </w:pPr>
      <w:r>
        <w:rPr>
          <w:rFonts w:hint="eastAsia" w:ascii="宋体" w:hAnsi="宋体" w:eastAsia="宋体" w:cs="宋体"/>
        </w:rPr>
        <w:t>1. 3 风管板材连接采用焊接时，其焊缝形式、焊缝坡口尺寸及使用范围应符合表1.3的规定。焊缝应饱满，焊条排列应整齐，不得出现焦黄、断裂等缺陷；焊缝强度不得低于母材的60％。</w:t>
      </w:r>
    </w:p>
    <w:p>
      <w:pPr>
        <w:ind w:firstLine="480" w:firstLineChars="200"/>
        <w:rPr>
          <w:rFonts w:ascii="宋体" w:hAnsi="宋体" w:eastAsia="宋体" w:cs="宋体"/>
        </w:rPr>
      </w:pPr>
    </w:p>
    <w:p>
      <w:pPr>
        <w:ind w:firstLine="480" w:firstLineChars="200"/>
        <w:rPr>
          <w:rFonts w:ascii="宋体" w:hAnsi="宋体" w:eastAsia="宋体" w:cs="宋体"/>
        </w:rPr>
      </w:pPr>
      <w:r>
        <w:rPr>
          <w:rFonts w:hint="eastAsia" w:ascii="宋体" w:hAnsi="宋体" w:eastAsia="宋体" w:cs="宋体"/>
        </w:rPr>
        <w:t>表1.3  硬聚氯乙烯板连接的焊缝形式坡口尺寸及使用范围</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8"/>
        <w:gridCol w:w="13"/>
        <w:gridCol w:w="25"/>
        <w:gridCol w:w="1844"/>
        <w:gridCol w:w="1134"/>
        <w:gridCol w:w="992"/>
        <w:gridCol w:w="992"/>
        <w:gridCol w:w="2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96" w:type="dxa"/>
            <w:gridSpan w:val="3"/>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焊缝形式</w:t>
            </w:r>
          </w:p>
        </w:tc>
        <w:tc>
          <w:tcPr>
            <w:tcW w:w="184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图形</w:t>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焊缝高度</w:t>
            </w:r>
          </w:p>
        </w:tc>
        <w:tc>
          <w:tcPr>
            <w:tcW w:w="992"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hint="eastAsia" w:ascii="宋体" w:hAnsi="宋体"/>
              </w:rPr>
              <w:t>板材厚度（mm）</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焊缝张角（αº）</w:t>
            </w:r>
          </w:p>
        </w:tc>
        <w:tc>
          <w:tcPr>
            <w:tcW w:w="2006"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使用范围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4" w:hRule="atLeast"/>
          <w:jc w:val="center"/>
        </w:trPr>
        <w:tc>
          <w:tcPr>
            <w:tcW w:w="1496" w:type="dxa"/>
            <w:gridSpan w:val="3"/>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V形对接焊缝</w:t>
            </w:r>
          </w:p>
        </w:tc>
        <w:tc>
          <w:tcPr>
            <w:tcW w:w="184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ascii="宋体" w:hAnsi="宋体"/>
              </w:rPr>
              <w:drawing>
                <wp:inline distT="0" distB="0" distL="114300" distR="114300">
                  <wp:extent cx="847725" cy="840105"/>
                  <wp:effectExtent l="0" t="0" r="9525" b="17145"/>
                  <wp:docPr id="6" name="图片 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1"/>
                          <pic:cNvPicPr>
                            <a:picLocks noChangeAspect="1"/>
                          </pic:cNvPicPr>
                        </pic:nvPicPr>
                        <pic:blipFill>
                          <a:blip r:embed="rId10"/>
                          <a:stretch>
                            <a:fillRect/>
                          </a:stretch>
                        </pic:blipFill>
                        <pic:spPr>
                          <a:xfrm>
                            <a:off x="0" y="0"/>
                            <a:ext cx="847725" cy="840105"/>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2～3</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3～5</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70～90</w:t>
            </w:r>
          </w:p>
        </w:tc>
        <w:tc>
          <w:tcPr>
            <w:tcW w:w="2006"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单面焊的小风管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jc w:val="center"/>
        </w:trPr>
        <w:tc>
          <w:tcPr>
            <w:tcW w:w="1496" w:type="dxa"/>
            <w:gridSpan w:val="3"/>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X形对接焊缝</w:t>
            </w:r>
          </w:p>
        </w:tc>
        <w:tc>
          <w:tcPr>
            <w:tcW w:w="1844"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ascii="宋体" w:hAnsi="宋体"/>
              </w:rPr>
              <w:drawing>
                <wp:inline distT="0" distB="0" distL="114300" distR="114300">
                  <wp:extent cx="732155" cy="723900"/>
                  <wp:effectExtent l="0" t="0" r="10795" b="0"/>
                  <wp:docPr id="7" name="图片 2"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3"/>
                          <pic:cNvPicPr>
                            <a:picLocks noChangeAspect="1"/>
                          </pic:cNvPicPr>
                        </pic:nvPicPr>
                        <pic:blipFill>
                          <a:blip r:embed="rId11"/>
                          <a:stretch>
                            <a:fillRect/>
                          </a:stretch>
                        </pic:blipFill>
                        <pic:spPr>
                          <a:xfrm>
                            <a:off x="0" y="0"/>
                            <a:ext cx="732155" cy="723900"/>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2～3</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≥5</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70～90</w:t>
            </w:r>
          </w:p>
        </w:tc>
        <w:tc>
          <w:tcPr>
            <w:tcW w:w="2006"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hint="eastAsia" w:ascii="宋体" w:hAnsi="宋体"/>
              </w:rPr>
              <w:t>风管法兰及厚板的拼接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4" w:hRule="atLeast"/>
          <w:jc w:val="center"/>
        </w:trPr>
        <w:tc>
          <w:tcPr>
            <w:tcW w:w="1496" w:type="dxa"/>
            <w:gridSpan w:val="3"/>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搭接焊缝</w:t>
            </w:r>
          </w:p>
        </w:tc>
        <w:tc>
          <w:tcPr>
            <w:tcW w:w="1844"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ascii="宋体" w:hAnsi="宋体"/>
              </w:rPr>
              <w:drawing>
                <wp:inline distT="0" distB="0" distL="114300" distR="114300">
                  <wp:extent cx="1075690" cy="647700"/>
                  <wp:effectExtent l="0" t="0" r="10160" b="0"/>
                  <wp:docPr id="8" name="图片 3"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descr="4"/>
                          <pic:cNvPicPr>
                            <a:picLocks noChangeAspect="1"/>
                          </pic:cNvPicPr>
                        </pic:nvPicPr>
                        <pic:blipFill>
                          <a:blip r:embed="rId12"/>
                          <a:stretch>
                            <a:fillRect/>
                          </a:stretch>
                        </pic:blipFill>
                        <pic:spPr>
                          <a:xfrm>
                            <a:off x="0" y="0"/>
                            <a:ext cx="1075690" cy="647700"/>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≥最小板厚</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3～10</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w:t>
            </w:r>
          </w:p>
        </w:tc>
        <w:tc>
          <w:tcPr>
            <w:tcW w:w="2006"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风管和配件的加固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1471" w:type="dxa"/>
            <w:gridSpan w:val="2"/>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角焊缝（无坡口）</w:t>
            </w:r>
          </w:p>
        </w:tc>
        <w:tc>
          <w:tcPr>
            <w:tcW w:w="1869" w:type="dxa"/>
            <w:gridSpan w:val="2"/>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ascii="宋体" w:hAnsi="宋体"/>
              </w:rPr>
              <w:drawing>
                <wp:inline distT="0" distB="0" distL="114300" distR="114300">
                  <wp:extent cx="847725" cy="629285"/>
                  <wp:effectExtent l="0" t="0" r="9525" b="18415"/>
                  <wp:docPr id="4" name="图片 4"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5"/>
                          <pic:cNvPicPr>
                            <a:picLocks noChangeAspect="1"/>
                          </pic:cNvPicPr>
                        </pic:nvPicPr>
                        <pic:blipFill>
                          <a:blip r:embed="rId13"/>
                          <a:stretch>
                            <a:fillRect/>
                          </a:stretch>
                        </pic:blipFill>
                        <pic:spPr>
                          <a:xfrm>
                            <a:off x="0" y="0"/>
                            <a:ext cx="847725" cy="629285"/>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2～3</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6～18</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w:t>
            </w:r>
          </w:p>
        </w:tc>
        <w:tc>
          <w:tcPr>
            <w:tcW w:w="2006"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1458"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p>
        </w:tc>
        <w:tc>
          <w:tcPr>
            <w:tcW w:w="1882" w:type="dxa"/>
            <w:gridSpan w:val="3"/>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ascii="宋体" w:hAnsi="宋体"/>
              </w:rPr>
              <w:drawing>
                <wp:inline distT="0" distB="0" distL="114300" distR="114300">
                  <wp:extent cx="619125" cy="561975"/>
                  <wp:effectExtent l="0" t="0" r="9525" b="9525"/>
                  <wp:docPr id="5" name="图片 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6"/>
                          <pic:cNvPicPr>
                            <a:picLocks noChangeAspect="1"/>
                          </pic:cNvPicPr>
                        </pic:nvPicPr>
                        <pic:blipFill>
                          <a:blip r:embed="rId14"/>
                          <a:stretch>
                            <a:fillRect/>
                          </a:stretch>
                        </pic:blipFill>
                        <pic:spPr>
                          <a:xfrm>
                            <a:off x="0" y="0"/>
                            <a:ext cx="619125" cy="561975"/>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≥最小板厚</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≥3</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w:t>
            </w:r>
          </w:p>
        </w:tc>
        <w:tc>
          <w:tcPr>
            <w:tcW w:w="2006"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hint="eastAsia" w:ascii="宋体" w:hAnsi="宋体"/>
              </w:rPr>
              <w:t>风管配件的角焊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2" w:hRule="atLeast"/>
          <w:jc w:val="center"/>
        </w:trPr>
        <w:tc>
          <w:tcPr>
            <w:tcW w:w="1496" w:type="dxa"/>
            <w:gridSpan w:val="3"/>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V形单面角焊缝</w:t>
            </w:r>
          </w:p>
        </w:tc>
        <w:tc>
          <w:tcPr>
            <w:tcW w:w="1844"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ascii="宋体" w:hAnsi="宋体"/>
              </w:rPr>
              <w:drawing>
                <wp:inline distT="0" distB="0" distL="114300" distR="114300">
                  <wp:extent cx="859155" cy="532765"/>
                  <wp:effectExtent l="0" t="0" r="17145" b="635"/>
                  <wp:docPr id="9" name="图片 6"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descr="7"/>
                          <pic:cNvPicPr>
                            <a:picLocks noChangeAspect="1"/>
                          </pic:cNvPicPr>
                        </pic:nvPicPr>
                        <pic:blipFill>
                          <a:blip r:embed="rId15"/>
                          <a:stretch>
                            <a:fillRect/>
                          </a:stretch>
                        </pic:blipFill>
                        <pic:spPr>
                          <a:xfrm>
                            <a:off x="0" y="0"/>
                            <a:ext cx="859155" cy="532765"/>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2～3</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3～8</w:t>
            </w:r>
          </w:p>
        </w:tc>
        <w:tc>
          <w:tcPr>
            <w:tcW w:w="992" w:type="dxa"/>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r>
              <w:rPr>
                <w:rFonts w:hint="eastAsia" w:ascii="宋体" w:hAnsi="宋体"/>
              </w:rPr>
              <w:t>70～90</w:t>
            </w:r>
          </w:p>
        </w:tc>
        <w:tc>
          <w:tcPr>
            <w:tcW w:w="2006"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风管角部焊接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0" w:hRule="atLeast"/>
          <w:jc w:val="center"/>
        </w:trPr>
        <w:tc>
          <w:tcPr>
            <w:tcW w:w="1496" w:type="dxa"/>
            <w:gridSpan w:val="3"/>
            <w:tcBorders>
              <w:top w:val="single" w:color="auto" w:sz="4" w:space="0"/>
              <w:left w:val="single" w:color="auto" w:sz="4" w:space="0"/>
              <w:bottom w:val="single" w:color="auto" w:sz="4" w:space="0"/>
              <w:right w:val="single" w:color="auto" w:sz="4" w:space="0"/>
            </w:tcBorders>
          </w:tcPr>
          <w:tbl>
            <w:tblPr>
              <w:tblStyle w:val="24"/>
              <w:tblpPr w:leftFromText="180" w:rightFromText="180" w:vertAnchor="text" w:horzAnchor="page" w:tblpX="1754" w:tblpY="73"/>
              <w:tblOverlap w:val="never"/>
              <w:tblW w:w="0" w:type="auto"/>
              <w:tblInd w:w="0" w:type="dxa"/>
              <w:tblLayout w:type="fixed"/>
              <w:tblCellMar>
                <w:top w:w="0" w:type="dxa"/>
                <w:left w:w="108" w:type="dxa"/>
                <w:bottom w:w="0" w:type="dxa"/>
                <w:right w:w="108" w:type="dxa"/>
              </w:tblCellMar>
            </w:tblPr>
            <w:tblGrid>
              <w:gridCol w:w="1980"/>
              <w:gridCol w:w="3020"/>
              <w:gridCol w:w="3521"/>
            </w:tblGrid>
            <w:tr>
              <w:tblPrEx>
                <w:tblCellMar>
                  <w:top w:w="0" w:type="dxa"/>
                  <w:left w:w="108" w:type="dxa"/>
                  <w:bottom w:w="0" w:type="dxa"/>
                  <w:right w:w="108" w:type="dxa"/>
                </w:tblCellMar>
              </w:tblPrEx>
              <w:trPr>
                <w:trHeight w:val="965" w:hRule="atLeast"/>
              </w:trPr>
              <w:tc>
                <w:tcPr>
                  <w:tcW w:w="1980" w:type="dxa"/>
                </w:tcPr>
                <w:p>
                  <w:pPr>
                    <w:spacing w:after="93" w:afterLines="30"/>
                    <w:rPr>
                      <w:rFonts w:ascii="宋体" w:hAnsi="宋体"/>
                    </w:rPr>
                  </w:pPr>
                  <w:r>
                    <w:rPr>
                      <w:rFonts w:hint="eastAsia" w:ascii="宋体" w:hAnsi="宋体"/>
                    </w:rPr>
                    <w:t>风管大边b</w:t>
                  </w:r>
                </w:p>
              </w:tc>
              <w:tc>
                <w:tcPr>
                  <w:tcW w:w="3020" w:type="dxa"/>
                </w:tcPr>
                <w:p>
                  <w:pPr>
                    <w:spacing w:after="93" w:afterLines="30"/>
                    <w:rPr>
                      <w:rFonts w:ascii="宋体" w:hAnsi="宋体"/>
                    </w:rPr>
                  </w:pPr>
                  <w:r>
                    <w:rPr>
                      <w:rFonts w:hint="eastAsia" w:ascii="宋体" w:hAnsi="宋体"/>
                    </w:rPr>
                    <w:t>板材</w:t>
                  </w:r>
                </w:p>
                <w:p>
                  <w:pPr>
                    <w:spacing w:after="93" w:afterLines="30"/>
                    <w:rPr>
                      <w:rFonts w:ascii="宋体" w:hAnsi="宋体"/>
                    </w:rPr>
                  </w:pPr>
                  <w:r>
                    <w:rPr>
                      <w:rFonts w:hint="eastAsia" w:ascii="宋体" w:hAnsi="宋体"/>
                    </w:rPr>
                    <w:t>厚度</w:t>
                  </w:r>
                </w:p>
              </w:tc>
              <w:tc>
                <w:tcPr>
                  <w:tcW w:w="3521" w:type="dxa"/>
                </w:tcPr>
                <w:p>
                  <w:pPr>
                    <w:spacing w:after="93" w:afterLines="30"/>
                    <w:rPr>
                      <w:rFonts w:ascii="宋体" w:hAnsi="宋体"/>
                    </w:rPr>
                  </w:pPr>
                  <w:r>
                    <w:rPr>
                      <w:rFonts w:hint="eastAsia" w:ascii="宋体" w:hAnsi="宋体"/>
                    </w:rPr>
                    <w:t>外边长允许偏差</w:t>
                  </w:r>
                </w:p>
              </w:tc>
            </w:tr>
            <w:tr>
              <w:tblPrEx>
                <w:tblCellMar>
                  <w:top w:w="0" w:type="dxa"/>
                  <w:left w:w="108" w:type="dxa"/>
                  <w:bottom w:w="0" w:type="dxa"/>
                  <w:right w:w="108" w:type="dxa"/>
                </w:tblCellMar>
              </w:tblPrEx>
              <w:tc>
                <w:tcPr>
                  <w:tcW w:w="1980" w:type="dxa"/>
                </w:tcPr>
                <w:p>
                  <w:pPr>
                    <w:spacing w:after="93" w:afterLines="30"/>
                    <w:rPr>
                      <w:rFonts w:ascii="宋体" w:hAnsi="宋体"/>
                    </w:rPr>
                  </w:pPr>
                  <w:r>
                    <w:rPr>
                      <w:rFonts w:hint="eastAsia" w:ascii="宋体" w:hAnsi="宋体"/>
                    </w:rPr>
                    <w:t>b≤320</w:t>
                  </w:r>
                </w:p>
              </w:tc>
              <w:tc>
                <w:tcPr>
                  <w:tcW w:w="3020" w:type="dxa"/>
                </w:tcPr>
                <w:p>
                  <w:pPr>
                    <w:spacing w:after="93" w:afterLines="30"/>
                    <w:rPr>
                      <w:rFonts w:ascii="宋体" w:hAnsi="宋体"/>
                    </w:rPr>
                  </w:pPr>
                  <w:r>
                    <w:rPr>
                      <w:rFonts w:hint="eastAsia" w:ascii="宋体" w:hAnsi="宋体"/>
                    </w:rPr>
                    <w:t>3</w:t>
                  </w:r>
                </w:p>
              </w:tc>
              <w:tc>
                <w:tcPr>
                  <w:tcW w:w="3521" w:type="dxa"/>
                </w:tcPr>
                <w:p>
                  <w:pPr>
                    <w:spacing w:after="93" w:afterLines="30"/>
                    <w:rPr>
                      <w:rFonts w:ascii="宋体" w:hAnsi="宋体"/>
                    </w:rPr>
                  </w:pPr>
                  <w:r>
                    <w:rPr>
                      <w:rFonts w:hint="eastAsia" w:ascii="宋体" w:hAnsi="宋体"/>
                    </w:rPr>
                    <w:t>-1</w:t>
                  </w:r>
                </w:p>
              </w:tc>
            </w:tr>
            <w:tr>
              <w:tblPrEx>
                <w:tblCellMar>
                  <w:top w:w="0" w:type="dxa"/>
                  <w:left w:w="108" w:type="dxa"/>
                  <w:bottom w:w="0" w:type="dxa"/>
                  <w:right w:w="108" w:type="dxa"/>
                </w:tblCellMar>
              </w:tblPrEx>
              <w:tc>
                <w:tcPr>
                  <w:tcW w:w="1980" w:type="dxa"/>
                </w:tcPr>
                <w:p>
                  <w:pPr>
                    <w:spacing w:after="93" w:afterLines="30"/>
                    <w:rPr>
                      <w:rFonts w:ascii="宋体" w:hAnsi="宋体"/>
                    </w:rPr>
                  </w:pPr>
                  <w:r>
                    <w:rPr>
                      <w:rFonts w:hint="eastAsia" w:ascii="宋体" w:hAnsi="宋体"/>
                    </w:rPr>
                    <w:t>320＜b≤500</w:t>
                  </w:r>
                </w:p>
              </w:tc>
              <w:tc>
                <w:tcPr>
                  <w:tcW w:w="3020" w:type="dxa"/>
                </w:tcPr>
                <w:p>
                  <w:pPr>
                    <w:spacing w:after="93" w:afterLines="30"/>
                    <w:rPr>
                      <w:rFonts w:ascii="宋体" w:hAnsi="宋体"/>
                    </w:rPr>
                  </w:pPr>
                  <w:r>
                    <w:rPr>
                      <w:rFonts w:hint="eastAsia" w:ascii="宋体" w:hAnsi="宋体"/>
                    </w:rPr>
                    <w:t>4</w:t>
                  </w:r>
                </w:p>
              </w:tc>
              <w:tc>
                <w:tcPr>
                  <w:tcW w:w="3521" w:type="dxa"/>
                </w:tcPr>
                <w:p>
                  <w:pPr>
                    <w:spacing w:after="93" w:afterLines="30"/>
                    <w:rPr>
                      <w:rFonts w:ascii="宋体" w:hAnsi="宋体"/>
                    </w:rPr>
                  </w:pPr>
                  <w:r>
                    <w:rPr>
                      <w:rFonts w:hint="eastAsia" w:ascii="宋体" w:hAnsi="宋体"/>
                    </w:rPr>
                    <w:t>-1</w:t>
                  </w:r>
                </w:p>
              </w:tc>
            </w:tr>
            <w:tr>
              <w:tblPrEx>
                <w:tblCellMar>
                  <w:top w:w="0" w:type="dxa"/>
                  <w:left w:w="108" w:type="dxa"/>
                  <w:bottom w:w="0" w:type="dxa"/>
                  <w:right w:w="108" w:type="dxa"/>
                </w:tblCellMar>
              </w:tblPrEx>
              <w:tc>
                <w:tcPr>
                  <w:tcW w:w="1980" w:type="dxa"/>
                </w:tcPr>
                <w:p>
                  <w:pPr>
                    <w:spacing w:after="93" w:afterLines="30"/>
                    <w:rPr>
                      <w:rFonts w:ascii="宋体" w:hAnsi="宋体"/>
                    </w:rPr>
                  </w:pPr>
                  <w:r>
                    <w:rPr>
                      <w:rFonts w:hint="eastAsia" w:ascii="宋体" w:hAnsi="宋体"/>
                    </w:rPr>
                    <w:t>500＜b≤800</w:t>
                  </w:r>
                </w:p>
              </w:tc>
              <w:tc>
                <w:tcPr>
                  <w:tcW w:w="3020" w:type="dxa"/>
                </w:tcPr>
                <w:p>
                  <w:pPr>
                    <w:spacing w:after="93" w:afterLines="30"/>
                    <w:rPr>
                      <w:rFonts w:ascii="宋体" w:hAnsi="宋体"/>
                    </w:rPr>
                  </w:pPr>
                  <w:r>
                    <w:rPr>
                      <w:rFonts w:hint="eastAsia" w:ascii="宋体" w:hAnsi="宋体"/>
                    </w:rPr>
                    <w:t>5</w:t>
                  </w:r>
                </w:p>
              </w:tc>
              <w:tc>
                <w:tcPr>
                  <w:tcW w:w="3521" w:type="dxa"/>
                </w:tcPr>
                <w:p>
                  <w:pPr>
                    <w:spacing w:after="93" w:afterLines="30"/>
                    <w:rPr>
                      <w:rFonts w:ascii="宋体" w:hAnsi="宋体"/>
                    </w:rPr>
                  </w:pPr>
                  <w:r>
                    <w:rPr>
                      <w:rFonts w:hint="eastAsia" w:ascii="宋体" w:hAnsi="宋体"/>
                    </w:rPr>
                    <w:t>-2</w:t>
                  </w:r>
                </w:p>
              </w:tc>
            </w:tr>
            <w:tr>
              <w:tblPrEx>
                <w:tblCellMar>
                  <w:top w:w="0" w:type="dxa"/>
                  <w:left w:w="108" w:type="dxa"/>
                  <w:bottom w:w="0" w:type="dxa"/>
                  <w:right w:w="108" w:type="dxa"/>
                </w:tblCellMar>
              </w:tblPrEx>
              <w:tc>
                <w:tcPr>
                  <w:tcW w:w="1980" w:type="dxa"/>
                </w:tcPr>
                <w:p>
                  <w:pPr>
                    <w:spacing w:after="93" w:afterLines="30"/>
                    <w:rPr>
                      <w:rFonts w:ascii="宋体" w:hAnsi="宋体"/>
                    </w:rPr>
                  </w:pPr>
                  <w:r>
                    <w:rPr>
                      <w:rFonts w:hint="eastAsia" w:ascii="宋体" w:hAnsi="宋体"/>
                    </w:rPr>
                    <w:t>800＜b≤1250</w:t>
                  </w:r>
                </w:p>
              </w:tc>
              <w:tc>
                <w:tcPr>
                  <w:tcW w:w="3020" w:type="dxa"/>
                </w:tcPr>
                <w:p>
                  <w:pPr>
                    <w:spacing w:after="93" w:afterLines="30"/>
                    <w:rPr>
                      <w:rFonts w:ascii="宋体" w:hAnsi="宋体"/>
                    </w:rPr>
                  </w:pPr>
                  <w:r>
                    <w:rPr>
                      <w:rFonts w:hint="eastAsia" w:ascii="宋体" w:hAnsi="宋体"/>
                    </w:rPr>
                    <w:t>6</w:t>
                  </w:r>
                </w:p>
              </w:tc>
              <w:tc>
                <w:tcPr>
                  <w:tcW w:w="3521" w:type="dxa"/>
                </w:tcPr>
                <w:p>
                  <w:pPr>
                    <w:spacing w:after="93" w:afterLines="30"/>
                    <w:rPr>
                      <w:rFonts w:ascii="宋体" w:hAnsi="宋体"/>
                    </w:rPr>
                  </w:pPr>
                  <w:r>
                    <w:rPr>
                      <w:rFonts w:hint="eastAsia" w:ascii="宋体" w:hAnsi="宋体"/>
                    </w:rPr>
                    <w:t>-2</w:t>
                  </w:r>
                </w:p>
              </w:tc>
            </w:tr>
            <w:tr>
              <w:tblPrEx>
                <w:tblCellMar>
                  <w:top w:w="0" w:type="dxa"/>
                  <w:left w:w="108" w:type="dxa"/>
                  <w:bottom w:w="0" w:type="dxa"/>
                  <w:right w:w="108" w:type="dxa"/>
                </w:tblCellMar>
              </w:tblPrEx>
              <w:tc>
                <w:tcPr>
                  <w:tcW w:w="1980" w:type="dxa"/>
                </w:tcPr>
                <w:p>
                  <w:pPr>
                    <w:spacing w:after="93" w:afterLines="30"/>
                    <w:rPr>
                      <w:rFonts w:ascii="宋体" w:hAnsi="宋体"/>
                    </w:rPr>
                  </w:pPr>
                  <w:r>
                    <w:rPr>
                      <w:rFonts w:hint="eastAsia" w:ascii="宋体" w:hAnsi="宋体"/>
                    </w:rPr>
                    <w:t>1250＜b≤2000</w:t>
                  </w:r>
                </w:p>
              </w:tc>
              <w:tc>
                <w:tcPr>
                  <w:tcW w:w="3020" w:type="dxa"/>
                </w:tcPr>
                <w:p>
                  <w:pPr>
                    <w:spacing w:after="93" w:afterLines="30"/>
                    <w:rPr>
                      <w:rFonts w:ascii="宋体" w:hAnsi="宋体"/>
                    </w:rPr>
                  </w:pPr>
                  <w:r>
                    <w:rPr>
                      <w:rFonts w:hint="eastAsia" w:ascii="宋体" w:hAnsi="宋体"/>
                    </w:rPr>
                    <w:t>8</w:t>
                  </w:r>
                </w:p>
              </w:tc>
              <w:tc>
                <w:tcPr>
                  <w:tcW w:w="3521" w:type="dxa"/>
                </w:tcPr>
                <w:p>
                  <w:pPr>
                    <w:spacing w:after="93" w:afterLines="30"/>
                    <w:rPr>
                      <w:rFonts w:ascii="宋体" w:hAnsi="宋体"/>
                    </w:rPr>
                  </w:pPr>
                  <w:r>
                    <w:rPr>
                      <w:rFonts w:hint="eastAsia" w:ascii="宋体" w:hAnsi="宋体"/>
                    </w:rPr>
                    <w:t>-2</w:t>
                  </w:r>
                </w:p>
              </w:tc>
            </w:tr>
          </w:tbl>
          <w:p>
            <w:pPr>
              <w:spacing w:after="93" w:afterLines="30"/>
              <w:rPr>
                <w:rFonts w:ascii="宋体" w:hAnsi="宋体"/>
              </w:rPr>
            </w:pPr>
            <w:r>
              <w:rPr>
                <w:rFonts w:hint="eastAsia" w:ascii="宋体" w:hAnsi="宋体"/>
              </w:rPr>
              <w:t>V形双面角焊缝</w:t>
            </w:r>
          </w:p>
        </w:tc>
        <w:tc>
          <w:tcPr>
            <w:tcW w:w="184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ascii="宋体" w:hAnsi="宋体"/>
              </w:rPr>
              <w:drawing>
                <wp:inline distT="0" distB="0" distL="114300" distR="114300">
                  <wp:extent cx="847725" cy="808990"/>
                  <wp:effectExtent l="0" t="0" r="9525" b="10160"/>
                  <wp:docPr id="10" name="图片 7"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descr="9"/>
                          <pic:cNvPicPr>
                            <a:picLocks noChangeAspect="1"/>
                          </pic:cNvPicPr>
                        </pic:nvPicPr>
                        <pic:blipFill>
                          <a:blip r:embed="rId16"/>
                          <a:stretch>
                            <a:fillRect/>
                          </a:stretch>
                        </pic:blipFill>
                        <pic:spPr>
                          <a:xfrm>
                            <a:off x="0" y="0"/>
                            <a:ext cx="847725" cy="808990"/>
                          </a:xfrm>
                          <a:prstGeom prst="rect">
                            <a:avLst/>
                          </a:prstGeom>
                          <a:noFill/>
                          <a:ln>
                            <a:noFill/>
                          </a:ln>
                        </pic:spPr>
                      </pic:pic>
                    </a:graphicData>
                  </a:graphic>
                </wp:inline>
              </w:drawing>
            </w:r>
          </w:p>
        </w:tc>
        <w:tc>
          <w:tcPr>
            <w:tcW w:w="1134"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2～3</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6～15</w:t>
            </w:r>
          </w:p>
        </w:tc>
        <w:tc>
          <w:tcPr>
            <w:tcW w:w="992"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70～90</w:t>
            </w:r>
          </w:p>
        </w:tc>
        <w:tc>
          <w:tcPr>
            <w:tcW w:w="2006" w:type="dxa"/>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r>
              <w:rPr>
                <w:rFonts w:hint="eastAsia" w:ascii="宋体" w:hAnsi="宋体"/>
              </w:rPr>
              <w:t>厚壁风管角部焊接</w:t>
            </w:r>
          </w:p>
        </w:tc>
      </w:tr>
    </w:tbl>
    <w:p>
      <w:pPr>
        <w:ind w:firstLine="480" w:firstLineChars="200"/>
        <w:rPr>
          <w:rFonts w:ascii="宋体" w:hAnsi="宋体" w:eastAsia="宋体" w:cs="宋体"/>
        </w:rPr>
      </w:pPr>
      <w:r>
        <w:rPr>
          <w:rFonts w:hint="eastAsia" w:ascii="宋体" w:hAnsi="宋体" w:eastAsia="宋体" w:cs="宋体"/>
        </w:rPr>
        <w:t>1.4 矩形风管的四角可采用煨角或焊接连接的方法。当采用煨角时，纵向焊缝距煨角处宜大于80mm。1.5圆形、矩形风管的法兰规格应符合表1.5-1表1.5-2的规定。</w:t>
      </w:r>
    </w:p>
    <w:p>
      <w:pPr>
        <w:ind w:firstLine="480" w:firstLineChars="200"/>
        <w:rPr>
          <w:rFonts w:ascii="宋体" w:hAnsi="宋体" w:eastAsia="宋体" w:cs="宋体"/>
        </w:rPr>
      </w:pPr>
      <w:r>
        <w:rPr>
          <w:rFonts w:hint="eastAsia" w:ascii="宋体" w:hAnsi="宋体" w:eastAsia="宋体" w:cs="宋体"/>
        </w:rPr>
        <w:t>表1.5-1硬聚氯乙烯板圆形风管法兰规格</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7"/>
        <w:gridCol w:w="2203"/>
        <w:gridCol w:w="1701"/>
        <w:gridCol w:w="1418"/>
        <w:gridCol w:w="1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风管直径D（mm）</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法兰宽×厚（mm）</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法兰孔径（mm）</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螺孔数</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连接螺栓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D≤180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35×6</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7.5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6</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180＜D≤400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35×8</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9.5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8～12</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400＜D≤500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35×10</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9.5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12～14</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500＜D≤800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40×10</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9.5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16～22</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800＜D≤1400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45×12</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11.5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24～38</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1400＜D≤1600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50×15</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11.5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40～44</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1600＜D≤2000</w:t>
            </w:r>
          </w:p>
        </w:tc>
        <w:tc>
          <w:tcPr>
            <w:tcW w:w="2203"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60×15</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11.5</w:t>
            </w:r>
          </w:p>
        </w:tc>
        <w:tc>
          <w:tcPr>
            <w:tcW w:w="1418"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46～48</w:t>
            </w:r>
          </w:p>
        </w:tc>
        <w:tc>
          <w:tcPr>
            <w:tcW w:w="129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M10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127"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D＞2000</w:t>
            </w:r>
          </w:p>
        </w:tc>
        <w:tc>
          <w:tcPr>
            <w:tcW w:w="6616" w:type="dxa"/>
            <w:gridSpan w:val="4"/>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按设计</w:t>
            </w:r>
          </w:p>
        </w:tc>
      </w:tr>
    </w:tbl>
    <w:p>
      <w:r>
        <w:rPr>
          <w:rFonts w:hint="eastAsia" w:ascii="宋体" w:hAnsi="宋体" w:eastAsia="宋体" w:cs="宋体"/>
        </w:rPr>
        <w:t>表1.5-2硬聚氯乙烯板矩形风管法兰规格（mm）</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8"/>
        <w:gridCol w:w="1559"/>
        <w:gridCol w:w="1701"/>
        <w:gridCol w:w="1701"/>
        <w:gridCol w:w="1693"/>
        <w:gridCol w:w="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风管直径</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法兰宽厚</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法兰孔径</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螺孔间距</w:t>
            </w:r>
          </w:p>
        </w:tc>
        <w:tc>
          <w:tcPr>
            <w:tcW w:w="1707" w:type="dxa"/>
            <w:gridSpan w:val="2"/>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连接螺栓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≤160</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35×6</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7.5</w:t>
            </w:r>
          </w:p>
        </w:tc>
        <w:tc>
          <w:tcPr>
            <w:tcW w:w="1701"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≤120</w:t>
            </w:r>
          </w:p>
        </w:tc>
        <w:tc>
          <w:tcPr>
            <w:tcW w:w="1707" w:type="dxa"/>
            <w:gridSpan w:val="2"/>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M6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4" w:type="dxa"/>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161＜b≤400</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35×8</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9.5</w:t>
            </w:r>
          </w:p>
        </w:tc>
        <w:tc>
          <w:tcPr>
            <w:tcW w:w="1701" w:type="dxa"/>
            <w:vMerge w:val="restart"/>
            <w:tcBorders>
              <w:top w:val="single" w:color="auto" w:sz="4" w:space="0"/>
              <w:left w:val="single" w:color="auto" w:sz="4" w:space="0"/>
              <w:bottom w:val="single" w:color="auto" w:sz="4" w:space="0"/>
              <w:right w:val="single" w:color="auto" w:sz="4" w:space="0"/>
            </w:tcBorders>
          </w:tcPr>
          <w:p>
            <w:pPr>
              <w:spacing w:after="93" w:afterLines="30"/>
              <w:rPr>
                <w:rFonts w:ascii="宋体" w:hAnsi="宋体"/>
              </w:rPr>
            </w:pPr>
          </w:p>
        </w:tc>
        <w:tc>
          <w:tcPr>
            <w:tcW w:w="1693"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M8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4" w:type="dxa"/>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401＜b≤500</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35×10</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9.5</w:t>
            </w: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p>
        </w:tc>
        <w:tc>
          <w:tcPr>
            <w:tcW w:w="1693"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M8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4" w:type="dxa"/>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501＜b≤800</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40×10</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11.5</w:t>
            </w: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p>
        </w:tc>
        <w:tc>
          <w:tcPr>
            <w:tcW w:w="1693"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M10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4" w:type="dxa"/>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801＜b≤1250</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45×12</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11.5</w:t>
            </w: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p>
        </w:tc>
        <w:tc>
          <w:tcPr>
            <w:tcW w:w="1693"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M10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4" w:type="dxa"/>
          <w:cantSplit/>
          <w:jc w:val="center"/>
        </w:trPr>
        <w:tc>
          <w:tcPr>
            <w:tcW w:w="2048"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1251＜b≤1600</w:t>
            </w:r>
          </w:p>
        </w:tc>
        <w:tc>
          <w:tcPr>
            <w:tcW w:w="1559"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50×15</w:t>
            </w:r>
          </w:p>
        </w:tc>
        <w:tc>
          <w:tcPr>
            <w:tcW w:w="1701"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11.5</w:t>
            </w: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spacing w:after="93" w:afterLines="30"/>
              <w:rPr>
                <w:rFonts w:ascii="宋体" w:hAnsi="宋体"/>
              </w:rPr>
            </w:pPr>
          </w:p>
        </w:tc>
        <w:tc>
          <w:tcPr>
            <w:tcW w:w="1693" w:type="dxa"/>
            <w:tcBorders>
              <w:top w:val="single" w:color="auto" w:sz="4" w:space="0"/>
              <w:left w:val="single" w:color="auto" w:sz="4" w:space="0"/>
              <w:bottom w:val="single" w:color="auto" w:sz="4" w:space="0"/>
              <w:right w:val="single" w:color="auto" w:sz="4" w:space="0"/>
            </w:tcBorders>
          </w:tcPr>
          <w:p>
            <w:pPr>
              <w:spacing w:after="93" w:afterLines="30"/>
              <w:jc w:val="center"/>
              <w:rPr>
                <w:rFonts w:ascii="宋体" w:hAnsi="宋体"/>
              </w:rPr>
            </w:pPr>
            <w:r>
              <w:rPr>
                <w:rFonts w:hint="eastAsia" w:ascii="宋体" w:hAnsi="宋体"/>
              </w:rPr>
              <w:t>M10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4" w:type="dxa"/>
          <w:cantSplit/>
          <w:jc w:val="center"/>
        </w:trPr>
        <w:tc>
          <w:tcPr>
            <w:tcW w:w="2048" w:type="dxa"/>
            <w:tcBorders>
              <w:top w:val="single" w:color="auto" w:sz="4" w:space="0"/>
              <w:left w:val="single" w:color="auto" w:sz="4" w:space="0"/>
              <w:bottom w:val="single" w:color="auto" w:sz="4" w:space="0"/>
              <w:right w:val="single" w:color="auto" w:sz="4" w:space="0"/>
            </w:tcBorders>
          </w:tcPr>
          <w:p>
            <w:pPr>
              <w:jc w:val="center"/>
              <w:rPr>
                <w:rFonts w:ascii="宋体" w:hAnsi="宋体"/>
              </w:rPr>
            </w:pPr>
            <w:r>
              <w:rPr>
                <w:rFonts w:hint="eastAsia" w:ascii="宋体" w:hAnsi="宋体"/>
              </w:rPr>
              <w:t>1601＜b≤2000</w:t>
            </w:r>
          </w:p>
        </w:tc>
        <w:tc>
          <w:tcPr>
            <w:tcW w:w="1559" w:type="dxa"/>
            <w:tcBorders>
              <w:top w:val="single" w:color="auto" w:sz="4" w:space="0"/>
              <w:left w:val="single" w:color="auto" w:sz="4" w:space="0"/>
              <w:bottom w:val="single" w:color="auto" w:sz="4" w:space="0"/>
              <w:right w:val="single" w:color="auto" w:sz="4" w:space="0"/>
            </w:tcBorders>
          </w:tcPr>
          <w:p>
            <w:pPr>
              <w:jc w:val="center"/>
              <w:rPr>
                <w:rFonts w:ascii="宋体" w:hAnsi="宋体"/>
              </w:rPr>
            </w:pPr>
            <w:r>
              <w:rPr>
                <w:rFonts w:hint="eastAsia" w:ascii="宋体" w:hAnsi="宋体"/>
              </w:rPr>
              <w:t>60×18</w:t>
            </w:r>
          </w:p>
        </w:tc>
        <w:tc>
          <w:tcPr>
            <w:tcW w:w="1701" w:type="dxa"/>
            <w:tcBorders>
              <w:top w:val="single" w:color="auto" w:sz="4" w:space="0"/>
              <w:left w:val="single" w:color="auto" w:sz="4" w:space="0"/>
              <w:bottom w:val="single" w:color="auto" w:sz="4" w:space="0"/>
              <w:right w:val="single" w:color="auto" w:sz="4" w:space="0"/>
            </w:tcBorders>
          </w:tcPr>
          <w:p>
            <w:pPr>
              <w:jc w:val="center"/>
              <w:rPr>
                <w:rFonts w:ascii="宋体" w:hAnsi="宋体"/>
              </w:rPr>
            </w:pPr>
            <w:r>
              <w:rPr>
                <w:rFonts w:hint="eastAsia" w:ascii="宋体" w:hAnsi="宋体"/>
              </w:rPr>
              <w:t>11.5</w:t>
            </w: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693" w:type="dxa"/>
            <w:tcBorders>
              <w:top w:val="single" w:color="auto" w:sz="4" w:space="0"/>
              <w:left w:val="single" w:color="auto" w:sz="4" w:space="0"/>
              <w:bottom w:val="single" w:color="auto" w:sz="4" w:space="0"/>
              <w:right w:val="single" w:color="auto" w:sz="4" w:space="0"/>
            </w:tcBorders>
          </w:tcPr>
          <w:p>
            <w:pPr>
              <w:jc w:val="center"/>
              <w:rPr>
                <w:rFonts w:ascii="宋体" w:hAnsi="宋体"/>
              </w:rPr>
            </w:pPr>
            <w:r>
              <w:rPr>
                <w:rFonts w:hint="eastAsia" w:ascii="宋体" w:hAnsi="宋体"/>
              </w:rPr>
              <w:t>M10</w:t>
            </w:r>
          </w:p>
        </w:tc>
      </w:tr>
    </w:tbl>
    <w:p>
      <w:pPr>
        <w:ind w:firstLine="480" w:firstLineChars="200"/>
        <w:rPr>
          <w:rFonts w:ascii="宋体" w:hAnsi="宋体"/>
        </w:rPr>
      </w:pPr>
    </w:p>
    <w:p>
      <w:pPr>
        <w:ind w:firstLine="480" w:firstLineChars="200"/>
        <w:rPr>
          <w:rFonts w:ascii="宋体" w:hAnsi="宋体" w:eastAsia="宋体" w:cs="宋体"/>
        </w:rPr>
      </w:pPr>
      <w:r>
        <w:rPr>
          <w:rFonts w:hint="eastAsia" w:ascii="宋体" w:hAnsi="宋体" w:eastAsia="宋体" w:cs="宋体"/>
        </w:rPr>
        <w:t>1.6风管与法兰的连接应采用焊接，法兰端面应垂直于风管轴线。风管直径或边长大于500mm时，风管与法兰的连接处宜加三角支撑加强板，加强板间距不得大于450mm，且应均匀设置。</w:t>
      </w:r>
    </w:p>
    <w:p>
      <w:pPr>
        <w:ind w:firstLine="480" w:firstLineChars="200"/>
        <w:rPr>
          <w:rFonts w:ascii="宋体" w:hAnsi="宋体" w:eastAsia="宋体" w:cs="宋体"/>
        </w:rPr>
      </w:pPr>
      <w:r>
        <w:rPr>
          <w:rFonts w:hint="eastAsia" w:ascii="宋体" w:hAnsi="宋体" w:eastAsia="宋体" w:cs="宋体"/>
        </w:rPr>
        <w:t>1.7风管长边大于或等于630mm、煨角成形边长大于或等于800mm或管段长度大于1200mm时，均应采取加固框或加固筋等加固措施，并以焊接固定。加固框的规格宜与法兰相同。</w:t>
      </w:r>
    </w:p>
    <w:p>
      <w:pPr>
        <w:ind w:firstLine="480" w:firstLineChars="200"/>
        <w:rPr>
          <w:rFonts w:ascii="宋体" w:hAnsi="宋体" w:eastAsia="宋体" w:cs="宋体"/>
        </w:rPr>
      </w:pPr>
      <w:r>
        <w:rPr>
          <w:rFonts w:hint="eastAsia" w:ascii="宋体" w:hAnsi="宋体" w:eastAsia="宋体" w:cs="宋体"/>
        </w:rPr>
        <w:t>1.8 风管两端面应平行，无明显扭曲；表面应平整、圆弧均匀、凸凹不应大于5mm。</w:t>
      </w:r>
    </w:p>
    <w:p>
      <w:pPr>
        <w:ind w:firstLine="480" w:firstLineChars="200"/>
        <w:rPr>
          <w:rFonts w:ascii="宋体" w:hAnsi="宋体" w:eastAsia="宋体" w:cs="宋体"/>
        </w:rPr>
      </w:pPr>
      <w:r>
        <w:rPr>
          <w:rFonts w:hint="eastAsia" w:ascii="宋体" w:hAnsi="宋体" w:eastAsia="宋体" w:cs="宋体"/>
        </w:rPr>
        <w:t>2  风管支吊架制作、设置、安装</w:t>
      </w:r>
    </w:p>
    <w:p>
      <w:pPr>
        <w:ind w:firstLine="480" w:firstLineChars="200"/>
        <w:rPr>
          <w:rFonts w:ascii="宋体" w:hAnsi="宋体" w:eastAsia="宋体" w:cs="宋体"/>
        </w:rPr>
      </w:pPr>
      <w:r>
        <w:rPr>
          <w:rFonts w:hint="eastAsia" w:ascii="宋体" w:hAnsi="宋体" w:eastAsia="宋体" w:cs="宋体"/>
        </w:rPr>
        <w:t>2.1 硬聚氯乙烯风管支、吊架要求应符合表1.9-1的规定。</w:t>
      </w:r>
    </w:p>
    <w:p>
      <w:pPr>
        <w:ind w:firstLine="480" w:firstLineChars="200"/>
      </w:pPr>
      <w:r>
        <w:rPr>
          <w:rFonts w:hint="eastAsia" w:ascii="宋体" w:hAnsi="宋体" w:eastAsia="宋体" w:cs="宋体"/>
        </w:rPr>
        <w:t>表1.9-1风管支吊架要求</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4"/>
        <w:gridCol w:w="2100"/>
        <w:gridCol w:w="2100"/>
        <w:gridCol w:w="1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圆形风管直径或</w:t>
            </w:r>
          </w:p>
          <w:p>
            <w:pPr>
              <w:spacing w:after="93" w:afterLines="30"/>
              <w:jc w:val="center"/>
              <w:rPr>
                <w:rFonts w:ascii="宋体" w:hAnsi="宋体"/>
              </w:rPr>
            </w:pPr>
            <w:r>
              <w:rPr>
                <w:rFonts w:hint="eastAsia" w:ascii="宋体" w:hAnsi="宋体"/>
              </w:rPr>
              <w:t>矩形风管长边尺寸(mm)</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承托角钢</w:t>
            </w:r>
          </w:p>
          <w:p>
            <w:pPr>
              <w:spacing w:after="93" w:afterLines="30"/>
              <w:jc w:val="center"/>
              <w:rPr>
                <w:rFonts w:ascii="宋体" w:hAnsi="宋体"/>
              </w:rPr>
            </w:pPr>
            <w:r>
              <w:rPr>
                <w:rFonts w:hint="eastAsia" w:ascii="宋体" w:hAnsi="宋体"/>
              </w:rPr>
              <w:t>(mm)</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吊杆直径</w:t>
            </w:r>
          </w:p>
          <w:p>
            <w:pPr>
              <w:spacing w:after="93" w:afterLines="30"/>
              <w:jc w:val="center"/>
              <w:rPr>
                <w:rFonts w:ascii="宋体" w:hAnsi="宋体"/>
              </w:rPr>
            </w:pPr>
            <w:r>
              <w:rPr>
                <w:rFonts w:hint="eastAsia" w:ascii="宋体" w:hAnsi="宋体"/>
              </w:rPr>
              <w:t>(mm)</w:t>
            </w:r>
          </w:p>
        </w:tc>
        <w:tc>
          <w:tcPr>
            <w:tcW w:w="177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支架最大间距</w:t>
            </w:r>
          </w:p>
          <w:p>
            <w:pPr>
              <w:spacing w:after="93" w:afterLines="30"/>
              <w:jc w:val="center"/>
              <w:rPr>
                <w:rFonts w:ascii="宋体" w:hAnsi="宋体"/>
              </w:rPr>
            </w:pPr>
            <w:r>
              <w:rPr>
                <w:rFonts w:hint="eastAsia" w:ascii="宋体" w:hAnsi="宋体"/>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≤500</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30×30×4</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ф8</w:t>
            </w:r>
          </w:p>
        </w:tc>
        <w:tc>
          <w:tcPr>
            <w:tcW w:w="177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510—1000</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40×40×5</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ф8</w:t>
            </w:r>
          </w:p>
        </w:tc>
        <w:tc>
          <w:tcPr>
            <w:tcW w:w="177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08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1010—1500</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50×50×6</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ф10</w:t>
            </w:r>
          </w:p>
        </w:tc>
        <w:tc>
          <w:tcPr>
            <w:tcW w:w="177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1510—2000</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50×50×6</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ф10</w:t>
            </w:r>
          </w:p>
        </w:tc>
        <w:tc>
          <w:tcPr>
            <w:tcW w:w="177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2010—3000</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60×60×7</w:t>
            </w:r>
          </w:p>
        </w:tc>
        <w:tc>
          <w:tcPr>
            <w:tcW w:w="2100"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ф10</w:t>
            </w:r>
          </w:p>
        </w:tc>
        <w:tc>
          <w:tcPr>
            <w:tcW w:w="1774" w:type="dxa"/>
            <w:tcBorders>
              <w:top w:val="single" w:color="auto" w:sz="4" w:space="0"/>
              <w:left w:val="single" w:color="auto" w:sz="4" w:space="0"/>
              <w:bottom w:val="single" w:color="auto" w:sz="4" w:space="0"/>
              <w:right w:val="single" w:color="auto" w:sz="4" w:space="0"/>
            </w:tcBorders>
            <w:vAlign w:val="center"/>
          </w:tcPr>
          <w:p>
            <w:pPr>
              <w:spacing w:after="93" w:afterLines="30"/>
              <w:jc w:val="center"/>
              <w:rPr>
                <w:rFonts w:ascii="宋体" w:hAnsi="宋体"/>
              </w:rPr>
            </w:pPr>
            <w:r>
              <w:rPr>
                <w:rFonts w:hint="eastAsia" w:ascii="宋体" w:hAnsi="宋体"/>
              </w:rPr>
              <w:t>2.0</w:t>
            </w:r>
          </w:p>
        </w:tc>
      </w:tr>
    </w:tbl>
    <w:p>
      <w:pPr>
        <w:spacing w:line="500" w:lineRule="exact"/>
        <w:ind w:firstLine="480" w:firstLineChars="200"/>
        <w:rPr>
          <w:rFonts w:ascii="宋体" w:hAnsi="宋体"/>
        </w:rPr>
      </w:pPr>
    </w:p>
    <w:p>
      <w:pPr>
        <w:ind w:firstLine="480" w:firstLineChars="200"/>
        <w:rPr>
          <w:rFonts w:ascii="宋体" w:hAnsi="宋体" w:eastAsia="宋体" w:cs="宋体"/>
        </w:rPr>
      </w:pPr>
      <w:r>
        <w:rPr>
          <w:rFonts w:hint="eastAsia" w:ascii="宋体" w:hAnsi="宋体" w:eastAsia="宋体" w:cs="宋体"/>
        </w:rPr>
        <w:t>2.2硬聚氯乙烯风管安装以吊架为主，辅以托架，支、吊架制作参考金属风管支、吊架形式。风管与支吊架间应垫入厚3~5mm厚的塑料垫片，并用万能胶粘接牢固。</w:t>
      </w:r>
    </w:p>
    <w:p>
      <w:pPr>
        <w:ind w:firstLine="480" w:firstLineChars="200"/>
        <w:rPr>
          <w:rFonts w:ascii="宋体" w:hAnsi="宋体" w:eastAsia="宋体" w:cs="宋体"/>
        </w:rPr>
      </w:pPr>
      <w:r>
        <w:rPr>
          <w:rFonts w:hint="eastAsia" w:ascii="宋体" w:hAnsi="宋体" w:eastAsia="宋体" w:cs="宋体"/>
        </w:rPr>
        <w:t>2.3 支吊架的抱箍与风管间应留有一定间隙，便于风管伸缩。</w:t>
      </w:r>
    </w:p>
    <w:p>
      <w:pPr>
        <w:ind w:firstLine="480" w:firstLineChars="200"/>
        <w:rPr>
          <w:rFonts w:ascii="宋体" w:hAnsi="宋体" w:eastAsia="宋体" w:cs="宋体"/>
        </w:rPr>
      </w:pPr>
      <w:r>
        <w:rPr>
          <w:rFonts w:hint="eastAsia" w:ascii="宋体" w:hAnsi="宋体" w:eastAsia="宋体" w:cs="宋体"/>
        </w:rPr>
        <w:t>2.4 硬聚氯乙烯性脆易裂，搬运风管要轻拿轻放，避免摔碰；堆放要放平，不得堆放过高。吊装时防止风管摆动，发生碰撞。</w:t>
      </w:r>
    </w:p>
    <w:p>
      <w:pPr>
        <w:ind w:firstLine="480" w:firstLineChars="200"/>
        <w:rPr>
          <w:rFonts w:ascii="宋体" w:hAnsi="宋体" w:eastAsia="宋体" w:cs="宋体"/>
        </w:rPr>
      </w:pPr>
      <w:r>
        <w:rPr>
          <w:rFonts w:hint="eastAsia" w:ascii="宋体" w:hAnsi="宋体" w:eastAsia="宋体" w:cs="宋体"/>
        </w:rPr>
        <w:t>2.5法兰连接时，法兰间垫3~6mm的软聚氯乙烯板垫片做衬垫，螺栓处应加硬聚氯乙烯板制成的垫圈，拧紧螺栓时应注意塑料的脆性，并应十字交叉均匀拧紧。</w:t>
      </w:r>
    </w:p>
    <w:p>
      <w:pPr>
        <w:ind w:firstLine="480" w:firstLineChars="200"/>
        <w:rPr>
          <w:rFonts w:ascii="宋体" w:hAnsi="宋体" w:eastAsia="宋体" w:cs="宋体"/>
        </w:rPr>
      </w:pPr>
      <w:r>
        <w:rPr>
          <w:rFonts w:hint="eastAsia" w:ascii="宋体" w:hAnsi="宋体" w:eastAsia="宋体" w:cs="宋体"/>
        </w:rPr>
        <w:t>2.6风管与辐射热较强的设备和管道保持一定距离，防止风管受热变形。</w:t>
      </w:r>
    </w:p>
    <w:p>
      <w:pPr>
        <w:ind w:firstLine="480" w:firstLineChars="200"/>
        <w:rPr>
          <w:rFonts w:ascii="宋体" w:hAnsi="宋体" w:eastAsia="宋体" w:cs="宋体"/>
        </w:rPr>
      </w:pPr>
      <w:r>
        <w:rPr>
          <w:rFonts w:hint="eastAsia" w:ascii="宋体" w:hAnsi="宋体" w:eastAsia="宋体" w:cs="宋体"/>
        </w:rPr>
        <w:t>2.7室外敷设的风管与风帽等，应刷白色油漆或铝粉漆，以防太阳照射。</w:t>
      </w:r>
    </w:p>
    <w:p>
      <w:pPr>
        <w:ind w:firstLine="480" w:firstLineChars="200"/>
        <w:rPr>
          <w:rFonts w:ascii="宋体" w:hAnsi="宋体" w:eastAsia="宋体" w:cs="宋体"/>
        </w:rPr>
      </w:pPr>
      <w:r>
        <w:rPr>
          <w:rFonts w:hint="eastAsia" w:ascii="宋体" w:hAnsi="宋体" w:eastAsia="宋体" w:cs="宋体"/>
        </w:rPr>
        <w:t>2.8管道上所有金属附件，应按设计刷防腐涂料。</w:t>
      </w:r>
    </w:p>
    <w:p>
      <w:pPr>
        <w:ind w:firstLine="480" w:firstLineChars="200"/>
        <w:rPr>
          <w:rFonts w:ascii="宋体" w:hAnsi="宋体" w:eastAsia="宋体" w:cs="宋体"/>
        </w:rPr>
      </w:pPr>
      <w:r>
        <w:rPr>
          <w:rFonts w:hint="eastAsia" w:ascii="宋体" w:hAnsi="宋体" w:eastAsia="宋体" w:cs="宋体"/>
        </w:rPr>
        <w:t>3  风管伸缩补偿与振动消除</w:t>
      </w:r>
    </w:p>
    <w:p>
      <w:pPr>
        <w:ind w:firstLine="480" w:firstLineChars="200"/>
        <w:rPr>
          <w:rFonts w:ascii="宋体" w:hAnsi="宋体" w:eastAsia="宋体" w:cs="宋体"/>
        </w:rPr>
      </w:pPr>
      <w:r>
        <w:rPr>
          <w:rFonts w:hint="eastAsia" w:ascii="宋体" w:hAnsi="宋体" w:eastAsia="宋体" w:cs="宋体"/>
        </w:rPr>
        <w:t>3.1风管直管段，每15~20m应设置一个伸缩节。伸缩节或软接头可用2~6mm厚软聚氯乙烯板制作。伸缩节与风管采用焊接连接。</w:t>
      </w:r>
    </w:p>
    <w:p>
      <w:pPr>
        <w:ind w:firstLine="480" w:firstLineChars="200"/>
        <w:rPr>
          <w:rFonts w:ascii="宋体" w:hAnsi="宋体" w:eastAsia="宋体" w:cs="宋体"/>
        </w:rPr>
      </w:pPr>
      <w:r>
        <w:rPr>
          <w:rFonts w:hint="eastAsia" w:ascii="宋体" w:hAnsi="宋体" w:eastAsia="宋体" w:cs="宋体"/>
        </w:rPr>
        <w:t>3.2风管与风机等设备连接时，应设置柔性短管，消除振动。柔性短管可用0.8~1mm厚软塑料布制作。</w:t>
      </w:r>
    </w:p>
    <w:p>
      <w:pPr>
        <w:ind w:firstLine="480" w:firstLineChars="200"/>
        <w:rPr>
          <w:rFonts w:ascii="宋体" w:hAnsi="宋体" w:eastAsia="宋体" w:cs="宋体"/>
        </w:rPr>
      </w:pPr>
      <w:r>
        <w:rPr>
          <w:rFonts w:hint="eastAsia" w:ascii="宋体" w:hAnsi="宋体" w:eastAsia="宋体" w:cs="宋体"/>
        </w:rPr>
        <w:t>4  风管穿越楼板及墙的保护</w:t>
      </w:r>
    </w:p>
    <w:p>
      <w:pPr>
        <w:ind w:firstLine="480" w:firstLineChars="200"/>
        <w:rPr>
          <w:rFonts w:ascii="宋体" w:hAnsi="宋体" w:eastAsia="宋体" w:cs="宋体"/>
        </w:rPr>
      </w:pPr>
      <w:r>
        <w:rPr>
          <w:rFonts w:hint="eastAsia" w:ascii="宋体" w:hAnsi="宋体" w:eastAsia="宋体" w:cs="宋体"/>
        </w:rPr>
        <w:t>4．1风管穿越楼板时，应设置保护圈，防止渗水，并保护风管。</w:t>
      </w:r>
    </w:p>
    <w:p>
      <w:pPr>
        <w:ind w:firstLine="480" w:firstLineChars="200"/>
        <w:rPr>
          <w:rFonts w:ascii="宋体" w:hAnsi="宋体" w:eastAsia="宋体" w:cs="宋体"/>
        </w:rPr>
      </w:pPr>
      <w:r>
        <w:rPr>
          <w:rFonts w:hint="eastAsia" w:ascii="宋体" w:hAnsi="宋体" w:eastAsia="宋体" w:cs="宋体"/>
        </w:rPr>
        <w:t>4．2风管穿越墙时，应用金属套管加以保护，并留有5~10mm间隙，墙与套管间用耐酸水泥填塞。</w:t>
      </w:r>
    </w:p>
    <w:p>
      <w:pPr>
        <w:ind w:firstLine="480" w:firstLineChars="200"/>
        <w:rPr>
          <w:rFonts w:ascii="宋体" w:hAnsi="宋体" w:eastAsia="宋体" w:cs="宋体"/>
        </w:rPr>
      </w:pPr>
      <w:r>
        <w:rPr>
          <w:rFonts w:hint="eastAsia" w:ascii="宋体" w:hAnsi="宋体" w:eastAsia="宋体" w:cs="宋体"/>
        </w:rPr>
        <w:t>4．4  安装风管时，应轻搬轻放，避免摔碰及发生裂纹。</w:t>
      </w:r>
    </w:p>
    <w:p>
      <w:pPr>
        <w:ind w:firstLine="480" w:firstLineChars="200"/>
      </w:pPr>
      <w:r>
        <w:rPr>
          <w:rFonts w:hint="eastAsia" w:ascii="宋体" w:hAnsi="宋体" w:eastAsia="宋体" w:cs="宋体"/>
        </w:rPr>
        <w:t>4．5  垂直吊装风管时，风管应绑扎控制绳，防止风管摆动碰撞。</w:t>
      </w:r>
    </w:p>
    <w:p>
      <w:pPr>
        <w:rPr>
          <w:rFonts w:ascii="宋体" w:hAnsi="宋体"/>
          <w:highlight w:val="yellow"/>
        </w:rPr>
      </w:pPr>
    </w:p>
    <w:p>
      <w:pPr>
        <w:pStyle w:val="23"/>
        <w:shd w:val="clear" w:color="auto" w:fill="FFFFFF"/>
        <w:spacing w:line="440" w:lineRule="exact"/>
        <w:ind w:firstLine="482" w:firstLineChars="200"/>
        <w:rPr>
          <w:rFonts w:cs="宋体"/>
          <w:b/>
          <w:bCs/>
          <w:shd w:val="clear" w:color="auto" w:fill="FFFFFF"/>
        </w:rPr>
      </w:pPr>
      <w:r>
        <w:rPr>
          <w:rFonts w:hint="eastAsia" w:cs="宋体"/>
          <w:b/>
          <w:bCs/>
          <w:shd w:val="clear" w:color="auto" w:fill="FFFFFF"/>
        </w:rPr>
        <w:t>活性炭吸附箱： </w:t>
      </w:r>
    </w:p>
    <w:p>
      <w:pPr>
        <w:ind w:firstLine="480" w:firstLineChars="200"/>
        <w:rPr>
          <w:rFonts w:ascii="宋体" w:hAnsi="宋体" w:eastAsia="宋体" w:cs="宋体"/>
        </w:rPr>
      </w:pPr>
      <w:r>
        <w:rPr>
          <w:rFonts w:hint="eastAsia" w:ascii="宋体" w:hAnsi="宋体" w:eastAsia="宋体" w:cs="宋体"/>
        </w:rPr>
        <w:t>有机废气处理特点：有机废气一般都存在易燃易爆、有毒有害、不溶于水、溶于有机溶剂、处理难度大的特点。在有机废气处理时普遍采用的是有机废气活性炭吸附处理法，可达95%以上的净化率，设备简单、投资小，它能有效地净化环境、消除污染、改善工作环境，确保工人身体健康，治理达标排放。</w:t>
      </w:r>
    </w:p>
    <w:p>
      <w:pPr>
        <w:ind w:firstLine="480" w:firstLineChars="200"/>
        <w:rPr>
          <w:rFonts w:ascii="宋体" w:hAnsi="宋体" w:eastAsia="宋体" w:cs="宋体"/>
        </w:rPr>
      </w:pPr>
      <w:r>
        <w:rPr>
          <w:rFonts w:hint="eastAsia" w:ascii="宋体" w:hAnsi="宋体" w:eastAsia="宋体" w:cs="宋体"/>
        </w:rPr>
        <w:t>活性炭吸附箱主要处理有机废气、臭味气体、异味气体、恶臭气体，净化效果好、经济实用的废气净化设备。</w:t>
      </w:r>
    </w:p>
    <w:p>
      <w:pPr>
        <w:ind w:firstLine="480" w:firstLineChars="200"/>
        <w:rPr>
          <w:rFonts w:ascii="宋体" w:hAnsi="宋体" w:eastAsia="宋体" w:cs="宋体"/>
        </w:rPr>
      </w:pPr>
      <w:r>
        <w:rPr>
          <w:rFonts w:hint="eastAsia" w:ascii="宋体" w:hAnsi="宋体" w:eastAsia="宋体" w:cs="宋体"/>
        </w:rPr>
        <w:t>活性炭净化器产品说明：</w:t>
      </w:r>
    </w:p>
    <w:p>
      <w:pPr>
        <w:ind w:firstLine="480" w:firstLineChars="200"/>
        <w:rPr>
          <w:rFonts w:ascii="宋体" w:hAnsi="宋体" w:eastAsia="宋体" w:cs="宋体"/>
        </w:rPr>
      </w:pPr>
      <w:r>
        <w:rPr>
          <w:rFonts w:hint="eastAsia" w:ascii="宋体" w:hAnsi="宋体" w:eastAsia="宋体" w:cs="宋体"/>
        </w:rPr>
        <w:t>活性炭吸附箱为抽屉式结构，其他结构形式和材质需要皆可定制。常用填充活性炭，箱体进行了喷塑防腐蚀处理。</w:t>
      </w:r>
    </w:p>
    <w:p>
      <w:pPr>
        <w:ind w:firstLine="480" w:firstLineChars="200"/>
        <w:rPr>
          <w:rFonts w:ascii="宋体" w:hAnsi="宋体" w:eastAsia="宋体" w:cs="宋体"/>
        </w:rPr>
      </w:pPr>
      <w:r>
        <w:rPr>
          <w:rFonts w:hint="eastAsia" w:ascii="宋体" w:hAnsi="宋体" w:eastAsia="宋体" w:cs="宋体"/>
        </w:rPr>
        <w:t>活性炭吸附除臭装置的运行简介：</w:t>
      </w:r>
    </w:p>
    <w:p>
      <w:pPr>
        <w:ind w:firstLine="480" w:firstLineChars="200"/>
        <w:rPr>
          <w:rFonts w:ascii="宋体" w:hAnsi="宋体" w:eastAsia="宋体" w:cs="宋体"/>
        </w:rPr>
      </w:pPr>
      <w:r>
        <w:rPr>
          <w:rFonts w:hint="eastAsia" w:ascii="宋体" w:hAnsi="宋体" w:eastAsia="宋体" w:cs="宋体"/>
        </w:rPr>
        <w:t>活性炭的吸附能力就在于它具有巨大的比表面积，以及其精细的多孔表面结构，它具有微晶结构，微晶排列不规则，晶体中有微孔、过渡孔、大孔，可以吸附处理不同的废气分子，适合废气处理过程中脱味和除臭：废水和废气中的金属离子、有害气体、有机污染物、色素、异味恶臭气体等。</w:t>
      </w:r>
    </w:p>
    <w:p>
      <w:pPr>
        <w:ind w:firstLine="480" w:firstLineChars="200"/>
      </w:pPr>
      <w:r>
        <w:rPr>
          <w:rFonts w:hint="eastAsia" w:ascii="宋体" w:hAnsi="宋体" w:eastAsia="宋体" w:cs="宋体"/>
        </w:rPr>
        <w:t>性能特点</w:t>
      </w:r>
    </w:p>
    <w:p>
      <w:pPr>
        <w:ind w:firstLine="480" w:firstLineChars="200"/>
        <w:rPr>
          <w:rFonts w:ascii="宋体" w:hAnsi="宋体" w:eastAsia="宋体" w:cs="宋体"/>
        </w:rPr>
      </w:pPr>
      <w:r>
        <w:rPr>
          <w:rFonts w:hint="eastAsia" w:ascii="宋体" w:hAnsi="宋体" w:eastAsia="宋体" w:cs="宋体"/>
        </w:rPr>
        <w:t>（1）吸附效率高，能力强；</w:t>
      </w:r>
    </w:p>
    <w:p>
      <w:pPr>
        <w:ind w:firstLine="480" w:firstLineChars="200"/>
        <w:rPr>
          <w:rFonts w:ascii="宋体" w:hAnsi="宋体" w:eastAsia="宋体" w:cs="宋体"/>
        </w:rPr>
      </w:pPr>
      <w:r>
        <w:rPr>
          <w:rFonts w:hint="eastAsia" w:ascii="宋体" w:hAnsi="宋体" w:eastAsia="宋体" w:cs="宋体"/>
        </w:rPr>
        <w:t>（2）能够同时处理多种混合有机废气；净化效率≥95%；</w:t>
      </w:r>
    </w:p>
    <w:p>
      <w:pPr>
        <w:ind w:firstLine="480" w:firstLineChars="200"/>
        <w:rPr>
          <w:rFonts w:ascii="宋体" w:hAnsi="宋体" w:eastAsia="宋体" w:cs="宋体"/>
        </w:rPr>
      </w:pPr>
      <w:r>
        <w:rPr>
          <w:rFonts w:hint="eastAsia" w:ascii="宋体" w:hAnsi="宋体" w:eastAsia="宋体" w:cs="宋体"/>
        </w:rPr>
        <w:t>（3）设备构造紧凑，占地面积小，维护管理简单，运转成本低廉；</w:t>
      </w:r>
    </w:p>
    <w:p>
      <w:pPr>
        <w:ind w:firstLine="480" w:firstLineChars="200"/>
        <w:rPr>
          <w:rFonts w:ascii="宋体" w:hAnsi="宋体" w:eastAsia="宋体" w:cs="宋体"/>
        </w:rPr>
      </w:pPr>
      <w:r>
        <w:rPr>
          <w:rFonts w:hint="eastAsia" w:ascii="宋体" w:hAnsi="宋体" w:eastAsia="宋体" w:cs="宋体"/>
        </w:rPr>
        <w:t>（4）采用自动化控制运转设计，操作简易、安全；</w:t>
      </w:r>
    </w:p>
    <w:p>
      <w:pPr>
        <w:ind w:firstLine="480" w:firstLineChars="200"/>
        <w:rPr>
          <w:rFonts w:ascii="宋体" w:hAnsi="宋体" w:eastAsia="宋体" w:cs="宋体"/>
        </w:rPr>
      </w:pPr>
      <w:r>
        <w:rPr>
          <w:rFonts w:hint="eastAsia" w:ascii="宋体" w:hAnsi="宋体" w:eastAsia="宋体" w:cs="宋体"/>
        </w:rPr>
        <w:t>（5）全密闭型，室内外皆可使用。</w:t>
      </w:r>
    </w:p>
    <w:p>
      <w:pPr>
        <w:spacing w:line="560" w:lineRule="exact"/>
        <w:rPr>
          <w:rFonts w:asciiTheme="minorEastAsia" w:hAnsiTheme="minorEastAsia" w:cstheme="minorEastAsia"/>
          <w:szCs w:val="24"/>
        </w:rPr>
      </w:pPr>
      <w:r>
        <w:rPr>
          <w:rFonts w:hint="eastAsia" w:asciiTheme="minorEastAsia" w:hAnsiTheme="minorEastAsia" w:cstheme="minorEastAsia"/>
          <w:szCs w:val="24"/>
        </w:rPr>
        <w:t xml:space="preserve">4、验收标准及方法： </w:t>
      </w:r>
    </w:p>
    <w:p>
      <w:pPr>
        <w:spacing w:line="440" w:lineRule="exact"/>
        <w:ind w:firstLine="480" w:firstLineChars="200"/>
        <w:rPr>
          <w:rFonts w:asciiTheme="minorEastAsia" w:hAnsiTheme="minorEastAsia" w:cstheme="minorEastAsia"/>
          <w:kern w:val="0"/>
          <w:szCs w:val="24"/>
        </w:rPr>
      </w:pPr>
      <w:r>
        <w:rPr>
          <w:rFonts w:hint="eastAsia" w:asciiTheme="minorEastAsia" w:hAnsiTheme="minorEastAsia" w:cstheme="minorEastAsia"/>
          <w:szCs w:val="24"/>
        </w:rPr>
        <w:t xml:space="preserve">（1）采购人应当及时对采购项目进行验收。采购人可以邀请参加本项目的其他供应商或者第三方机构参与验收。参与验收的供应商或者第三方机构的意见作为验收书的参考资料一并存档。 </w:t>
      </w:r>
    </w:p>
    <w:p>
      <w:pPr>
        <w:spacing w:line="440" w:lineRule="exact"/>
        <w:ind w:firstLine="480" w:firstLineChars="200"/>
        <w:rPr>
          <w:rFonts w:asciiTheme="minorEastAsia" w:hAnsiTheme="minorEastAsia" w:cstheme="minorEastAsia"/>
          <w:szCs w:val="24"/>
        </w:rPr>
      </w:pPr>
      <w:r>
        <w:rPr>
          <w:rFonts w:hint="eastAsia" w:asciiTheme="minorEastAsia" w:hAnsiTheme="minorEastAsia" w:cstheme="minorEastAsia"/>
          <w:szCs w:val="24"/>
        </w:rPr>
        <w:t xml:space="preserve">（2）在验收时，供应商应向采购人提供工程的相关资料，按采购人提出的方式验收。 </w:t>
      </w:r>
    </w:p>
    <w:p>
      <w:pPr>
        <w:spacing w:line="440" w:lineRule="exact"/>
        <w:ind w:firstLine="480" w:firstLineChars="200"/>
        <w:rPr>
          <w:rFonts w:asciiTheme="minorEastAsia" w:hAnsiTheme="minorEastAsia" w:cstheme="minorEastAsia"/>
          <w:szCs w:val="24"/>
        </w:rPr>
      </w:pPr>
      <w:r>
        <w:rPr>
          <w:rFonts w:hint="eastAsia" w:asciiTheme="minorEastAsia" w:hAnsiTheme="minorEastAsia" w:cstheme="minorEastAsia"/>
          <w:szCs w:val="24"/>
        </w:rPr>
        <w:t xml:space="preserve">（3）由采购人对工程的质量、规格和数量及其他进行检验。如发现质量、规格和数量等任何一项与磋商文件要求规定不符，采购人有权拒绝接受。 </w:t>
      </w:r>
    </w:p>
    <w:p>
      <w:pPr>
        <w:spacing w:line="560" w:lineRule="exact"/>
        <w:rPr>
          <w:rFonts w:asciiTheme="minorEastAsia" w:hAnsiTheme="minorEastAsia" w:cstheme="minorEastAsia"/>
          <w:szCs w:val="24"/>
        </w:rPr>
      </w:pPr>
      <w:r>
        <w:rPr>
          <w:rFonts w:hint="eastAsia" w:asciiTheme="minorEastAsia" w:hAnsiTheme="minorEastAsia" w:cstheme="minorEastAsia"/>
          <w:szCs w:val="24"/>
        </w:rPr>
        <w:t>5、安装调试及技术服务要求：</w:t>
      </w:r>
    </w:p>
    <w:p>
      <w:pPr>
        <w:spacing w:line="560" w:lineRule="exact"/>
        <w:ind w:firstLine="480" w:firstLineChars="200"/>
        <w:rPr>
          <w:rFonts w:asciiTheme="minorEastAsia" w:hAnsiTheme="minorEastAsia" w:cstheme="minorEastAsia"/>
          <w:szCs w:val="24"/>
        </w:rPr>
      </w:pPr>
      <w:r>
        <w:rPr>
          <w:rFonts w:hint="eastAsia" w:asciiTheme="minorEastAsia" w:hAnsiTheme="minorEastAsia" w:cstheme="minorEastAsia"/>
          <w:szCs w:val="24"/>
        </w:rPr>
        <w:t>投标人需根据本项目采购需求自行拟定供货及安装方案。包括但不限于：（1）配送方式（2）供货时间（3）技术方案及保障措施（4）货物交接的具体技术方案（5）风险分析与解决方案。</w:t>
      </w:r>
    </w:p>
    <w:p>
      <w:pPr>
        <w:spacing w:line="560" w:lineRule="exact"/>
        <w:ind w:firstLine="480" w:firstLineChars="200"/>
        <w:rPr>
          <w:rFonts w:asciiTheme="minorEastAsia" w:hAnsiTheme="minorEastAsia" w:cstheme="minorEastAsia"/>
          <w:szCs w:val="24"/>
        </w:rPr>
      </w:pPr>
      <w:r>
        <w:rPr>
          <w:rFonts w:hint="eastAsia" w:asciiTheme="minorEastAsia" w:hAnsiTheme="minorEastAsia" w:cstheme="minorEastAsia"/>
          <w:szCs w:val="24"/>
        </w:rPr>
        <w:t xml:space="preserve">中标方负责派技术人员到现场免费进行安装调试，直至验收合格；中标方应在产品运抵现场一周前，向买方提供安装调试及运行的进度计划表。  </w:t>
      </w:r>
    </w:p>
    <w:p>
      <w:pPr>
        <w:spacing w:line="560" w:lineRule="exact"/>
        <w:rPr>
          <w:rFonts w:asciiTheme="minorEastAsia" w:hAnsiTheme="minorEastAsia" w:cstheme="minorEastAsia"/>
          <w:szCs w:val="24"/>
        </w:rPr>
      </w:pPr>
      <w:r>
        <w:rPr>
          <w:rFonts w:hint="eastAsia" w:asciiTheme="minorEastAsia" w:hAnsiTheme="minorEastAsia" w:cstheme="minorEastAsia"/>
          <w:szCs w:val="24"/>
        </w:rPr>
        <w:t>6、付款方式：</w:t>
      </w:r>
    </w:p>
    <w:p>
      <w:pPr>
        <w:spacing w:line="560" w:lineRule="exact"/>
        <w:ind w:firstLine="480" w:firstLineChars="200"/>
        <w:rPr>
          <w:rFonts w:asciiTheme="minorEastAsia" w:hAnsiTheme="minorEastAsia" w:cstheme="minorEastAsia"/>
          <w:szCs w:val="24"/>
        </w:rPr>
      </w:pPr>
      <w:r>
        <w:rPr>
          <w:rFonts w:hint="eastAsia" w:asciiTheme="minorEastAsia" w:hAnsiTheme="minorEastAsia" w:cstheme="minorEastAsia"/>
          <w:szCs w:val="24"/>
        </w:rPr>
        <w:t xml:space="preserve"> </w:t>
      </w:r>
      <w:r>
        <w:rPr>
          <w:rFonts w:hint="eastAsia" w:asciiTheme="minorEastAsia" w:hAnsiTheme="minorEastAsia" w:cstheme="minorEastAsia"/>
          <w:szCs w:val="24"/>
          <w:lang w:val="zh-TW" w:eastAsia="zh-TW"/>
        </w:rPr>
        <w:t>付款方式</w:t>
      </w:r>
      <w:r>
        <w:rPr>
          <w:rFonts w:hint="eastAsia" w:asciiTheme="minorEastAsia" w:hAnsiTheme="minorEastAsia" w:cstheme="minorEastAsia"/>
          <w:szCs w:val="24"/>
          <w:lang w:val="zh-TW"/>
        </w:rPr>
        <w:t>：</w:t>
      </w:r>
      <w:r>
        <w:rPr>
          <w:rFonts w:hint="eastAsia" w:asciiTheme="minorEastAsia" w:hAnsiTheme="minorEastAsia" w:cstheme="minorEastAsia"/>
          <w:szCs w:val="24"/>
        </w:rPr>
        <w:t>合同签订后预付30%，剩余70%根据合同履约进度分期支付。具体以合同签订为准。</w:t>
      </w:r>
    </w:p>
    <w:p>
      <w:pPr>
        <w:spacing w:line="560" w:lineRule="exact"/>
        <w:ind w:firstLine="480" w:firstLineChars="200"/>
        <w:rPr>
          <w:rFonts w:asciiTheme="minorEastAsia" w:hAnsiTheme="minorEastAsia" w:cstheme="minorEastAsia"/>
          <w:szCs w:val="24"/>
        </w:rPr>
      </w:pPr>
      <w:r>
        <w:rPr>
          <w:rFonts w:hint="eastAsia" w:asciiTheme="minorEastAsia" w:hAnsiTheme="minorEastAsia" w:cstheme="minorEastAsia"/>
          <w:szCs w:val="24"/>
        </w:rPr>
        <w:t>报价要求：投标报价包括但不限于产品价格、运输、装卸搬运、质量检测、安装、保险、税金等所有完成本项目的合理费用。</w:t>
      </w:r>
    </w:p>
    <w:p>
      <w:pPr>
        <w:spacing w:line="560" w:lineRule="exact"/>
        <w:rPr>
          <w:rFonts w:asciiTheme="minorEastAsia" w:hAnsiTheme="minorEastAsia" w:cstheme="minorEastAsia"/>
          <w:szCs w:val="24"/>
        </w:rPr>
      </w:pPr>
      <w:r>
        <w:rPr>
          <w:rFonts w:hint="eastAsia" w:asciiTheme="minorEastAsia" w:hAnsiTheme="minorEastAsia" w:cstheme="minorEastAsia"/>
          <w:szCs w:val="24"/>
        </w:rPr>
        <w:t>7、售后服务要求：</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售后服务承诺： 质保期</w:t>
      </w:r>
      <w:r>
        <w:rPr>
          <w:rFonts w:hint="eastAsia" w:asciiTheme="minorEastAsia" w:hAnsiTheme="minorEastAsia" w:cstheme="minorEastAsia"/>
          <w:szCs w:val="24"/>
        </w:rPr>
        <w:t>1</w:t>
      </w:r>
      <w:r>
        <w:rPr>
          <w:rFonts w:hint="eastAsia" w:asciiTheme="minorEastAsia" w:hAnsiTheme="minorEastAsia" w:cstheme="minorEastAsia"/>
          <w:szCs w:val="24"/>
          <w:lang w:val="zh-TW" w:eastAsia="zh-TW"/>
        </w:rPr>
        <w:t>年；所提供的产品如有质量问题3个月内免费更换；质保期内免费上门服务。自行拟定售后服务方案。</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售后服务非采购人的人为原因而出现产品质量问题由中标人负责包换或包退，并承担因此而产生的一切费用。</w:t>
      </w:r>
    </w:p>
    <w:p>
      <w:pPr>
        <w:numPr>
          <w:ilvl w:val="0"/>
          <w:numId w:val="1"/>
        </w:numPr>
        <w:spacing w:line="560" w:lineRule="exact"/>
        <w:rPr>
          <w:rFonts w:asciiTheme="minorEastAsia" w:hAnsiTheme="minorEastAsia" w:cstheme="minorEastAsia"/>
          <w:szCs w:val="24"/>
        </w:rPr>
      </w:pPr>
      <w:r>
        <w:rPr>
          <w:rFonts w:hint="eastAsia" w:asciiTheme="minorEastAsia" w:hAnsiTheme="minorEastAsia" w:cstheme="minorEastAsia"/>
          <w:szCs w:val="24"/>
        </w:rPr>
        <w:t>其他需要说明的事项：</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质量保证期后服务</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 xml:space="preserve"> 质保期满后，若有零部件出现故障，经权威部门鉴定属于寿命异常问题（明显短于该零部件正常寿命时），则由供方负责免费更换及维修。</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 xml:space="preserve"> 乙方交货后，若设备发生故障，乙方应在甲方报修后24小时内到达。</w:t>
      </w:r>
    </w:p>
    <w:p>
      <w:pPr>
        <w:spacing w:line="560" w:lineRule="exact"/>
        <w:rPr>
          <w:rFonts w:asciiTheme="minorEastAsia" w:hAnsiTheme="minorEastAsia" w:cstheme="minorEastAsia"/>
          <w:szCs w:val="24"/>
        </w:rPr>
      </w:pPr>
      <w:r>
        <w:rPr>
          <w:rFonts w:hint="eastAsia" w:asciiTheme="minorEastAsia" w:hAnsiTheme="minorEastAsia" w:cstheme="minorEastAsia"/>
          <w:szCs w:val="24"/>
        </w:rPr>
        <w:t xml:space="preserve">二：履约要求                 </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1、工期，合同签订后</w:t>
      </w:r>
      <w:r>
        <w:rPr>
          <w:rFonts w:hint="eastAsia" w:asciiTheme="minorEastAsia" w:hAnsiTheme="minorEastAsia" w:cstheme="minorEastAsia"/>
          <w:szCs w:val="24"/>
        </w:rPr>
        <w:t>30天完工</w:t>
      </w:r>
      <w:r>
        <w:rPr>
          <w:rFonts w:hint="eastAsia" w:asciiTheme="minorEastAsia" w:hAnsiTheme="minorEastAsia" w:cstheme="minorEastAsia"/>
          <w:szCs w:val="24"/>
          <w:lang w:val="zh-TW" w:eastAsia="zh-TW"/>
        </w:rPr>
        <w:t xml:space="preserve"> </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2、质保期：质保期</w:t>
      </w:r>
      <w:r>
        <w:rPr>
          <w:rFonts w:hint="eastAsia" w:asciiTheme="minorEastAsia" w:hAnsiTheme="minorEastAsia" w:cstheme="minorEastAsia"/>
          <w:szCs w:val="24"/>
          <w:lang w:eastAsia="zh-TW"/>
        </w:rPr>
        <w:t>1</w:t>
      </w:r>
      <w:r>
        <w:rPr>
          <w:rFonts w:hint="eastAsia" w:asciiTheme="minorEastAsia" w:hAnsiTheme="minorEastAsia" w:cstheme="minorEastAsia"/>
          <w:szCs w:val="24"/>
          <w:lang w:val="zh-TW" w:eastAsia="zh-TW"/>
        </w:rPr>
        <w:t>年；所提供的产品如有质量问题3个月内免费更换；质保期内免费上门服务。自行拟定售后服务方案。</w:t>
      </w:r>
    </w:p>
    <w:p>
      <w:pPr>
        <w:spacing w:line="560" w:lineRule="exact"/>
        <w:ind w:firstLine="480" w:firstLineChars="200"/>
        <w:rPr>
          <w:rFonts w:asciiTheme="minorEastAsia" w:hAnsiTheme="minorEastAsia" w:cstheme="minorEastAsia"/>
          <w:szCs w:val="24"/>
        </w:rPr>
      </w:pPr>
      <w:r>
        <w:rPr>
          <w:rFonts w:hint="eastAsia" w:asciiTheme="minorEastAsia" w:hAnsiTheme="minorEastAsia" w:cstheme="minorEastAsia"/>
          <w:szCs w:val="24"/>
          <w:lang w:val="zh-TW" w:eastAsia="zh-TW"/>
        </w:rPr>
        <w:t>3、交付或实施的地点：</w:t>
      </w:r>
      <w:r>
        <w:rPr>
          <w:rFonts w:hint="eastAsia" w:asciiTheme="minorEastAsia" w:hAnsiTheme="minorEastAsia" w:cstheme="minorEastAsia"/>
          <w:szCs w:val="24"/>
        </w:rPr>
        <w:t>新疆农业大学</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4、发生故障做出响应的时间：中标人在合同履行期间提供接到通知24小时内响应服务。</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5、伴随服务:中标方应负责对采购人进行专业培训，直至采购人能完全操作</w:t>
      </w:r>
      <w:r>
        <w:rPr>
          <w:rFonts w:hint="eastAsia" w:asciiTheme="minorEastAsia" w:hAnsiTheme="minorEastAsia" w:cstheme="minorEastAsia"/>
          <w:szCs w:val="24"/>
          <w:lang w:eastAsia="zh-TW"/>
        </w:rPr>
        <w:t>使用</w:t>
      </w:r>
      <w:r>
        <w:rPr>
          <w:rFonts w:hint="eastAsia" w:asciiTheme="minorEastAsia" w:hAnsiTheme="minorEastAsia" w:cstheme="minorEastAsia"/>
          <w:szCs w:val="24"/>
          <w:lang w:val="zh-TW" w:eastAsia="zh-TW"/>
        </w:rPr>
        <w:t>（投标人列明具体培训计划方案），提供详细培训计划。</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 xml:space="preserve">6、其他未尽事项： </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lang w:val="zh-TW" w:eastAsia="zh-TW"/>
        </w:rPr>
        <w:t>如果双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pPr>
        <w:spacing w:line="560" w:lineRule="exact"/>
        <w:ind w:firstLine="480" w:firstLineChars="200"/>
        <w:rPr>
          <w:rFonts w:asciiTheme="minorEastAsia" w:hAnsiTheme="minorEastAsia" w:cstheme="minorEastAsia"/>
          <w:szCs w:val="24"/>
          <w:lang w:val="zh-TW" w:eastAsia="zh-TW"/>
        </w:rPr>
      </w:pPr>
      <w:r>
        <w:rPr>
          <w:rFonts w:hint="eastAsia" w:asciiTheme="minorEastAsia" w:hAnsiTheme="minorEastAsia" w:cstheme="minorEastAsia"/>
          <w:szCs w:val="24"/>
        </w:rPr>
        <w:t xml:space="preserve"> </w:t>
      </w:r>
      <w:r>
        <w:rPr>
          <w:rFonts w:hint="eastAsia" w:asciiTheme="minorEastAsia" w:hAnsiTheme="minorEastAsia" w:cstheme="minorEastAsia"/>
          <w:szCs w:val="24"/>
          <w:lang w:val="zh-TW" w:eastAsia="zh-TW"/>
        </w:rPr>
        <w:t>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pPr>
        <w:spacing w:line="560" w:lineRule="exact"/>
        <w:rPr>
          <w:rFonts w:cs="仿宋_GB2312" w:asciiTheme="minorEastAsia" w:hAnsiTheme="minorEastAsia"/>
          <w:sz w:val="32"/>
          <w:szCs w:val="32"/>
        </w:rPr>
      </w:pPr>
    </w:p>
    <w:p>
      <w:pPr>
        <w:spacing w:line="560" w:lineRule="exact"/>
        <w:rPr>
          <w:rFonts w:cs="仿宋_GB2312" w:asciiTheme="minorEastAsia" w:hAnsiTheme="minorEastAsia"/>
          <w:sz w:val="32"/>
          <w:szCs w:val="32"/>
        </w:rPr>
      </w:pPr>
    </w:p>
    <w:p>
      <w:pPr>
        <w:pStyle w:val="2"/>
        <w:ind w:left="480"/>
      </w:pPr>
    </w:p>
    <w:p>
      <w:pPr>
        <w:ind w:firstLine="480"/>
      </w:pPr>
    </w:p>
    <w:p>
      <w:pPr>
        <w:pStyle w:val="17"/>
        <w:ind w:firstLine="480"/>
      </w:pPr>
    </w:p>
    <w:p>
      <w:pPr>
        <w:pStyle w:val="6"/>
        <w:ind w:firstLine="723"/>
      </w:pPr>
      <w:bookmarkStart w:id="622" w:name="_Toc7531_WPSOffice_Level1"/>
      <w:bookmarkStart w:id="623" w:name="_Toc4089_WPSOffice_Level1"/>
      <w:bookmarkStart w:id="624" w:name="_Toc31410"/>
      <w:bookmarkStart w:id="625" w:name="_Toc137929618"/>
      <w:bookmarkStart w:id="626" w:name="_Toc32163_WPSOffice_Level1"/>
      <w:bookmarkStart w:id="627" w:name="_Toc11794"/>
      <w:bookmarkStart w:id="628" w:name="_Toc8093_WPSOffice_Level1"/>
      <w:r>
        <w:rPr>
          <w:rFonts w:hint="eastAsia"/>
        </w:rPr>
        <w:t xml:space="preserve">第五部分 </w:t>
      </w:r>
      <w:r>
        <w:t xml:space="preserve"> </w:t>
      </w:r>
      <w:r>
        <w:rPr>
          <w:rFonts w:hint="eastAsia"/>
        </w:rPr>
        <w:t>响应文件格式</w:t>
      </w:r>
      <w:bookmarkEnd w:id="622"/>
      <w:bookmarkEnd w:id="623"/>
      <w:bookmarkEnd w:id="624"/>
      <w:bookmarkEnd w:id="625"/>
      <w:bookmarkEnd w:id="626"/>
      <w:bookmarkEnd w:id="627"/>
      <w:bookmarkEnd w:id="628"/>
    </w:p>
    <w:p>
      <w:pPr>
        <w:spacing w:line="400" w:lineRule="exact"/>
        <w:ind w:left="540" w:firstLine="640"/>
        <w:rPr>
          <w:rFonts w:asciiTheme="minorEastAsia" w:hAnsiTheme="minorEastAsia"/>
          <w:sz w:val="32"/>
          <w:szCs w:val="32"/>
        </w:rPr>
      </w:pPr>
    </w:p>
    <w:p>
      <w:pPr>
        <w:spacing w:line="400" w:lineRule="exact"/>
        <w:ind w:left="540" w:firstLine="640"/>
        <w:jc w:val="center"/>
        <w:rPr>
          <w:rFonts w:asciiTheme="minorEastAsia" w:hAnsiTheme="minorEastAsia"/>
          <w:sz w:val="32"/>
          <w:szCs w:val="32"/>
        </w:rPr>
      </w:pPr>
      <w:bookmarkStart w:id="629" w:name="_Toc7735_WPSOffice_Level1"/>
      <w:bookmarkStart w:id="630" w:name="_Toc11930_WPSOffice_Level1"/>
      <w:bookmarkStart w:id="631" w:name="_Toc17757_WPSOffice_Level1"/>
      <w:bookmarkStart w:id="632" w:name="_Toc13691_WPSOffice_Level1"/>
      <w:bookmarkStart w:id="633" w:name="_Toc14099_WPSOffice_Level1"/>
      <w:r>
        <w:rPr>
          <w:rFonts w:hint="eastAsia" w:asciiTheme="minorEastAsia" w:hAnsiTheme="minorEastAsia"/>
          <w:sz w:val="32"/>
          <w:szCs w:val="32"/>
        </w:rPr>
        <w:t>响应文件封面</w:t>
      </w:r>
      <w:bookmarkEnd w:id="629"/>
      <w:bookmarkEnd w:id="630"/>
      <w:bookmarkEnd w:id="631"/>
      <w:bookmarkEnd w:id="632"/>
      <w:bookmarkEnd w:id="633"/>
    </w:p>
    <w:p>
      <w:pPr>
        <w:ind w:firstLine="480"/>
        <w:jc w:val="right"/>
        <w:rPr>
          <w:rFonts w:asciiTheme="minorEastAsia" w:hAnsiTheme="minorEastAsia"/>
          <w:bdr w:val="single" w:color="auto" w:sz="4" w:space="0"/>
        </w:rPr>
      </w:pPr>
      <w:r>
        <w:rPr>
          <w:rFonts w:hint="eastAsia" w:asciiTheme="minorEastAsia" w:hAnsiTheme="minorEastAsia"/>
          <w:bdr w:val="single" w:color="auto" w:sz="4" w:space="0"/>
        </w:rPr>
        <w:t>正本/副本</w:t>
      </w:r>
    </w:p>
    <w:p>
      <w:pPr>
        <w:ind w:firstLine="560"/>
        <w:jc w:val="center"/>
        <w:rPr>
          <w:rFonts w:asciiTheme="minorEastAsia" w:hAnsiTheme="minorEastAsia"/>
          <w:sz w:val="28"/>
          <w:szCs w:val="28"/>
          <w:u w:val="single"/>
        </w:rPr>
      </w:pPr>
    </w:p>
    <w:p>
      <w:pPr>
        <w:ind w:firstLine="560"/>
        <w:jc w:val="center"/>
        <w:rPr>
          <w:rFonts w:asciiTheme="minorEastAsia" w:hAnsiTheme="minorEastAsia"/>
          <w:sz w:val="28"/>
          <w:szCs w:val="28"/>
          <w:u w:val="single"/>
        </w:rPr>
      </w:pPr>
    </w:p>
    <w:p>
      <w:pPr>
        <w:spacing w:line="720" w:lineRule="exact"/>
        <w:ind w:firstLine="560"/>
        <w:rPr>
          <w:rFonts w:asciiTheme="minorEastAsia" w:hAnsiTheme="minorEastAsia"/>
          <w:sz w:val="28"/>
          <w:szCs w:val="28"/>
        </w:rPr>
      </w:pPr>
      <w:r>
        <w:rPr>
          <w:rFonts w:asciiTheme="minorEastAsia" w:hAnsiTheme="minorEastAsia"/>
          <w:sz w:val="28"/>
          <w:szCs w:val="28"/>
        </w:rPr>
        <w:t xml:space="preserve">     </w:t>
      </w:r>
      <w:r>
        <w:rPr>
          <w:rFonts w:hint="eastAsia" w:asciiTheme="minorEastAsia" w:hAnsiTheme="minorEastAsia"/>
          <w:sz w:val="28"/>
          <w:szCs w:val="28"/>
        </w:rPr>
        <w:t xml:space="preserve"> </w:t>
      </w:r>
      <w:bookmarkStart w:id="634" w:name="_Toc30734_WPSOffice_Level1"/>
      <w:bookmarkStart w:id="635" w:name="_Toc25832_WPSOffice_Level1"/>
      <w:bookmarkStart w:id="636" w:name="_Toc1776_WPSOffice_Level1"/>
      <w:bookmarkStart w:id="637" w:name="_Toc19855_WPSOffice_Level1"/>
      <w:bookmarkStart w:id="638" w:name="_Toc30487_WPSOffice_Level1"/>
      <w:r>
        <w:rPr>
          <w:rFonts w:hint="eastAsia" w:asciiTheme="minorEastAsia" w:hAnsiTheme="minorEastAsia"/>
          <w:sz w:val="28"/>
          <w:szCs w:val="28"/>
        </w:rPr>
        <w:t>供应商：（盖章）</w:t>
      </w:r>
      <w:bookmarkEnd w:id="634"/>
      <w:bookmarkEnd w:id="635"/>
      <w:bookmarkEnd w:id="636"/>
      <w:bookmarkEnd w:id="637"/>
      <w:bookmarkEnd w:id="638"/>
    </w:p>
    <w:p>
      <w:pPr>
        <w:spacing w:line="720" w:lineRule="exact"/>
        <w:ind w:firstLine="560"/>
        <w:rPr>
          <w:rFonts w:asciiTheme="minorEastAsia" w:hAnsiTheme="minorEastAsia"/>
          <w:sz w:val="28"/>
          <w:szCs w:val="28"/>
        </w:rPr>
      </w:pPr>
      <w:r>
        <w:rPr>
          <w:rFonts w:hint="eastAsia" w:asciiTheme="minorEastAsia" w:hAnsiTheme="minorEastAsia"/>
          <w:sz w:val="28"/>
          <w:szCs w:val="28"/>
        </w:rPr>
        <w:t xml:space="preserve">      </w:t>
      </w:r>
      <w:bookmarkStart w:id="639" w:name="_Toc4617_WPSOffice_Level1"/>
      <w:bookmarkStart w:id="640" w:name="_Toc6670_WPSOffice_Level1"/>
      <w:bookmarkStart w:id="641" w:name="_Toc14447_WPSOffice_Level1"/>
      <w:bookmarkStart w:id="642" w:name="_Toc8768_WPSOffice_Level1"/>
      <w:bookmarkStart w:id="643" w:name="_Toc860_WPSOffice_Level1"/>
      <w:r>
        <w:rPr>
          <w:rFonts w:hint="eastAsia" w:asciiTheme="minorEastAsia" w:hAnsiTheme="minorEastAsia"/>
          <w:sz w:val="28"/>
          <w:szCs w:val="28"/>
        </w:rPr>
        <w:t>项目名称：</w:t>
      </w:r>
      <w:bookmarkEnd w:id="639"/>
      <w:bookmarkEnd w:id="640"/>
      <w:bookmarkEnd w:id="641"/>
      <w:bookmarkEnd w:id="642"/>
      <w:bookmarkEnd w:id="643"/>
      <w:r>
        <w:rPr>
          <w:rFonts w:asciiTheme="minorEastAsia" w:hAnsiTheme="minorEastAsia"/>
          <w:sz w:val="28"/>
          <w:szCs w:val="28"/>
        </w:rPr>
        <w:t xml:space="preserve"> </w:t>
      </w:r>
    </w:p>
    <w:p>
      <w:pPr>
        <w:spacing w:line="720" w:lineRule="exact"/>
        <w:ind w:firstLine="560"/>
        <w:rPr>
          <w:rFonts w:asciiTheme="minorEastAsia" w:hAnsiTheme="minorEastAsia"/>
          <w:sz w:val="28"/>
          <w:szCs w:val="28"/>
        </w:rPr>
      </w:pPr>
      <w:r>
        <w:rPr>
          <w:rFonts w:hint="eastAsia" w:asciiTheme="minorEastAsia" w:hAnsiTheme="minorEastAsia"/>
          <w:sz w:val="28"/>
          <w:szCs w:val="28"/>
        </w:rPr>
        <w:t xml:space="preserve">      </w:t>
      </w:r>
      <w:bookmarkStart w:id="644" w:name="_Toc21556_WPSOffice_Level1"/>
      <w:bookmarkStart w:id="645" w:name="_Toc1652_WPSOffice_Level1"/>
      <w:bookmarkStart w:id="646" w:name="_Toc2823_WPSOffice_Level1"/>
      <w:bookmarkStart w:id="647" w:name="_Toc9638_WPSOffice_Level1"/>
      <w:bookmarkStart w:id="648" w:name="_Toc29797_WPSOffice_Level1"/>
      <w:r>
        <w:rPr>
          <w:rFonts w:hint="eastAsia" w:asciiTheme="minorEastAsia" w:hAnsiTheme="minorEastAsia"/>
          <w:sz w:val="28"/>
          <w:szCs w:val="28"/>
        </w:rPr>
        <w:t>项目编号：</w:t>
      </w:r>
      <w:bookmarkEnd w:id="644"/>
      <w:bookmarkEnd w:id="645"/>
      <w:bookmarkEnd w:id="646"/>
      <w:bookmarkEnd w:id="647"/>
      <w:bookmarkEnd w:id="648"/>
    </w:p>
    <w:p>
      <w:pPr>
        <w:spacing w:line="720" w:lineRule="exact"/>
        <w:ind w:firstLine="560"/>
        <w:rPr>
          <w:rFonts w:asciiTheme="minorEastAsia" w:hAnsiTheme="minorEastAsia"/>
          <w:sz w:val="28"/>
          <w:szCs w:val="28"/>
        </w:rPr>
      </w:pPr>
      <w:r>
        <w:rPr>
          <w:rFonts w:asciiTheme="minorEastAsia" w:hAnsiTheme="minorEastAsia"/>
          <w:sz w:val="28"/>
          <w:szCs w:val="28"/>
        </w:rPr>
        <w:t xml:space="preserve">     </w:t>
      </w:r>
      <w:r>
        <w:rPr>
          <w:rFonts w:hint="eastAsia" w:asciiTheme="minorEastAsia" w:hAnsiTheme="minorEastAsia"/>
          <w:sz w:val="28"/>
          <w:szCs w:val="28"/>
        </w:rPr>
        <w:t xml:space="preserve"> </w:t>
      </w:r>
      <w:bookmarkStart w:id="649" w:name="_Toc7458_WPSOffice_Level1"/>
      <w:bookmarkStart w:id="650" w:name="_Toc19103_WPSOffice_Level1"/>
      <w:bookmarkStart w:id="651" w:name="_Toc5105_WPSOffice_Level1"/>
      <w:bookmarkStart w:id="652" w:name="_Toc26033_WPSOffice_Level1"/>
      <w:bookmarkStart w:id="653" w:name="_Toc2091_WPSOffice_Level1"/>
      <w:r>
        <w:rPr>
          <w:rFonts w:hint="eastAsia" w:asciiTheme="minorEastAsia" w:hAnsiTheme="minorEastAsia"/>
          <w:sz w:val="28"/>
          <w:szCs w:val="28"/>
        </w:rPr>
        <w:t>法 定 代 表 人：（签字或盖章）</w:t>
      </w:r>
      <w:bookmarkEnd w:id="649"/>
      <w:bookmarkEnd w:id="650"/>
      <w:bookmarkEnd w:id="651"/>
      <w:bookmarkEnd w:id="652"/>
      <w:bookmarkEnd w:id="653"/>
    </w:p>
    <w:p>
      <w:pPr>
        <w:spacing w:line="720" w:lineRule="exact"/>
        <w:ind w:firstLine="560"/>
        <w:rPr>
          <w:rFonts w:asciiTheme="minorEastAsia" w:hAnsiTheme="minorEastAsia"/>
          <w:sz w:val="28"/>
          <w:szCs w:val="28"/>
        </w:rPr>
      </w:pPr>
      <w:r>
        <w:rPr>
          <w:rFonts w:asciiTheme="minorEastAsia" w:hAnsiTheme="minorEastAsia"/>
          <w:sz w:val="28"/>
          <w:szCs w:val="28"/>
        </w:rPr>
        <w:t xml:space="preserve">     </w:t>
      </w:r>
      <w:r>
        <w:rPr>
          <w:rFonts w:hint="eastAsia" w:asciiTheme="minorEastAsia" w:hAnsiTheme="minorEastAsia"/>
          <w:sz w:val="28"/>
          <w:szCs w:val="28"/>
        </w:rPr>
        <w:t xml:space="preserve"> </w:t>
      </w:r>
      <w:bookmarkStart w:id="654" w:name="_Toc21724_WPSOffice_Level1"/>
      <w:bookmarkStart w:id="655" w:name="_Toc5455_WPSOffice_Level1"/>
      <w:bookmarkStart w:id="656" w:name="_Toc25946_WPSOffice_Level1"/>
      <w:bookmarkStart w:id="657" w:name="_Toc16548_WPSOffice_Level1"/>
      <w:bookmarkStart w:id="658" w:name="_Toc12030_WPSOffice_Level1"/>
      <w:r>
        <w:rPr>
          <w:rFonts w:hint="eastAsia" w:asciiTheme="minorEastAsia" w:hAnsiTheme="minorEastAsia"/>
          <w:sz w:val="28"/>
          <w:szCs w:val="28"/>
        </w:rPr>
        <w:t>单  位  地  址：</w:t>
      </w:r>
      <w:bookmarkEnd w:id="654"/>
      <w:bookmarkEnd w:id="655"/>
      <w:bookmarkEnd w:id="656"/>
      <w:bookmarkEnd w:id="657"/>
      <w:bookmarkEnd w:id="658"/>
    </w:p>
    <w:p>
      <w:pPr>
        <w:spacing w:line="720" w:lineRule="exact"/>
        <w:ind w:firstLine="560"/>
        <w:rPr>
          <w:rFonts w:asciiTheme="minorEastAsia" w:hAnsiTheme="minorEastAsia"/>
          <w:sz w:val="28"/>
          <w:szCs w:val="28"/>
        </w:rPr>
      </w:pPr>
      <w:r>
        <w:rPr>
          <w:rFonts w:hint="eastAsia" w:asciiTheme="minorEastAsia" w:hAnsiTheme="minorEastAsia"/>
          <w:sz w:val="28"/>
          <w:szCs w:val="28"/>
        </w:rPr>
        <w:t xml:space="preserve">      </w:t>
      </w:r>
      <w:bookmarkStart w:id="659" w:name="_Toc5487_WPSOffice_Level1"/>
      <w:bookmarkStart w:id="660" w:name="_Toc8790_WPSOffice_Level1"/>
      <w:bookmarkStart w:id="661" w:name="_Toc3945_WPSOffice_Level1"/>
      <w:bookmarkStart w:id="662" w:name="_Toc29842_WPSOffice_Level1"/>
      <w:bookmarkStart w:id="663" w:name="_Toc12446_WPSOffice_Level1"/>
      <w:r>
        <w:rPr>
          <w:rFonts w:hint="eastAsia" w:asciiTheme="minorEastAsia" w:hAnsiTheme="minorEastAsia"/>
          <w:sz w:val="28"/>
          <w:szCs w:val="28"/>
        </w:rPr>
        <w:t>联</w:t>
      </w:r>
      <w:r>
        <w:rPr>
          <w:rFonts w:asciiTheme="minorEastAsia" w:hAnsiTheme="minorEastAsia"/>
          <w:sz w:val="28"/>
          <w:szCs w:val="28"/>
        </w:rPr>
        <w:t xml:space="preserve">  </w:t>
      </w:r>
      <w:r>
        <w:rPr>
          <w:rFonts w:hint="eastAsia" w:asciiTheme="minorEastAsia" w:hAnsiTheme="minorEastAsia"/>
          <w:sz w:val="28"/>
          <w:szCs w:val="28"/>
        </w:rPr>
        <w:t xml:space="preserve">  系</w:t>
      </w:r>
      <w:r>
        <w:rPr>
          <w:rFonts w:asciiTheme="minorEastAsia" w:hAnsiTheme="minorEastAsia"/>
          <w:sz w:val="28"/>
          <w:szCs w:val="28"/>
        </w:rPr>
        <w:t xml:space="preserve"> </w:t>
      </w:r>
      <w:r>
        <w:rPr>
          <w:rFonts w:hint="eastAsia" w:asciiTheme="minorEastAsia" w:hAnsiTheme="minorEastAsia"/>
          <w:sz w:val="28"/>
          <w:szCs w:val="28"/>
        </w:rPr>
        <w:t xml:space="preserve">   人：</w:t>
      </w:r>
      <w:bookmarkEnd w:id="659"/>
      <w:bookmarkEnd w:id="660"/>
      <w:bookmarkEnd w:id="661"/>
      <w:bookmarkEnd w:id="662"/>
      <w:bookmarkEnd w:id="663"/>
    </w:p>
    <w:p>
      <w:pPr>
        <w:spacing w:line="720" w:lineRule="exact"/>
        <w:ind w:firstLine="560"/>
        <w:rPr>
          <w:rFonts w:asciiTheme="minorEastAsia" w:hAnsiTheme="minorEastAsia"/>
          <w:sz w:val="28"/>
          <w:szCs w:val="28"/>
        </w:rPr>
      </w:pPr>
      <w:r>
        <w:rPr>
          <w:rFonts w:hint="eastAsia" w:asciiTheme="minorEastAsia" w:hAnsiTheme="minorEastAsia"/>
          <w:sz w:val="28"/>
          <w:szCs w:val="28"/>
        </w:rPr>
        <w:t xml:space="preserve">      </w:t>
      </w:r>
      <w:bookmarkStart w:id="664" w:name="_Toc400_WPSOffice_Level1"/>
      <w:bookmarkStart w:id="665" w:name="_Toc31714_WPSOffice_Level1"/>
      <w:bookmarkStart w:id="666" w:name="_Toc11971_WPSOffice_Level1"/>
      <w:bookmarkStart w:id="667" w:name="_Toc24934_WPSOffice_Level1"/>
      <w:bookmarkStart w:id="668" w:name="_Toc22415_WPSOffice_Level1"/>
      <w:r>
        <w:rPr>
          <w:rFonts w:hint="eastAsia" w:asciiTheme="minorEastAsia" w:hAnsiTheme="minorEastAsia"/>
          <w:sz w:val="28"/>
          <w:szCs w:val="28"/>
        </w:rPr>
        <w:t xml:space="preserve">联  系 </w:t>
      </w:r>
      <w:r>
        <w:rPr>
          <w:rFonts w:asciiTheme="minorEastAsia" w:hAnsiTheme="minorEastAsia"/>
          <w:sz w:val="28"/>
          <w:szCs w:val="28"/>
        </w:rPr>
        <w:t xml:space="preserve"> </w:t>
      </w:r>
      <w:r>
        <w:rPr>
          <w:rFonts w:hint="eastAsia" w:asciiTheme="minorEastAsia" w:hAnsiTheme="minorEastAsia"/>
          <w:sz w:val="28"/>
          <w:szCs w:val="28"/>
        </w:rPr>
        <w:t>电  话：</w:t>
      </w:r>
      <w:bookmarkEnd w:id="664"/>
      <w:bookmarkEnd w:id="665"/>
      <w:bookmarkEnd w:id="666"/>
      <w:bookmarkEnd w:id="667"/>
      <w:bookmarkEnd w:id="668"/>
    </w:p>
    <w:p>
      <w:pPr>
        <w:spacing w:line="720" w:lineRule="exact"/>
        <w:ind w:firstLine="786" w:firstLineChars="281"/>
        <w:rPr>
          <w:rFonts w:asciiTheme="minorEastAsia" w:hAnsiTheme="minorEastAsia"/>
          <w:sz w:val="28"/>
          <w:szCs w:val="28"/>
        </w:rPr>
      </w:pPr>
    </w:p>
    <w:p>
      <w:pPr>
        <w:spacing w:line="720" w:lineRule="exact"/>
        <w:ind w:firstLine="786" w:firstLineChars="281"/>
        <w:rPr>
          <w:rFonts w:asciiTheme="minorEastAsia" w:hAnsiTheme="minorEastAsia"/>
          <w:sz w:val="28"/>
          <w:szCs w:val="28"/>
        </w:rPr>
      </w:pPr>
    </w:p>
    <w:p>
      <w:pPr>
        <w:ind w:firstLine="480"/>
        <w:jc w:val="center"/>
        <w:rPr>
          <w:rFonts w:asciiTheme="minorEastAsia" w:hAnsiTheme="minorEastAsia"/>
        </w:rPr>
      </w:pPr>
      <w:bookmarkStart w:id="669" w:name="_Toc10374_WPSOffice_Level1"/>
      <w:bookmarkStart w:id="670" w:name="_Toc13285_WPSOffice_Level1"/>
      <w:bookmarkStart w:id="671" w:name="_Toc2875_WPSOffice_Level1"/>
      <w:bookmarkStart w:id="672" w:name="_Toc28198_WPSOffice_Level1"/>
      <w:bookmarkStart w:id="673" w:name="_Toc17495_WPSOffice_Level1"/>
      <w:r>
        <w:rPr>
          <w:rFonts w:hint="eastAsia" w:asciiTheme="minorEastAsia" w:hAnsiTheme="minorEastAsia"/>
        </w:rPr>
        <w:t>（注：202</w:t>
      </w:r>
      <w:r>
        <w:rPr>
          <w:rFonts w:asciiTheme="minorEastAsia" w:hAnsiTheme="minorEastAsia"/>
        </w:rPr>
        <w:t>3</w:t>
      </w:r>
      <w:r>
        <w:rPr>
          <w:rFonts w:hint="eastAsia" w:asciiTheme="minorEastAsia" w:hAnsiTheme="minorEastAsia"/>
        </w:rPr>
        <w:t>年  月  日</w:t>
      </w:r>
      <w:r>
        <w:rPr>
          <w:rFonts w:asciiTheme="minorEastAsia" w:hAnsiTheme="minorEastAsia"/>
        </w:rPr>
        <w:t>11</w:t>
      </w:r>
      <w:r>
        <w:rPr>
          <w:rFonts w:hint="eastAsia" w:asciiTheme="minorEastAsia" w:hAnsiTheme="minorEastAsia"/>
        </w:rPr>
        <w:t>:00前不得启封）</w:t>
      </w:r>
      <w:bookmarkEnd w:id="669"/>
      <w:bookmarkEnd w:id="670"/>
      <w:bookmarkEnd w:id="671"/>
      <w:bookmarkEnd w:id="672"/>
      <w:bookmarkEnd w:id="673"/>
    </w:p>
    <w:p>
      <w:pPr>
        <w:ind w:firstLine="480"/>
        <w:jc w:val="center"/>
        <w:rPr>
          <w:rFonts w:asciiTheme="minorEastAsia" w:hAnsiTheme="minorEastAsia"/>
        </w:rPr>
      </w:pPr>
    </w:p>
    <w:p>
      <w:pPr>
        <w:ind w:firstLine="480"/>
        <w:jc w:val="center"/>
        <w:rPr>
          <w:rFonts w:asciiTheme="minorEastAsia" w:hAnsiTheme="minorEastAsia"/>
        </w:rPr>
      </w:pPr>
    </w:p>
    <w:p>
      <w:pPr>
        <w:ind w:firstLine="480"/>
        <w:jc w:val="center"/>
        <w:rPr>
          <w:rFonts w:asciiTheme="minorEastAsia" w:hAnsiTheme="minorEastAsia"/>
        </w:rPr>
      </w:pPr>
      <w:r>
        <w:rPr>
          <w:rFonts w:asciiTheme="minorEastAsia" w:hAnsiTheme="minorEastAsia"/>
          <w:u w:val="single"/>
        </w:rPr>
        <w:t xml:space="preserve">        </w:t>
      </w:r>
      <w:bookmarkStart w:id="674" w:name="_Toc14350_WPSOffice_Level1"/>
      <w:bookmarkStart w:id="675" w:name="_Toc30812_WPSOffice_Level1"/>
      <w:bookmarkStart w:id="676" w:name="_Toc9475_WPSOffice_Level1"/>
      <w:bookmarkStart w:id="677" w:name="_Toc21292_WPSOffice_Level1"/>
      <w:bookmarkStart w:id="678" w:name="_Toc21106_WPSOffice_Level1"/>
      <w:r>
        <w:rPr>
          <w:rFonts w:asciiTheme="minorEastAsia" w:hAnsiTheme="minorEastAsia"/>
        </w:rPr>
        <w:t>年</w:t>
      </w:r>
      <w:r>
        <w:rPr>
          <w:rFonts w:asciiTheme="minorEastAsia" w:hAnsiTheme="minorEastAsia"/>
          <w:u w:val="single"/>
        </w:rPr>
        <w:t xml:space="preserve">        </w:t>
      </w:r>
      <w:r>
        <w:rPr>
          <w:rFonts w:asciiTheme="minorEastAsia" w:hAnsiTheme="minorEastAsia"/>
        </w:rPr>
        <w:t>月</w:t>
      </w:r>
      <w:r>
        <w:rPr>
          <w:rFonts w:asciiTheme="minorEastAsia" w:hAnsiTheme="minorEastAsia"/>
          <w:u w:val="single"/>
        </w:rPr>
        <w:t xml:space="preserve">        </w:t>
      </w:r>
      <w:r>
        <w:rPr>
          <w:rFonts w:asciiTheme="minorEastAsia" w:hAnsiTheme="minorEastAsia"/>
        </w:rPr>
        <w:t>日</w:t>
      </w:r>
      <w:bookmarkEnd w:id="674"/>
      <w:bookmarkEnd w:id="675"/>
      <w:bookmarkEnd w:id="676"/>
      <w:bookmarkEnd w:id="677"/>
      <w:bookmarkEnd w:id="678"/>
    </w:p>
    <w:p>
      <w:pPr>
        <w:ind w:firstLine="480"/>
        <w:rPr>
          <w:rFonts w:asciiTheme="minorEastAsia" w:hAnsiTheme="minorEastAsia"/>
        </w:rPr>
      </w:pPr>
    </w:p>
    <w:p>
      <w:pPr>
        <w:ind w:firstLine="480"/>
        <w:rPr>
          <w:rFonts w:asciiTheme="minorEastAsia" w:hAnsiTheme="minorEastAsia"/>
        </w:rPr>
      </w:pPr>
    </w:p>
    <w:p>
      <w:pPr>
        <w:ind w:firstLine="480"/>
        <w:rPr>
          <w:rFonts w:asciiTheme="minorEastAsia" w:hAnsiTheme="minorEastAsia"/>
        </w:rPr>
      </w:pPr>
    </w:p>
    <w:p>
      <w:pPr>
        <w:pStyle w:val="8"/>
        <w:ind w:firstLine="602"/>
      </w:pPr>
      <w:bookmarkStart w:id="679" w:name="_Toc27149"/>
      <w:bookmarkStart w:id="680" w:name="_Toc137929619"/>
      <w:r>
        <w:rPr>
          <w:rFonts w:hint="eastAsia"/>
        </w:rPr>
        <w:t>投标文件</w:t>
      </w:r>
      <w:bookmarkEnd w:id="679"/>
      <w:r>
        <w:rPr>
          <w:rFonts w:hint="eastAsia"/>
        </w:rPr>
        <w:t>目录</w:t>
      </w:r>
      <w:bookmarkEnd w:id="680"/>
    </w:p>
    <w:p>
      <w:pPr>
        <w:ind w:firstLine="480"/>
        <w:rPr>
          <w:rFonts w:cs="宋体" w:asciiTheme="minorEastAsia" w:hAnsiTheme="minorEastAsia"/>
        </w:rPr>
      </w:pPr>
      <w:bookmarkStart w:id="681" w:name="_Toc41935420"/>
      <w:r>
        <w:rPr>
          <w:rFonts w:hint="eastAsia" w:cs="宋体" w:asciiTheme="minorEastAsia" w:hAnsiTheme="minorEastAsia"/>
        </w:rPr>
        <w:t>1、投标函</w:t>
      </w:r>
    </w:p>
    <w:p>
      <w:pPr>
        <w:ind w:firstLine="480"/>
        <w:rPr>
          <w:rFonts w:cs="宋体" w:asciiTheme="minorEastAsia" w:hAnsiTheme="minorEastAsia"/>
        </w:rPr>
      </w:pPr>
      <w:r>
        <w:rPr>
          <w:rFonts w:hint="eastAsia" w:cs="宋体" w:asciiTheme="minorEastAsia" w:hAnsiTheme="minorEastAsia"/>
        </w:rPr>
        <w:t>2、法定代表人身份证明书</w:t>
      </w:r>
    </w:p>
    <w:p>
      <w:pPr>
        <w:ind w:firstLine="480"/>
        <w:rPr>
          <w:rFonts w:cs="宋体" w:asciiTheme="minorEastAsia" w:hAnsiTheme="minorEastAsia"/>
        </w:rPr>
      </w:pPr>
      <w:r>
        <w:rPr>
          <w:rFonts w:hint="eastAsia" w:cs="宋体" w:asciiTheme="minorEastAsia" w:hAnsiTheme="minorEastAsia"/>
        </w:rPr>
        <w:t>3、法定代表人授权委托书</w:t>
      </w:r>
    </w:p>
    <w:p>
      <w:pPr>
        <w:ind w:firstLine="480"/>
        <w:rPr>
          <w:rFonts w:cs="宋体" w:asciiTheme="minorEastAsia" w:hAnsiTheme="minorEastAsia"/>
        </w:rPr>
      </w:pPr>
      <w:r>
        <w:rPr>
          <w:rFonts w:hint="eastAsia" w:cs="宋体" w:asciiTheme="minorEastAsia" w:hAnsiTheme="minorEastAsia"/>
        </w:rPr>
        <w:t>4、供应商概况</w:t>
      </w:r>
    </w:p>
    <w:p>
      <w:pPr>
        <w:ind w:firstLine="480"/>
        <w:rPr>
          <w:rFonts w:cs="宋体" w:asciiTheme="minorEastAsia" w:hAnsiTheme="minorEastAsia"/>
        </w:rPr>
      </w:pPr>
      <w:r>
        <w:rPr>
          <w:rFonts w:hint="eastAsia" w:cs="宋体" w:asciiTheme="minorEastAsia" w:hAnsiTheme="minorEastAsia"/>
        </w:rPr>
        <w:t>5、投标报价表</w:t>
      </w:r>
    </w:p>
    <w:p>
      <w:pPr>
        <w:ind w:firstLine="480"/>
        <w:rPr>
          <w:rFonts w:cs="宋体" w:asciiTheme="minorEastAsia" w:hAnsiTheme="minorEastAsia"/>
        </w:rPr>
      </w:pPr>
      <w:r>
        <w:rPr>
          <w:rFonts w:hint="eastAsia" w:cs="宋体" w:asciiTheme="minorEastAsia" w:hAnsiTheme="minorEastAsia"/>
        </w:rPr>
        <w:t>6、投标保证金凭证复印件加盖公章</w:t>
      </w:r>
    </w:p>
    <w:p>
      <w:pPr>
        <w:ind w:firstLine="480"/>
        <w:rPr>
          <w:rFonts w:cs="宋体" w:asciiTheme="minorEastAsia" w:hAnsiTheme="minorEastAsia"/>
        </w:rPr>
      </w:pPr>
      <w:r>
        <w:rPr>
          <w:rFonts w:hint="eastAsia" w:cs="宋体" w:asciiTheme="minorEastAsia" w:hAnsiTheme="minorEastAsia"/>
        </w:rPr>
        <w:t>7、实施计划</w:t>
      </w:r>
    </w:p>
    <w:p>
      <w:pPr>
        <w:ind w:firstLine="480"/>
        <w:rPr>
          <w:rFonts w:cs="宋体" w:asciiTheme="minorEastAsia" w:hAnsiTheme="minorEastAsia"/>
        </w:rPr>
      </w:pPr>
      <w:r>
        <w:rPr>
          <w:rFonts w:hint="eastAsia" w:cs="宋体" w:asciiTheme="minorEastAsia" w:hAnsiTheme="minorEastAsia"/>
        </w:rPr>
        <w:t>8、质量保证措施</w:t>
      </w:r>
    </w:p>
    <w:p>
      <w:pPr>
        <w:ind w:firstLine="480"/>
        <w:rPr>
          <w:rFonts w:cs="宋体" w:asciiTheme="minorEastAsia" w:hAnsiTheme="minorEastAsia"/>
        </w:rPr>
      </w:pPr>
      <w:r>
        <w:rPr>
          <w:rFonts w:hint="eastAsia" w:cs="宋体" w:asciiTheme="minorEastAsia" w:hAnsiTheme="minorEastAsia"/>
        </w:rPr>
        <w:t>9、运维服务承诺</w:t>
      </w:r>
    </w:p>
    <w:p>
      <w:pPr>
        <w:ind w:firstLine="480"/>
        <w:rPr>
          <w:rFonts w:cs="宋体" w:asciiTheme="minorEastAsia" w:hAnsiTheme="minorEastAsia"/>
        </w:rPr>
      </w:pPr>
      <w:r>
        <w:rPr>
          <w:rFonts w:hint="eastAsia" w:cs="宋体" w:asciiTheme="minorEastAsia" w:hAnsiTheme="minorEastAsia"/>
        </w:rPr>
        <w:t>10、售后服务方案</w:t>
      </w:r>
    </w:p>
    <w:p>
      <w:pPr>
        <w:ind w:firstLine="480"/>
        <w:rPr>
          <w:rFonts w:cs="宋体" w:asciiTheme="minorEastAsia" w:hAnsiTheme="minorEastAsia"/>
        </w:rPr>
      </w:pPr>
      <w:r>
        <w:rPr>
          <w:rFonts w:cs="宋体" w:asciiTheme="minorEastAsia" w:hAnsiTheme="minorEastAsia"/>
        </w:rPr>
        <w:t>11</w:t>
      </w:r>
      <w:r>
        <w:rPr>
          <w:rFonts w:hint="eastAsia" w:cs="宋体" w:asciiTheme="minorEastAsia" w:hAnsiTheme="minorEastAsia"/>
        </w:rPr>
        <w:t>、商务条款偏离表</w:t>
      </w:r>
    </w:p>
    <w:p>
      <w:pPr>
        <w:ind w:firstLine="480"/>
      </w:pPr>
      <w:r>
        <w:rPr>
          <w:rFonts w:cs="宋体" w:asciiTheme="minorEastAsia" w:hAnsiTheme="minorEastAsia"/>
        </w:rPr>
        <w:t>12</w:t>
      </w:r>
      <w:r>
        <w:rPr>
          <w:rFonts w:hint="eastAsia" w:cs="宋体" w:asciiTheme="minorEastAsia" w:hAnsiTheme="minorEastAsia"/>
        </w:rPr>
        <w:t>、技术条款偏离表</w:t>
      </w:r>
    </w:p>
    <w:p>
      <w:pPr>
        <w:ind w:firstLine="480"/>
        <w:rPr>
          <w:rFonts w:cs="宋体" w:asciiTheme="minorEastAsia" w:hAnsiTheme="minorEastAsia"/>
        </w:rPr>
      </w:pPr>
      <w:r>
        <w:rPr>
          <w:rFonts w:hint="eastAsia" w:cs="宋体" w:asciiTheme="minorEastAsia" w:hAnsiTheme="minorEastAsia"/>
        </w:rPr>
        <w:t>1</w:t>
      </w:r>
      <w:r>
        <w:rPr>
          <w:rFonts w:cs="宋体" w:asciiTheme="minorEastAsia" w:hAnsiTheme="minorEastAsia"/>
        </w:rPr>
        <w:t>3</w:t>
      </w:r>
      <w:r>
        <w:rPr>
          <w:rFonts w:hint="eastAsia" w:cs="宋体" w:asciiTheme="minorEastAsia" w:hAnsiTheme="minorEastAsia"/>
        </w:rPr>
        <w:t>、供应商认为适宜的其他资料。</w:t>
      </w:r>
    </w:p>
    <w:p>
      <w:pPr>
        <w:ind w:firstLine="480"/>
      </w:pPr>
      <w:bookmarkStart w:id="682" w:name="_Toc15858_WPSOffice_Level1"/>
      <w:bookmarkStart w:id="683" w:name="_Toc4774"/>
      <w:bookmarkStart w:id="684" w:name="_Toc18188_WPSOffice_Level1"/>
      <w:bookmarkStart w:id="685" w:name="_Toc5687_WPSOffice_Level1"/>
      <w:bookmarkStart w:id="686" w:name="_Toc17329_WPSOffice_Level1"/>
      <w:bookmarkStart w:id="687" w:name="_Toc28026_WPSOffice_Level1"/>
      <w:r>
        <w:rPr>
          <w:rFonts w:hint="eastAsia"/>
        </w:rPr>
        <w:t>注：为了便于查找，请按上述顺序编排商务标内容，并在目录中标明每项内容的起始页码。</w:t>
      </w:r>
    </w:p>
    <w:bookmarkEnd w:id="682"/>
    <w:bookmarkEnd w:id="683"/>
    <w:bookmarkEnd w:id="684"/>
    <w:bookmarkEnd w:id="685"/>
    <w:bookmarkEnd w:id="686"/>
    <w:bookmarkEnd w:id="687"/>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bookmarkEnd w:id="681"/>
    <w:p>
      <w:pPr>
        <w:pStyle w:val="8"/>
        <w:ind w:firstLine="602"/>
      </w:pPr>
      <w:bookmarkStart w:id="688" w:name="_Toc137929620"/>
      <w:r>
        <w:t>1</w:t>
      </w:r>
      <w:r>
        <w:rPr>
          <w:rFonts w:hint="eastAsia"/>
        </w:rPr>
        <w:t>、投标函</w:t>
      </w:r>
      <w:bookmarkEnd w:id="688"/>
    </w:p>
    <w:p>
      <w:pPr>
        <w:spacing w:line="480" w:lineRule="exact"/>
        <w:ind w:firstLine="480" w:firstLineChars="200"/>
        <w:rPr>
          <w:rFonts w:cs="仿宋" w:asciiTheme="minorEastAsia" w:hAnsiTheme="minorEastAsia"/>
          <w:kern w:val="0"/>
          <w:szCs w:val="24"/>
          <w:u w:val="single"/>
        </w:rPr>
      </w:pPr>
      <w:r>
        <w:rPr>
          <w:rFonts w:hint="eastAsia" w:cs="仿宋" w:asciiTheme="minorEastAsia" w:hAnsiTheme="minorEastAsia"/>
          <w:kern w:val="0"/>
          <w:szCs w:val="24"/>
        </w:rPr>
        <w:t>致：（采购人）</w:t>
      </w:r>
      <w:r>
        <w:rPr>
          <w:rFonts w:hint="eastAsia" w:cs="仿宋" w:asciiTheme="minorEastAsia" w:hAnsiTheme="minorEastAsia"/>
          <w:kern w:val="0"/>
          <w:szCs w:val="24"/>
          <w:u w:val="single"/>
        </w:rPr>
        <w:t xml:space="preserve">                     </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为响应你方组织的</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项目的招标[项目编号为：</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]，我方愿参与投标。</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我方确认收到贵方提供的</w:t>
      </w:r>
      <w:r>
        <w:rPr>
          <w:rFonts w:cs="仿宋" w:asciiTheme="minorEastAsia" w:hAnsiTheme="minorEastAsia"/>
          <w:kern w:val="0"/>
          <w:szCs w:val="24"/>
          <w:u w:val="single"/>
        </w:rPr>
        <w:t xml:space="preserve"> </w:t>
      </w:r>
      <w:r>
        <w:rPr>
          <w:rFonts w:hint="eastAsia" w:cs="仿宋" w:asciiTheme="minorEastAsia" w:hAnsiTheme="minorEastAsia"/>
          <w:kern w:val="0"/>
          <w:szCs w:val="24"/>
          <w:u w:val="single"/>
        </w:rPr>
        <w:t xml:space="preserve">                                  </w:t>
      </w:r>
      <w:r>
        <w:rPr>
          <w:rFonts w:cs="仿宋" w:asciiTheme="minorEastAsia" w:hAnsiTheme="minorEastAsia"/>
          <w:kern w:val="0"/>
          <w:szCs w:val="24"/>
          <w:u w:val="single"/>
        </w:rPr>
        <w:t xml:space="preserve">  </w:t>
      </w:r>
      <w:r>
        <w:rPr>
          <w:rFonts w:hint="eastAsia" w:cs="仿宋" w:asciiTheme="minorEastAsia" w:hAnsiTheme="minorEastAsia"/>
          <w:kern w:val="0"/>
          <w:szCs w:val="24"/>
        </w:rPr>
        <w:t>谈判文件的全部内容。</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我方在参与投标前已详细研究了谈判文件的所有内容，包括澄清、修改文件（如果有）和所有已提供的参考资料以及有关附件，我方完全明白并认为此谈判文件没有倾向性，也不存在排斥潜在报价供应商的内容，我方同意谈判文件的相关条款，放弃对谈判文件提出误解和质疑的一切权力。</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u w:val="single"/>
        </w:rPr>
        <w:t xml:space="preserve">      (谈判供应商名称)      </w:t>
      </w:r>
      <w:r>
        <w:rPr>
          <w:rFonts w:hint="eastAsia" w:cs="仿宋" w:asciiTheme="minorEastAsia" w:hAnsiTheme="minorEastAsia"/>
          <w:kern w:val="0"/>
          <w:szCs w:val="24"/>
        </w:rPr>
        <w:t>作为投标供应商正式授权</w:t>
      </w:r>
      <w:r>
        <w:rPr>
          <w:rFonts w:hint="eastAsia" w:cs="仿宋" w:asciiTheme="minorEastAsia" w:hAnsiTheme="minorEastAsia"/>
          <w:kern w:val="0"/>
          <w:szCs w:val="24"/>
          <w:u w:val="single"/>
        </w:rPr>
        <w:t xml:space="preserve">  (授权代表全名, 职务)  </w:t>
      </w:r>
      <w:r>
        <w:rPr>
          <w:rFonts w:hint="eastAsia" w:cs="仿宋" w:asciiTheme="minorEastAsia" w:hAnsiTheme="minorEastAsia"/>
          <w:kern w:val="0"/>
          <w:szCs w:val="24"/>
        </w:rPr>
        <w:t>代表我方全权处理有关本报价的一切事宜。</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我方已完全明白谈判文件的所有条款要求，并申明如下：</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（一）按谈判文件提供的全部服务的投标总价详见《报价函》。</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（二）本投标文件的有效期为投标截止时间起</w:t>
      </w:r>
      <w:r>
        <w:rPr>
          <w:rFonts w:cs="仿宋" w:asciiTheme="minorEastAsia" w:hAnsiTheme="minorEastAsia"/>
          <w:kern w:val="0"/>
          <w:szCs w:val="24"/>
          <w:u w:val="single"/>
        </w:rPr>
        <w:t>9</w:t>
      </w:r>
      <w:r>
        <w:rPr>
          <w:rFonts w:hint="eastAsia" w:cs="仿宋" w:asciiTheme="minorEastAsia" w:hAnsiTheme="minorEastAsia"/>
          <w:kern w:val="0"/>
          <w:szCs w:val="24"/>
          <w:u w:val="single"/>
        </w:rPr>
        <w:t>0</w:t>
      </w:r>
      <w:r>
        <w:rPr>
          <w:rFonts w:hint="eastAsia" w:cs="仿宋" w:asciiTheme="minorEastAsia" w:hAnsiTheme="minorEastAsia"/>
          <w:kern w:val="0"/>
          <w:szCs w:val="24"/>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（三）我方明白并同意，在规定的开标日之后，投标有效期之内撤回投标或中标后不按规定与采购人签订合同或不提交履约保证金, 则贵方将不予退还投标保证金。</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（四）我方同意按照贵方可能提出的要求而提供与投标有关的任何其它数据、信息或资料。</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（五）我方理解贵方不一定接受最低投标价或任何贵方可能收到的投标。</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（六）我方如果中标，将保证履行谈判文件及其澄清、修改文件（如果有）中的全部责任和义务，按质、按量、按期完成《谈判内容》及《合同书》中的全部任务。</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（七）如我方被授予合同，我方承诺支付就本次招标应支付或将支付的中标服务费（详见按谈判文件要求格式填写的《中标服务费支付承诺书》）。</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（八）我方投标报价已包含应向知识产权所有权人支付的所有相关税费，并保证采购人在中国使用我方提供的服务时，如有第三方提出侵犯其知识产权主张的，责任由我方承担。</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（九）我</w:t>
      </w:r>
      <w:r>
        <w:rPr>
          <w:rFonts w:cs="仿宋" w:asciiTheme="minorEastAsia" w:hAnsiTheme="minorEastAsia"/>
          <w:kern w:val="0"/>
          <w:szCs w:val="24"/>
        </w:rPr>
        <w:t>方与其他投标供应商</w:t>
      </w:r>
      <w:r>
        <w:rPr>
          <w:rFonts w:hint="eastAsia" w:cs="仿宋" w:asciiTheme="minorEastAsia" w:hAnsiTheme="minorEastAsia"/>
          <w:kern w:val="0"/>
          <w:szCs w:val="24"/>
        </w:rPr>
        <w:t>不</w:t>
      </w:r>
      <w:r>
        <w:rPr>
          <w:rFonts w:cs="仿宋" w:asciiTheme="minorEastAsia" w:hAnsiTheme="minorEastAsia"/>
          <w:kern w:val="0"/>
          <w:szCs w:val="24"/>
        </w:rPr>
        <w:t>存在</w:t>
      </w:r>
      <w:r>
        <w:rPr>
          <w:rFonts w:hint="eastAsia" w:cs="仿宋" w:asciiTheme="minorEastAsia" w:hAnsiTheme="minorEastAsia"/>
          <w:kern w:val="0"/>
          <w:szCs w:val="24"/>
        </w:rPr>
        <w:t>单位负责人为同一人或者存在直接控股、管理关系。</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（十）我方具备《政府采购法》第二十二条规定的条件，</w:t>
      </w:r>
      <w:r>
        <w:rPr>
          <w:rFonts w:cs="仿宋" w:asciiTheme="minorEastAsia" w:hAnsiTheme="minorEastAsia"/>
          <w:kern w:val="0"/>
          <w:szCs w:val="24"/>
        </w:rPr>
        <w:t>承诺如下：</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（1）我方已依法缴纳了各项税费及社会保险费用，如有需要，可随时向采购人提供近三个月内的相关缴费证明，以便核查。</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（2</w:t>
      </w:r>
      <w:r>
        <w:rPr>
          <w:rFonts w:cs="仿宋" w:asciiTheme="minorEastAsia" w:hAnsiTheme="minorEastAsia"/>
          <w:kern w:val="0"/>
          <w:szCs w:val="24"/>
        </w:rPr>
        <w:t>）</w:t>
      </w:r>
      <w:r>
        <w:rPr>
          <w:rFonts w:hint="eastAsia" w:cs="仿宋" w:asciiTheme="minorEastAsia" w:hAnsiTheme="minorEastAsia"/>
          <w:kern w:val="0"/>
          <w:szCs w:val="24"/>
        </w:rPr>
        <w:t>我方已依法建立健全的财务会计制度，如有需要，可随时向采购人提供相关的证明材料，以便核查。</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（3）我</w:t>
      </w:r>
      <w:r>
        <w:rPr>
          <w:rFonts w:cs="仿宋" w:asciiTheme="minorEastAsia" w:hAnsiTheme="minorEastAsia"/>
          <w:kern w:val="0"/>
          <w:szCs w:val="24"/>
        </w:rPr>
        <w:t>方</w:t>
      </w:r>
      <w:r>
        <w:rPr>
          <w:rFonts w:hint="eastAsia" w:cs="仿宋" w:asciiTheme="minorEastAsia" w:hAnsiTheme="minorEastAsia"/>
          <w:kern w:val="0"/>
          <w:szCs w:val="24"/>
        </w:rPr>
        <w:t>参加本项目政府采购活动前3年内在经营活动中没有重大违法记录。</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（4）我方具备履行合同所必需的设备和专业技术能力。</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（5</w:t>
      </w:r>
      <w:r>
        <w:rPr>
          <w:rFonts w:cs="仿宋" w:asciiTheme="minorEastAsia" w:hAnsiTheme="minorEastAsia"/>
          <w:kern w:val="0"/>
          <w:szCs w:val="24"/>
        </w:rPr>
        <w:t>）</w:t>
      </w:r>
      <w:r>
        <w:rPr>
          <w:rFonts w:hint="eastAsia" w:cs="仿宋" w:asciiTheme="minorEastAsia" w:hAnsiTheme="minorEastAsia"/>
          <w:kern w:val="0"/>
          <w:szCs w:val="24"/>
        </w:rPr>
        <w:t>我</w:t>
      </w:r>
      <w:r>
        <w:rPr>
          <w:rFonts w:cs="仿宋" w:asciiTheme="minorEastAsia" w:hAnsiTheme="minorEastAsia"/>
          <w:kern w:val="0"/>
          <w:szCs w:val="24"/>
        </w:rPr>
        <w:t>方</w:t>
      </w:r>
      <w:r>
        <w:rPr>
          <w:rFonts w:hint="eastAsia" w:cs="仿宋" w:asciiTheme="minorEastAsia" w:hAnsiTheme="minorEastAsia"/>
          <w:kern w:val="0"/>
          <w:szCs w:val="24"/>
        </w:rPr>
        <w:t>符合法律、行政法规规定的其他条件。</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以上内容如有虚假或与事实不符的，评审委员会可将我方做无效投标处理，我方愿意承担相应的法律责任。</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（十一）我方对在本函及投标文件中所作的所有承诺承担法律责任。</w:t>
      </w:r>
    </w:p>
    <w:p>
      <w:pPr>
        <w:spacing w:line="480" w:lineRule="exact"/>
        <w:ind w:firstLine="480" w:firstLineChars="200"/>
        <w:rPr>
          <w:rFonts w:cs="仿宋" w:asciiTheme="minorEastAsia" w:hAnsiTheme="minorEastAsia"/>
          <w:kern w:val="0"/>
          <w:szCs w:val="24"/>
        </w:rPr>
      </w:pPr>
      <w:r>
        <w:rPr>
          <w:rFonts w:hint="eastAsia" w:cs="仿宋" w:asciiTheme="minorEastAsia" w:hAnsiTheme="minorEastAsia"/>
          <w:kern w:val="0"/>
          <w:szCs w:val="24"/>
        </w:rPr>
        <w:t>（十二）所有与本招标有关的函件请发往下列地址：</w:t>
      </w:r>
    </w:p>
    <w:p>
      <w:pPr>
        <w:ind w:firstLine="480"/>
        <w:rPr>
          <w:rFonts w:cs="仿宋" w:asciiTheme="minorEastAsia" w:hAnsiTheme="minorEastAsia"/>
          <w:kern w:val="0"/>
          <w:szCs w:val="24"/>
        </w:rPr>
      </w:pPr>
      <w:r>
        <w:rPr>
          <w:rFonts w:hint="eastAsia" w:cs="仿宋" w:asciiTheme="minorEastAsia" w:hAnsiTheme="minorEastAsia"/>
          <w:kern w:val="0"/>
          <w:szCs w:val="24"/>
        </w:rPr>
        <w:t>地    址：</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.邮政编码：</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w:t>
      </w:r>
    </w:p>
    <w:p>
      <w:pPr>
        <w:ind w:firstLine="480"/>
        <w:rPr>
          <w:rFonts w:cs="仿宋" w:asciiTheme="minorEastAsia" w:hAnsiTheme="minorEastAsia"/>
          <w:kern w:val="0"/>
          <w:szCs w:val="24"/>
        </w:rPr>
      </w:pPr>
      <w:r>
        <w:rPr>
          <w:rFonts w:hint="eastAsia" w:cs="仿宋" w:asciiTheme="minorEastAsia" w:hAnsiTheme="minorEastAsia"/>
          <w:kern w:val="0"/>
          <w:szCs w:val="24"/>
        </w:rPr>
        <w:t>电    话：</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w:t>
      </w:r>
    </w:p>
    <w:p>
      <w:pPr>
        <w:ind w:firstLine="480"/>
        <w:rPr>
          <w:rFonts w:cs="仿宋" w:asciiTheme="minorEastAsia" w:hAnsiTheme="minorEastAsia"/>
          <w:kern w:val="0"/>
          <w:szCs w:val="24"/>
        </w:rPr>
      </w:pPr>
      <w:r>
        <w:rPr>
          <w:rFonts w:hint="eastAsia" w:cs="仿宋" w:asciiTheme="minorEastAsia" w:hAnsiTheme="minorEastAsia"/>
          <w:kern w:val="0"/>
          <w:szCs w:val="24"/>
        </w:rPr>
        <w:t>传    真：</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w:t>
      </w:r>
    </w:p>
    <w:p>
      <w:pPr>
        <w:ind w:firstLine="480"/>
        <w:rPr>
          <w:rFonts w:cs="仿宋" w:asciiTheme="minorEastAsia" w:hAnsiTheme="minorEastAsia"/>
          <w:kern w:val="0"/>
          <w:szCs w:val="24"/>
        </w:rPr>
      </w:pPr>
      <w:r>
        <w:rPr>
          <w:rFonts w:hint="eastAsia" w:cs="仿宋" w:asciiTheme="minorEastAsia" w:hAnsiTheme="minorEastAsia"/>
          <w:kern w:val="0"/>
          <w:szCs w:val="24"/>
        </w:rPr>
        <w:t>代表姓名：</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.职    务：</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w:t>
      </w:r>
    </w:p>
    <w:p>
      <w:pPr>
        <w:ind w:firstLine="480"/>
        <w:rPr>
          <w:rFonts w:asciiTheme="minorEastAsia" w:hAnsiTheme="minorEastAsia"/>
          <w:szCs w:val="21"/>
          <w:u w:val="single"/>
        </w:rPr>
      </w:pPr>
    </w:p>
    <w:p>
      <w:pPr>
        <w:spacing w:line="420" w:lineRule="exact"/>
        <w:ind w:right="480" w:firstLine="480"/>
        <w:jc w:val="right"/>
        <w:rPr>
          <w:rFonts w:cs="仿宋" w:asciiTheme="minorEastAsia" w:hAnsiTheme="minorEastAsia"/>
          <w:kern w:val="0"/>
          <w:szCs w:val="24"/>
        </w:rPr>
      </w:pPr>
    </w:p>
    <w:p>
      <w:pPr>
        <w:spacing w:line="420" w:lineRule="exact"/>
        <w:ind w:right="480" w:firstLine="480"/>
        <w:jc w:val="right"/>
        <w:rPr>
          <w:rFonts w:cs="仿宋" w:asciiTheme="minorEastAsia" w:hAnsiTheme="minorEastAsia"/>
          <w:kern w:val="0"/>
          <w:szCs w:val="24"/>
        </w:rPr>
      </w:pPr>
      <w:r>
        <w:rPr>
          <w:rFonts w:hint="eastAsia" w:cs="仿宋" w:asciiTheme="minorEastAsia" w:hAnsiTheme="minorEastAsia"/>
          <w:kern w:val="0"/>
          <w:szCs w:val="24"/>
        </w:rPr>
        <w:t>供应商：</w:t>
      </w:r>
      <w:r>
        <w:rPr>
          <w:rFonts w:cs="仿宋" w:asciiTheme="minorEastAsia" w:hAnsiTheme="minorEastAsia"/>
          <w:kern w:val="0"/>
          <w:szCs w:val="24"/>
          <w:u w:val="single"/>
        </w:rPr>
        <w:tab/>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（公章）</w:t>
      </w:r>
      <w:r>
        <w:rPr>
          <w:rFonts w:cs="仿宋" w:asciiTheme="minorEastAsia" w:hAnsiTheme="minorEastAsia"/>
          <w:kern w:val="0"/>
          <w:szCs w:val="24"/>
        </w:rPr>
        <w:t xml:space="preserve"> </w:t>
      </w:r>
    </w:p>
    <w:p>
      <w:pPr>
        <w:wordWrap w:val="0"/>
        <w:spacing w:line="420" w:lineRule="exact"/>
        <w:ind w:firstLine="480" w:firstLineChars="200"/>
        <w:jc w:val="right"/>
        <w:rPr>
          <w:rFonts w:cs="仿宋" w:asciiTheme="minorEastAsia" w:hAnsiTheme="minorEastAsia"/>
          <w:kern w:val="0"/>
          <w:szCs w:val="24"/>
        </w:rPr>
      </w:pPr>
      <w:r>
        <w:rPr>
          <w:rFonts w:hint="eastAsia" w:cs="仿宋" w:asciiTheme="minorEastAsia" w:hAnsiTheme="minorEastAsia"/>
          <w:kern w:val="0"/>
          <w:szCs w:val="24"/>
        </w:rPr>
        <w:t>法定代表人或委托人：</w:t>
      </w:r>
      <w:r>
        <w:rPr>
          <w:rFonts w:cs="仿宋" w:asciiTheme="minorEastAsia" w:hAnsiTheme="minorEastAsia"/>
          <w:kern w:val="0"/>
          <w:szCs w:val="24"/>
        </w:rPr>
        <w:tab/>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 xml:space="preserve">（签字）    </w:t>
      </w:r>
    </w:p>
    <w:p>
      <w:pPr>
        <w:spacing w:line="420" w:lineRule="exact"/>
        <w:ind w:right="480" w:firstLine="480"/>
        <w:jc w:val="right"/>
        <w:rPr>
          <w:rFonts w:cs="仿宋" w:asciiTheme="minorEastAsia" w:hAnsiTheme="minorEastAsia"/>
          <w:kern w:val="0"/>
          <w:szCs w:val="24"/>
        </w:rPr>
      </w:pPr>
      <w:r>
        <w:rPr>
          <w:rFonts w:cs="仿宋" w:asciiTheme="minorEastAsia" w:hAnsiTheme="minorEastAsia"/>
          <w:kern w:val="0"/>
          <w:szCs w:val="24"/>
          <w:u w:val="single"/>
        </w:rPr>
        <w:t xml:space="preserve"> </w:t>
      </w:r>
      <w:r>
        <w:rPr>
          <w:rFonts w:hint="eastAsia" w:cs="仿宋" w:asciiTheme="minorEastAsia" w:hAnsiTheme="minorEastAsia"/>
          <w:kern w:val="0"/>
          <w:szCs w:val="24"/>
          <w:u w:val="single"/>
        </w:rPr>
        <w:t xml:space="preserve">     </w:t>
      </w:r>
      <w:r>
        <w:rPr>
          <w:rFonts w:cs="仿宋" w:asciiTheme="minorEastAsia" w:hAnsiTheme="minorEastAsia"/>
          <w:kern w:val="0"/>
          <w:szCs w:val="24"/>
          <w:u w:val="single"/>
        </w:rPr>
        <w:tab/>
      </w:r>
      <w:r>
        <w:rPr>
          <w:rFonts w:hint="eastAsia" w:cs="仿宋" w:asciiTheme="minorEastAsia" w:hAnsiTheme="minorEastAsia"/>
          <w:kern w:val="0"/>
          <w:szCs w:val="24"/>
        </w:rPr>
        <w:t>年</w:t>
      </w:r>
      <w:r>
        <w:rPr>
          <w:rFonts w:cs="仿宋" w:asciiTheme="minorEastAsia" w:hAnsiTheme="minorEastAsia"/>
          <w:kern w:val="0"/>
          <w:szCs w:val="24"/>
          <w:u w:val="single"/>
        </w:rPr>
        <w:tab/>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月</w:t>
      </w:r>
      <w:r>
        <w:rPr>
          <w:rFonts w:hint="eastAsia" w:cs="仿宋" w:asciiTheme="minorEastAsia" w:hAnsiTheme="minorEastAsia"/>
          <w:kern w:val="0"/>
          <w:szCs w:val="24"/>
          <w:u w:val="single"/>
        </w:rPr>
        <w:t xml:space="preserve">    </w:t>
      </w:r>
      <w:r>
        <w:rPr>
          <w:rFonts w:hint="eastAsia" w:cs="仿宋" w:asciiTheme="minorEastAsia" w:hAnsiTheme="minorEastAsia"/>
          <w:kern w:val="0"/>
          <w:szCs w:val="24"/>
        </w:rPr>
        <w:t>日</w:t>
      </w:r>
    </w:p>
    <w:p>
      <w:pPr>
        <w:pStyle w:val="8"/>
        <w:ind w:firstLine="602"/>
        <w:rPr>
          <w:kern w:val="0"/>
        </w:rPr>
      </w:pPr>
      <w:r>
        <w:rPr>
          <w:kern w:val="0"/>
        </w:rPr>
        <w:br w:type="page"/>
      </w:r>
      <w:bookmarkStart w:id="689" w:name="_Toc41935422"/>
      <w:bookmarkStart w:id="690" w:name="_Toc137929621"/>
      <w:bookmarkStart w:id="691" w:name="_Toc560"/>
      <w:r>
        <w:rPr>
          <w:kern w:val="0"/>
        </w:rPr>
        <w:t>2</w:t>
      </w:r>
      <w:r>
        <w:rPr>
          <w:rFonts w:hint="eastAsia"/>
          <w:kern w:val="0"/>
        </w:rPr>
        <w:t>、</w:t>
      </w:r>
      <w:r>
        <w:rPr>
          <w:rFonts w:hint="eastAsia"/>
        </w:rPr>
        <w:t>法定代表人身份证明书</w:t>
      </w:r>
      <w:bookmarkEnd w:id="689"/>
      <w:bookmarkEnd w:id="690"/>
      <w:bookmarkEnd w:id="691"/>
    </w:p>
    <w:p>
      <w:pPr>
        <w:ind w:firstLine="480"/>
        <w:jc w:val="center"/>
        <w:rPr>
          <w:rFonts w:asciiTheme="minorEastAsia" w:hAnsiTheme="minorEastAsia"/>
          <w:kern w:val="0"/>
        </w:rPr>
      </w:pPr>
    </w:p>
    <w:p>
      <w:pPr>
        <w:ind w:firstLine="480"/>
        <w:jc w:val="center"/>
        <w:rPr>
          <w:rFonts w:asciiTheme="minorEastAsia" w:hAnsiTheme="minorEastAsia"/>
          <w:kern w:val="0"/>
        </w:rPr>
      </w:pPr>
    </w:p>
    <w:p>
      <w:pPr>
        <w:ind w:firstLine="480"/>
        <w:rPr>
          <w:rFonts w:asciiTheme="minorEastAsia" w:hAnsiTheme="minorEastAsia"/>
          <w:kern w:val="0"/>
          <w:u w:val="single"/>
        </w:rPr>
      </w:pPr>
      <w:r>
        <w:rPr>
          <w:rFonts w:hint="eastAsia" w:asciiTheme="minorEastAsia" w:hAnsiTheme="minorEastAsia"/>
          <w:kern w:val="0"/>
        </w:rPr>
        <w:t>企业名称：</w:t>
      </w:r>
      <w:r>
        <w:rPr>
          <w:rFonts w:hint="eastAsia" w:asciiTheme="minorEastAsia" w:hAnsiTheme="minorEastAsia"/>
          <w:kern w:val="0"/>
          <w:u w:val="single"/>
        </w:rPr>
        <w:t xml:space="preserve">                                                   </w:t>
      </w:r>
    </w:p>
    <w:p>
      <w:pPr>
        <w:ind w:firstLine="480"/>
        <w:rPr>
          <w:rFonts w:asciiTheme="minorEastAsia" w:hAnsiTheme="minorEastAsia"/>
          <w:kern w:val="0"/>
          <w:u w:val="single"/>
        </w:rPr>
      </w:pPr>
    </w:p>
    <w:p>
      <w:pPr>
        <w:ind w:firstLine="480"/>
        <w:rPr>
          <w:rFonts w:asciiTheme="minorEastAsia" w:hAnsiTheme="minorEastAsia"/>
          <w:kern w:val="0"/>
          <w:u w:val="single"/>
        </w:rPr>
      </w:pPr>
      <w:r>
        <w:rPr>
          <w:rFonts w:hint="eastAsia" w:asciiTheme="minorEastAsia" w:hAnsiTheme="minorEastAsia"/>
          <w:kern w:val="0"/>
        </w:rPr>
        <w:t>企业类型：</w:t>
      </w:r>
      <w:r>
        <w:rPr>
          <w:rFonts w:hint="eastAsia" w:asciiTheme="minorEastAsia" w:hAnsiTheme="minorEastAsia"/>
          <w:kern w:val="0"/>
          <w:u w:val="single"/>
        </w:rPr>
        <w:t xml:space="preserve">                                                   </w:t>
      </w:r>
    </w:p>
    <w:p>
      <w:pPr>
        <w:ind w:firstLine="480"/>
        <w:rPr>
          <w:rFonts w:asciiTheme="minorEastAsia" w:hAnsiTheme="minorEastAsia"/>
          <w:kern w:val="0"/>
        </w:rPr>
      </w:pPr>
    </w:p>
    <w:p>
      <w:pPr>
        <w:ind w:firstLine="480"/>
        <w:rPr>
          <w:rFonts w:asciiTheme="minorEastAsia" w:hAnsiTheme="minorEastAsia"/>
          <w:kern w:val="0"/>
          <w:u w:val="single"/>
        </w:rPr>
      </w:pPr>
      <w:r>
        <w:rPr>
          <w:rFonts w:hint="eastAsia" w:asciiTheme="minorEastAsia" w:hAnsiTheme="minorEastAsia"/>
          <w:kern w:val="0"/>
        </w:rPr>
        <w:t>地    址：</w:t>
      </w:r>
      <w:r>
        <w:rPr>
          <w:rFonts w:hint="eastAsia" w:asciiTheme="minorEastAsia" w:hAnsiTheme="minorEastAsia"/>
          <w:kern w:val="0"/>
          <w:u w:val="single"/>
        </w:rPr>
        <w:t xml:space="preserve">                                                   </w:t>
      </w:r>
    </w:p>
    <w:p>
      <w:pPr>
        <w:ind w:firstLine="480"/>
        <w:rPr>
          <w:rFonts w:asciiTheme="minorEastAsia" w:hAnsiTheme="minorEastAsia"/>
          <w:kern w:val="0"/>
        </w:rPr>
      </w:pPr>
    </w:p>
    <w:p>
      <w:pPr>
        <w:ind w:firstLine="480"/>
        <w:rPr>
          <w:rFonts w:asciiTheme="minorEastAsia" w:hAnsiTheme="minorEastAsia"/>
          <w:kern w:val="0"/>
          <w:u w:val="single"/>
        </w:rPr>
      </w:pPr>
      <w:r>
        <w:rPr>
          <w:rFonts w:hint="eastAsia" w:asciiTheme="minorEastAsia" w:hAnsiTheme="minorEastAsia"/>
          <w:kern w:val="0"/>
        </w:rPr>
        <w:t>营业期限：</w:t>
      </w:r>
      <w:r>
        <w:rPr>
          <w:rFonts w:hint="eastAsia" w:asciiTheme="minorEastAsia" w:hAnsiTheme="minorEastAsia"/>
          <w:kern w:val="0"/>
          <w:u w:val="single"/>
        </w:rPr>
        <w:t xml:space="preserve">                                                   </w:t>
      </w:r>
    </w:p>
    <w:p>
      <w:pPr>
        <w:ind w:firstLine="480"/>
        <w:rPr>
          <w:rFonts w:asciiTheme="minorEastAsia" w:hAnsiTheme="minorEastAsia"/>
          <w:kern w:val="0"/>
        </w:rPr>
      </w:pPr>
    </w:p>
    <w:p>
      <w:pPr>
        <w:ind w:firstLine="480"/>
        <w:rPr>
          <w:rFonts w:asciiTheme="minorEastAsia" w:hAnsiTheme="minorEastAsia"/>
          <w:kern w:val="0"/>
          <w:u w:val="single"/>
        </w:rPr>
      </w:pPr>
      <w:r>
        <w:rPr>
          <w:rFonts w:hint="eastAsia" w:asciiTheme="minorEastAsia" w:hAnsiTheme="minorEastAsia"/>
          <w:kern w:val="0"/>
        </w:rPr>
        <w:t>成立时间：</w:t>
      </w:r>
      <w:r>
        <w:rPr>
          <w:rFonts w:hint="eastAsia" w:asciiTheme="minorEastAsia" w:hAnsiTheme="minorEastAsia"/>
          <w:kern w:val="0"/>
          <w:u w:val="single"/>
        </w:rPr>
        <w:t xml:space="preserve">                                                   </w:t>
      </w:r>
    </w:p>
    <w:p>
      <w:pPr>
        <w:ind w:firstLine="480"/>
        <w:rPr>
          <w:rFonts w:asciiTheme="minorEastAsia" w:hAnsiTheme="minorEastAsia"/>
          <w:kern w:val="0"/>
          <w:u w:val="single"/>
        </w:rPr>
      </w:pPr>
    </w:p>
    <w:p>
      <w:pPr>
        <w:ind w:firstLine="480"/>
        <w:rPr>
          <w:rFonts w:asciiTheme="minorEastAsia" w:hAnsiTheme="minorEastAsia"/>
          <w:kern w:val="0"/>
          <w:u w:val="single"/>
        </w:rPr>
      </w:pPr>
    </w:p>
    <w:p>
      <w:pPr>
        <w:ind w:firstLine="480"/>
        <w:rPr>
          <w:rFonts w:asciiTheme="minorEastAsia" w:hAnsiTheme="minorEastAsia"/>
          <w:kern w:val="0"/>
          <w:u w:val="single"/>
        </w:rPr>
      </w:pPr>
      <w:r>
        <w:rPr>
          <w:rFonts w:hint="eastAsia" w:asciiTheme="minorEastAsia" w:hAnsiTheme="minorEastAsia"/>
          <w:kern w:val="0"/>
        </w:rPr>
        <w:t>姓名：</w:t>
      </w:r>
      <w:r>
        <w:rPr>
          <w:rFonts w:hint="eastAsia" w:asciiTheme="minorEastAsia" w:hAnsiTheme="minorEastAsia"/>
          <w:kern w:val="0"/>
          <w:u w:val="single"/>
        </w:rPr>
        <w:t xml:space="preserve">              </w:t>
      </w:r>
      <w:r>
        <w:rPr>
          <w:rFonts w:hint="eastAsia" w:asciiTheme="minorEastAsia" w:hAnsiTheme="minorEastAsia"/>
          <w:kern w:val="0"/>
        </w:rPr>
        <w:t xml:space="preserve">    性别：</w:t>
      </w:r>
      <w:r>
        <w:rPr>
          <w:rFonts w:hint="eastAsia" w:asciiTheme="minorEastAsia" w:hAnsiTheme="minorEastAsia"/>
          <w:kern w:val="0"/>
          <w:u w:val="single"/>
        </w:rPr>
        <w:t xml:space="preserve">              </w:t>
      </w:r>
      <w:r>
        <w:rPr>
          <w:rFonts w:hint="eastAsia" w:asciiTheme="minorEastAsia" w:hAnsiTheme="minorEastAsia"/>
          <w:kern w:val="0"/>
        </w:rPr>
        <w:t xml:space="preserve">   年龄：</w:t>
      </w:r>
      <w:r>
        <w:rPr>
          <w:rFonts w:hint="eastAsia" w:asciiTheme="minorEastAsia" w:hAnsiTheme="minorEastAsia"/>
          <w:kern w:val="0"/>
          <w:u w:val="single"/>
        </w:rPr>
        <w:t xml:space="preserve">              </w:t>
      </w:r>
      <w:r>
        <w:rPr>
          <w:rFonts w:hint="eastAsia" w:asciiTheme="minorEastAsia" w:hAnsiTheme="minorEastAsia"/>
          <w:kern w:val="0"/>
        </w:rPr>
        <w:t xml:space="preserve">  职务：</w:t>
      </w:r>
      <w:r>
        <w:rPr>
          <w:rFonts w:hint="eastAsia" w:asciiTheme="minorEastAsia" w:hAnsiTheme="minorEastAsia"/>
          <w:kern w:val="0"/>
          <w:u w:val="single"/>
        </w:rPr>
        <w:t xml:space="preserve">               </w:t>
      </w:r>
    </w:p>
    <w:p>
      <w:pPr>
        <w:ind w:firstLine="480"/>
        <w:rPr>
          <w:rFonts w:asciiTheme="minorEastAsia" w:hAnsiTheme="minorEastAsia"/>
          <w:kern w:val="0"/>
        </w:rPr>
      </w:pPr>
      <w:r>
        <w:rPr>
          <w:rFonts w:hint="eastAsia" w:asciiTheme="minorEastAsia" w:hAnsiTheme="minorEastAsia"/>
          <w:kern w:val="0"/>
        </w:rPr>
        <w:t xml:space="preserve">系 </w:t>
      </w:r>
      <w:r>
        <w:rPr>
          <w:rFonts w:hint="eastAsia" w:asciiTheme="minorEastAsia" w:hAnsiTheme="minorEastAsia"/>
          <w:kern w:val="0"/>
          <w:u w:val="single"/>
        </w:rPr>
        <w:t xml:space="preserve">         （供应商名称）               </w:t>
      </w:r>
      <w:r>
        <w:rPr>
          <w:rFonts w:hint="eastAsia" w:asciiTheme="minorEastAsia" w:hAnsiTheme="minorEastAsia"/>
          <w:kern w:val="0"/>
        </w:rPr>
        <w:t>的法定代表人。</w:t>
      </w:r>
    </w:p>
    <w:p>
      <w:pPr>
        <w:ind w:firstLine="422"/>
        <w:rPr>
          <w:rFonts w:asciiTheme="minorEastAsia" w:hAnsiTheme="minorEastAsia"/>
          <w:b/>
          <w:kern w:val="0"/>
          <w:sz w:val="21"/>
        </w:rPr>
      </w:pPr>
    </w:p>
    <w:p>
      <w:pPr>
        <w:ind w:firstLine="422"/>
        <w:rPr>
          <w:rFonts w:asciiTheme="minorEastAsia" w:hAnsiTheme="minorEastAsia"/>
          <w:b/>
          <w:kern w:val="0"/>
          <w:sz w:val="21"/>
        </w:rPr>
      </w:pPr>
      <w:r>
        <w:rPr>
          <w:rFonts w:hint="eastAsia" w:asciiTheme="minorEastAsia" w:hAnsiTheme="minorEastAsia"/>
          <w:b/>
          <w:kern w:val="0"/>
          <w:sz w:val="21"/>
        </w:rPr>
        <w:t>提供法定代表人</w:t>
      </w:r>
      <w:r>
        <w:rPr>
          <w:rFonts w:asciiTheme="minorEastAsia" w:hAnsiTheme="minorEastAsia"/>
          <w:b/>
          <w:kern w:val="0"/>
          <w:sz w:val="21"/>
        </w:rPr>
        <w:t>身份证</w:t>
      </w:r>
      <w:r>
        <w:rPr>
          <w:rFonts w:hint="eastAsia" w:asciiTheme="minorEastAsia" w:hAnsiTheme="minorEastAsia"/>
          <w:b/>
          <w:kern w:val="0"/>
          <w:sz w:val="21"/>
        </w:rPr>
        <w:t>复印件</w:t>
      </w: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r>
        <w:rPr>
          <w:rFonts w:hint="eastAsia" w:asciiTheme="minorEastAsia" w:hAnsiTheme="minorEastAsia"/>
          <w:kern w:val="0"/>
        </w:rPr>
        <w:t>特此证明。</w:t>
      </w:r>
    </w:p>
    <w:p>
      <w:pPr>
        <w:wordWrap w:val="0"/>
        <w:ind w:firstLine="480"/>
        <w:jc w:val="right"/>
        <w:rPr>
          <w:rFonts w:asciiTheme="minorEastAsia" w:hAnsiTheme="minorEastAsia"/>
          <w:kern w:val="0"/>
        </w:rPr>
      </w:pPr>
    </w:p>
    <w:p>
      <w:pPr>
        <w:ind w:firstLine="480"/>
        <w:jc w:val="right"/>
        <w:rPr>
          <w:rFonts w:asciiTheme="minorEastAsia" w:hAnsiTheme="minorEastAsia"/>
          <w:kern w:val="0"/>
          <w:u w:val="single"/>
        </w:rPr>
      </w:pPr>
      <w:r>
        <w:rPr>
          <w:rFonts w:hint="eastAsia" w:asciiTheme="minorEastAsia" w:hAnsiTheme="minorEastAsia"/>
          <w:kern w:val="0"/>
        </w:rPr>
        <w:t>供应商：</w:t>
      </w:r>
      <w:r>
        <w:rPr>
          <w:rFonts w:hint="eastAsia" w:asciiTheme="minorEastAsia" w:hAnsiTheme="minorEastAsia"/>
          <w:kern w:val="0"/>
          <w:u w:val="single"/>
        </w:rPr>
        <w:t xml:space="preserve">                      （盖章）</w:t>
      </w:r>
    </w:p>
    <w:p>
      <w:pPr>
        <w:ind w:firstLine="480"/>
        <w:jc w:val="right"/>
        <w:rPr>
          <w:rFonts w:asciiTheme="minorEastAsia" w:hAnsiTheme="minorEastAsia"/>
          <w:kern w:val="0"/>
        </w:rPr>
      </w:pPr>
      <w:r>
        <w:rPr>
          <w:rFonts w:hint="eastAsia" w:asciiTheme="minorEastAsia" w:hAnsiTheme="minorEastAsia"/>
          <w:kern w:val="0"/>
        </w:rPr>
        <w:t>日  期：</w:t>
      </w:r>
      <w:r>
        <w:rPr>
          <w:rFonts w:hint="eastAsia" w:asciiTheme="minorEastAsia" w:hAnsiTheme="minorEastAsia"/>
          <w:kern w:val="0"/>
          <w:u w:val="single"/>
        </w:rPr>
        <w:t xml:space="preserve">        </w:t>
      </w:r>
      <w:r>
        <w:rPr>
          <w:rFonts w:hint="eastAsia" w:asciiTheme="minorEastAsia" w:hAnsiTheme="minorEastAsia"/>
          <w:kern w:val="0"/>
        </w:rPr>
        <w:t>年</w:t>
      </w:r>
      <w:r>
        <w:rPr>
          <w:rFonts w:hint="eastAsia" w:asciiTheme="minorEastAsia" w:hAnsiTheme="minorEastAsia"/>
          <w:kern w:val="0"/>
          <w:u w:val="single"/>
        </w:rPr>
        <w:t xml:space="preserve">        </w:t>
      </w:r>
      <w:r>
        <w:rPr>
          <w:rFonts w:hint="eastAsia" w:asciiTheme="minorEastAsia" w:hAnsiTheme="minorEastAsia"/>
          <w:kern w:val="0"/>
        </w:rPr>
        <w:t>月</w:t>
      </w:r>
      <w:r>
        <w:rPr>
          <w:rFonts w:hint="eastAsia" w:asciiTheme="minorEastAsia" w:hAnsiTheme="minorEastAsia"/>
          <w:kern w:val="0"/>
          <w:u w:val="single"/>
        </w:rPr>
        <w:t xml:space="preserve">        </w:t>
      </w:r>
      <w:r>
        <w:rPr>
          <w:rFonts w:hint="eastAsia" w:asciiTheme="minorEastAsia" w:hAnsiTheme="minorEastAsia"/>
          <w:kern w:val="0"/>
        </w:rPr>
        <w:t>日</w:t>
      </w:r>
    </w:p>
    <w:p>
      <w:pPr>
        <w:ind w:firstLine="480"/>
        <w:jc w:val="center"/>
        <w:rPr>
          <w:rFonts w:asciiTheme="minorEastAsia" w:hAnsiTheme="minorEastAsia"/>
          <w:kern w:val="0"/>
        </w:rPr>
      </w:pPr>
    </w:p>
    <w:p>
      <w:pPr>
        <w:pStyle w:val="8"/>
        <w:ind w:firstLine="602"/>
      </w:pPr>
      <w:bookmarkStart w:id="692" w:name="_Toc41935423"/>
      <w:bookmarkStart w:id="693" w:name="_Toc137929622"/>
      <w:bookmarkStart w:id="694" w:name="_Toc24961"/>
      <w:r>
        <w:rPr>
          <w:rFonts w:hint="eastAsia"/>
        </w:rPr>
        <w:t>3、法定代表人授权委托书</w:t>
      </w:r>
      <w:bookmarkEnd w:id="692"/>
      <w:bookmarkEnd w:id="693"/>
      <w:bookmarkEnd w:id="694"/>
    </w:p>
    <w:p>
      <w:pPr>
        <w:ind w:firstLine="482"/>
        <w:jc w:val="center"/>
        <w:rPr>
          <w:rFonts w:asciiTheme="minorEastAsia" w:hAnsiTheme="minorEastAsia"/>
          <w:b/>
          <w:kern w:val="0"/>
        </w:rPr>
      </w:pPr>
    </w:p>
    <w:p>
      <w:pPr>
        <w:ind w:firstLine="480"/>
        <w:rPr>
          <w:rFonts w:asciiTheme="minorEastAsia" w:hAnsiTheme="minorEastAsia"/>
          <w:kern w:val="0"/>
        </w:rPr>
      </w:pPr>
    </w:p>
    <w:p>
      <w:pPr>
        <w:ind w:firstLine="480"/>
        <w:rPr>
          <w:rFonts w:asciiTheme="minorEastAsia" w:hAnsiTheme="minorEastAsia"/>
          <w:kern w:val="0"/>
        </w:rPr>
      </w:pPr>
      <w:r>
        <w:rPr>
          <w:rFonts w:hint="eastAsia" w:asciiTheme="minorEastAsia" w:hAnsiTheme="minorEastAsia"/>
          <w:kern w:val="0"/>
        </w:rPr>
        <w:t>本授权委托书声明：我</w:t>
      </w:r>
      <w:r>
        <w:rPr>
          <w:rFonts w:hint="eastAsia" w:asciiTheme="minorEastAsia" w:hAnsiTheme="minorEastAsia"/>
          <w:kern w:val="0"/>
          <w:u w:val="single"/>
        </w:rPr>
        <w:t xml:space="preserve">         </w:t>
      </w:r>
      <w:r>
        <w:rPr>
          <w:rFonts w:hint="eastAsia" w:asciiTheme="minorEastAsia" w:hAnsiTheme="minorEastAsia"/>
          <w:kern w:val="0"/>
        </w:rPr>
        <w:t>（姓名）系</w:t>
      </w:r>
      <w:r>
        <w:rPr>
          <w:rFonts w:hint="eastAsia" w:asciiTheme="minorEastAsia" w:hAnsiTheme="minorEastAsia"/>
          <w:kern w:val="0"/>
          <w:u w:val="single"/>
        </w:rPr>
        <w:t xml:space="preserve">               </w:t>
      </w:r>
      <w:r>
        <w:rPr>
          <w:rFonts w:hint="eastAsia" w:asciiTheme="minorEastAsia" w:hAnsiTheme="minorEastAsia"/>
          <w:kern w:val="0"/>
        </w:rPr>
        <w:t>（供应商名称）的法定代表人，现授权委托</w:t>
      </w:r>
      <w:r>
        <w:rPr>
          <w:rFonts w:hint="eastAsia" w:asciiTheme="minorEastAsia" w:hAnsiTheme="minorEastAsia"/>
          <w:kern w:val="0"/>
          <w:u w:val="single"/>
        </w:rPr>
        <w:t xml:space="preserve">                            </w:t>
      </w:r>
      <w:r>
        <w:rPr>
          <w:rFonts w:hint="eastAsia" w:asciiTheme="minorEastAsia" w:hAnsiTheme="minorEastAsia"/>
          <w:kern w:val="0"/>
        </w:rPr>
        <w:t>（供应商名称）的</w:t>
      </w:r>
      <w:r>
        <w:rPr>
          <w:rFonts w:hint="eastAsia" w:asciiTheme="minorEastAsia" w:hAnsiTheme="minorEastAsia"/>
          <w:kern w:val="0"/>
          <w:u w:val="single"/>
        </w:rPr>
        <w:t xml:space="preserve">            </w:t>
      </w:r>
      <w:r>
        <w:rPr>
          <w:rFonts w:hint="eastAsia" w:asciiTheme="minorEastAsia" w:hAnsiTheme="minorEastAsia"/>
          <w:kern w:val="0"/>
        </w:rPr>
        <w:t>（姓名）为我公司代理人，以本公司的名义参加</w:t>
      </w:r>
      <w:r>
        <w:rPr>
          <w:rFonts w:hint="eastAsia" w:asciiTheme="minorEastAsia" w:hAnsiTheme="minorEastAsia"/>
          <w:kern w:val="0"/>
          <w:u w:val="single"/>
        </w:rPr>
        <w:t xml:space="preserve">          </w:t>
      </w:r>
      <w:r>
        <w:rPr>
          <w:rFonts w:hint="eastAsia" w:asciiTheme="minorEastAsia" w:hAnsiTheme="minorEastAsia"/>
          <w:kern w:val="0"/>
        </w:rPr>
        <w:t>（采购人）的</w:t>
      </w:r>
      <w:r>
        <w:rPr>
          <w:rFonts w:hint="eastAsia" w:asciiTheme="minorEastAsia" w:hAnsiTheme="minorEastAsia"/>
          <w:kern w:val="0"/>
          <w:u w:val="single"/>
        </w:rPr>
        <w:t xml:space="preserve">                 </w:t>
      </w:r>
      <w:r>
        <w:rPr>
          <w:rFonts w:hint="eastAsia" w:asciiTheme="minorEastAsia" w:hAnsiTheme="minorEastAsia"/>
          <w:kern w:val="0"/>
        </w:rPr>
        <w:t>招标工程的投标活动。代理人签署的投标文件和参加整个工程招标投标活动中所签署的一切文件和处理与之有关的一切事物，我均予以承认。</w:t>
      </w: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r>
        <w:rPr>
          <w:rFonts w:hint="eastAsia" w:asciiTheme="minorEastAsia" w:hAnsiTheme="minorEastAsia"/>
          <w:kern w:val="0"/>
        </w:rPr>
        <w:t>代理人：</w:t>
      </w:r>
      <w:r>
        <w:rPr>
          <w:rFonts w:hint="eastAsia" w:asciiTheme="minorEastAsia" w:hAnsiTheme="minorEastAsia"/>
          <w:kern w:val="0"/>
          <w:u w:val="single"/>
        </w:rPr>
        <w:t xml:space="preserve">              </w:t>
      </w:r>
      <w:r>
        <w:rPr>
          <w:rFonts w:hint="eastAsia" w:asciiTheme="minorEastAsia" w:hAnsiTheme="minorEastAsia"/>
          <w:kern w:val="0"/>
        </w:rPr>
        <w:t>性别：</w:t>
      </w:r>
      <w:r>
        <w:rPr>
          <w:rFonts w:hint="eastAsia" w:asciiTheme="minorEastAsia" w:hAnsiTheme="minorEastAsia"/>
          <w:kern w:val="0"/>
          <w:u w:val="single"/>
        </w:rPr>
        <w:t xml:space="preserve">             </w:t>
      </w:r>
      <w:r>
        <w:rPr>
          <w:rFonts w:hint="eastAsia" w:asciiTheme="minorEastAsia" w:hAnsiTheme="minorEastAsia"/>
          <w:kern w:val="0"/>
        </w:rPr>
        <w:t>年龄：</w:t>
      </w:r>
      <w:r>
        <w:rPr>
          <w:rFonts w:hint="eastAsia" w:asciiTheme="minorEastAsia" w:hAnsiTheme="minorEastAsia"/>
          <w:kern w:val="0"/>
          <w:u w:val="single"/>
        </w:rPr>
        <w:t xml:space="preserve">             </w:t>
      </w:r>
    </w:p>
    <w:p>
      <w:pPr>
        <w:ind w:firstLine="480"/>
        <w:rPr>
          <w:rFonts w:asciiTheme="minorEastAsia" w:hAnsiTheme="minorEastAsia"/>
          <w:kern w:val="0"/>
        </w:rPr>
      </w:pPr>
    </w:p>
    <w:p>
      <w:pPr>
        <w:ind w:firstLine="480"/>
        <w:rPr>
          <w:rFonts w:asciiTheme="minorEastAsia" w:hAnsiTheme="minorEastAsia"/>
          <w:kern w:val="0"/>
        </w:rPr>
      </w:pPr>
      <w:r>
        <w:rPr>
          <w:rFonts w:hint="eastAsia" w:asciiTheme="minorEastAsia" w:hAnsiTheme="minorEastAsia"/>
          <w:kern w:val="0"/>
        </w:rPr>
        <w:t>单  位：</w:t>
      </w:r>
      <w:r>
        <w:rPr>
          <w:rFonts w:hint="eastAsia" w:asciiTheme="minorEastAsia" w:hAnsiTheme="minorEastAsia"/>
          <w:kern w:val="0"/>
          <w:u w:val="single"/>
        </w:rPr>
        <w:t xml:space="preserve">              </w:t>
      </w:r>
      <w:r>
        <w:rPr>
          <w:rFonts w:hint="eastAsia" w:asciiTheme="minorEastAsia" w:hAnsiTheme="minorEastAsia"/>
          <w:kern w:val="0"/>
        </w:rPr>
        <w:t>部门：</w:t>
      </w:r>
      <w:r>
        <w:rPr>
          <w:rFonts w:hint="eastAsia" w:asciiTheme="minorEastAsia" w:hAnsiTheme="minorEastAsia"/>
          <w:kern w:val="0"/>
          <w:u w:val="single"/>
        </w:rPr>
        <w:t xml:space="preserve">             </w:t>
      </w:r>
      <w:r>
        <w:rPr>
          <w:rFonts w:hint="eastAsia" w:asciiTheme="minorEastAsia" w:hAnsiTheme="minorEastAsia"/>
          <w:kern w:val="0"/>
        </w:rPr>
        <w:t>职务：</w:t>
      </w:r>
      <w:r>
        <w:rPr>
          <w:rFonts w:hint="eastAsia" w:asciiTheme="minorEastAsia" w:hAnsiTheme="minorEastAsia"/>
          <w:kern w:val="0"/>
          <w:u w:val="single"/>
        </w:rPr>
        <w:t xml:space="preserve">             </w:t>
      </w: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r>
        <w:rPr>
          <w:rFonts w:hint="eastAsia" w:asciiTheme="minorEastAsia" w:hAnsiTheme="minorEastAsia"/>
          <w:kern w:val="0"/>
        </w:rPr>
        <w:t>代理人无转委权。特此委托。</w:t>
      </w:r>
    </w:p>
    <w:p>
      <w:pPr>
        <w:ind w:firstLine="422"/>
        <w:rPr>
          <w:rFonts w:asciiTheme="minorEastAsia" w:hAnsiTheme="minorEastAsia"/>
          <w:b/>
          <w:kern w:val="0"/>
          <w:sz w:val="21"/>
        </w:rPr>
      </w:pPr>
      <w:r>
        <w:rPr>
          <w:rFonts w:hint="eastAsia" w:asciiTheme="minorEastAsia" w:hAnsiTheme="minorEastAsia"/>
          <w:b/>
          <w:kern w:val="0"/>
          <w:sz w:val="21"/>
        </w:rPr>
        <w:t>提供法定代表人及被授权</w:t>
      </w:r>
      <w:r>
        <w:rPr>
          <w:rFonts w:asciiTheme="minorEastAsia" w:hAnsiTheme="minorEastAsia"/>
          <w:b/>
          <w:kern w:val="0"/>
          <w:sz w:val="21"/>
        </w:rPr>
        <w:t>人身份证</w:t>
      </w:r>
      <w:r>
        <w:rPr>
          <w:rFonts w:hint="eastAsia" w:asciiTheme="minorEastAsia" w:hAnsiTheme="minorEastAsia"/>
          <w:b/>
          <w:kern w:val="0"/>
          <w:sz w:val="21"/>
        </w:rPr>
        <w:t>复印件</w:t>
      </w: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p>
    <w:p>
      <w:pPr>
        <w:ind w:firstLine="480"/>
        <w:rPr>
          <w:rFonts w:asciiTheme="minorEastAsia" w:hAnsiTheme="minorEastAsia"/>
          <w:kern w:val="0"/>
        </w:rPr>
      </w:pPr>
    </w:p>
    <w:p>
      <w:pPr>
        <w:ind w:firstLine="480"/>
        <w:jc w:val="left"/>
        <w:rPr>
          <w:rFonts w:asciiTheme="minorEastAsia" w:hAnsiTheme="minorEastAsia"/>
          <w:kern w:val="0"/>
        </w:rPr>
      </w:pPr>
      <w:r>
        <w:rPr>
          <w:rFonts w:hint="eastAsia" w:asciiTheme="minorEastAsia" w:hAnsiTheme="minorEastAsia"/>
          <w:kern w:val="0"/>
        </w:rPr>
        <w:t>供应商：（盖章）</w:t>
      </w:r>
    </w:p>
    <w:p>
      <w:pPr>
        <w:ind w:firstLine="480"/>
        <w:jc w:val="left"/>
        <w:rPr>
          <w:rFonts w:asciiTheme="minorEastAsia" w:hAnsiTheme="minorEastAsia"/>
          <w:kern w:val="0"/>
        </w:rPr>
      </w:pPr>
    </w:p>
    <w:p>
      <w:pPr>
        <w:ind w:firstLine="480"/>
        <w:jc w:val="left"/>
        <w:rPr>
          <w:rFonts w:asciiTheme="minorEastAsia" w:hAnsiTheme="minorEastAsia"/>
          <w:kern w:val="0"/>
        </w:rPr>
      </w:pPr>
    </w:p>
    <w:p>
      <w:pPr>
        <w:ind w:firstLine="480"/>
        <w:jc w:val="left"/>
        <w:rPr>
          <w:rFonts w:asciiTheme="minorEastAsia" w:hAnsiTheme="minorEastAsia"/>
          <w:kern w:val="0"/>
        </w:rPr>
      </w:pPr>
      <w:r>
        <w:rPr>
          <w:rFonts w:hint="eastAsia" w:asciiTheme="minorEastAsia" w:hAnsiTheme="minorEastAsia"/>
          <w:kern w:val="0"/>
        </w:rPr>
        <w:t>法定代表人：（盖章）</w:t>
      </w:r>
    </w:p>
    <w:p>
      <w:pPr>
        <w:ind w:firstLine="480"/>
        <w:jc w:val="left"/>
        <w:rPr>
          <w:rFonts w:asciiTheme="minorEastAsia" w:hAnsiTheme="minorEastAsia"/>
          <w:kern w:val="0"/>
        </w:rPr>
      </w:pPr>
    </w:p>
    <w:p>
      <w:pPr>
        <w:ind w:firstLine="480"/>
        <w:jc w:val="right"/>
        <w:rPr>
          <w:rFonts w:asciiTheme="minorEastAsia" w:hAnsiTheme="minorEastAsia"/>
          <w:b/>
          <w:kern w:val="0"/>
        </w:rPr>
      </w:pPr>
      <w:r>
        <w:rPr>
          <w:rFonts w:hint="eastAsia" w:asciiTheme="minorEastAsia" w:hAnsiTheme="minorEastAsia"/>
          <w:kern w:val="0"/>
        </w:rPr>
        <w:t>日期：</w:t>
      </w:r>
      <w:r>
        <w:rPr>
          <w:rFonts w:hint="eastAsia" w:asciiTheme="minorEastAsia" w:hAnsiTheme="minorEastAsia"/>
          <w:kern w:val="0"/>
          <w:u w:val="single"/>
        </w:rPr>
        <w:t xml:space="preserve">        </w:t>
      </w:r>
      <w:r>
        <w:rPr>
          <w:rFonts w:hint="eastAsia" w:asciiTheme="minorEastAsia" w:hAnsiTheme="minorEastAsia"/>
          <w:kern w:val="0"/>
        </w:rPr>
        <w:t>年</w:t>
      </w:r>
      <w:r>
        <w:rPr>
          <w:rFonts w:hint="eastAsia" w:asciiTheme="minorEastAsia" w:hAnsiTheme="minorEastAsia"/>
          <w:kern w:val="0"/>
          <w:u w:val="single"/>
        </w:rPr>
        <w:t xml:space="preserve">    </w:t>
      </w:r>
      <w:r>
        <w:rPr>
          <w:rFonts w:hint="eastAsia" w:asciiTheme="minorEastAsia" w:hAnsiTheme="minorEastAsia"/>
          <w:kern w:val="0"/>
        </w:rPr>
        <w:t>月</w:t>
      </w:r>
      <w:r>
        <w:rPr>
          <w:rFonts w:hint="eastAsia" w:asciiTheme="minorEastAsia" w:hAnsiTheme="minorEastAsia"/>
          <w:kern w:val="0"/>
          <w:u w:val="single"/>
        </w:rPr>
        <w:t xml:space="preserve">    </w:t>
      </w:r>
      <w:r>
        <w:rPr>
          <w:rFonts w:hint="eastAsia" w:asciiTheme="minorEastAsia" w:hAnsiTheme="minorEastAsia"/>
          <w:kern w:val="0"/>
        </w:rPr>
        <w:t>日</w:t>
      </w:r>
    </w:p>
    <w:p>
      <w:pPr>
        <w:pStyle w:val="8"/>
        <w:ind w:firstLine="602"/>
      </w:pPr>
      <w:r>
        <w:rPr>
          <w:kern w:val="0"/>
        </w:rPr>
        <w:br w:type="page"/>
      </w:r>
      <w:bookmarkStart w:id="695" w:name="_Toc30624"/>
      <w:bookmarkStart w:id="696" w:name="_Toc137929623"/>
      <w:bookmarkStart w:id="697" w:name="_Toc41935424"/>
      <w:r>
        <w:rPr>
          <w:kern w:val="0"/>
        </w:rPr>
        <w:t>4</w:t>
      </w:r>
      <w:r>
        <w:rPr>
          <w:rFonts w:hint="eastAsia"/>
          <w:kern w:val="0"/>
        </w:rPr>
        <w:t>、</w:t>
      </w:r>
      <w:r>
        <w:rPr>
          <w:rFonts w:hint="eastAsia"/>
        </w:rPr>
        <w:t>供应商概况</w:t>
      </w:r>
      <w:bookmarkEnd w:id="695"/>
      <w:bookmarkEnd w:id="696"/>
      <w:bookmarkEnd w:id="697"/>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6"/>
        <w:gridCol w:w="997"/>
        <w:gridCol w:w="2392"/>
        <w:gridCol w:w="1246"/>
        <w:gridCol w:w="23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r>
              <w:rPr>
                <w:rFonts w:hint="eastAsia"/>
              </w:rPr>
              <w:t>供应商名称</w:t>
            </w:r>
          </w:p>
        </w:tc>
        <w:tc>
          <w:tcPr>
            <w:tcW w:w="7020"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r>
              <w:rPr>
                <w:rFonts w:hint="eastAsia"/>
              </w:rPr>
              <w:t>注册地址</w:t>
            </w:r>
          </w:p>
        </w:tc>
        <w:tc>
          <w:tcPr>
            <w:tcW w:w="3389" w:type="dxa"/>
            <w:gridSpan w:val="2"/>
            <w:vAlign w:val="center"/>
          </w:tcPr>
          <w:p/>
        </w:tc>
        <w:tc>
          <w:tcPr>
            <w:tcW w:w="1246" w:type="dxa"/>
            <w:vAlign w:val="center"/>
          </w:tcPr>
          <w:p>
            <w:r>
              <w:rPr>
                <w:rFonts w:hint="eastAsia"/>
              </w:rPr>
              <w:t>邮政编码</w:t>
            </w:r>
          </w:p>
        </w:tc>
        <w:tc>
          <w:tcPr>
            <w:tcW w:w="2385"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Merge w:val="restart"/>
            <w:vAlign w:val="center"/>
          </w:tcPr>
          <w:p>
            <w:r>
              <w:rPr>
                <w:rFonts w:hint="eastAsia"/>
              </w:rPr>
              <w:t>联系方式</w:t>
            </w:r>
          </w:p>
        </w:tc>
        <w:tc>
          <w:tcPr>
            <w:tcW w:w="997" w:type="dxa"/>
            <w:vAlign w:val="center"/>
          </w:tcPr>
          <w:p>
            <w:r>
              <w:rPr>
                <w:rFonts w:hint="eastAsia"/>
              </w:rPr>
              <w:t>联系人</w:t>
            </w:r>
          </w:p>
        </w:tc>
        <w:tc>
          <w:tcPr>
            <w:tcW w:w="2392" w:type="dxa"/>
            <w:vAlign w:val="center"/>
          </w:tcPr>
          <w:p/>
        </w:tc>
        <w:tc>
          <w:tcPr>
            <w:tcW w:w="1246" w:type="dxa"/>
            <w:vAlign w:val="center"/>
          </w:tcPr>
          <w:p>
            <w:r>
              <w:rPr>
                <w:rFonts w:hint="eastAsia"/>
              </w:rPr>
              <w:t>电  话</w:t>
            </w:r>
          </w:p>
        </w:tc>
        <w:tc>
          <w:tcPr>
            <w:tcW w:w="2385"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Merge w:val="continue"/>
            <w:vAlign w:val="center"/>
          </w:tcPr>
          <w:p/>
        </w:tc>
        <w:tc>
          <w:tcPr>
            <w:tcW w:w="997" w:type="dxa"/>
            <w:vAlign w:val="center"/>
          </w:tcPr>
          <w:p>
            <w:r>
              <w:rPr>
                <w:rFonts w:hint="eastAsia"/>
              </w:rPr>
              <w:t>传  真</w:t>
            </w:r>
          </w:p>
        </w:tc>
        <w:tc>
          <w:tcPr>
            <w:tcW w:w="2392" w:type="dxa"/>
            <w:vAlign w:val="center"/>
          </w:tcPr>
          <w:p/>
        </w:tc>
        <w:tc>
          <w:tcPr>
            <w:tcW w:w="1246" w:type="dxa"/>
            <w:vAlign w:val="center"/>
          </w:tcPr>
          <w:p>
            <w:r>
              <w:rPr>
                <w:rFonts w:hint="eastAsia"/>
              </w:rPr>
              <w:t>网  址</w:t>
            </w:r>
          </w:p>
        </w:tc>
        <w:tc>
          <w:tcPr>
            <w:tcW w:w="2385"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r>
              <w:rPr>
                <w:rFonts w:hint="eastAsia"/>
              </w:rPr>
              <w:t>组织结构</w:t>
            </w:r>
          </w:p>
        </w:tc>
        <w:tc>
          <w:tcPr>
            <w:tcW w:w="7020"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r>
              <w:rPr>
                <w:rFonts w:hint="eastAsia"/>
              </w:rPr>
              <w:t>法定代表人</w:t>
            </w:r>
          </w:p>
        </w:tc>
        <w:tc>
          <w:tcPr>
            <w:tcW w:w="7020" w:type="dxa"/>
            <w:gridSpan w:val="4"/>
            <w:vAlign w:val="center"/>
          </w:tcPr>
          <w:p>
            <w:r>
              <w:rPr>
                <w:rFonts w:hint="eastAsia"/>
              </w:rPr>
              <w:t>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1626" w:type="dxa"/>
            <w:vAlign w:val="center"/>
          </w:tcPr>
          <w:p>
            <w:r>
              <w:rPr>
                <w:rFonts w:hint="eastAsia"/>
              </w:rPr>
              <w:t>经营范围</w:t>
            </w:r>
          </w:p>
        </w:tc>
        <w:tc>
          <w:tcPr>
            <w:tcW w:w="7020"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r>
              <w:rPr>
                <w:rFonts w:hint="eastAsia"/>
              </w:rPr>
              <w:t>备注</w:t>
            </w:r>
          </w:p>
        </w:tc>
        <w:tc>
          <w:tcPr>
            <w:tcW w:w="7020" w:type="dxa"/>
            <w:gridSpan w:val="4"/>
            <w:vAlign w:val="center"/>
          </w:tcPr>
          <w:p/>
        </w:tc>
      </w:tr>
    </w:tbl>
    <w:p>
      <w:pPr>
        <w:ind w:firstLine="480"/>
      </w:pPr>
      <w:r>
        <w:rPr>
          <w:rFonts w:hint="eastAsia"/>
        </w:rPr>
        <w:t>后附</w:t>
      </w:r>
      <w:r>
        <w:t>资格审查资料。</w:t>
      </w:r>
    </w:p>
    <w:p>
      <w:pPr>
        <w:ind w:firstLine="480"/>
      </w:pPr>
    </w:p>
    <w:p>
      <w:pPr>
        <w:ind w:firstLine="482"/>
        <w:rPr>
          <w:b/>
        </w:rPr>
      </w:pPr>
      <w:r>
        <w:rPr>
          <w:rFonts w:hint="eastAsia"/>
          <w:b/>
        </w:rPr>
        <w:t>（1）具有独立承担民事责任的能力</w:t>
      </w:r>
      <w:r>
        <w:rPr>
          <w:rFonts w:hint="eastAsia"/>
          <w:b/>
        </w:rPr>
        <w:tab/>
      </w:r>
    </w:p>
    <w:p>
      <w:pPr>
        <w:ind w:firstLine="480"/>
      </w:pPr>
      <w:r>
        <w:rPr>
          <w:rFonts w:hint="eastAsia"/>
        </w:rPr>
        <w:t xml:space="preserve">如供应商是企业（包括合伙企业），应提供在工商部门注册的有效“企业法人营业执照”或“营业执照”；如供应商是事业单位，应提供有效的“事业单位法人证书”；供应商是非企业专业服务机构的，应提供执业许可证等证明文件；如供应商是个体工商户，应提供有效的“个体工商户营业执照”； </w:t>
      </w:r>
    </w:p>
    <w:p>
      <w:pPr>
        <w:ind w:firstLine="482"/>
        <w:rPr>
          <w:b/>
        </w:rPr>
      </w:pPr>
      <w:r>
        <w:rPr>
          <w:rFonts w:hint="eastAsia"/>
          <w:b/>
        </w:rPr>
        <w:t>（2）具有良好的商业信誉和健全的财务会计制度</w:t>
      </w:r>
      <w:r>
        <w:rPr>
          <w:rFonts w:hint="eastAsia"/>
          <w:b/>
        </w:rPr>
        <w:tab/>
      </w:r>
    </w:p>
    <w:p>
      <w:pPr>
        <w:ind w:firstLine="480"/>
      </w:pPr>
      <w:r>
        <w:rPr>
          <w:rFonts w:hint="eastAsia"/>
        </w:rPr>
        <w:t>供应商应提供上一年度经审计的财务报告，或其基本开户银行出具的资信证明。无法提供财务审计报告，则提供银行出具的资信证明。</w:t>
      </w:r>
    </w:p>
    <w:p>
      <w:pPr>
        <w:ind w:firstLine="482"/>
        <w:rPr>
          <w:b/>
        </w:rPr>
      </w:pPr>
      <w:r>
        <w:rPr>
          <w:rFonts w:hint="eastAsia"/>
          <w:b/>
        </w:rPr>
        <w:t>（3）具有履行合同所必须的设备和专业技术能力</w:t>
      </w:r>
      <w:r>
        <w:rPr>
          <w:rFonts w:hint="eastAsia"/>
          <w:b/>
        </w:rPr>
        <w:tab/>
      </w:r>
    </w:p>
    <w:p>
      <w:pPr>
        <w:ind w:firstLine="480"/>
      </w:pPr>
      <w:r>
        <w:rPr>
          <w:rFonts w:hint="eastAsia"/>
        </w:rPr>
        <w:t>供应商履行合同所必须的设备和专业技术能力的证明材料或声明（格式自拟）</w:t>
      </w:r>
    </w:p>
    <w:p>
      <w:pPr>
        <w:ind w:firstLine="482"/>
        <w:rPr>
          <w:b/>
        </w:rPr>
      </w:pPr>
      <w:r>
        <w:rPr>
          <w:rFonts w:hint="eastAsia"/>
          <w:b/>
        </w:rPr>
        <w:t>（4）有依法缴纳税收和社会保障金的良好记录</w:t>
      </w:r>
    </w:p>
    <w:p>
      <w:pPr>
        <w:ind w:firstLine="480" w:firstLineChars="200"/>
        <w:contextualSpacing/>
        <w:jc w:val="left"/>
      </w:pPr>
      <w:r>
        <w:rPr>
          <w:rFonts w:hint="eastAsia"/>
        </w:rPr>
        <w:t>1.供应商依法缴纳税收的证明材料：本项目响应截止时间前3个月内（任意一个月）缴纳税收的凭据（完税证、缴款书、印花税票、银行代扣（代缴）转账凭证等均可），当月新成立公司不需提供；无需纳税或免税的也需提供相应证明材料；</w:t>
      </w:r>
    </w:p>
    <w:p>
      <w:pPr>
        <w:ind w:firstLine="480"/>
      </w:pPr>
      <w:r>
        <w:rPr>
          <w:rFonts w:hint="eastAsia"/>
        </w:rPr>
        <w:t>2.供应商依法缴纳社会保障资金的证明材料：本项目响应截止时间时间前3个月内（任意一个月）缴纳社会保险的凭据（专用收据或社会保险交纳清单）；供应商为其他组织的，也需要按此项规定提供缴纳税收的凭据和交纳社会保险的凭据。当月新成立公司不需提供。</w:t>
      </w:r>
    </w:p>
    <w:p>
      <w:pPr>
        <w:ind w:firstLine="482"/>
        <w:rPr>
          <w:b/>
        </w:rPr>
      </w:pPr>
      <w:r>
        <w:rPr>
          <w:rFonts w:hint="eastAsia"/>
          <w:b/>
        </w:rPr>
        <w:t>（5）参加政府采购活动近3年内，在经营活动中没有重大违法记录</w:t>
      </w:r>
      <w:r>
        <w:rPr>
          <w:rFonts w:hint="eastAsia"/>
          <w:b/>
        </w:rPr>
        <w:tab/>
      </w:r>
    </w:p>
    <w:p>
      <w:pPr>
        <w:ind w:firstLine="480"/>
      </w:pPr>
      <w:r>
        <w:rPr>
          <w:rFonts w:hint="eastAsia"/>
        </w:rPr>
        <w:t>1.参加政府采购活动前3年内在经营活动中没有重大违法记录的书面声明（格式自拟）</w:t>
      </w:r>
    </w:p>
    <w:p>
      <w:pPr>
        <w:ind w:firstLine="480"/>
      </w:pPr>
    </w:p>
    <w:p>
      <w:pPr>
        <w:widowControl/>
        <w:spacing w:line="240" w:lineRule="auto"/>
        <w:ind w:firstLine="480"/>
        <w:jc w:val="left"/>
        <w:rPr>
          <w:rFonts w:ascii="仿宋" w:hAnsi="仿宋" w:eastAsia="宋体"/>
          <w:color w:val="000000"/>
          <w:kern w:val="24"/>
          <w:szCs w:val="24"/>
        </w:rPr>
      </w:pPr>
      <w:r>
        <w:br w:type="page"/>
      </w:r>
    </w:p>
    <w:p>
      <w:pPr>
        <w:pStyle w:val="8"/>
        <w:ind w:firstLine="602"/>
        <w:rPr>
          <w:rFonts w:asciiTheme="minorEastAsia" w:hAnsiTheme="minorEastAsia" w:eastAsiaTheme="minorEastAsia"/>
        </w:rPr>
      </w:pPr>
      <w:bookmarkStart w:id="698" w:name="_Toc137929624"/>
      <w:bookmarkStart w:id="699" w:name="_Toc28161"/>
      <w:r>
        <w:rPr>
          <w:rFonts w:hint="eastAsia" w:asciiTheme="minorEastAsia" w:hAnsiTheme="minorEastAsia" w:eastAsiaTheme="minorEastAsia"/>
          <w:szCs w:val="21"/>
        </w:rPr>
        <w:t>5、报价一览表</w:t>
      </w:r>
      <w:bookmarkEnd w:id="698"/>
      <w:bookmarkEnd w:id="699"/>
    </w:p>
    <w:p/>
    <w:tbl>
      <w:tblPr>
        <w:tblStyle w:val="24"/>
        <w:tblpPr w:leftFromText="180" w:rightFromText="180" w:vertAnchor="text" w:horzAnchor="margin" w:tblpXSpec="center" w:tblpY="2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3"/>
        <w:gridCol w:w="3883"/>
        <w:gridCol w:w="1545"/>
        <w:gridCol w:w="2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trPr>
        <w:tc>
          <w:tcPr>
            <w:tcW w:w="1853" w:type="dxa"/>
            <w:vAlign w:val="center"/>
          </w:tcPr>
          <w:p>
            <w:r>
              <w:rPr>
                <w:rFonts w:hint="eastAsia"/>
              </w:rPr>
              <w:t>供应商</w:t>
            </w:r>
          </w:p>
        </w:tc>
        <w:tc>
          <w:tcPr>
            <w:tcW w:w="8113" w:type="dxa"/>
            <w:gridSpan w:val="3"/>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1853" w:type="dxa"/>
            <w:vAlign w:val="center"/>
          </w:tcPr>
          <w:p>
            <w:r>
              <w:rPr>
                <w:rFonts w:hint="eastAsia"/>
              </w:rPr>
              <w:t>单位地址</w:t>
            </w:r>
          </w:p>
        </w:tc>
        <w:tc>
          <w:tcPr>
            <w:tcW w:w="8113" w:type="dxa"/>
            <w:gridSpan w:val="3"/>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853" w:type="dxa"/>
            <w:vAlign w:val="center"/>
          </w:tcPr>
          <w:p>
            <w:r>
              <w:rPr>
                <w:rFonts w:hint="eastAsia"/>
              </w:rPr>
              <w:t>法定代表人</w:t>
            </w:r>
          </w:p>
        </w:tc>
        <w:tc>
          <w:tcPr>
            <w:tcW w:w="3883" w:type="dxa"/>
            <w:vAlign w:val="center"/>
          </w:tcPr>
          <w:p/>
        </w:tc>
        <w:tc>
          <w:tcPr>
            <w:tcW w:w="1545" w:type="dxa"/>
            <w:vAlign w:val="center"/>
          </w:tcPr>
          <w:p>
            <w:r>
              <w:rPr>
                <w:rFonts w:hint="eastAsia"/>
              </w:rPr>
              <w:t>联系电话</w:t>
            </w:r>
          </w:p>
        </w:tc>
        <w:tc>
          <w:tcPr>
            <w:tcW w:w="2685"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853" w:type="dxa"/>
            <w:vAlign w:val="center"/>
          </w:tcPr>
          <w:p>
            <w:r>
              <w:rPr>
                <w:rFonts w:hint="eastAsia"/>
              </w:rPr>
              <w:t>授权代表</w:t>
            </w:r>
          </w:p>
        </w:tc>
        <w:tc>
          <w:tcPr>
            <w:tcW w:w="3883" w:type="dxa"/>
            <w:vAlign w:val="center"/>
          </w:tcPr>
          <w:p/>
        </w:tc>
        <w:tc>
          <w:tcPr>
            <w:tcW w:w="1545" w:type="dxa"/>
            <w:vAlign w:val="center"/>
          </w:tcPr>
          <w:p>
            <w:r>
              <w:rPr>
                <w:rFonts w:hint="eastAsia"/>
              </w:rPr>
              <w:t>联系电话</w:t>
            </w:r>
          </w:p>
        </w:tc>
        <w:tc>
          <w:tcPr>
            <w:tcW w:w="2685"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853" w:type="dxa"/>
            <w:vAlign w:val="center"/>
          </w:tcPr>
          <w:p>
            <w:r>
              <w:rPr>
                <w:rFonts w:hint="eastAsia"/>
              </w:rPr>
              <w:t>投标项目名称</w:t>
            </w:r>
          </w:p>
        </w:tc>
        <w:tc>
          <w:tcPr>
            <w:tcW w:w="8113" w:type="dxa"/>
            <w:gridSpan w:val="3"/>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853" w:type="dxa"/>
            <w:vAlign w:val="center"/>
          </w:tcPr>
          <w:p>
            <w:r>
              <w:rPr>
                <w:rFonts w:hint="eastAsia"/>
              </w:rPr>
              <w:t>项目编号</w:t>
            </w:r>
          </w:p>
        </w:tc>
        <w:tc>
          <w:tcPr>
            <w:tcW w:w="8113" w:type="dxa"/>
            <w:gridSpan w:val="3"/>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64" w:hRule="atLeast"/>
        </w:trPr>
        <w:tc>
          <w:tcPr>
            <w:tcW w:w="1853" w:type="dxa"/>
            <w:vAlign w:val="center"/>
          </w:tcPr>
          <w:p>
            <w:r>
              <w:rPr>
                <w:rFonts w:hint="eastAsia"/>
              </w:rPr>
              <w:t>投标报价</w:t>
            </w:r>
          </w:p>
        </w:tc>
        <w:tc>
          <w:tcPr>
            <w:tcW w:w="8113" w:type="dxa"/>
            <w:gridSpan w:val="3"/>
            <w:vAlign w:val="center"/>
          </w:tcPr>
          <w:p>
            <w:pPr>
              <w:rPr>
                <w:bCs/>
                <w:u w:val="single"/>
              </w:rPr>
            </w:pPr>
            <w:r>
              <w:rPr>
                <w:rFonts w:hint="eastAsia"/>
                <w:bCs/>
              </w:rPr>
              <w:t>￥（小写）：</w:t>
            </w:r>
            <w:r>
              <w:rPr>
                <w:rFonts w:hint="eastAsia"/>
                <w:bCs/>
                <w:u w:val="single"/>
              </w:rPr>
              <w:t xml:space="preserve">                       元                  </w:t>
            </w:r>
          </w:p>
          <w:p>
            <w:pPr>
              <w:rPr>
                <w:bCs/>
              </w:rPr>
            </w:pPr>
          </w:p>
          <w:p>
            <w:pPr>
              <w:rPr>
                <w:bCs/>
              </w:rPr>
            </w:pPr>
            <w:r>
              <w:rPr>
                <w:rFonts w:hint="eastAsia"/>
                <w:bCs/>
              </w:rPr>
              <w:t>人民币（大写）：</w:t>
            </w:r>
            <w:r>
              <w:rPr>
                <w:rFonts w:hint="eastAsia"/>
                <w:bCs/>
                <w:u w:val="single"/>
              </w:rPr>
              <w:t xml:space="preserve">                     元                </w:t>
            </w:r>
          </w:p>
          <w:p>
            <w:pPr>
              <w:rPr>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0" w:hRule="atLeast"/>
        </w:trPr>
        <w:tc>
          <w:tcPr>
            <w:tcW w:w="1853" w:type="dxa"/>
            <w:vAlign w:val="center"/>
          </w:tcPr>
          <w:p>
            <w:r>
              <w:rPr>
                <w:rFonts w:hint="eastAsia"/>
              </w:rPr>
              <w:t>工期</w:t>
            </w:r>
          </w:p>
        </w:tc>
        <w:tc>
          <w:tcPr>
            <w:tcW w:w="8113" w:type="dxa"/>
            <w:gridSpan w:val="3"/>
            <w:vAlign w:val="center"/>
          </w:tcPr>
          <w:p>
            <w:pP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0" w:hRule="atLeast"/>
        </w:trPr>
        <w:tc>
          <w:tcPr>
            <w:tcW w:w="1853" w:type="dxa"/>
            <w:vAlign w:val="center"/>
          </w:tcPr>
          <w:p>
            <w:r>
              <w:rPr>
                <w:rFonts w:hint="eastAsia"/>
              </w:rPr>
              <w:t>备注</w:t>
            </w:r>
          </w:p>
        </w:tc>
        <w:tc>
          <w:tcPr>
            <w:tcW w:w="8113" w:type="dxa"/>
            <w:gridSpan w:val="3"/>
            <w:vAlign w:val="center"/>
          </w:tcPr>
          <w:p>
            <w:pPr>
              <w:rPr>
                <w:b/>
                <w:bCs/>
              </w:rPr>
            </w:pPr>
          </w:p>
        </w:tc>
      </w:tr>
    </w:tbl>
    <w:p>
      <w:pPr>
        <w:tabs>
          <w:tab w:val="left" w:pos="8227"/>
        </w:tabs>
        <w:kinsoku w:val="0"/>
        <w:overflowPunct w:val="0"/>
        <w:spacing w:line="381" w:lineRule="auto"/>
        <w:ind w:left="4027" w:right="118" w:firstLine="480"/>
        <w:rPr>
          <w:rFonts w:asciiTheme="minorEastAsia" w:hAnsiTheme="minorEastAsia"/>
        </w:rPr>
      </w:pPr>
    </w:p>
    <w:p>
      <w:pPr>
        <w:tabs>
          <w:tab w:val="left" w:pos="8227"/>
        </w:tabs>
        <w:kinsoku w:val="0"/>
        <w:overflowPunct w:val="0"/>
        <w:spacing w:line="381" w:lineRule="auto"/>
        <w:ind w:right="118" w:firstLine="480"/>
        <w:jc w:val="right"/>
        <w:rPr>
          <w:rFonts w:asciiTheme="minorEastAsia" w:hAnsiTheme="minorEastAsia"/>
        </w:rPr>
      </w:pPr>
      <w:r>
        <w:rPr>
          <w:rFonts w:hint="eastAsia" w:asciiTheme="minorEastAsia" w:hAnsiTheme="minorEastAsia"/>
        </w:rPr>
        <w:t xml:space="preserve">供应商 </w:t>
      </w:r>
      <w:r>
        <w:rPr>
          <w:rFonts w:hint="eastAsia" w:asciiTheme="minorEastAsia" w:hAnsiTheme="minorEastAsia"/>
          <w:u w:val="single"/>
        </w:rPr>
        <w:t xml:space="preserve">    </w:t>
      </w:r>
      <w:r>
        <w:rPr>
          <w:rFonts w:hint="eastAsia" w:asciiTheme="minorEastAsia" w:hAnsiTheme="minorEastAsia"/>
          <w:w w:val="95"/>
        </w:rPr>
        <w:t>（盖章）</w:t>
      </w:r>
    </w:p>
    <w:p>
      <w:pPr>
        <w:tabs>
          <w:tab w:val="left" w:pos="8227"/>
        </w:tabs>
        <w:kinsoku w:val="0"/>
        <w:overflowPunct w:val="0"/>
        <w:spacing w:line="381" w:lineRule="auto"/>
        <w:ind w:left="4027" w:right="118" w:firstLine="480"/>
        <w:jc w:val="right"/>
        <w:rPr>
          <w:rFonts w:asciiTheme="minorEastAsia" w:hAnsiTheme="minorEastAsia"/>
          <w:w w:val="95"/>
        </w:rPr>
      </w:pPr>
      <w:r>
        <w:rPr>
          <w:rFonts w:hint="eastAsia" w:asciiTheme="minorEastAsia" w:hAnsiTheme="minorEastAsia"/>
        </w:rPr>
        <w:t>法定代表人或被授权人：</w:t>
      </w:r>
      <w:r>
        <w:rPr>
          <w:rFonts w:hint="eastAsia" w:asciiTheme="minorEastAsia" w:hAnsiTheme="minorEastAsia"/>
          <w:u w:val="single"/>
        </w:rPr>
        <w:t xml:space="preserve"> </w:t>
      </w:r>
      <w:r>
        <w:rPr>
          <w:rFonts w:hint="eastAsia" w:asciiTheme="minorEastAsia" w:hAnsiTheme="minorEastAsia"/>
          <w:w w:val="95"/>
        </w:rPr>
        <w:t>（签字）</w:t>
      </w:r>
    </w:p>
    <w:p>
      <w:pPr>
        <w:tabs>
          <w:tab w:val="left" w:pos="5551"/>
          <w:tab w:val="left" w:pos="6511"/>
          <w:tab w:val="left" w:pos="7111"/>
          <w:tab w:val="left" w:pos="7711"/>
        </w:tabs>
        <w:kinsoku w:val="0"/>
        <w:overflowPunct w:val="0"/>
        <w:spacing w:before="46"/>
        <w:ind w:left="2583" w:firstLine="480"/>
        <w:jc w:val="right"/>
        <w:rPr>
          <w:rFonts w:asciiTheme="minorEastAsia" w:hAnsiTheme="minorEastAsia"/>
        </w:rPr>
      </w:pPr>
      <w:r>
        <w:rPr>
          <w:rFonts w:hint="eastAsia" w:asciiTheme="minorEastAsia" w:hAnsiTheme="minorEastAsia"/>
        </w:rPr>
        <w:t>日</w:t>
      </w:r>
      <w:r>
        <w:rPr>
          <w:rFonts w:asciiTheme="minorEastAsia" w:hAnsiTheme="minorEastAsia"/>
        </w:rPr>
        <w:tab/>
      </w:r>
      <w:r>
        <w:rPr>
          <w:rFonts w:hint="eastAsia" w:asciiTheme="minorEastAsia" w:hAnsiTheme="minorEastAsia"/>
        </w:rPr>
        <w:t>期：</w:t>
      </w:r>
      <w:r>
        <w:rPr>
          <w:rFonts w:asciiTheme="minorEastAsia" w:hAnsiTheme="minorEastAsia"/>
          <w:u w:val="single"/>
        </w:rPr>
        <w:tab/>
      </w:r>
      <w:r>
        <w:rPr>
          <w:rFonts w:hint="eastAsia" w:asciiTheme="minorEastAsia" w:hAnsiTheme="minorEastAsia"/>
        </w:rPr>
        <w:t>年</w:t>
      </w:r>
      <w:r>
        <w:rPr>
          <w:rFonts w:asciiTheme="minorEastAsia" w:hAnsiTheme="minorEastAsia"/>
          <w:u w:val="single"/>
        </w:rPr>
        <w:tab/>
      </w:r>
      <w:r>
        <w:rPr>
          <w:rFonts w:hint="eastAsia" w:asciiTheme="minorEastAsia" w:hAnsiTheme="minorEastAsia"/>
        </w:rPr>
        <w:t>月</w:t>
      </w:r>
      <w:r>
        <w:rPr>
          <w:rFonts w:asciiTheme="minorEastAsia" w:hAnsiTheme="minorEastAsia"/>
          <w:u w:val="single"/>
        </w:rPr>
        <w:tab/>
      </w:r>
      <w:r>
        <w:rPr>
          <w:rFonts w:hint="eastAsia" w:asciiTheme="minorEastAsia" w:hAnsiTheme="minorEastAsia"/>
        </w:rPr>
        <w:t>日</w:t>
      </w:r>
      <w:bookmarkStart w:id="700" w:name="_Toc15858"/>
      <w:bookmarkStart w:id="701" w:name="_Toc41935428"/>
    </w:p>
    <w:p>
      <w:pPr>
        <w:pStyle w:val="9"/>
        <w:ind w:firstLine="482"/>
      </w:pPr>
      <w:r>
        <w:rPr>
          <w:rFonts w:asciiTheme="minorEastAsia" w:hAnsiTheme="minorEastAsia"/>
        </w:rPr>
        <w:br w:type="page"/>
      </w:r>
      <w:r>
        <w:rPr>
          <w:rFonts w:hint="eastAsia"/>
        </w:rPr>
        <w:t>明细报价汇总表（格式自拟）</w:t>
      </w:r>
    </w:p>
    <w:p>
      <w:pPr>
        <w:ind w:firstLine="480"/>
      </w:pPr>
      <w:r>
        <w:rPr>
          <w:rFonts w:hint="eastAsia"/>
        </w:rPr>
        <w:t>注：1）内容必须与《投标报价单》一致。2)</w:t>
      </w:r>
      <w:r>
        <w:rPr>
          <w:rFonts w:hint="eastAsia"/>
        </w:rPr>
        <w:tab/>
      </w:r>
      <w:r>
        <w:rPr>
          <w:rFonts w:hint="eastAsia"/>
        </w:rPr>
        <w:t>对于报价免费的项目必须标明“免费”；3)</w:t>
      </w:r>
      <w:r>
        <w:rPr>
          <w:rFonts w:hint="eastAsia"/>
        </w:rPr>
        <w:tab/>
      </w:r>
      <w:r>
        <w:rPr>
          <w:rFonts w:hint="eastAsia"/>
        </w:rPr>
        <w:t xml:space="preserve">所有根据合同或其它原因应由报价供应商支付的税款和其它应交纳的费用都要包括在报价供应商提交的报价价格中； </w:t>
      </w:r>
    </w:p>
    <w:p>
      <w:pPr>
        <w:ind w:firstLine="480"/>
        <w:rPr>
          <w:rFonts w:ascii="宋体" w:hAnsi="宋体"/>
        </w:rPr>
      </w:pPr>
    </w:p>
    <w:p>
      <w:pPr>
        <w:ind w:firstLine="480"/>
        <w:rPr>
          <w:rFonts w:ascii="宋体" w:hAnsi="宋体"/>
        </w:rPr>
      </w:pPr>
    </w:p>
    <w:p>
      <w:pPr>
        <w:ind w:firstLine="480"/>
        <w:rPr>
          <w:rFonts w:ascii="宋体" w:hAnsi="宋体"/>
        </w:rPr>
      </w:pPr>
    </w:p>
    <w:p>
      <w:pPr>
        <w:ind w:firstLine="480"/>
        <w:rPr>
          <w:rFonts w:ascii="宋体" w:hAnsi="宋体"/>
        </w:rPr>
      </w:pPr>
      <w:r>
        <w:rPr>
          <w:rFonts w:hint="eastAsia" w:ascii="宋体" w:hAnsi="宋体"/>
        </w:rPr>
        <w:t>供应商：</w:t>
      </w:r>
      <w:r>
        <w:rPr>
          <w:rFonts w:ascii="宋体" w:hAnsi="宋体"/>
          <w:u w:val="single"/>
        </w:rPr>
        <w:tab/>
      </w:r>
      <w:r>
        <w:rPr>
          <w:rFonts w:hint="eastAsia" w:ascii="宋体" w:hAnsi="宋体"/>
          <w:w w:val="95"/>
        </w:rPr>
        <w:t>（盖章）</w:t>
      </w:r>
      <w:r>
        <w:rPr>
          <w:rFonts w:ascii="宋体" w:hAnsi="宋体"/>
        </w:rPr>
        <w:t xml:space="preserve"> </w:t>
      </w:r>
    </w:p>
    <w:p>
      <w:pPr>
        <w:ind w:firstLine="480"/>
        <w:rPr>
          <w:rFonts w:ascii="宋体" w:hAnsi="宋体"/>
          <w:w w:val="95"/>
        </w:rPr>
      </w:pPr>
      <w:r>
        <w:rPr>
          <w:rFonts w:hint="eastAsia" w:ascii="宋体" w:hAnsi="宋体"/>
        </w:rPr>
        <w:t>法定代表人或被授权人：</w:t>
      </w:r>
      <w:r>
        <w:rPr>
          <w:rFonts w:ascii="宋体" w:hAnsi="宋体"/>
          <w:u w:val="single"/>
        </w:rPr>
        <w:tab/>
      </w:r>
      <w:r>
        <w:rPr>
          <w:rFonts w:hint="eastAsia" w:ascii="宋体" w:hAnsi="宋体"/>
          <w:w w:val="95"/>
        </w:rPr>
        <w:t>（签字）</w:t>
      </w:r>
    </w:p>
    <w:p>
      <w:pPr>
        <w:ind w:firstLine="480"/>
        <w:rPr>
          <w:rFonts w:ascii="宋体" w:hAnsi="宋体"/>
        </w:rPr>
      </w:pPr>
      <w:r>
        <w:rPr>
          <w:rFonts w:hint="eastAsia" w:ascii="宋体" w:hAnsi="宋体"/>
        </w:rPr>
        <w:t>日</w:t>
      </w:r>
      <w:r>
        <w:rPr>
          <w:rFonts w:ascii="宋体" w:hAnsi="宋体"/>
        </w:rPr>
        <w:tab/>
      </w:r>
      <w:r>
        <w:rPr>
          <w:rFonts w:hint="eastAsia" w:ascii="宋体" w:hAnsi="宋体"/>
        </w:rPr>
        <w:t>期：</w:t>
      </w:r>
      <w:r>
        <w:rPr>
          <w:rFonts w:ascii="宋体" w:hAnsi="宋体"/>
          <w:u w:val="single"/>
        </w:rPr>
        <w:tab/>
      </w:r>
      <w:r>
        <w:rPr>
          <w:rFonts w:hint="eastAsia" w:ascii="宋体" w:hAnsi="宋体"/>
        </w:rPr>
        <w:t>年</w:t>
      </w:r>
      <w:r>
        <w:rPr>
          <w:rFonts w:ascii="宋体" w:hAnsi="宋体"/>
          <w:u w:val="single"/>
        </w:rPr>
        <w:tab/>
      </w:r>
      <w:r>
        <w:rPr>
          <w:rFonts w:hint="eastAsia" w:ascii="宋体" w:hAnsi="宋体"/>
        </w:rPr>
        <w:t>月</w:t>
      </w:r>
      <w:r>
        <w:rPr>
          <w:rFonts w:ascii="宋体" w:hAnsi="宋体"/>
          <w:u w:val="single"/>
        </w:rPr>
        <w:tab/>
      </w:r>
      <w:r>
        <w:rPr>
          <w:rFonts w:hint="eastAsia" w:ascii="宋体" w:hAnsi="宋体"/>
        </w:rPr>
        <w:t>日</w:t>
      </w:r>
    </w:p>
    <w:p>
      <w:pPr>
        <w:ind w:firstLine="480"/>
      </w:pPr>
    </w:p>
    <w:p>
      <w:pPr>
        <w:ind w:firstLine="480"/>
      </w:pPr>
    </w:p>
    <w:p>
      <w:pPr>
        <w:ind w:firstLine="480"/>
      </w:pPr>
    </w:p>
    <w:p>
      <w:pPr>
        <w:ind w:firstLine="480"/>
      </w:pPr>
    </w:p>
    <w:p>
      <w:pPr>
        <w:pStyle w:val="8"/>
        <w:ind w:firstLine="602"/>
      </w:pPr>
      <w:bookmarkStart w:id="702" w:name="_Toc137929625"/>
      <w:r>
        <w:rPr>
          <w:rFonts w:hint="eastAsia"/>
        </w:rPr>
        <w:t>6、竞标保证金凭证</w:t>
      </w:r>
      <w:r>
        <w:t>复印件加盖</w:t>
      </w:r>
      <w:r>
        <w:rPr>
          <w:rFonts w:hint="eastAsia"/>
        </w:rPr>
        <w:t>公章</w:t>
      </w:r>
      <w:bookmarkEnd w:id="700"/>
      <w:bookmarkEnd w:id="702"/>
    </w:p>
    <w:p>
      <w:pPr>
        <w:ind w:firstLine="643"/>
        <w:rPr>
          <w:rFonts w:asciiTheme="minorEastAsia" w:hAnsiTheme="minorEastAsia"/>
          <w:b/>
          <w:sz w:val="32"/>
        </w:rPr>
      </w:pPr>
    </w:p>
    <w:p>
      <w:pPr>
        <w:ind w:firstLine="643"/>
        <w:rPr>
          <w:rFonts w:asciiTheme="minorEastAsia" w:hAnsiTheme="minorEastAsia"/>
          <w:b/>
          <w:sz w:val="32"/>
        </w:rPr>
      </w:pPr>
    </w:p>
    <w:p>
      <w:pPr>
        <w:pStyle w:val="8"/>
        <w:ind w:firstLine="602"/>
      </w:pPr>
      <w:bookmarkStart w:id="703" w:name="_Toc137929626"/>
      <w:r>
        <w:rPr>
          <w:rFonts w:hint="eastAsia"/>
        </w:rPr>
        <w:t>7、实施计划</w:t>
      </w:r>
      <w:bookmarkEnd w:id="703"/>
      <w:r>
        <w:rPr>
          <w:rFonts w:hint="eastAsia"/>
        </w:rPr>
        <w:t>方案</w:t>
      </w:r>
    </w:p>
    <w:p>
      <w:pPr>
        <w:ind w:firstLine="480"/>
        <w:rPr>
          <w:rFonts w:eastAsia="宋体"/>
          <w:b/>
          <w:sz w:val="30"/>
          <w:szCs w:val="20"/>
        </w:rPr>
      </w:pPr>
      <w:r>
        <w:rPr>
          <w:rFonts w:hint="eastAsia" w:cs="宋体;SimSun"/>
        </w:rPr>
        <w:t>响应文件所附项目实施计划符合采购人的需求，且项目实施计划内容具体可行，格式自拟。</w:t>
      </w:r>
      <w:bookmarkStart w:id="704" w:name="_Toc137929628"/>
    </w:p>
    <w:bookmarkEnd w:id="704"/>
    <w:p>
      <w:pPr>
        <w:pStyle w:val="8"/>
        <w:ind w:firstLine="602"/>
      </w:pPr>
      <w:bookmarkStart w:id="705" w:name="_Toc137929629"/>
      <w:r>
        <w:rPr>
          <w:rFonts w:hint="eastAsia"/>
        </w:rPr>
        <w:t>8、售后服务方案</w:t>
      </w:r>
      <w:bookmarkEnd w:id="705"/>
    </w:p>
    <w:p>
      <w:pPr>
        <w:ind w:firstLine="480"/>
        <w:rPr>
          <w:rFonts w:asciiTheme="minorEastAsia" w:hAnsiTheme="minorEastAsia"/>
        </w:rPr>
      </w:pPr>
      <w:r>
        <w:rPr>
          <w:rFonts w:hint="eastAsia" w:cs="宋体;SimSun"/>
        </w:rPr>
        <w:t>供应商递交的响应文件附有售后服务承诺，格式自拟。</w:t>
      </w:r>
    </w:p>
    <w:p>
      <w:pPr>
        <w:ind w:firstLine="480"/>
        <w:rPr>
          <w:rFonts w:asciiTheme="minorEastAsia" w:hAnsiTheme="minorEastAsia"/>
        </w:rPr>
      </w:pPr>
    </w:p>
    <w:p>
      <w:pPr>
        <w:ind w:firstLine="480"/>
        <w:rPr>
          <w:rFonts w:asciiTheme="minorEastAsia" w:hAnsiTheme="minorEastAsia"/>
        </w:rPr>
      </w:pPr>
    </w:p>
    <w:bookmarkEnd w:id="701"/>
    <w:p>
      <w:pPr>
        <w:widowControl/>
        <w:spacing w:line="240" w:lineRule="auto"/>
        <w:ind w:firstLine="480"/>
        <w:jc w:val="left"/>
        <w:rPr>
          <w:rFonts w:eastAsia="宋体"/>
          <w:b/>
          <w:sz w:val="30"/>
          <w:szCs w:val="20"/>
        </w:rPr>
      </w:pPr>
      <w:r>
        <w:br w:type="page"/>
      </w:r>
    </w:p>
    <w:p>
      <w:pPr>
        <w:jc w:val="center"/>
        <w:outlineLvl w:val="2"/>
        <w:rPr>
          <w:rFonts w:eastAsia="宋体"/>
          <w:b/>
          <w:sz w:val="30"/>
          <w:szCs w:val="20"/>
        </w:rPr>
      </w:pPr>
      <w:bookmarkStart w:id="706" w:name="_Toc137929630"/>
      <w:r>
        <w:rPr>
          <w:rFonts w:hint="eastAsia" w:eastAsia="宋体"/>
          <w:b/>
          <w:sz w:val="30"/>
          <w:szCs w:val="20"/>
        </w:rPr>
        <w:t>9、供货方案</w:t>
      </w:r>
    </w:p>
    <w:p>
      <w:pPr>
        <w:ind w:firstLine="480" w:firstLineChars="200"/>
      </w:pPr>
      <w:r>
        <w:rPr>
          <w:rFonts w:hint="eastAsia"/>
        </w:rPr>
        <w:t>投标人需根据本项目采购需求自行拟定供货及安装方案</w:t>
      </w:r>
    </w:p>
    <w:p/>
    <w:p/>
    <w:p>
      <w:pPr>
        <w:pStyle w:val="8"/>
        <w:ind w:firstLine="602"/>
      </w:pPr>
      <w:r>
        <w:t>1</w:t>
      </w:r>
      <w:r>
        <w:rPr>
          <w:rFonts w:hint="eastAsia"/>
        </w:rPr>
        <w:t>0、商务条款偏离表</w:t>
      </w:r>
      <w:bookmarkEnd w:id="706"/>
    </w:p>
    <w:p>
      <w:pPr>
        <w:ind w:firstLine="480"/>
        <w:rPr>
          <w:rFonts w:ascii="宋体" w:hAnsi="宋体"/>
          <w:color w:val="000000"/>
        </w:rPr>
      </w:pP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2481"/>
        <w:gridCol w:w="2415"/>
        <w:gridCol w:w="1255"/>
        <w:gridCol w:w="2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序号</w:t>
            </w:r>
          </w:p>
        </w:tc>
        <w:tc>
          <w:tcPr>
            <w:tcW w:w="2481" w:type="dxa"/>
            <w:vAlign w:val="center"/>
          </w:tcPr>
          <w:p>
            <w:r>
              <w:rPr>
                <w:rFonts w:hint="eastAsia"/>
              </w:rPr>
              <w:t>一般商务条款序号</w:t>
            </w:r>
          </w:p>
        </w:tc>
        <w:tc>
          <w:tcPr>
            <w:tcW w:w="2415" w:type="dxa"/>
            <w:vAlign w:val="center"/>
          </w:tcPr>
          <w:p>
            <w:r>
              <w:rPr>
                <w:rFonts w:hint="eastAsia"/>
              </w:rPr>
              <w:t>条款内容</w:t>
            </w:r>
          </w:p>
        </w:tc>
        <w:tc>
          <w:tcPr>
            <w:tcW w:w="1255" w:type="dxa"/>
            <w:vAlign w:val="center"/>
          </w:tcPr>
          <w:p>
            <w:r>
              <w:rPr>
                <w:rFonts w:hint="eastAsia"/>
              </w:rPr>
              <w:t>是否响应</w:t>
            </w:r>
          </w:p>
        </w:tc>
        <w:tc>
          <w:tcPr>
            <w:tcW w:w="2939" w:type="dxa"/>
            <w:vAlign w:val="center"/>
          </w:tcPr>
          <w:p>
            <w:r>
              <w:rPr>
                <w:rFonts w:hint="eastAsia"/>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2</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3</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4</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5</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6</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7</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8</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9</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10</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11</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12</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13</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14</w:t>
            </w:r>
          </w:p>
        </w:tc>
        <w:tc>
          <w:tcPr>
            <w:tcW w:w="2481" w:type="dxa"/>
            <w:vAlign w:val="center"/>
          </w:tcPr>
          <w:p/>
        </w:tc>
        <w:tc>
          <w:tcPr>
            <w:tcW w:w="2415" w:type="dxa"/>
            <w:vAlign w:val="center"/>
          </w:tcPr>
          <w:p/>
        </w:tc>
        <w:tc>
          <w:tcPr>
            <w:tcW w:w="1255" w:type="dxa"/>
            <w:vAlign w:val="center"/>
          </w:tcPr>
          <w:p/>
        </w:tc>
        <w:tc>
          <w:tcPr>
            <w:tcW w:w="293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r>
              <w:rPr>
                <w:rFonts w:hint="eastAsia"/>
              </w:rPr>
              <w:t>15</w:t>
            </w:r>
          </w:p>
        </w:tc>
        <w:tc>
          <w:tcPr>
            <w:tcW w:w="2481" w:type="dxa"/>
            <w:vAlign w:val="center"/>
          </w:tcPr>
          <w:p/>
        </w:tc>
        <w:tc>
          <w:tcPr>
            <w:tcW w:w="2415" w:type="dxa"/>
            <w:vAlign w:val="center"/>
          </w:tcPr>
          <w:p/>
        </w:tc>
        <w:tc>
          <w:tcPr>
            <w:tcW w:w="1255" w:type="dxa"/>
            <w:vAlign w:val="center"/>
          </w:tcPr>
          <w:p/>
        </w:tc>
        <w:tc>
          <w:tcPr>
            <w:tcW w:w="2939" w:type="dxa"/>
            <w:vAlign w:val="center"/>
          </w:tcPr>
          <w:p/>
        </w:tc>
      </w:tr>
    </w:tbl>
    <w:p>
      <w:pPr>
        <w:ind w:firstLine="476"/>
        <w:rPr>
          <w:rFonts w:ascii="宋体" w:hAnsi="宋体" w:cs="仿宋"/>
          <w:color w:val="000000"/>
          <w:spacing w:val="-1"/>
          <w:kern w:val="0"/>
        </w:rPr>
      </w:pPr>
      <w:r>
        <w:rPr>
          <w:rFonts w:hint="eastAsia" w:ascii="宋体" w:hAnsi="宋体" w:cs="仿宋"/>
          <w:color w:val="000000"/>
          <w:spacing w:val="-1"/>
          <w:kern w:val="0"/>
        </w:rPr>
        <w:t>注：请在“偏离说明”栏内扼要说明偏离情况，</w:t>
      </w:r>
      <w:r>
        <w:rPr>
          <w:rFonts w:hint="eastAsia" w:ascii="宋体" w:hAnsi="宋体" w:cs="仿宋"/>
          <w:b/>
          <w:bCs/>
          <w:color w:val="000000"/>
          <w:spacing w:val="-1"/>
          <w:kern w:val="0"/>
        </w:rPr>
        <w:t>如无偏离则不需列明</w:t>
      </w:r>
      <w:r>
        <w:rPr>
          <w:rFonts w:hint="eastAsia" w:ascii="宋体" w:hAnsi="宋体" w:cs="仿宋"/>
          <w:color w:val="000000"/>
          <w:spacing w:val="-1"/>
          <w:kern w:val="0"/>
        </w:rPr>
        <w:t>。</w:t>
      </w:r>
    </w:p>
    <w:p>
      <w:pPr>
        <w:ind w:firstLine="480"/>
      </w:pPr>
    </w:p>
    <w:p>
      <w:pPr>
        <w:ind w:firstLine="480"/>
      </w:pPr>
    </w:p>
    <w:p>
      <w:pPr>
        <w:ind w:firstLine="476"/>
        <w:rPr>
          <w:spacing w:val="23"/>
        </w:rPr>
      </w:pPr>
      <w:r>
        <w:rPr>
          <w:rFonts w:hint="eastAsia"/>
          <w:spacing w:val="-1"/>
        </w:rPr>
        <w:t>供应商：</w:t>
      </w:r>
      <w:r>
        <w:rPr>
          <w:rFonts w:hint="eastAsia"/>
          <w:spacing w:val="-1"/>
          <w:u w:val="single"/>
        </w:rPr>
        <w:t xml:space="preserve">               </w:t>
      </w:r>
      <w:r>
        <w:rPr>
          <w:rFonts w:hint="eastAsia"/>
          <w:u w:val="single"/>
        </w:rPr>
        <w:t>（公章）</w:t>
      </w:r>
      <w:r>
        <w:rPr>
          <w:spacing w:val="23"/>
        </w:rPr>
        <w:t xml:space="preserve"> </w:t>
      </w:r>
    </w:p>
    <w:p>
      <w:pPr>
        <w:ind w:firstLine="476"/>
      </w:pPr>
      <w:r>
        <w:rPr>
          <w:rFonts w:hint="eastAsia"/>
          <w:spacing w:val="-1"/>
        </w:rPr>
        <w:t>法定代表人或委托人：</w:t>
      </w:r>
      <w:r>
        <w:rPr>
          <w:rFonts w:hint="eastAsia"/>
          <w:spacing w:val="-1"/>
          <w:u w:val="single"/>
        </w:rPr>
        <w:t xml:space="preserve">               </w:t>
      </w:r>
      <w:r>
        <w:rPr>
          <w:rFonts w:hint="eastAsia"/>
          <w:u w:val="single"/>
        </w:rPr>
        <w:t>（签字）</w:t>
      </w:r>
    </w:p>
    <w:p>
      <w:pPr>
        <w:ind w:firstLine="480"/>
      </w:pPr>
      <w:r>
        <w:rPr>
          <w:u w:val="single"/>
        </w:rPr>
        <w:tab/>
      </w:r>
      <w:r>
        <w:rPr>
          <w:rFonts w:hint="eastAsia"/>
          <w:spacing w:val="-1"/>
        </w:rPr>
        <w:t>年</w:t>
      </w:r>
      <w:r>
        <w:rPr>
          <w:spacing w:val="-1"/>
          <w:u w:val="single"/>
        </w:rPr>
        <w:tab/>
      </w:r>
      <w:r>
        <w:rPr>
          <w:rFonts w:hint="eastAsia"/>
          <w:spacing w:val="-1"/>
        </w:rPr>
        <w:t>月</w:t>
      </w:r>
      <w:r>
        <w:rPr>
          <w:spacing w:val="-1"/>
          <w:u w:val="single"/>
        </w:rPr>
        <w:tab/>
      </w:r>
      <w:r>
        <w:rPr>
          <w:rFonts w:hint="eastAsia"/>
        </w:rPr>
        <w:t>日</w:t>
      </w:r>
    </w:p>
    <w:p>
      <w:pPr>
        <w:ind w:firstLine="480"/>
        <w:rPr>
          <w:rFonts w:cs="宋体" w:asciiTheme="minorEastAsia" w:hAnsiTheme="minorEastAsia"/>
        </w:rPr>
      </w:pPr>
    </w:p>
    <w:p>
      <w:pPr>
        <w:ind w:firstLine="480"/>
        <w:rPr>
          <w:rFonts w:cs="宋体" w:asciiTheme="minorEastAsia" w:hAnsiTheme="minorEastAsia"/>
        </w:rPr>
      </w:pPr>
    </w:p>
    <w:p>
      <w:pPr>
        <w:widowControl/>
        <w:spacing w:line="240" w:lineRule="auto"/>
        <w:ind w:firstLine="480"/>
        <w:jc w:val="left"/>
        <w:rPr>
          <w:rFonts w:eastAsia="宋体"/>
          <w:b/>
          <w:sz w:val="30"/>
          <w:szCs w:val="20"/>
        </w:rPr>
      </w:pPr>
      <w:r>
        <w:br w:type="page"/>
      </w:r>
    </w:p>
    <w:p>
      <w:pPr>
        <w:pStyle w:val="8"/>
        <w:ind w:firstLine="602"/>
      </w:pPr>
      <w:bookmarkStart w:id="707" w:name="_Toc137929631"/>
      <w:r>
        <w:rPr>
          <w:rFonts w:hint="eastAsia"/>
        </w:rPr>
        <w:t>11、技术条款偏离表</w:t>
      </w:r>
      <w:bookmarkEnd w:id="707"/>
    </w:p>
    <w:p>
      <w:pPr>
        <w:ind w:firstLine="480"/>
      </w:pP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1707"/>
        <w:gridCol w:w="3078"/>
        <w:gridCol w:w="2431"/>
        <w:gridCol w:w="805"/>
        <w:gridCol w:w="13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序号</w:t>
            </w:r>
          </w:p>
        </w:tc>
        <w:tc>
          <w:tcPr>
            <w:tcW w:w="1707" w:type="dxa"/>
            <w:vAlign w:val="center"/>
          </w:tcPr>
          <w:p>
            <w:r>
              <w:rPr>
                <w:rFonts w:hint="eastAsia"/>
              </w:rPr>
              <w:t>技术需求要求</w:t>
            </w:r>
          </w:p>
        </w:tc>
        <w:tc>
          <w:tcPr>
            <w:tcW w:w="3078" w:type="dxa"/>
            <w:vAlign w:val="center"/>
          </w:tcPr>
          <w:p/>
          <w:p>
            <w:r>
              <w:rPr>
                <w:rFonts w:hint="eastAsia"/>
              </w:rPr>
              <w:t>投响应实际参数</w:t>
            </w:r>
          </w:p>
          <w:p/>
        </w:tc>
        <w:tc>
          <w:tcPr>
            <w:tcW w:w="2431" w:type="dxa"/>
            <w:vAlign w:val="center"/>
          </w:tcPr>
          <w:p>
            <w:r>
              <w:rPr>
                <w:rFonts w:hint="eastAsia"/>
              </w:rPr>
              <w:t>是否偏离（无偏离/正偏离/负偏离）</w:t>
            </w:r>
          </w:p>
        </w:tc>
        <w:tc>
          <w:tcPr>
            <w:tcW w:w="805" w:type="dxa"/>
            <w:vAlign w:val="center"/>
          </w:tcPr>
          <w:p>
            <w:r>
              <w:rPr>
                <w:rFonts w:hint="eastAsia"/>
              </w:rPr>
              <w:t>偏离简述</w:t>
            </w:r>
          </w:p>
        </w:tc>
        <w:tc>
          <w:tcPr>
            <w:tcW w:w="1395" w:type="dxa"/>
            <w:vAlign w:val="center"/>
          </w:tcPr>
          <w:p>
            <w:r>
              <w:rPr>
                <w:rFonts w:hint="eastAsia"/>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1</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2</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3</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4</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5</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6</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7</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8</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r>
              <w:rPr>
                <w:rFonts w:hint="eastAsia"/>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6" w:type="dxa"/>
            <w:vAlign w:val="center"/>
          </w:tcPr>
          <w:p>
            <w:r>
              <w:rPr>
                <w:rFonts w:hint="eastAsia"/>
              </w:rPr>
              <w:t>…</w:t>
            </w:r>
          </w:p>
        </w:tc>
        <w:tc>
          <w:tcPr>
            <w:tcW w:w="1707" w:type="dxa"/>
            <w:vAlign w:val="center"/>
          </w:tcPr>
          <w:p/>
        </w:tc>
        <w:tc>
          <w:tcPr>
            <w:tcW w:w="3078" w:type="dxa"/>
            <w:vAlign w:val="center"/>
          </w:tcPr>
          <w:p/>
        </w:tc>
        <w:tc>
          <w:tcPr>
            <w:tcW w:w="2431" w:type="dxa"/>
            <w:vAlign w:val="center"/>
          </w:tcPr>
          <w:p/>
        </w:tc>
        <w:tc>
          <w:tcPr>
            <w:tcW w:w="805" w:type="dxa"/>
            <w:vAlign w:val="center"/>
          </w:tcPr>
          <w:p/>
        </w:tc>
        <w:tc>
          <w:tcPr>
            <w:tcW w:w="1395" w:type="dxa"/>
          </w:tcPr>
          <w:p/>
        </w:tc>
      </w:tr>
    </w:tbl>
    <w:p>
      <w:pPr>
        <w:ind w:firstLine="480"/>
      </w:pPr>
      <w:r>
        <w:rPr>
          <w:rFonts w:hint="eastAsia"/>
        </w:rPr>
        <w:t>注：1.投标供应商必须对应</w:t>
      </w:r>
      <w:r>
        <w:rPr>
          <w:rFonts w:hint="eastAsia"/>
          <w:b/>
          <w:bCs/>
        </w:rPr>
        <w:t>第四部分技术需求</w:t>
      </w:r>
      <w:r>
        <w:rPr>
          <w:rFonts w:hint="eastAsia"/>
        </w:rPr>
        <w:t>的内容</w:t>
      </w:r>
      <w:r>
        <w:rPr>
          <w:rFonts w:hint="eastAsia"/>
          <w:b/>
          <w:bCs/>
        </w:rPr>
        <w:t>逐条响应</w:t>
      </w:r>
      <w:r>
        <w:rPr>
          <w:rFonts w:hint="eastAsia"/>
        </w:rPr>
        <w:t>。2.投标供应商响应招标需求应具体、明确，含糊不清、不确切或伪造、变造证明材料的，按照不完全响应或者完全不响应处理。构成提供虚假材料的，移送监管部门查处。</w:t>
      </w:r>
    </w:p>
    <w:p>
      <w:pPr>
        <w:ind w:firstLine="480"/>
        <w:rPr>
          <w:rFonts w:cs="宋体" w:asciiTheme="minorEastAsia" w:hAnsiTheme="minorEastAsia"/>
        </w:rPr>
      </w:pPr>
    </w:p>
    <w:p>
      <w:pPr>
        <w:ind w:firstLine="480"/>
      </w:pPr>
    </w:p>
    <w:p>
      <w:pPr>
        <w:pStyle w:val="8"/>
        <w:ind w:firstLine="602"/>
      </w:pPr>
      <w:bookmarkStart w:id="708" w:name="_Toc137929632"/>
      <w:r>
        <w:rPr>
          <w:rFonts w:hint="eastAsia"/>
        </w:rPr>
        <w:t>12、供应商认为适宜的其他资料</w:t>
      </w:r>
      <w:bookmarkEnd w:id="708"/>
    </w:p>
    <w:p>
      <w:pPr>
        <w:pStyle w:val="17"/>
        <w:jc w:val="center"/>
        <w:rPr>
          <w:b/>
          <w:bCs/>
        </w:rPr>
      </w:pPr>
      <w:r>
        <w:rPr>
          <w:rFonts w:hint="eastAsia"/>
          <w:b/>
          <w:bCs/>
        </w:rPr>
        <w:t>中小企业声明函(工程、服务)</w:t>
      </w:r>
    </w:p>
    <w:p>
      <w:pPr>
        <w:ind w:firstLine="480"/>
        <w:rPr>
          <w:highlight w:val="yellow"/>
        </w:rPr>
      </w:pPr>
      <w:r>
        <w:rPr>
          <w:rFonts w:hint="eastAsia"/>
        </w:rPr>
        <w:t>本公司</w:t>
      </w:r>
      <w:r>
        <w:rPr>
          <w:rFonts w:hint="eastAsia"/>
          <w:highlight w:val="yellow"/>
        </w:rPr>
        <w:t>（联合体）</w:t>
      </w:r>
      <w:r>
        <w:rPr>
          <w:rFonts w:hint="eastAsia"/>
        </w:rPr>
        <w:t>郑重声明，根据《政府采购促进中小企业发展管理办法》（财库[2020]46号）的规定，本公司</w:t>
      </w:r>
      <w:r>
        <w:rPr>
          <w:rFonts w:hint="eastAsia"/>
          <w:highlight w:val="yellow"/>
        </w:rPr>
        <w:t>（联合体）</w:t>
      </w:r>
      <w:r>
        <w:rPr>
          <w:rFonts w:hint="eastAsia"/>
        </w:rPr>
        <w:t>参加（单位名称）的（项目名称）采购活动，供应商为符合政策要求的中小企业（或者：服务由符合政策要求的中小企业承接）。</w:t>
      </w:r>
      <w:r>
        <w:rPr>
          <w:rFonts w:hint="eastAsia"/>
          <w:highlight w:val="yellow"/>
        </w:rPr>
        <w:t>相关企业（含联合体中的中小企业、签订分包意向协议的中小企业）的具体情况如下：</w:t>
      </w:r>
    </w:p>
    <w:p>
      <w:pPr>
        <w:ind w:firstLine="480"/>
        <w:rPr>
          <w:highlight w:val="yellow"/>
        </w:rPr>
      </w:pPr>
      <w:r>
        <w:rPr>
          <w:rFonts w:hint="eastAsia"/>
          <w:highlight w:val="yellow"/>
        </w:rPr>
        <w:t>1.（标的名称），属于（</w:t>
      </w:r>
      <w:r>
        <w:rPr>
          <w:rFonts w:hint="eastAsia"/>
          <w:highlight w:val="yellow"/>
          <w:u w:val="single"/>
        </w:rPr>
        <w:t>软件和信息技术服务业</w:t>
      </w:r>
      <w:r>
        <w:rPr>
          <w:rFonts w:hint="eastAsia"/>
          <w:highlight w:val="yellow"/>
        </w:rPr>
        <w:t>）；承建（承接）企业为（企业名称），从业人员  人，营业收入为  万元，资产总额为  万元</w:t>
      </w:r>
      <w:r>
        <w:rPr>
          <w:highlight w:val="yellow"/>
        </w:rPr>
        <w:footnoteReference w:id="0"/>
      </w:r>
      <w:r>
        <w:rPr>
          <w:rFonts w:hint="eastAsia"/>
          <w:highlight w:val="yellow"/>
        </w:rPr>
        <w:t>，属于（中型企业、小型企业、微型企业）；</w:t>
      </w:r>
    </w:p>
    <w:p>
      <w:pPr>
        <w:ind w:firstLine="480"/>
        <w:rPr>
          <w:highlight w:val="yellow"/>
        </w:rPr>
      </w:pPr>
      <w:r>
        <w:rPr>
          <w:rFonts w:hint="eastAsia"/>
          <w:highlight w:val="yellow"/>
        </w:rPr>
        <w:t>2. （标的名称），属于（</w:t>
      </w:r>
      <w:r>
        <w:rPr>
          <w:rFonts w:hint="eastAsia"/>
          <w:highlight w:val="yellow"/>
          <w:u w:val="single"/>
        </w:rPr>
        <w:t>软件和信息技术服务业</w:t>
      </w:r>
      <w:r>
        <w:rPr>
          <w:rFonts w:hint="eastAsia"/>
          <w:highlight w:val="yellow"/>
        </w:rPr>
        <w:t>）；承建（承接）企业为（企业名称），从业人员  人，营业收入为  万元，资产总额为  万元，属于（中型企业、小型企业、微型企业）；</w:t>
      </w:r>
    </w:p>
    <w:p>
      <w:pPr>
        <w:ind w:firstLine="480"/>
      </w:pPr>
      <w:r>
        <w:rPr>
          <w:rFonts w:hint="eastAsia"/>
        </w:rPr>
        <w:t>……</w:t>
      </w:r>
    </w:p>
    <w:p>
      <w:pPr>
        <w:ind w:firstLine="480"/>
      </w:pPr>
      <w:r>
        <w:rPr>
          <w:rFonts w:hint="eastAsia"/>
        </w:rPr>
        <w:t>以上企业，不属于大企业的分支机构，不存在控股股东为大企业的情形，也不存在与大企业的负责人为同一人的情形。</w:t>
      </w:r>
    </w:p>
    <w:p>
      <w:pPr>
        <w:ind w:firstLine="480"/>
      </w:pPr>
      <w:r>
        <w:rPr>
          <w:rFonts w:hint="eastAsia"/>
        </w:rPr>
        <w:t>本企业对上述声明内容的真实性负责。如有虚假，将依法承担相应责任。</w:t>
      </w:r>
    </w:p>
    <w:p>
      <w:pPr>
        <w:ind w:firstLine="480"/>
      </w:pPr>
      <w:r>
        <w:rPr>
          <w:rFonts w:hint="eastAsia"/>
        </w:rPr>
        <w:t>企业名称（盖章）：</w:t>
      </w:r>
    </w:p>
    <w:p>
      <w:pPr>
        <w:ind w:firstLine="480"/>
      </w:pPr>
      <w:r>
        <w:rPr>
          <w:rFonts w:hint="eastAsia"/>
        </w:rPr>
        <w:t>日期：</w:t>
      </w:r>
    </w:p>
    <w:p>
      <w:r>
        <w:br w:type="page"/>
      </w:r>
      <w:r>
        <w:t xml:space="preserve"> </w:t>
      </w:r>
    </w:p>
    <w:p>
      <w:pPr>
        <w:widowControl/>
        <w:spacing w:line="240" w:lineRule="auto"/>
        <w:jc w:val="left"/>
        <w:rPr>
          <w:rFonts w:eastAsia="宋体"/>
          <w:kern w:val="0"/>
          <w:sz w:val="20"/>
          <w:szCs w:val="20"/>
        </w:rPr>
      </w:pPr>
    </w:p>
    <w:sectPr>
      <w:footerReference r:id="rId8" w:type="first"/>
      <w:headerReference r:id="rId5" w:type="default"/>
      <w:footerReference r:id="rId6" w:type="default"/>
      <w:footerReference r:id="rId7" w:type="even"/>
      <w:pgSz w:w="11906" w:h="16838"/>
      <w:pgMar w:top="1378" w:right="1418" w:bottom="1001" w:left="1418" w:header="851" w:footer="992" w:gutter="0"/>
      <w:pgNumType w:fmt="numberInDash"/>
      <w:cols w:space="72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宋体;SimSun">
    <w:altName w:val="宋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2"/>
      <w:ind w:firstLine="480"/>
    </w:pPr>
    <w:r>
      <w:fldChar w:fldCharType="begin"/>
    </w:r>
    <w:r>
      <w:instrText xml:space="preserve">PAGE  </w:instrText>
    </w:r>
    <w:r>
      <w:fldChar w:fldCharType="separate"/>
    </w:r>
    <w:r>
      <w:t>- 28 -</w:t>
    </w:r>
    <w:r>
      <w:fldChar w:fldCharType="end"/>
    </w:r>
  </w:p>
  <w:p>
    <w:pPr>
      <w:tabs>
        <w:tab w:val="right" w:pos="9070"/>
      </w:tabs>
      <w:ind w:firstLine="480"/>
    </w:pPr>
  </w:p>
  <w:p>
    <w:pPr>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2"/>
      <w:ind w:firstLine="480"/>
    </w:pPr>
    <w:r>
      <w:fldChar w:fldCharType="begin"/>
    </w:r>
    <w:r>
      <w:instrText xml:space="preserve">PAGE  </w:instrText>
    </w:r>
    <w:r>
      <w:fldChar w:fldCharType="end"/>
    </w:r>
  </w:p>
  <w:p>
    <w:pPr>
      <w:ind w:firstLine="480"/>
    </w:pPr>
  </w:p>
  <w:p>
    <w:pPr>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0"/>
      <w:jc w:val="center"/>
    </w:pPr>
    <w:r>
      <w:fldChar w:fldCharType="begin"/>
    </w:r>
    <w:r>
      <w:instrText xml:space="preserve">PAGE   \* MERGEFORMAT</w:instrText>
    </w:r>
    <w:r>
      <w:fldChar w:fldCharType="separate"/>
    </w:r>
    <w:r>
      <w:rPr>
        <w:lang w:val="zh-CN"/>
      </w:rPr>
      <w:t>-</w:t>
    </w:r>
    <w:r>
      <w:t xml:space="preserve"> 23 -</w:t>
    </w:r>
    <w:r>
      <w:fldChar w:fldCharType="end"/>
    </w:r>
  </w:p>
  <w:p>
    <w:pPr>
      <w:ind w:firstLine="48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pPr>
        <w:ind w:firstLine="480"/>
      </w:pPr>
      <w: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0"/>
    </w:pPr>
  </w:p>
  <w:p>
    <w:pPr>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FDD0C9"/>
    <w:multiLevelType w:val="singleLevel"/>
    <w:tmpl w:val="C3FDD0C9"/>
    <w:lvl w:ilvl="0" w:tentative="0">
      <w:start w:val="8"/>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footnotePr>
    <w:footnote w:id="2"/>
    <w:footnote w:id="3"/>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EwOTIzMmIwYjJhZTFkMDJjN2JhNGIyZjQ4OTk5MDQifQ=="/>
  </w:docVars>
  <w:rsids>
    <w:rsidRoot w:val="0052434E"/>
    <w:rsid w:val="00012482"/>
    <w:rsid w:val="00015790"/>
    <w:rsid w:val="00016122"/>
    <w:rsid w:val="00017F4F"/>
    <w:rsid w:val="00020977"/>
    <w:rsid w:val="0002102D"/>
    <w:rsid w:val="00021617"/>
    <w:rsid w:val="000228F6"/>
    <w:rsid w:val="00022ED2"/>
    <w:rsid w:val="0002313D"/>
    <w:rsid w:val="0002579A"/>
    <w:rsid w:val="000267B5"/>
    <w:rsid w:val="00034FA6"/>
    <w:rsid w:val="00035E2A"/>
    <w:rsid w:val="00036E37"/>
    <w:rsid w:val="000408D8"/>
    <w:rsid w:val="00041B01"/>
    <w:rsid w:val="000433F2"/>
    <w:rsid w:val="0004351D"/>
    <w:rsid w:val="000442FC"/>
    <w:rsid w:val="00047338"/>
    <w:rsid w:val="000534C3"/>
    <w:rsid w:val="00053749"/>
    <w:rsid w:val="00054917"/>
    <w:rsid w:val="00054C29"/>
    <w:rsid w:val="000554DD"/>
    <w:rsid w:val="000556ED"/>
    <w:rsid w:val="00055BB5"/>
    <w:rsid w:val="0005687A"/>
    <w:rsid w:val="000570FE"/>
    <w:rsid w:val="0006346C"/>
    <w:rsid w:val="00066BF3"/>
    <w:rsid w:val="00067070"/>
    <w:rsid w:val="00073971"/>
    <w:rsid w:val="0007786A"/>
    <w:rsid w:val="00083CB5"/>
    <w:rsid w:val="00083D8F"/>
    <w:rsid w:val="000846A9"/>
    <w:rsid w:val="000869B2"/>
    <w:rsid w:val="00087CDB"/>
    <w:rsid w:val="00090AD9"/>
    <w:rsid w:val="00094601"/>
    <w:rsid w:val="000951B6"/>
    <w:rsid w:val="000969EC"/>
    <w:rsid w:val="00096C98"/>
    <w:rsid w:val="00096CCB"/>
    <w:rsid w:val="00097404"/>
    <w:rsid w:val="000A050B"/>
    <w:rsid w:val="000A19F3"/>
    <w:rsid w:val="000A1AF4"/>
    <w:rsid w:val="000A3BB1"/>
    <w:rsid w:val="000A5DFF"/>
    <w:rsid w:val="000A65FB"/>
    <w:rsid w:val="000A7AF1"/>
    <w:rsid w:val="000B0EA1"/>
    <w:rsid w:val="000B1D4D"/>
    <w:rsid w:val="000B1E53"/>
    <w:rsid w:val="000B401E"/>
    <w:rsid w:val="000B6FC8"/>
    <w:rsid w:val="000B7910"/>
    <w:rsid w:val="000C238B"/>
    <w:rsid w:val="000C474B"/>
    <w:rsid w:val="000C4FA5"/>
    <w:rsid w:val="000C6502"/>
    <w:rsid w:val="000C737E"/>
    <w:rsid w:val="000D04A9"/>
    <w:rsid w:val="000D1AA5"/>
    <w:rsid w:val="000D1CFD"/>
    <w:rsid w:val="000D2CAA"/>
    <w:rsid w:val="000D2F01"/>
    <w:rsid w:val="000E0F1C"/>
    <w:rsid w:val="000E639D"/>
    <w:rsid w:val="000F0F1E"/>
    <w:rsid w:val="000F1241"/>
    <w:rsid w:val="000F139B"/>
    <w:rsid w:val="000F40E1"/>
    <w:rsid w:val="00100F73"/>
    <w:rsid w:val="001011F2"/>
    <w:rsid w:val="0010399D"/>
    <w:rsid w:val="00104C17"/>
    <w:rsid w:val="0010504D"/>
    <w:rsid w:val="00105B12"/>
    <w:rsid w:val="001079C2"/>
    <w:rsid w:val="001150C8"/>
    <w:rsid w:val="001157B1"/>
    <w:rsid w:val="001159B7"/>
    <w:rsid w:val="00116BFE"/>
    <w:rsid w:val="00120EA6"/>
    <w:rsid w:val="00122E0B"/>
    <w:rsid w:val="00125D44"/>
    <w:rsid w:val="0012799C"/>
    <w:rsid w:val="0013098D"/>
    <w:rsid w:val="00132323"/>
    <w:rsid w:val="00132D61"/>
    <w:rsid w:val="00134D28"/>
    <w:rsid w:val="001364CB"/>
    <w:rsid w:val="001374D1"/>
    <w:rsid w:val="001377D0"/>
    <w:rsid w:val="0014073D"/>
    <w:rsid w:val="00140A73"/>
    <w:rsid w:val="00140C64"/>
    <w:rsid w:val="00141187"/>
    <w:rsid w:val="00142557"/>
    <w:rsid w:val="00144678"/>
    <w:rsid w:val="00144A4F"/>
    <w:rsid w:val="00145203"/>
    <w:rsid w:val="001511C6"/>
    <w:rsid w:val="00156ABD"/>
    <w:rsid w:val="00157532"/>
    <w:rsid w:val="00160D8F"/>
    <w:rsid w:val="00160DF6"/>
    <w:rsid w:val="00161B78"/>
    <w:rsid w:val="00163D32"/>
    <w:rsid w:val="0016526A"/>
    <w:rsid w:val="00170BB2"/>
    <w:rsid w:val="001712D0"/>
    <w:rsid w:val="001712E2"/>
    <w:rsid w:val="00173063"/>
    <w:rsid w:val="001738AE"/>
    <w:rsid w:val="001761E7"/>
    <w:rsid w:val="00180C08"/>
    <w:rsid w:val="001813BF"/>
    <w:rsid w:val="00185CD9"/>
    <w:rsid w:val="00186B02"/>
    <w:rsid w:val="001914B2"/>
    <w:rsid w:val="00191A90"/>
    <w:rsid w:val="0019246F"/>
    <w:rsid w:val="00192753"/>
    <w:rsid w:val="0019383A"/>
    <w:rsid w:val="00195055"/>
    <w:rsid w:val="001A3F72"/>
    <w:rsid w:val="001A6085"/>
    <w:rsid w:val="001A7E0C"/>
    <w:rsid w:val="001B024A"/>
    <w:rsid w:val="001B098B"/>
    <w:rsid w:val="001B11F0"/>
    <w:rsid w:val="001B1869"/>
    <w:rsid w:val="001B2CB7"/>
    <w:rsid w:val="001B3108"/>
    <w:rsid w:val="001B318F"/>
    <w:rsid w:val="001B3672"/>
    <w:rsid w:val="001B4820"/>
    <w:rsid w:val="001B6804"/>
    <w:rsid w:val="001B6E8E"/>
    <w:rsid w:val="001C076B"/>
    <w:rsid w:val="001C0E8D"/>
    <w:rsid w:val="001C3EDF"/>
    <w:rsid w:val="001C515F"/>
    <w:rsid w:val="001D07B0"/>
    <w:rsid w:val="001D105F"/>
    <w:rsid w:val="001D2EF9"/>
    <w:rsid w:val="001D416A"/>
    <w:rsid w:val="001D6810"/>
    <w:rsid w:val="001D6E30"/>
    <w:rsid w:val="001E0E0E"/>
    <w:rsid w:val="001E1416"/>
    <w:rsid w:val="001E2DBF"/>
    <w:rsid w:val="001E31CC"/>
    <w:rsid w:val="001E4D0B"/>
    <w:rsid w:val="001E5DE5"/>
    <w:rsid w:val="001E6C0E"/>
    <w:rsid w:val="001F03B9"/>
    <w:rsid w:val="001F1BDD"/>
    <w:rsid w:val="001F21AE"/>
    <w:rsid w:val="001F51CF"/>
    <w:rsid w:val="0020139F"/>
    <w:rsid w:val="00203C5C"/>
    <w:rsid w:val="002048FA"/>
    <w:rsid w:val="00204BAD"/>
    <w:rsid w:val="00207249"/>
    <w:rsid w:val="00210149"/>
    <w:rsid w:val="0021046E"/>
    <w:rsid w:val="00210FF4"/>
    <w:rsid w:val="002114E8"/>
    <w:rsid w:val="002143C9"/>
    <w:rsid w:val="00215136"/>
    <w:rsid w:val="00215A56"/>
    <w:rsid w:val="00221CC7"/>
    <w:rsid w:val="00221D21"/>
    <w:rsid w:val="00223242"/>
    <w:rsid w:val="0022328A"/>
    <w:rsid w:val="00223684"/>
    <w:rsid w:val="002238E5"/>
    <w:rsid w:val="00223FF3"/>
    <w:rsid w:val="00224CF8"/>
    <w:rsid w:val="002267F8"/>
    <w:rsid w:val="0023072E"/>
    <w:rsid w:val="002314D2"/>
    <w:rsid w:val="00232A2A"/>
    <w:rsid w:val="00233690"/>
    <w:rsid w:val="00234018"/>
    <w:rsid w:val="00240D51"/>
    <w:rsid w:val="00243213"/>
    <w:rsid w:val="0024421C"/>
    <w:rsid w:val="002458BB"/>
    <w:rsid w:val="00246985"/>
    <w:rsid w:val="00250306"/>
    <w:rsid w:val="00253CF6"/>
    <w:rsid w:val="00254B74"/>
    <w:rsid w:val="002556D7"/>
    <w:rsid w:val="00255B38"/>
    <w:rsid w:val="00262068"/>
    <w:rsid w:val="00262345"/>
    <w:rsid w:val="0026250C"/>
    <w:rsid w:val="00263D62"/>
    <w:rsid w:val="00264A10"/>
    <w:rsid w:val="00265BE4"/>
    <w:rsid w:val="0027153A"/>
    <w:rsid w:val="002724B5"/>
    <w:rsid w:val="00272BCC"/>
    <w:rsid w:val="00274659"/>
    <w:rsid w:val="00274716"/>
    <w:rsid w:val="0027615F"/>
    <w:rsid w:val="00276163"/>
    <w:rsid w:val="00280BD5"/>
    <w:rsid w:val="00282E56"/>
    <w:rsid w:val="00286145"/>
    <w:rsid w:val="00291552"/>
    <w:rsid w:val="002919A5"/>
    <w:rsid w:val="002934E2"/>
    <w:rsid w:val="002954D3"/>
    <w:rsid w:val="00296216"/>
    <w:rsid w:val="00297B0D"/>
    <w:rsid w:val="00297B89"/>
    <w:rsid w:val="002A05E6"/>
    <w:rsid w:val="002A6981"/>
    <w:rsid w:val="002B07B9"/>
    <w:rsid w:val="002B180D"/>
    <w:rsid w:val="002B234F"/>
    <w:rsid w:val="002B3339"/>
    <w:rsid w:val="002B46A5"/>
    <w:rsid w:val="002B4825"/>
    <w:rsid w:val="002B584B"/>
    <w:rsid w:val="002B6241"/>
    <w:rsid w:val="002B6358"/>
    <w:rsid w:val="002C05EA"/>
    <w:rsid w:val="002C2439"/>
    <w:rsid w:val="002C28A3"/>
    <w:rsid w:val="002C367D"/>
    <w:rsid w:val="002C38CA"/>
    <w:rsid w:val="002C513F"/>
    <w:rsid w:val="002C5280"/>
    <w:rsid w:val="002C57D8"/>
    <w:rsid w:val="002D10B0"/>
    <w:rsid w:val="002D19AC"/>
    <w:rsid w:val="002D1BA2"/>
    <w:rsid w:val="002D24EE"/>
    <w:rsid w:val="002D6C5B"/>
    <w:rsid w:val="002D79FB"/>
    <w:rsid w:val="002E18CD"/>
    <w:rsid w:val="002E1E0E"/>
    <w:rsid w:val="002E352A"/>
    <w:rsid w:val="002E7406"/>
    <w:rsid w:val="002F0CB0"/>
    <w:rsid w:val="002F1E07"/>
    <w:rsid w:val="002F1FC8"/>
    <w:rsid w:val="002F49DF"/>
    <w:rsid w:val="002F4A36"/>
    <w:rsid w:val="002F50C5"/>
    <w:rsid w:val="003020FF"/>
    <w:rsid w:val="00304D4A"/>
    <w:rsid w:val="00305BB5"/>
    <w:rsid w:val="003060C9"/>
    <w:rsid w:val="0030772D"/>
    <w:rsid w:val="0031080E"/>
    <w:rsid w:val="00316B2F"/>
    <w:rsid w:val="003213D0"/>
    <w:rsid w:val="00323348"/>
    <w:rsid w:val="00323D0D"/>
    <w:rsid w:val="00324760"/>
    <w:rsid w:val="003248C3"/>
    <w:rsid w:val="00327E23"/>
    <w:rsid w:val="003307BD"/>
    <w:rsid w:val="0033657D"/>
    <w:rsid w:val="00336A78"/>
    <w:rsid w:val="00336E72"/>
    <w:rsid w:val="00337DB5"/>
    <w:rsid w:val="00340E33"/>
    <w:rsid w:val="00341039"/>
    <w:rsid w:val="00341447"/>
    <w:rsid w:val="003429AA"/>
    <w:rsid w:val="003435EC"/>
    <w:rsid w:val="00343F95"/>
    <w:rsid w:val="00344861"/>
    <w:rsid w:val="00353C3C"/>
    <w:rsid w:val="0035400B"/>
    <w:rsid w:val="00354324"/>
    <w:rsid w:val="00356463"/>
    <w:rsid w:val="0036352A"/>
    <w:rsid w:val="003659E2"/>
    <w:rsid w:val="00376C30"/>
    <w:rsid w:val="003801A9"/>
    <w:rsid w:val="0038211A"/>
    <w:rsid w:val="00382BD9"/>
    <w:rsid w:val="00383476"/>
    <w:rsid w:val="00384C9B"/>
    <w:rsid w:val="0038575D"/>
    <w:rsid w:val="0039152F"/>
    <w:rsid w:val="00391A12"/>
    <w:rsid w:val="00391AA7"/>
    <w:rsid w:val="00392B46"/>
    <w:rsid w:val="0039337E"/>
    <w:rsid w:val="00393F65"/>
    <w:rsid w:val="00394476"/>
    <w:rsid w:val="0039674F"/>
    <w:rsid w:val="003974BE"/>
    <w:rsid w:val="003975B5"/>
    <w:rsid w:val="003A2926"/>
    <w:rsid w:val="003A3AFC"/>
    <w:rsid w:val="003A509F"/>
    <w:rsid w:val="003A6CD6"/>
    <w:rsid w:val="003A6F97"/>
    <w:rsid w:val="003B063E"/>
    <w:rsid w:val="003B3B06"/>
    <w:rsid w:val="003B4C15"/>
    <w:rsid w:val="003B6212"/>
    <w:rsid w:val="003B709A"/>
    <w:rsid w:val="003C016C"/>
    <w:rsid w:val="003C2A2E"/>
    <w:rsid w:val="003C2B81"/>
    <w:rsid w:val="003C35A1"/>
    <w:rsid w:val="003C4A01"/>
    <w:rsid w:val="003C5D8F"/>
    <w:rsid w:val="003C7454"/>
    <w:rsid w:val="003D05CF"/>
    <w:rsid w:val="003D185A"/>
    <w:rsid w:val="003D2FD1"/>
    <w:rsid w:val="003D49BB"/>
    <w:rsid w:val="003D4F39"/>
    <w:rsid w:val="003D550E"/>
    <w:rsid w:val="003D5CE7"/>
    <w:rsid w:val="003E02FF"/>
    <w:rsid w:val="003E0DAD"/>
    <w:rsid w:val="003E1077"/>
    <w:rsid w:val="003E2569"/>
    <w:rsid w:val="003E327C"/>
    <w:rsid w:val="003E343F"/>
    <w:rsid w:val="003E596B"/>
    <w:rsid w:val="003E6A83"/>
    <w:rsid w:val="003E7EA5"/>
    <w:rsid w:val="003E7EE7"/>
    <w:rsid w:val="003F1AB0"/>
    <w:rsid w:val="003F24B5"/>
    <w:rsid w:val="003F3F93"/>
    <w:rsid w:val="003F6293"/>
    <w:rsid w:val="00400C7A"/>
    <w:rsid w:val="00401D1C"/>
    <w:rsid w:val="00402176"/>
    <w:rsid w:val="0040269C"/>
    <w:rsid w:val="004026F5"/>
    <w:rsid w:val="004057A4"/>
    <w:rsid w:val="0040581D"/>
    <w:rsid w:val="004129D5"/>
    <w:rsid w:val="00412C12"/>
    <w:rsid w:val="004164B8"/>
    <w:rsid w:val="004201DB"/>
    <w:rsid w:val="004203BE"/>
    <w:rsid w:val="004230EF"/>
    <w:rsid w:val="00424C1B"/>
    <w:rsid w:val="00430260"/>
    <w:rsid w:val="00431682"/>
    <w:rsid w:val="004319A2"/>
    <w:rsid w:val="00432105"/>
    <w:rsid w:val="004325E2"/>
    <w:rsid w:val="004344AD"/>
    <w:rsid w:val="0043484F"/>
    <w:rsid w:val="00436577"/>
    <w:rsid w:val="00436685"/>
    <w:rsid w:val="00436775"/>
    <w:rsid w:val="00441A92"/>
    <w:rsid w:val="00441FF0"/>
    <w:rsid w:val="00442E8D"/>
    <w:rsid w:val="004430D3"/>
    <w:rsid w:val="00444E7A"/>
    <w:rsid w:val="00445E11"/>
    <w:rsid w:val="00446DBE"/>
    <w:rsid w:val="00452355"/>
    <w:rsid w:val="004536AD"/>
    <w:rsid w:val="004542BB"/>
    <w:rsid w:val="00455CC0"/>
    <w:rsid w:val="004564AF"/>
    <w:rsid w:val="00456AE0"/>
    <w:rsid w:val="00457179"/>
    <w:rsid w:val="00460B84"/>
    <w:rsid w:val="00461229"/>
    <w:rsid w:val="004616E4"/>
    <w:rsid w:val="00462798"/>
    <w:rsid w:val="00465352"/>
    <w:rsid w:val="004671A3"/>
    <w:rsid w:val="00470AED"/>
    <w:rsid w:val="004728E8"/>
    <w:rsid w:val="004768EA"/>
    <w:rsid w:val="0047705D"/>
    <w:rsid w:val="0047755E"/>
    <w:rsid w:val="00485B0B"/>
    <w:rsid w:val="0048632C"/>
    <w:rsid w:val="00486426"/>
    <w:rsid w:val="00487431"/>
    <w:rsid w:val="004877E9"/>
    <w:rsid w:val="00492016"/>
    <w:rsid w:val="00493270"/>
    <w:rsid w:val="00493F29"/>
    <w:rsid w:val="00494748"/>
    <w:rsid w:val="00497871"/>
    <w:rsid w:val="00497DC7"/>
    <w:rsid w:val="004A1F3B"/>
    <w:rsid w:val="004A571C"/>
    <w:rsid w:val="004B0C95"/>
    <w:rsid w:val="004B14C0"/>
    <w:rsid w:val="004B22A9"/>
    <w:rsid w:val="004B2416"/>
    <w:rsid w:val="004B272F"/>
    <w:rsid w:val="004B2965"/>
    <w:rsid w:val="004B2EE5"/>
    <w:rsid w:val="004B3C1B"/>
    <w:rsid w:val="004B489B"/>
    <w:rsid w:val="004B4EA3"/>
    <w:rsid w:val="004B6963"/>
    <w:rsid w:val="004B6CED"/>
    <w:rsid w:val="004B794D"/>
    <w:rsid w:val="004C045B"/>
    <w:rsid w:val="004C0B3F"/>
    <w:rsid w:val="004C134A"/>
    <w:rsid w:val="004C1C3E"/>
    <w:rsid w:val="004D1398"/>
    <w:rsid w:val="004D19E4"/>
    <w:rsid w:val="004D2A66"/>
    <w:rsid w:val="004D3261"/>
    <w:rsid w:val="004D556F"/>
    <w:rsid w:val="004D62F2"/>
    <w:rsid w:val="004D6EF6"/>
    <w:rsid w:val="004D747A"/>
    <w:rsid w:val="004D7C26"/>
    <w:rsid w:val="004E1225"/>
    <w:rsid w:val="004E1787"/>
    <w:rsid w:val="004E19CB"/>
    <w:rsid w:val="004E407D"/>
    <w:rsid w:val="004E4CE5"/>
    <w:rsid w:val="004E57AE"/>
    <w:rsid w:val="004E7815"/>
    <w:rsid w:val="004F0239"/>
    <w:rsid w:val="004F158A"/>
    <w:rsid w:val="004F17F2"/>
    <w:rsid w:val="004F1931"/>
    <w:rsid w:val="004F29B1"/>
    <w:rsid w:val="004F31D1"/>
    <w:rsid w:val="004F4C11"/>
    <w:rsid w:val="004F5A34"/>
    <w:rsid w:val="005003F1"/>
    <w:rsid w:val="00502059"/>
    <w:rsid w:val="00502418"/>
    <w:rsid w:val="005028EA"/>
    <w:rsid w:val="005072FD"/>
    <w:rsid w:val="0051245D"/>
    <w:rsid w:val="00512E48"/>
    <w:rsid w:val="00513C4A"/>
    <w:rsid w:val="00515189"/>
    <w:rsid w:val="0052075F"/>
    <w:rsid w:val="0052434E"/>
    <w:rsid w:val="005267EC"/>
    <w:rsid w:val="0052689F"/>
    <w:rsid w:val="005273AC"/>
    <w:rsid w:val="00531131"/>
    <w:rsid w:val="00532799"/>
    <w:rsid w:val="00533E80"/>
    <w:rsid w:val="00540710"/>
    <w:rsid w:val="00540FE8"/>
    <w:rsid w:val="00542382"/>
    <w:rsid w:val="00555B5F"/>
    <w:rsid w:val="00556200"/>
    <w:rsid w:val="005564DE"/>
    <w:rsid w:val="00556CEA"/>
    <w:rsid w:val="00560503"/>
    <w:rsid w:val="00560D86"/>
    <w:rsid w:val="00561A85"/>
    <w:rsid w:val="00561D26"/>
    <w:rsid w:val="0056459A"/>
    <w:rsid w:val="005662D1"/>
    <w:rsid w:val="00570DD3"/>
    <w:rsid w:val="00572246"/>
    <w:rsid w:val="00573A0E"/>
    <w:rsid w:val="0057598E"/>
    <w:rsid w:val="005759C0"/>
    <w:rsid w:val="00582878"/>
    <w:rsid w:val="005865BD"/>
    <w:rsid w:val="005915F0"/>
    <w:rsid w:val="0059504E"/>
    <w:rsid w:val="00595DDF"/>
    <w:rsid w:val="00596A09"/>
    <w:rsid w:val="00597316"/>
    <w:rsid w:val="005A67A9"/>
    <w:rsid w:val="005A7BBA"/>
    <w:rsid w:val="005B035D"/>
    <w:rsid w:val="005B0F69"/>
    <w:rsid w:val="005B2D67"/>
    <w:rsid w:val="005B4096"/>
    <w:rsid w:val="005B6914"/>
    <w:rsid w:val="005B7BCF"/>
    <w:rsid w:val="005C0197"/>
    <w:rsid w:val="005C07B8"/>
    <w:rsid w:val="005C1490"/>
    <w:rsid w:val="005C2BD9"/>
    <w:rsid w:val="005C314D"/>
    <w:rsid w:val="005D14EB"/>
    <w:rsid w:val="005D212B"/>
    <w:rsid w:val="005D3900"/>
    <w:rsid w:val="005D3FF8"/>
    <w:rsid w:val="005D4831"/>
    <w:rsid w:val="005D7723"/>
    <w:rsid w:val="005E43A9"/>
    <w:rsid w:val="005E4A95"/>
    <w:rsid w:val="005E6243"/>
    <w:rsid w:val="005E701D"/>
    <w:rsid w:val="005F1754"/>
    <w:rsid w:val="005F1836"/>
    <w:rsid w:val="005F5060"/>
    <w:rsid w:val="005F6167"/>
    <w:rsid w:val="006001B0"/>
    <w:rsid w:val="006008B5"/>
    <w:rsid w:val="006018F5"/>
    <w:rsid w:val="0060278C"/>
    <w:rsid w:val="00603C83"/>
    <w:rsid w:val="0060538A"/>
    <w:rsid w:val="00607BDF"/>
    <w:rsid w:val="00610C79"/>
    <w:rsid w:val="00612249"/>
    <w:rsid w:val="0061314D"/>
    <w:rsid w:val="0061388D"/>
    <w:rsid w:val="006148FF"/>
    <w:rsid w:val="00615D0F"/>
    <w:rsid w:val="0061705E"/>
    <w:rsid w:val="00617428"/>
    <w:rsid w:val="00617FCF"/>
    <w:rsid w:val="0062099B"/>
    <w:rsid w:val="00621CCF"/>
    <w:rsid w:val="00621CF0"/>
    <w:rsid w:val="0062616F"/>
    <w:rsid w:val="00627940"/>
    <w:rsid w:val="00627F82"/>
    <w:rsid w:val="00630575"/>
    <w:rsid w:val="00631DAE"/>
    <w:rsid w:val="006349AB"/>
    <w:rsid w:val="00635AA2"/>
    <w:rsid w:val="00636EE4"/>
    <w:rsid w:val="00637088"/>
    <w:rsid w:val="00637586"/>
    <w:rsid w:val="0063784B"/>
    <w:rsid w:val="00642FB1"/>
    <w:rsid w:val="00643169"/>
    <w:rsid w:val="00644397"/>
    <w:rsid w:val="00645F35"/>
    <w:rsid w:val="0064680C"/>
    <w:rsid w:val="00647C15"/>
    <w:rsid w:val="00650B71"/>
    <w:rsid w:val="00652F8D"/>
    <w:rsid w:val="00653B76"/>
    <w:rsid w:val="00653CEB"/>
    <w:rsid w:val="00654443"/>
    <w:rsid w:val="006544F2"/>
    <w:rsid w:val="00654730"/>
    <w:rsid w:val="006564B8"/>
    <w:rsid w:val="00656BDC"/>
    <w:rsid w:val="00656C87"/>
    <w:rsid w:val="00657F6B"/>
    <w:rsid w:val="0066266F"/>
    <w:rsid w:val="006637BE"/>
    <w:rsid w:val="00665011"/>
    <w:rsid w:val="006651C8"/>
    <w:rsid w:val="00667F64"/>
    <w:rsid w:val="00670C5B"/>
    <w:rsid w:val="00670C86"/>
    <w:rsid w:val="00672530"/>
    <w:rsid w:val="00672BE7"/>
    <w:rsid w:val="006734B6"/>
    <w:rsid w:val="00673DD8"/>
    <w:rsid w:val="006748E5"/>
    <w:rsid w:val="006759B5"/>
    <w:rsid w:val="00675AC7"/>
    <w:rsid w:val="00677CB3"/>
    <w:rsid w:val="00677F96"/>
    <w:rsid w:val="006818E6"/>
    <w:rsid w:val="00681942"/>
    <w:rsid w:val="00684001"/>
    <w:rsid w:val="006848D1"/>
    <w:rsid w:val="0068495F"/>
    <w:rsid w:val="00684E9A"/>
    <w:rsid w:val="00686CD6"/>
    <w:rsid w:val="00687090"/>
    <w:rsid w:val="006906E1"/>
    <w:rsid w:val="00693551"/>
    <w:rsid w:val="00695C30"/>
    <w:rsid w:val="006A0F86"/>
    <w:rsid w:val="006A2836"/>
    <w:rsid w:val="006B0F6A"/>
    <w:rsid w:val="006B18BF"/>
    <w:rsid w:val="006B6D2A"/>
    <w:rsid w:val="006C0056"/>
    <w:rsid w:val="006C19A7"/>
    <w:rsid w:val="006C3C3F"/>
    <w:rsid w:val="006C5184"/>
    <w:rsid w:val="006C5309"/>
    <w:rsid w:val="006C57E2"/>
    <w:rsid w:val="006C70CB"/>
    <w:rsid w:val="006D0F9D"/>
    <w:rsid w:val="006D364E"/>
    <w:rsid w:val="006D3DE7"/>
    <w:rsid w:val="006D578C"/>
    <w:rsid w:val="006D5B55"/>
    <w:rsid w:val="006D74C7"/>
    <w:rsid w:val="006E084B"/>
    <w:rsid w:val="006E0D5B"/>
    <w:rsid w:val="006E226E"/>
    <w:rsid w:val="006E26BD"/>
    <w:rsid w:val="006E386B"/>
    <w:rsid w:val="006E6898"/>
    <w:rsid w:val="006F04D1"/>
    <w:rsid w:val="006F2A9F"/>
    <w:rsid w:val="006F372F"/>
    <w:rsid w:val="006F5257"/>
    <w:rsid w:val="00700FD4"/>
    <w:rsid w:val="0070181A"/>
    <w:rsid w:val="00701B74"/>
    <w:rsid w:val="00705A2D"/>
    <w:rsid w:val="0070698F"/>
    <w:rsid w:val="007078FB"/>
    <w:rsid w:val="00712A22"/>
    <w:rsid w:val="007134C3"/>
    <w:rsid w:val="00713AD8"/>
    <w:rsid w:val="00714029"/>
    <w:rsid w:val="00714F12"/>
    <w:rsid w:val="00720A48"/>
    <w:rsid w:val="00720BD1"/>
    <w:rsid w:val="0072172A"/>
    <w:rsid w:val="007221AD"/>
    <w:rsid w:val="007225ED"/>
    <w:rsid w:val="00723BC2"/>
    <w:rsid w:val="00723CA1"/>
    <w:rsid w:val="00730689"/>
    <w:rsid w:val="0073104A"/>
    <w:rsid w:val="00733300"/>
    <w:rsid w:val="00737615"/>
    <w:rsid w:val="0073768F"/>
    <w:rsid w:val="00740C24"/>
    <w:rsid w:val="00741374"/>
    <w:rsid w:val="00743F34"/>
    <w:rsid w:val="00746BDF"/>
    <w:rsid w:val="00747257"/>
    <w:rsid w:val="00750288"/>
    <w:rsid w:val="007531E6"/>
    <w:rsid w:val="0075691A"/>
    <w:rsid w:val="00756D19"/>
    <w:rsid w:val="00763EEF"/>
    <w:rsid w:val="00766316"/>
    <w:rsid w:val="007677A5"/>
    <w:rsid w:val="00773A33"/>
    <w:rsid w:val="00774B66"/>
    <w:rsid w:val="007801BE"/>
    <w:rsid w:val="0078298C"/>
    <w:rsid w:val="007850E6"/>
    <w:rsid w:val="00787390"/>
    <w:rsid w:val="007875B7"/>
    <w:rsid w:val="00787E38"/>
    <w:rsid w:val="007924D2"/>
    <w:rsid w:val="007962D6"/>
    <w:rsid w:val="007964FB"/>
    <w:rsid w:val="007A2EA8"/>
    <w:rsid w:val="007A4EC5"/>
    <w:rsid w:val="007B0B4B"/>
    <w:rsid w:val="007B0F8C"/>
    <w:rsid w:val="007B11DC"/>
    <w:rsid w:val="007B2887"/>
    <w:rsid w:val="007B3247"/>
    <w:rsid w:val="007B462E"/>
    <w:rsid w:val="007B4A87"/>
    <w:rsid w:val="007B5131"/>
    <w:rsid w:val="007B57DB"/>
    <w:rsid w:val="007C43D8"/>
    <w:rsid w:val="007C5107"/>
    <w:rsid w:val="007D027F"/>
    <w:rsid w:val="007D09C7"/>
    <w:rsid w:val="007D0F23"/>
    <w:rsid w:val="007D2AF8"/>
    <w:rsid w:val="007D4F62"/>
    <w:rsid w:val="007D5291"/>
    <w:rsid w:val="007D605E"/>
    <w:rsid w:val="007D6290"/>
    <w:rsid w:val="007D6F9F"/>
    <w:rsid w:val="007E22A5"/>
    <w:rsid w:val="007E2B10"/>
    <w:rsid w:val="007E2C5B"/>
    <w:rsid w:val="007E489E"/>
    <w:rsid w:val="007E7B93"/>
    <w:rsid w:val="007F5B2B"/>
    <w:rsid w:val="007F62AB"/>
    <w:rsid w:val="007F66B9"/>
    <w:rsid w:val="007F6DA7"/>
    <w:rsid w:val="007F7C45"/>
    <w:rsid w:val="00800E27"/>
    <w:rsid w:val="008049B1"/>
    <w:rsid w:val="00807B06"/>
    <w:rsid w:val="00807DF1"/>
    <w:rsid w:val="00807FF1"/>
    <w:rsid w:val="008106E9"/>
    <w:rsid w:val="008123E5"/>
    <w:rsid w:val="008127F1"/>
    <w:rsid w:val="00816578"/>
    <w:rsid w:val="0081671A"/>
    <w:rsid w:val="00816B3A"/>
    <w:rsid w:val="00822465"/>
    <w:rsid w:val="008233B1"/>
    <w:rsid w:val="00823666"/>
    <w:rsid w:val="00823A62"/>
    <w:rsid w:val="0082438E"/>
    <w:rsid w:val="00824627"/>
    <w:rsid w:val="00824B84"/>
    <w:rsid w:val="008303C9"/>
    <w:rsid w:val="008309D0"/>
    <w:rsid w:val="00832070"/>
    <w:rsid w:val="00834844"/>
    <w:rsid w:val="00835C41"/>
    <w:rsid w:val="00835D68"/>
    <w:rsid w:val="00835ED2"/>
    <w:rsid w:val="0083606D"/>
    <w:rsid w:val="0083628C"/>
    <w:rsid w:val="00842399"/>
    <w:rsid w:val="00847D97"/>
    <w:rsid w:val="00850178"/>
    <w:rsid w:val="00854578"/>
    <w:rsid w:val="00855128"/>
    <w:rsid w:val="00856987"/>
    <w:rsid w:val="00856B10"/>
    <w:rsid w:val="00856B6C"/>
    <w:rsid w:val="008607D6"/>
    <w:rsid w:val="00861F18"/>
    <w:rsid w:val="00862508"/>
    <w:rsid w:val="00863498"/>
    <w:rsid w:val="00863D18"/>
    <w:rsid w:val="008644F4"/>
    <w:rsid w:val="00865087"/>
    <w:rsid w:val="008677E7"/>
    <w:rsid w:val="00870FB8"/>
    <w:rsid w:val="00876565"/>
    <w:rsid w:val="00880219"/>
    <w:rsid w:val="0088238E"/>
    <w:rsid w:val="0088302D"/>
    <w:rsid w:val="00884A20"/>
    <w:rsid w:val="0088727B"/>
    <w:rsid w:val="008872D9"/>
    <w:rsid w:val="008911B7"/>
    <w:rsid w:val="008922A9"/>
    <w:rsid w:val="00893D5F"/>
    <w:rsid w:val="0089472F"/>
    <w:rsid w:val="00895618"/>
    <w:rsid w:val="00896D57"/>
    <w:rsid w:val="00897962"/>
    <w:rsid w:val="008A3744"/>
    <w:rsid w:val="008A3D9D"/>
    <w:rsid w:val="008A6945"/>
    <w:rsid w:val="008B27CA"/>
    <w:rsid w:val="008B3665"/>
    <w:rsid w:val="008B472D"/>
    <w:rsid w:val="008B4ED5"/>
    <w:rsid w:val="008B5258"/>
    <w:rsid w:val="008C0E52"/>
    <w:rsid w:val="008C1CD7"/>
    <w:rsid w:val="008C233A"/>
    <w:rsid w:val="008C357C"/>
    <w:rsid w:val="008C3D43"/>
    <w:rsid w:val="008C4009"/>
    <w:rsid w:val="008C4F79"/>
    <w:rsid w:val="008C7B75"/>
    <w:rsid w:val="008D0CA9"/>
    <w:rsid w:val="008D10BC"/>
    <w:rsid w:val="008D12AE"/>
    <w:rsid w:val="008D1968"/>
    <w:rsid w:val="008D2F35"/>
    <w:rsid w:val="008D416B"/>
    <w:rsid w:val="008E07FF"/>
    <w:rsid w:val="008E2314"/>
    <w:rsid w:val="008E242E"/>
    <w:rsid w:val="008E4549"/>
    <w:rsid w:val="008E640A"/>
    <w:rsid w:val="008E6A48"/>
    <w:rsid w:val="008F05EA"/>
    <w:rsid w:val="008F19DF"/>
    <w:rsid w:val="008F4977"/>
    <w:rsid w:val="009008A8"/>
    <w:rsid w:val="00901A49"/>
    <w:rsid w:val="009024EB"/>
    <w:rsid w:val="00902E9A"/>
    <w:rsid w:val="009117DB"/>
    <w:rsid w:val="0091209A"/>
    <w:rsid w:val="0091409F"/>
    <w:rsid w:val="0091540B"/>
    <w:rsid w:val="009165C7"/>
    <w:rsid w:val="00916647"/>
    <w:rsid w:val="0092257C"/>
    <w:rsid w:val="00922BF6"/>
    <w:rsid w:val="009243AA"/>
    <w:rsid w:val="00925E0B"/>
    <w:rsid w:val="009267AA"/>
    <w:rsid w:val="00933A01"/>
    <w:rsid w:val="00933B70"/>
    <w:rsid w:val="00934414"/>
    <w:rsid w:val="00935F1D"/>
    <w:rsid w:val="00936943"/>
    <w:rsid w:val="00936995"/>
    <w:rsid w:val="00936D83"/>
    <w:rsid w:val="00940472"/>
    <w:rsid w:val="00941BB6"/>
    <w:rsid w:val="00943663"/>
    <w:rsid w:val="009437C4"/>
    <w:rsid w:val="009443A8"/>
    <w:rsid w:val="009444A4"/>
    <w:rsid w:val="00944AD8"/>
    <w:rsid w:val="00945C8D"/>
    <w:rsid w:val="009473EF"/>
    <w:rsid w:val="00950CAA"/>
    <w:rsid w:val="00951854"/>
    <w:rsid w:val="00952A1C"/>
    <w:rsid w:val="00954473"/>
    <w:rsid w:val="009546AA"/>
    <w:rsid w:val="00954BDC"/>
    <w:rsid w:val="00955413"/>
    <w:rsid w:val="00956F82"/>
    <w:rsid w:val="009571B9"/>
    <w:rsid w:val="009602DA"/>
    <w:rsid w:val="00961851"/>
    <w:rsid w:val="00961C1D"/>
    <w:rsid w:val="00962E31"/>
    <w:rsid w:val="009640D0"/>
    <w:rsid w:val="00964FC5"/>
    <w:rsid w:val="00965EC2"/>
    <w:rsid w:val="00966AC3"/>
    <w:rsid w:val="009704E3"/>
    <w:rsid w:val="009706ED"/>
    <w:rsid w:val="00970C77"/>
    <w:rsid w:val="0097186A"/>
    <w:rsid w:val="00973143"/>
    <w:rsid w:val="009762C9"/>
    <w:rsid w:val="0097784E"/>
    <w:rsid w:val="0098082A"/>
    <w:rsid w:val="0098098A"/>
    <w:rsid w:val="009818D3"/>
    <w:rsid w:val="00983FBF"/>
    <w:rsid w:val="00984136"/>
    <w:rsid w:val="009844FA"/>
    <w:rsid w:val="00984670"/>
    <w:rsid w:val="009864D9"/>
    <w:rsid w:val="00986E19"/>
    <w:rsid w:val="009879D2"/>
    <w:rsid w:val="009924E7"/>
    <w:rsid w:val="00993227"/>
    <w:rsid w:val="00993A4B"/>
    <w:rsid w:val="00994831"/>
    <w:rsid w:val="009A1ED6"/>
    <w:rsid w:val="009A21E4"/>
    <w:rsid w:val="009A4C5B"/>
    <w:rsid w:val="009B0B08"/>
    <w:rsid w:val="009B5ACD"/>
    <w:rsid w:val="009B7CD1"/>
    <w:rsid w:val="009C1008"/>
    <w:rsid w:val="009C1786"/>
    <w:rsid w:val="009C2827"/>
    <w:rsid w:val="009C37D9"/>
    <w:rsid w:val="009C5E90"/>
    <w:rsid w:val="009C6A7D"/>
    <w:rsid w:val="009C75E6"/>
    <w:rsid w:val="009D066C"/>
    <w:rsid w:val="009D1DF6"/>
    <w:rsid w:val="009D2ED7"/>
    <w:rsid w:val="009D783B"/>
    <w:rsid w:val="009E2580"/>
    <w:rsid w:val="009E4E9A"/>
    <w:rsid w:val="009E51A5"/>
    <w:rsid w:val="009F286A"/>
    <w:rsid w:val="009F4E02"/>
    <w:rsid w:val="009F506A"/>
    <w:rsid w:val="00A017EA"/>
    <w:rsid w:val="00A019C3"/>
    <w:rsid w:val="00A04415"/>
    <w:rsid w:val="00A04855"/>
    <w:rsid w:val="00A12B0B"/>
    <w:rsid w:val="00A1377F"/>
    <w:rsid w:val="00A20849"/>
    <w:rsid w:val="00A24401"/>
    <w:rsid w:val="00A24F95"/>
    <w:rsid w:val="00A35FEE"/>
    <w:rsid w:val="00A410E1"/>
    <w:rsid w:val="00A41C73"/>
    <w:rsid w:val="00A42DAF"/>
    <w:rsid w:val="00A448D2"/>
    <w:rsid w:val="00A45724"/>
    <w:rsid w:val="00A47EA7"/>
    <w:rsid w:val="00A51039"/>
    <w:rsid w:val="00A52B83"/>
    <w:rsid w:val="00A644D9"/>
    <w:rsid w:val="00A64CD7"/>
    <w:rsid w:val="00A70B49"/>
    <w:rsid w:val="00A70C8B"/>
    <w:rsid w:val="00A70EA4"/>
    <w:rsid w:val="00A72AA2"/>
    <w:rsid w:val="00A737C8"/>
    <w:rsid w:val="00A73C4F"/>
    <w:rsid w:val="00A74B52"/>
    <w:rsid w:val="00A7536E"/>
    <w:rsid w:val="00A75E3C"/>
    <w:rsid w:val="00A8137B"/>
    <w:rsid w:val="00A81AFF"/>
    <w:rsid w:val="00A81B18"/>
    <w:rsid w:val="00A8266D"/>
    <w:rsid w:val="00A84C25"/>
    <w:rsid w:val="00A85FA7"/>
    <w:rsid w:val="00A91C5D"/>
    <w:rsid w:val="00A9414F"/>
    <w:rsid w:val="00A96517"/>
    <w:rsid w:val="00AA230F"/>
    <w:rsid w:val="00AA2F5E"/>
    <w:rsid w:val="00AA5455"/>
    <w:rsid w:val="00AA5B25"/>
    <w:rsid w:val="00AA6818"/>
    <w:rsid w:val="00AA7198"/>
    <w:rsid w:val="00AB0251"/>
    <w:rsid w:val="00AB063D"/>
    <w:rsid w:val="00AB0DD1"/>
    <w:rsid w:val="00AB5A71"/>
    <w:rsid w:val="00AB75E3"/>
    <w:rsid w:val="00AB7799"/>
    <w:rsid w:val="00AC0D67"/>
    <w:rsid w:val="00AC2FD5"/>
    <w:rsid w:val="00AC4727"/>
    <w:rsid w:val="00AC668A"/>
    <w:rsid w:val="00AC67BD"/>
    <w:rsid w:val="00AD4EF8"/>
    <w:rsid w:val="00AE10DB"/>
    <w:rsid w:val="00AE2079"/>
    <w:rsid w:val="00AF0547"/>
    <w:rsid w:val="00AF06F6"/>
    <w:rsid w:val="00AF35E1"/>
    <w:rsid w:val="00AF4B91"/>
    <w:rsid w:val="00AF4CD4"/>
    <w:rsid w:val="00AF5CA2"/>
    <w:rsid w:val="00AF5E35"/>
    <w:rsid w:val="00AF5FB5"/>
    <w:rsid w:val="00B00FEE"/>
    <w:rsid w:val="00B021D9"/>
    <w:rsid w:val="00B02B19"/>
    <w:rsid w:val="00B02C22"/>
    <w:rsid w:val="00B0384C"/>
    <w:rsid w:val="00B1072F"/>
    <w:rsid w:val="00B11019"/>
    <w:rsid w:val="00B11B6D"/>
    <w:rsid w:val="00B147A7"/>
    <w:rsid w:val="00B16AA4"/>
    <w:rsid w:val="00B34F52"/>
    <w:rsid w:val="00B35314"/>
    <w:rsid w:val="00B3723A"/>
    <w:rsid w:val="00B37E88"/>
    <w:rsid w:val="00B401A7"/>
    <w:rsid w:val="00B410E4"/>
    <w:rsid w:val="00B4576A"/>
    <w:rsid w:val="00B4722C"/>
    <w:rsid w:val="00B473A3"/>
    <w:rsid w:val="00B47797"/>
    <w:rsid w:val="00B51594"/>
    <w:rsid w:val="00B600BA"/>
    <w:rsid w:val="00B60696"/>
    <w:rsid w:val="00B60A2A"/>
    <w:rsid w:val="00B60A6A"/>
    <w:rsid w:val="00B63E9B"/>
    <w:rsid w:val="00B65239"/>
    <w:rsid w:val="00B67332"/>
    <w:rsid w:val="00B677D7"/>
    <w:rsid w:val="00B67A66"/>
    <w:rsid w:val="00B7109F"/>
    <w:rsid w:val="00B7288F"/>
    <w:rsid w:val="00B73CF8"/>
    <w:rsid w:val="00B74C6A"/>
    <w:rsid w:val="00B760BC"/>
    <w:rsid w:val="00B7656B"/>
    <w:rsid w:val="00B774B0"/>
    <w:rsid w:val="00B80086"/>
    <w:rsid w:val="00B80E1D"/>
    <w:rsid w:val="00B81249"/>
    <w:rsid w:val="00B84342"/>
    <w:rsid w:val="00B8727E"/>
    <w:rsid w:val="00B90351"/>
    <w:rsid w:val="00B903E5"/>
    <w:rsid w:val="00B90E92"/>
    <w:rsid w:val="00B94B62"/>
    <w:rsid w:val="00B94D07"/>
    <w:rsid w:val="00B95BA6"/>
    <w:rsid w:val="00BA19FD"/>
    <w:rsid w:val="00BA1BE6"/>
    <w:rsid w:val="00BA1FAF"/>
    <w:rsid w:val="00BA4D25"/>
    <w:rsid w:val="00BA53E9"/>
    <w:rsid w:val="00BA6B22"/>
    <w:rsid w:val="00BA6DAE"/>
    <w:rsid w:val="00BC01B5"/>
    <w:rsid w:val="00BC1169"/>
    <w:rsid w:val="00BC1A97"/>
    <w:rsid w:val="00BC433B"/>
    <w:rsid w:val="00BC4656"/>
    <w:rsid w:val="00BC4B0C"/>
    <w:rsid w:val="00BC7031"/>
    <w:rsid w:val="00BC77BF"/>
    <w:rsid w:val="00BC7F4A"/>
    <w:rsid w:val="00BD159F"/>
    <w:rsid w:val="00BD26DB"/>
    <w:rsid w:val="00BD28C9"/>
    <w:rsid w:val="00BD7510"/>
    <w:rsid w:val="00BE2994"/>
    <w:rsid w:val="00BE4363"/>
    <w:rsid w:val="00BE4812"/>
    <w:rsid w:val="00BE751A"/>
    <w:rsid w:val="00BF34A2"/>
    <w:rsid w:val="00BF3C04"/>
    <w:rsid w:val="00BF4389"/>
    <w:rsid w:val="00BF69F1"/>
    <w:rsid w:val="00BF79AF"/>
    <w:rsid w:val="00C0053E"/>
    <w:rsid w:val="00C02C14"/>
    <w:rsid w:val="00C0398F"/>
    <w:rsid w:val="00C05E46"/>
    <w:rsid w:val="00C06F84"/>
    <w:rsid w:val="00C10853"/>
    <w:rsid w:val="00C149E6"/>
    <w:rsid w:val="00C166B9"/>
    <w:rsid w:val="00C16AED"/>
    <w:rsid w:val="00C172CE"/>
    <w:rsid w:val="00C17366"/>
    <w:rsid w:val="00C31326"/>
    <w:rsid w:val="00C36837"/>
    <w:rsid w:val="00C3726C"/>
    <w:rsid w:val="00C4139D"/>
    <w:rsid w:val="00C41FBD"/>
    <w:rsid w:val="00C4255C"/>
    <w:rsid w:val="00C43A2A"/>
    <w:rsid w:val="00C44918"/>
    <w:rsid w:val="00C47F94"/>
    <w:rsid w:val="00C507AB"/>
    <w:rsid w:val="00C50973"/>
    <w:rsid w:val="00C51537"/>
    <w:rsid w:val="00C51E03"/>
    <w:rsid w:val="00C5239E"/>
    <w:rsid w:val="00C554CA"/>
    <w:rsid w:val="00C5602B"/>
    <w:rsid w:val="00C60326"/>
    <w:rsid w:val="00C616EB"/>
    <w:rsid w:val="00C61A94"/>
    <w:rsid w:val="00C62562"/>
    <w:rsid w:val="00C62793"/>
    <w:rsid w:val="00C63996"/>
    <w:rsid w:val="00C67D1D"/>
    <w:rsid w:val="00C70C14"/>
    <w:rsid w:val="00C70E57"/>
    <w:rsid w:val="00C71C0E"/>
    <w:rsid w:val="00C72557"/>
    <w:rsid w:val="00C72828"/>
    <w:rsid w:val="00C72F9A"/>
    <w:rsid w:val="00C73B0D"/>
    <w:rsid w:val="00C76318"/>
    <w:rsid w:val="00C76A96"/>
    <w:rsid w:val="00C7746B"/>
    <w:rsid w:val="00C77B8F"/>
    <w:rsid w:val="00C8153D"/>
    <w:rsid w:val="00C8275A"/>
    <w:rsid w:val="00C82C5D"/>
    <w:rsid w:val="00C833E2"/>
    <w:rsid w:val="00C8472F"/>
    <w:rsid w:val="00C853B5"/>
    <w:rsid w:val="00C86308"/>
    <w:rsid w:val="00C87223"/>
    <w:rsid w:val="00C90666"/>
    <w:rsid w:val="00C911BB"/>
    <w:rsid w:val="00C930EB"/>
    <w:rsid w:val="00CA2198"/>
    <w:rsid w:val="00CA234C"/>
    <w:rsid w:val="00CA3E5B"/>
    <w:rsid w:val="00CA42D0"/>
    <w:rsid w:val="00CA635C"/>
    <w:rsid w:val="00CB1CEE"/>
    <w:rsid w:val="00CB2CD4"/>
    <w:rsid w:val="00CB492A"/>
    <w:rsid w:val="00CB5A41"/>
    <w:rsid w:val="00CC00C9"/>
    <w:rsid w:val="00CC2DF0"/>
    <w:rsid w:val="00CC5077"/>
    <w:rsid w:val="00CC7F68"/>
    <w:rsid w:val="00CD0350"/>
    <w:rsid w:val="00CD0F89"/>
    <w:rsid w:val="00CD392F"/>
    <w:rsid w:val="00CD4C19"/>
    <w:rsid w:val="00CD58AF"/>
    <w:rsid w:val="00CD71A4"/>
    <w:rsid w:val="00CE0B87"/>
    <w:rsid w:val="00CE1EAC"/>
    <w:rsid w:val="00CE4357"/>
    <w:rsid w:val="00CE5CB5"/>
    <w:rsid w:val="00CE70D9"/>
    <w:rsid w:val="00CF28BC"/>
    <w:rsid w:val="00CF37D1"/>
    <w:rsid w:val="00CF411A"/>
    <w:rsid w:val="00CF4360"/>
    <w:rsid w:val="00CF4A3C"/>
    <w:rsid w:val="00CF5D51"/>
    <w:rsid w:val="00CF6DF1"/>
    <w:rsid w:val="00D00981"/>
    <w:rsid w:val="00D02399"/>
    <w:rsid w:val="00D0259E"/>
    <w:rsid w:val="00D04824"/>
    <w:rsid w:val="00D066CF"/>
    <w:rsid w:val="00D1015B"/>
    <w:rsid w:val="00D1056F"/>
    <w:rsid w:val="00D1107E"/>
    <w:rsid w:val="00D1149D"/>
    <w:rsid w:val="00D14C30"/>
    <w:rsid w:val="00D21615"/>
    <w:rsid w:val="00D24703"/>
    <w:rsid w:val="00D27720"/>
    <w:rsid w:val="00D30D6E"/>
    <w:rsid w:val="00D33BB6"/>
    <w:rsid w:val="00D33FEA"/>
    <w:rsid w:val="00D37BA5"/>
    <w:rsid w:val="00D4014B"/>
    <w:rsid w:val="00D41AE4"/>
    <w:rsid w:val="00D44710"/>
    <w:rsid w:val="00D45071"/>
    <w:rsid w:val="00D52F5E"/>
    <w:rsid w:val="00D532CA"/>
    <w:rsid w:val="00D56024"/>
    <w:rsid w:val="00D60506"/>
    <w:rsid w:val="00D61B9C"/>
    <w:rsid w:val="00D63FC8"/>
    <w:rsid w:val="00D64249"/>
    <w:rsid w:val="00D649FF"/>
    <w:rsid w:val="00D66C51"/>
    <w:rsid w:val="00D672BE"/>
    <w:rsid w:val="00D67CBC"/>
    <w:rsid w:val="00D72A68"/>
    <w:rsid w:val="00D73003"/>
    <w:rsid w:val="00D74F6F"/>
    <w:rsid w:val="00D762F7"/>
    <w:rsid w:val="00D76DBB"/>
    <w:rsid w:val="00D7782C"/>
    <w:rsid w:val="00D803D9"/>
    <w:rsid w:val="00D80C6A"/>
    <w:rsid w:val="00D825FE"/>
    <w:rsid w:val="00D83620"/>
    <w:rsid w:val="00D83960"/>
    <w:rsid w:val="00D85735"/>
    <w:rsid w:val="00D93F0B"/>
    <w:rsid w:val="00D946B4"/>
    <w:rsid w:val="00D95460"/>
    <w:rsid w:val="00DA0D32"/>
    <w:rsid w:val="00DA293F"/>
    <w:rsid w:val="00DA2AAA"/>
    <w:rsid w:val="00DA3216"/>
    <w:rsid w:val="00DA34FF"/>
    <w:rsid w:val="00DA706C"/>
    <w:rsid w:val="00DB018F"/>
    <w:rsid w:val="00DB12AC"/>
    <w:rsid w:val="00DB566D"/>
    <w:rsid w:val="00DC068E"/>
    <w:rsid w:val="00DC269D"/>
    <w:rsid w:val="00DC3029"/>
    <w:rsid w:val="00DC417A"/>
    <w:rsid w:val="00DC6D08"/>
    <w:rsid w:val="00DD4E1A"/>
    <w:rsid w:val="00DD55E6"/>
    <w:rsid w:val="00DD7350"/>
    <w:rsid w:val="00DE0A89"/>
    <w:rsid w:val="00DE1450"/>
    <w:rsid w:val="00DE20ED"/>
    <w:rsid w:val="00DE2B04"/>
    <w:rsid w:val="00DE3FC1"/>
    <w:rsid w:val="00DF0A06"/>
    <w:rsid w:val="00DF1D1E"/>
    <w:rsid w:val="00DF5403"/>
    <w:rsid w:val="00DF5A75"/>
    <w:rsid w:val="00DF6340"/>
    <w:rsid w:val="00DF7A1F"/>
    <w:rsid w:val="00E005D6"/>
    <w:rsid w:val="00E00654"/>
    <w:rsid w:val="00E00B50"/>
    <w:rsid w:val="00E018FA"/>
    <w:rsid w:val="00E025CC"/>
    <w:rsid w:val="00E03A83"/>
    <w:rsid w:val="00E054EE"/>
    <w:rsid w:val="00E055C2"/>
    <w:rsid w:val="00E057D7"/>
    <w:rsid w:val="00E115DB"/>
    <w:rsid w:val="00E11D4C"/>
    <w:rsid w:val="00E12FDD"/>
    <w:rsid w:val="00E14DA4"/>
    <w:rsid w:val="00E15886"/>
    <w:rsid w:val="00E161A8"/>
    <w:rsid w:val="00E1680A"/>
    <w:rsid w:val="00E211DA"/>
    <w:rsid w:val="00E24304"/>
    <w:rsid w:val="00E24731"/>
    <w:rsid w:val="00E258D0"/>
    <w:rsid w:val="00E262C2"/>
    <w:rsid w:val="00E309C1"/>
    <w:rsid w:val="00E30D9E"/>
    <w:rsid w:val="00E32A08"/>
    <w:rsid w:val="00E33008"/>
    <w:rsid w:val="00E33D88"/>
    <w:rsid w:val="00E37FEE"/>
    <w:rsid w:val="00E400B6"/>
    <w:rsid w:val="00E419E1"/>
    <w:rsid w:val="00E43548"/>
    <w:rsid w:val="00E43ADB"/>
    <w:rsid w:val="00E50557"/>
    <w:rsid w:val="00E52483"/>
    <w:rsid w:val="00E52881"/>
    <w:rsid w:val="00E53454"/>
    <w:rsid w:val="00E53C4D"/>
    <w:rsid w:val="00E55B40"/>
    <w:rsid w:val="00E55D4B"/>
    <w:rsid w:val="00E60D1A"/>
    <w:rsid w:val="00E61313"/>
    <w:rsid w:val="00E6205E"/>
    <w:rsid w:val="00E63F07"/>
    <w:rsid w:val="00E640E7"/>
    <w:rsid w:val="00E66A11"/>
    <w:rsid w:val="00E67BB1"/>
    <w:rsid w:val="00E71CA1"/>
    <w:rsid w:val="00E7387D"/>
    <w:rsid w:val="00E74065"/>
    <w:rsid w:val="00E825D6"/>
    <w:rsid w:val="00E85ADB"/>
    <w:rsid w:val="00E86150"/>
    <w:rsid w:val="00E873BA"/>
    <w:rsid w:val="00E9192E"/>
    <w:rsid w:val="00E91D1F"/>
    <w:rsid w:val="00E92F20"/>
    <w:rsid w:val="00E95C29"/>
    <w:rsid w:val="00E95E2F"/>
    <w:rsid w:val="00E965DB"/>
    <w:rsid w:val="00E96B5E"/>
    <w:rsid w:val="00E973BD"/>
    <w:rsid w:val="00EA01A9"/>
    <w:rsid w:val="00EA189C"/>
    <w:rsid w:val="00EA4E73"/>
    <w:rsid w:val="00EA5171"/>
    <w:rsid w:val="00EA5537"/>
    <w:rsid w:val="00EB0140"/>
    <w:rsid w:val="00EB1897"/>
    <w:rsid w:val="00EB4B31"/>
    <w:rsid w:val="00EB4F4C"/>
    <w:rsid w:val="00EC166D"/>
    <w:rsid w:val="00EC4940"/>
    <w:rsid w:val="00EC5448"/>
    <w:rsid w:val="00EC595B"/>
    <w:rsid w:val="00EC7641"/>
    <w:rsid w:val="00ED06E1"/>
    <w:rsid w:val="00ED0766"/>
    <w:rsid w:val="00ED32D6"/>
    <w:rsid w:val="00ED4A48"/>
    <w:rsid w:val="00EE18D1"/>
    <w:rsid w:val="00EE1B3C"/>
    <w:rsid w:val="00EE1F41"/>
    <w:rsid w:val="00EE4BF3"/>
    <w:rsid w:val="00EE53EC"/>
    <w:rsid w:val="00EE7204"/>
    <w:rsid w:val="00EE7AFE"/>
    <w:rsid w:val="00EF072D"/>
    <w:rsid w:val="00EF1270"/>
    <w:rsid w:val="00EF2E33"/>
    <w:rsid w:val="00EF6EED"/>
    <w:rsid w:val="00EF751D"/>
    <w:rsid w:val="00F00577"/>
    <w:rsid w:val="00F009BD"/>
    <w:rsid w:val="00F00BE9"/>
    <w:rsid w:val="00F0164C"/>
    <w:rsid w:val="00F022BE"/>
    <w:rsid w:val="00F02F09"/>
    <w:rsid w:val="00F040EA"/>
    <w:rsid w:val="00F06014"/>
    <w:rsid w:val="00F06737"/>
    <w:rsid w:val="00F06D7F"/>
    <w:rsid w:val="00F0711F"/>
    <w:rsid w:val="00F127FB"/>
    <w:rsid w:val="00F13B8C"/>
    <w:rsid w:val="00F15D71"/>
    <w:rsid w:val="00F210E9"/>
    <w:rsid w:val="00F2211C"/>
    <w:rsid w:val="00F23099"/>
    <w:rsid w:val="00F230E5"/>
    <w:rsid w:val="00F24FE6"/>
    <w:rsid w:val="00F27EA0"/>
    <w:rsid w:val="00F3438A"/>
    <w:rsid w:val="00F35442"/>
    <w:rsid w:val="00F35B99"/>
    <w:rsid w:val="00F35E38"/>
    <w:rsid w:val="00F3707D"/>
    <w:rsid w:val="00F373E0"/>
    <w:rsid w:val="00F41928"/>
    <w:rsid w:val="00F443EB"/>
    <w:rsid w:val="00F51BDD"/>
    <w:rsid w:val="00F52141"/>
    <w:rsid w:val="00F52983"/>
    <w:rsid w:val="00F53C1C"/>
    <w:rsid w:val="00F540E8"/>
    <w:rsid w:val="00F5498F"/>
    <w:rsid w:val="00F55039"/>
    <w:rsid w:val="00F568F9"/>
    <w:rsid w:val="00F56928"/>
    <w:rsid w:val="00F56C79"/>
    <w:rsid w:val="00F603C2"/>
    <w:rsid w:val="00F63042"/>
    <w:rsid w:val="00F64157"/>
    <w:rsid w:val="00F66743"/>
    <w:rsid w:val="00F66749"/>
    <w:rsid w:val="00F712B1"/>
    <w:rsid w:val="00F72941"/>
    <w:rsid w:val="00F72E77"/>
    <w:rsid w:val="00F75758"/>
    <w:rsid w:val="00F757DB"/>
    <w:rsid w:val="00F77AB5"/>
    <w:rsid w:val="00F81B39"/>
    <w:rsid w:val="00F84826"/>
    <w:rsid w:val="00F84D3C"/>
    <w:rsid w:val="00F86298"/>
    <w:rsid w:val="00F869B6"/>
    <w:rsid w:val="00F86AB1"/>
    <w:rsid w:val="00F91BF3"/>
    <w:rsid w:val="00F91C35"/>
    <w:rsid w:val="00F92753"/>
    <w:rsid w:val="00F9293E"/>
    <w:rsid w:val="00F93D22"/>
    <w:rsid w:val="00F96CA5"/>
    <w:rsid w:val="00FA02A5"/>
    <w:rsid w:val="00FA4DAD"/>
    <w:rsid w:val="00FA7162"/>
    <w:rsid w:val="00FA7F43"/>
    <w:rsid w:val="00FB06B5"/>
    <w:rsid w:val="00FB30D9"/>
    <w:rsid w:val="00FB3708"/>
    <w:rsid w:val="00FB3E0F"/>
    <w:rsid w:val="00FB44AF"/>
    <w:rsid w:val="00FB5CE7"/>
    <w:rsid w:val="00FB6C27"/>
    <w:rsid w:val="00FB6E5A"/>
    <w:rsid w:val="00FB729C"/>
    <w:rsid w:val="00FB784D"/>
    <w:rsid w:val="00FB7976"/>
    <w:rsid w:val="00FC09B7"/>
    <w:rsid w:val="00FC0A33"/>
    <w:rsid w:val="00FC346B"/>
    <w:rsid w:val="00FC38DD"/>
    <w:rsid w:val="00FC6DE3"/>
    <w:rsid w:val="00FD2476"/>
    <w:rsid w:val="00FD361E"/>
    <w:rsid w:val="00FD3E37"/>
    <w:rsid w:val="00FD4CF1"/>
    <w:rsid w:val="00FD795E"/>
    <w:rsid w:val="00FF0430"/>
    <w:rsid w:val="00FF0676"/>
    <w:rsid w:val="00FF1D1F"/>
    <w:rsid w:val="00FF3F1F"/>
    <w:rsid w:val="00FF7132"/>
    <w:rsid w:val="00FF7E82"/>
    <w:rsid w:val="019F49B6"/>
    <w:rsid w:val="01C722F7"/>
    <w:rsid w:val="033A21D8"/>
    <w:rsid w:val="04793A64"/>
    <w:rsid w:val="05B324E1"/>
    <w:rsid w:val="08073E89"/>
    <w:rsid w:val="09CC23FB"/>
    <w:rsid w:val="0A837C8B"/>
    <w:rsid w:val="0C3A1A33"/>
    <w:rsid w:val="0EB208AB"/>
    <w:rsid w:val="0F2F15C5"/>
    <w:rsid w:val="0FCB5542"/>
    <w:rsid w:val="115B6606"/>
    <w:rsid w:val="17015FBC"/>
    <w:rsid w:val="172379A5"/>
    <w:rsid w:val="17714B81"/>
    <w:rsid w:val="18440F1B"/>
    <w:rsid w:val="18C26AAD"/>
    <w:rsid w:val="19694CBC"/>
    <w:rsid w:val="19870A2E"/>
    <w:rsid w:val="19D33DA8"/>
    <w:rsid w:val="1CC00DF2"/>
    <w:rsid w:val="1FF92002"/>
    <w:rsid w:val="22CF3D24"/>
    <w:rsid w:val="234D11A7"/>
    <w:rsid w:val="238002CA"/>
    <w:rsid w:val="243D652F"/>
    <w:rsid w:val="26573023"/>
    <w:rsid w:val="27C51286"/>
    <w:rsid w:val="2944405C"/>
    <w:rsid w:val="2DB61B9B"/>
    <w:rsid w:val="31A3127F"/>
    <w:rsid w:val="32781BE3"/>
    <w:rsid w:val="32930B88"/>
    <w:rsid w:val="36F82FBB"/>
    <w:rsid w:val="386B3DAD"/>
    <w:rsid w:val="3B0A24EB"/>
    <w:rsid w:val="3BD00FAF"/>
    <w:rsid w:val="3C043614"/>
    <w:rsid w:val="3CB75A2A"/>
    <w:rsid w:val="3DF06A25"/>
    <w:rsid w:val="3FCA76FC"/>
    <w:rsid w:val="3FE262DC"/>
    <w:rsid w:val="40941161"/>
    <w:rsid w:val="40E70C87"/>
    <w:rsid w:val="41F768C0"/>
    <w:rsid w:val="433D2460"/>
    <w:rsid w:val="441E3CC7"/>
    <w:rsid w:val="4485535F"/>
    <w:rsid w:val="44A142A6"/>
    <w:rsid w:val="456604DD"/>
    <w:rsid w:val="484653A1"/>
    <w:rsid w:val="4A714E33"/>
    <w:rsid w:val="4B1B269D"/>
    <w:rsid w:val="4CA822D9"/>
    <w:rsid w:val="4D2229DA"/>
    <w:rsid w:val="4DAD5E9C"/>
    <w:rsid w:val="4EF63550"/>
    <w:rsid w:val="4F0E7B08"/>
    <w:rsid w:val="540013E0"/>
    <w:rsid w:val="543350AC"/>
    <w:rsid w:val="55093E0B"/>
    <w:rsid w:val="55B11961"/>
    <w:rsid w:val="58806D40"/>
    <w:rsid w:val="5B07635F"/>
    <w:rsid w:val="5CC10BB9"/>
    <w:rsid w:val="5D37638F"/>
    <w:rsid w:val="5E58487D"/>
    <w:rsid w:val="5F871171"/>
    <w:rsid w:val="60360BF2"/>
    <w:rsid w:val="60E115FE"/>
    <w:rsid w:val="611A2A5C"/>
    <w:rsid w:val="62521BB8"/>
    <w:rsid w:val="64976327"/>
    <w:rsid w:val="66967C15"/>
    <w:rsid w:val="671E7DCB"/>
    <w:rsid w:val="6913606A"/>
    <w:rsid w:val="6AA44751"/>
    <w:rsid w:val="6DC74E9B"/>
    <w:rsid w:val="71967069"/>
    <w:rsid w:val="77644ED2"/>
    <w:rsid w:val="79B42841"/>
    <w:rsid w:val="7AD02C89"/>
    <w:rsid w:val="7B6A2A82"/>
    <w:rsid w:val="7DCC536D"/>
    <w:rsid w:val="FDE78D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iPriority="39" w:semiHidden="0" w:name="toc 1"/>
    <w:lsdException w:qFormat="1" w:uiPriority="39" w:semiHidden="0" w:name="toc 2"/>
    <w:lsdException w:qFormat="1"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99" w:semiHidden="0" w:name="HTML Sample"/>
    <w:lsdException w:uiPriority="99" w:name="HTML Typewriter"/>
    <w:lsdException w:qFormat="1" w:unhideWhenUsed="0" w:uiPriority="0" w:semiHidden="0" w:name="HTML Variable"/>
    <w:lsdException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iPriority="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Times New Roman" w:hAnsi="Times New Roman" w:cs="Times New Roman" w:eastAsiaTheme="minorEastAsia"/>
      <w:kern w:val="2"/>
      <w:sz w:val="24"/>
      <w:szCs w:val="22"/>
      <w:lang w:val="en-US" w:eastAsia="zh-CN" w:bidi="ar-SA"/>
    </w:rPr>
  </w:style>
  <w:style w:type="paragraph" w:styleId="6">
    <w:name w:val="heading 1"/>
    <w:basedOn w:val="1"/>
    <w:next w:val="1"/>
    <w:link w:val="36"/>
    <w:qFormat/>
    <w:uiPriority w:val="0"/>
    <w:pPr>
      <w:keepNext/>
      <w:keepLines/>
      <w:pageBreakBefore/>
      <w:jc w:val="center"/>
      <w:outlineLvl w:val="0"/>
    </w:pPr>
    <w:rPr>
      <w:b/>
      <w:bCs/>
      <w:kern w:val="44"/>
      <w:sz w:val="36"/>
      <w:szCs w:val="44"/>
    </w:rPr>
  </w:style>
  <w:style w:type="paragraph" w:styleId="7">
    <w:name w:val="heading 2"/>
    <w:basedOn w:val="1"/>
    <w:next w:val="1"/>
    <w:link w:val="34"/>
    <w:qFormat/>
    <w:uiPriority w:val="0"/>
    <w:pPr>
      <w:tabs>
        <w:tab w:val="left" w:pos="540"/>
      </w:tabs>
      <w:adjustRightInd w:val="0"/>
      <w:snapToGrid w:val="0"/>
      <w:jc w:val="center"/>
      <w:outlineLvl w:val="1"/>
    </w:pPr>
    <w:rPr>
      <w:rFonts w:ascii="Arial" w:hAnsi="Arial"/>
      <w:b/>
      <w:sz w:val="32"/>
      <w:szCs w:val="20"/>
    </w:rPr>
  </w:style>
  <w:style w:type="paragraph" w:styleId="8">
    <w:name w:val="heading 3"/>
    <w:basedOn w:val="1"/>
    <w:next w:val="1"/>
    <w:link w:val="35"/>
    <w:qFormat/>
    <w:uiPriority w:val="0"/>
    <w:pPr>
      <w:tabs>
        <w:tab w:val="left" w:pos="540"/>
      </w:tabs>
      <w:adjustRightInd w:val="0"/>
      <w:snapToGrid w:val="0"/>
      <w:jc w:val="center"/>
      <w:outlineLvl w:val="2"/>
    </w:pPr>
    <w:rPr>
      <w:rFonts w:eastAsia="宋体"/>
      <w:b/>
      <w:sz w:val="30"/>
      <w:szCs w:val="20"/>
    </w:rPr>
  </w:style>
  <w:style w:type="paragraph" w:styleId="9">
    <w:name w:val="heading 4"/>
    <w:basedOn w:val="1"/>
    <w:next w:val="1"/>
    <w:link w:val="38"/>
    <w:qFormat/>
    <w:uiPriority w:val="0"/>
    <w:pPr>
      <w:keepNext/>
      <w:keepLines/>
      <w:tabs>
        <w:tab w:val="left" w:pos="1044"/>
        <w:tab w:val="left" w:pos="1680"/>
      </w:tabs>
      <w:jc w:val="center"/>
      <w:outlineLvl w:val="3"/>
    </w:pPr>
    <w:rPr>
      <w:rFonts w:ascii="Arial" w:hAnsi="Arial"/>
      <w:b/>
      <w:bCs/>
      <w:szCs w:val="28"/>
      <w:lang w:val="zh-CN"/>
    </w:rPr>
  </w:style>
  <w:style w:type="paragraph" w:styleId="10">
    <w:name w:val="heading 5"/>
    <w:basedOn w:val="1"/>
    <w:next w:val="1"/>
    <w:link w:val="37"/>
    <w:qFormat/>
    <w:uiPriority w:val="0"/>
    <w:pPr>
      <w:keepNext/>
      <w:keepLines/>
      <w:tabs>
        <w:tab w:val="left" w:pos="1188"/>
        <w:tab w:val="left" w:pos="2100"/>
      </w:tabs>
      <w:spacing w:before="280" w:after="290" w:line="376" w:lineRule="auto"/>
      <w:ind w:left="2100" w:hanging="420"/>
      <w:outlineLvl w:val="4"/>
    </w:pPr>
    <w:rPr>
      <w:rFonts w:ascii="Calibri" w:hAnsi="Calibri"/>
      <w:b/>
      <w:bCs/>
      <w:sz w:val="28"/>
      <w:szCs w:val="28"/>
      <w:lang w:val="zh-CN"/>
    </w:rPr>
  </w:style>
  <w:style w:type="paragraph" w:styleId="11">
    <w:name w:val="heading 6"/>
    <w:basedOn w:val="1"/>
    <w:next w:val="1"/>
    <w:link w:val="41"/>
    <w:qFormat/>
    <w:uiPriority w:val="0"/>
    <w:pPr>
      <w:keepNext/>
      <w:keepLines/>
      <w:tabs>
        <w:tab w:val="left" w:pos="1332"/>
        <w:tab w:val="left" w:pos="2520"/>
      </w:tabs>
      <w:spacing w:before="240" w:after="64" w:line="320" w:lineRule="auto"/>
      <w:ind w:left="2520" w:hanging="420"/>
      <w:outlineLvl w:val="5"/>
    </w:pPr>
    <w:rPr>
      <w:rFonts w:ascii="Arial" w:hAnsi="Arial" w:eastAsia="黑体"/>
      <w:b/>
      <w:bCs/>
      <w:szCs w:val="24"/>
      <w:lang w:val="zh-CN"/>
    </w:rPr>
  </w:style>
  <w:style w:type="paragraph" w:styleId="12">
    <w:name w:val="heading 7"/>
    <w:basedOn w:val="1"/>
    <w:next w:val="1"/>
    <w:link w:val="40"/>
    <w:qFormat/>
    <w:uiPriority w:val="0"/>
    <w:pPr>
      <w:keepNext/>
      <w:keepLines/>
      <w:tabs>
        <w:tab w:val="left" w:pos="1476"/>
        <w:tab w:val="left" w:pos="2940"/>
      </w:tabs>
      <w:spacing w:before="240" w:after="64" w:line="320" w:lineRule="auto"/>
      <w:ind w:left="2940" w:hanging="420"/>
      <w:outlineLvl w:val="6"/>
    </w:pPr>
    <w:rPr>
      <w:rFonts w:ascii="Calibri" w:hAnsi="Calibri"/>
      <w:b/>
      <w:bCs/>
      <w:szCs w:val="24"/>
      <w:lang w:val="zh-CN"/>
    </w:rPr>
  </w:style>
  <w:style w:type="paragraph" w:styleId="13">
    <w:name w:val="heading 8"/>
    <w:basedOn w:val="1"/>
    <w:next w:val="1"/>
    <w:link w:val="39"/>
    <w:qFormat/>
    <w:uiPriority w:val="0"/>
    <w:pPr>
      <w:keepNext/>
      <w:keepLines/>
      <w:tabs>
        <w:tab w:val="left" w:pos="1620"/>
        <w:tab w:val="left" w:pos="3360"/>
      </w:tabs>
      <w:spacing w:before="240" w:after="64" w:line="320" w:lineRule="auto"/>
      <w:ind w:left="3360" w:hanging="420"/>
      <w:outlineLvl w:val="7"/>
    </w:pPr>
    <w:rPr>
      <w:rFonts w:ascii="Arial" w:hAnsi="Arial" w:eastAsia="黑体"/>
      <w:szCs w:val="24"/>
      <w:lang w:val="zh-CN"/>
    </w:rPr>
  </w:style>
  <w:style w:type="paragraph" w:styleId="14">
    <w:name w:val="heading 9"/>
    <w:basedOn w:val="1"/>
    <w:next w:val="1"/>
    <w:link w:val="42"/>
    <w:qFormat/>
    <w:uiPriority w:val="0"/>
    <w:pPr>
      <w:keepNext/>
      <w:keepLines/>
      <w:tabs>
        <w:tab w:val="left" w:pos="1764"/>
        <w:tab w:val="left" w:pos="3780"/>
      </w:tabs>
      <w:spacing w:before="240" w:after="64" w:line="320" w:lineRule="auto"/>
      <w:ind w:left="3780" w:hanging="420"/>
      <w:outlineLvl w:val="8"/>
    </w:pPr>
    <w:rPr>
      <w:rFonts w:ascii="Arial" w:hAnsi="Arial" w:eastAsia="黑体"/>
      <w:szCs w:val="21"/>
      <w:lang w:val="zh-CN"/>
    </w:rPr>
  </w:style>
  <w:style w:type="character" w:default="1" w:styleId="25">
    <w:name w:val="Default Paragraph Font"/>
    <w:semiHidden/>
    <w:unhideWhenUsed/>
    <w:uiPriority w:val="1"/>
  </w:style>
  <w:style w:type="table" w:default="1" w:styleId="24">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next w:val="4"/>
    <w:link w:val="29"/>
    <w:qFormat/>
    <w:uiPriority w:val="0"/>
    <w:pPr>
      <w:spacing w:line="400" w:lineRule="exact"/>
      <w:ind w:firstLine="420" w:firstLineChars="200"/>
    </w:pPr>
    <w:rPr>
      <w:rFonts w:ascii="仿宋_GB2312" w:eastAsia="仿宋_GB2312"/>
      <w:sz w:val="21"/>
      <w:szCs w:val="20"/>
    </w:rPr>
  </w:style>
  <w:style w:type="paragraph" w:styleId="3">
    <w:name w:val="Body Text Indent"/>
    <w:basedOn w:val="1"/>
    <w:link w:val="28"/>
    <w:qFormat/>
    <w:uiPriority w:val="0"/>
    <w:pPr>
      <w:spacing w:after="120"/>
      <w:ind w:left="420" w:leftChars="200"/>
    </w:pPr>
  </w:style>
  <w:style w:type="paragraph" w:styleId="4">
    <w:name w:val="Body Text First Indent"/>
    <w:basedOn w:val="5"/>
    <w:link w:val="32"/>
    <w:semiHidden/>
    <w:unhideWhenUsed/>
    <w:qFormat/>
    <w:uiPriority w:val="99"/>
    <w:pPr>
      <w:ind w:firstLine="420" w:firstLineChars="100"/>
    </w:pPr>
  </w:style>
  <w:style w:type="paragraph" w:styleId="5">
    <w:name w:val="Body Text"/>
    <w:basedOn w:val="1"/>
    <w:link w:val="31"/>
    <w:qFormat/>
    <w:uiPriority w:val="0"/>
    <w:pPr>
      <w:spacing w:after="120"/>
    </w:pPr>
  </w:style>
  <w:style w:type="paragraph" w:styleId="15">
    <w:name w:val="Normal Indent"/>
    <w:basedOn w:val="1"/>
    <w:qFormat/>
    <w:uiPriority w:val="0"/>
    <w:pPr>
      <w:ind w:firstLine="200" w:firstLineChars="200"/>
      <w:jc w:val="left"/>
    </w:pPr>
  </w:style>
  <w:style w:type="paragraph" w:styleId="16">
    <w:name w:val="toc 3"/>
    <w:basedOn w:val="1"/>
    <w:next w:val="1"/>
    <w:unhideWhenUsed/>
    <w:qFormat/>
    <w:uiPriority w:val="39"/>
    <w:pPr>
      <w:ind w:left="840" w:leftChars="400"/>
    </w:pPr>
  </w:style>
  <w:style w:type="paragraph" w:styleId="17">
    <w:name w:val="Plain Text"/>
    <w:basedOn w:val="1"/>
    <w:link w:val="27"/>
    <w:qFormat/>
    <w:uiPriority w:val="0"/>
    <w:rPr>
      <w:rFonts w:hAnsi="Courier New" w:cs="Courier New" w:asciiTheme="minorEastAsia"/>
    </w:rPr>
  </w:style>
  <w:style w:type="paragraph" w:styleId="18">
    <w:name w:val="Date"/>
    <w:basedOn w:val="1"/>
    <w:next w:val="1"/>
    <w:link w:val="33"/>
    <w:qFormat/>
    <w:uiPriority w:val="0"/>
    <w:pPr>
      <w:ind w:left="100" w:leftChars="2500"/>
    </w:pPr>
  </w:style>
  <w:style w:type="paragraph" w:styleId="19">
    <w:name w:val="footer"/>
    <w:basedOn w:val="1"/>
    <w:link w:val="44"/>
    <w:unhideWhenUsed/>
    <w:qFormat/>
    <w:uiPriority w:val="99"/>
    <w:pPr>
      <w:tabs>
        <w:tab w:val="center" w:pos="4153"/>
        <w:tab w:val="right" w:pos="8306"/>
      </w:tabs>
      <w:snapToGrid w:val="0"/>
      <w:spacing w:line="240" w:lineRule="auto"/>
      <w:jc w:val="left"/>
    </w:pPr>
    <w:rPr>
      <w:sz w:val="18"/>
      <w:szCs w:val="18"/>
    </w:rPr>
  </w:style>
  <w:style w:type="paragraph" w:styleId="20">
    <w:name w:val="header"/>
    <w:basedOn w:val="1"/>
    <w:link w:val="43"/>
    <w:unhideWhenUsed/>
    <w:qFormat/>
    <w:uiPriority w:val="99"/>
    <w:pPr>
      <w:tabs>
        <w:tab w:val="center" w:pos="4153"/>
        <w:tab w:val="right" w:pos="8306"/>
      </w:tabs>
      <w:snapToGrid w:val="0"/>
      <w:spacing w:line="240" w:lineRule="auto"/>
      <w:jc w:val="center"/>
    </w:pPr>
    <w:rPr>
      <w:sz w:val="18"/>
      <w:szCs w:val="18"/>
    </w:rPr>
  </w:style>
  <w:style w:type="paragraph" w:styleId="21">
    <w:name w:val="toc 1"/>
    <w:basedOn w:val="1"/>
    <w:next w:val="1"/>
    <w:unhideWhenUsed/>
    <w:qFormat/>
    <w:uiPriority w:val="39"/>
  </w:style>
  <w:style w:type="paragraph" w:styleId="22">
    <w:name w:val="toc 2"/>
    <w:basedOn w:val="1"/>
    <w:next w:val="1"/>
    <w:unhideWhenUsed/>
    <w:qFormat/>
    <w:uiPriority w:val="39"/>
    <w:pPr>
      <w:ind w:left="420" w:leftChars="200"/>
    </w:pPr>
  </w:style>
  <w:style w:type="paragraph" w:styleId="23">
    <w:name w:val="Normal (Web)"/>
    <w:basedOn w:val="1"/>
    <w:qFormat/>
    <w:uiPriority w:val="0"/>
  </w:style>
  <w:style w:type="character" w:styleId="26">
    <w:name w:val="Hyperlink"/>
    <w:basedOn w:val="25"/>
    <w:unhideWhenUsed/>
    <w:qFormat/>
    <w:uiPriority w:val="99"/>
    <w:rPr>
      <w:color w:val="0000FF" w:themeColor="hyperlink"/>
      <w:u w:val="single"/>
      <w14:textFill>
        <w14:solidFill>
          <w14:schemeClr w14:val="hlink"/>
        </w14:solidFill>
      </w14:textFill>
    </w:rPr>
  </w:style>
  <w:style w:type="character" w:customStyle="1" w:styleId="27">
    <w:name w:val="纯文本 字符"/>
    <w:basedOn w:val="25"/>
    <w:link w:val="17"/>
    <w:qFormat/>
    <w:uiPriority w:val="0"/>
    <w:rPr>
      <w:rFonts w:hAnsi="Courier New" w:cs="Courier New" w:asciiTheme="minorEastAsia" w:eastAsiaTheme="minorEastAsia"/>
      <w:kern w:val="2"/>
      <w:sz w:val="24"/>
      <w:szCs w:val="22"/>
    </w:rPr>
  </w:style>
  <w:style w:type="character" w:customStyle="1" w:styleId="28">
    <w:name w:val="正文文本缩进 字符"/>
    <w:basedOn w:val="25"/>
    <w:link w:val="3"/>
    <w:qFormat/>
    <w:uiPriority w:val="0"/>
    <w:rPr>
      <w:rFonts w:eastAsiaTheme="minorEastAsia"/>
      <w:kern w:val="2"/>
      <w:sz w:val="24"/>
      <w:szCs w:val="22"/>
    </w:rPr>
  </w:style>
  <w:style w:type="character" w:customStyle="1" w:styleId="29">
    <w:name w:val="正文首行缩进 2 字符"/>
    <w:basedOn w:val="28"/>
    <w:link w:val="2"/>
    <w:qFormat/>
    <w:uiPriority w:val="0"/>
    <w:rPr>
      <w:rFonts w:ascii="仿宋_GB2312" w:eastAsia="仿宋_GB2312"/>
      <w:kern w:val="2"/>
      <w:sz w:val="21"/>
      <w:szCs w:val="22"/>
    </w:rPr>
  </w:style>
  <w:style w:type="paragraph" w:customStyle="1" w:styleId="30">
    <w:name w:val="列出段落2"/>
    <w:basedOn w:val="1"/>
    <w:qFormat/>
    <w:uiPriority w:val="34"/>
    <w:pPr>
      <w:spacing w:line="400" w:lineRule="exact"/>
    </w:pPr>
    <w:rPr>
      <w:rFonts w:eastAsia="宋体"/>
      <w:szCs w:val="24"/>
    </w:rPr>
  </w:style>
  <w:style w:type="character" w:customStyle="1" w:styleId="31">
    <w:name w:val="正文文本 字符"/>
    <w:basedOn w:val="25"/>
    <w:link w:val="5"/>
    <w:qFormat/>
    <w:uiPriority w:val="0"/>
    <w:rPr>
      <w:rFonts w:eastAsiaTheme="minorEastAsia"/>
      <w:kern w:val="2"/>
      <w:sz w:val="24"/>
      <w:szCs w:val="22"/>
    </w:rPr>
  </w:style>
  <w:style w:type="character" w:customStyle="1" w:styleId="32">
    <w:name w:val="正文首行缩进 字符"/>
    <w:basedOn w:val="31"/>
    <w:link w:val="4"/>
    <w:semiHidden/>
    <w:qFormat/>
    <w:uiPriority w:val="99"/>
    <w:rPr>
      <w:rFonts w:eastAsiaTheme="minorEastAsia"/>
      <w:kern w:val="2"/>
      <w:sz w:val="24"/>
      <w:szCs w:val="22"/>
    </w:rPr>
  </w:style>
  <w:style w:type="character" w:customStyle="1" w:styleId="33">
    <w:name w:val="日期 字符"/>
    <w:basedOn w:val="25"/>
    <w:link w:val="18"/>
    <w:qFormat/>
    <w:uiPriority w:val="0"/>
    <w:rPr>
      <w:rFonts w:eastAsiaTheme="minorEastAsia"/>
      <w:kern w:val="2"/>
      <w:sz w:val="24"/>
      <w:szCs w:val="22"/>
    </w:rPr>
  </w:style>
  <w:style w:type="character" w:customStyle="1" w:styleId="34">
    <w:name w:val="标题 2 字符"/>
    <w:link w:val="7"/>
    <w:qFormat/>
    <w:uiPriority w:val="0"/>
    <w:rPr>
      <w:rFonts w:ascii="Arial" w:hAnsi="Arial" w:eastAsiaTheme="minorEastAsia"/>
      <w:b/>
      <w:kern w:val="2"/>
      <w:sz w:val="32"/>
    </w:rPr>
  </w:style>
  <w:style w:type="character" w:customStyle="1" w:styleId="35">
    <w:name w:val="标题 3 字符"/>
    <w:link w:val="8"/>
    <w:qFormat/>
    <w:uiPriority w:val="0"/>
    <w:rPr>
      <w:b/>
      <w:kern w:val="2"/>
      <w:sz w:val="30"/>
    </w:rPr>
  </w:style>
  <w:style w:type="character" w:customStyle="1" w:styleId="36">
    <w:name w:val="标题 1 字符"/>
    <w:link w:val="6"/>
    <w:qFormat/>
    <w:uiPriority w:val="0"/>
    <w:rPr>
      <w:rFonts w:eastAsiaTheme="minorEastAsia"/>
      <w:b/>
      <w:bCs/>
      <w:kern w:val="44"/>
      <w:sz w:val="36"/>
      <w:szCs w:val="44"/>
    </w:rPr>
  </w:style>
  <w:style w:type="character" w:customStyle="1" w:styleId="37">
    <w:name w:val="标题 5 字符"/>
    <w:link w:val="10"/>
    <w:qFormat/>
    <w:uiPriority w:val="0"/>
    <w:rPr>
      <w:rFonts w:ascii="Calibri" w:hAnsi="Calibri"/>
      <w:b/>
      <w:bCs/>
      <w:kern w:val="2"/>
      <w:sz w:val="28"/>
      <w:szCs w:val="28"/>
      <w:lang w:val="zh-CN" w:eastAsia="zh-CN"/>
    </w:rPr>
  </w:style>
  <w:style w:type="character" w:customStyle="1" w:styleId="38">
    <w:name w:val="标题 4 字符"/>
    <w:link w:val="9"/>
    <w:qFormat/>
    <w:uiPriority w:val="0"/>
    <w:rPr>
      <w:rFonts w:ascii="Arial" w:hAnsi="Arial" w:eastAsiaTheme="minorEastAsia"/>
      <w:b/>
      <w:bCs/>
      <w:kern w:val="2"/>
      <w:sz w:val="24"/>
      <w:szCs w:val="28"/>
      <w:lang w:val="zh-CN"/>
    </w:rPr>
  </w:style>
  <w:style w:type="character" w:customStyle="1" w:styleId="39">
    <w:name w:val="标题 8 字符"/>
    <w:link w:val="13"/>
    <w:qFormat/>
    <w:uiPriority w:val="0"/>
    <w:rPr>
      <w:rFonts w:ascii="Arial" w:hAnsi="Arial" w:eastAsia="黑体"/>
      <w:kern w:val="2"/>
      <w:sz w:val="24"/>
      <w:szCs w:val="24"/>
      <w:lang w:val="zh-CN" w:eastAsia="zh-CN"/>
    </w:rPr>
  </w:style>
  <w:style w:type="character" w:customStyle="1" w:styleId="40">
    <w:name w:val="标题 7 字符"/>
    <w:link w:val="12"/>
    <w:qFormat/>
    <w:uiPriority w:val="0"/>
    <w:rPr>
      <w:rFonts w:ascii="Calibri" w:hAnsi="Calibri"/>
      <w:b/>
      <w:bCs/>
      <w:kern w:val="2"/>
      <w:sz w:val="24"/>
      <w:szCs w:val="24"/>
      <w:lang w:val="zh-CN" w:eastAsia="zh-CN"/>
    </w:rPr>
  </w:style>
  <w:style w:type="character" w:customStyle="1" w:styleId="41">
    <w:name w:val="标题 6 字符"/>
    <w:link w:val="11"/>
    <w:qFormat/>
    <w:uiPriority w:val="0"/>
    <w:rPr>
      <w:rFonts w:ascii="Arial" w:hAnsi="Arial" w:eastAsia="黑体"/>
      <w:b/>
      <w:bCs/>
      <w:kern w:val="2"/>
      <w:sz w:val="24"/>
      <w:szCs w:val="24"/>
      <w:lang w:val="zh-CN" w:eastAsia="zh-CN"/>
    </w:rPr>
  </w:style>
  <w:style w:type="character" w:customStyle="1" w:styleId="42">
    <w:name w:val="标题 9 字符"/>
    <w:link w:val="14"/>
    <w:qFormat/>
    <w:uiPriority w:val="0"/>
    <w:rPr>
      <w:rFonts w:ascii="Arial" w:hAnsi="Arial" w:eastAsia="黑体"/>
      <w:kern w:val="2"/>
      <w:sz w:val="21"/>
      <w:szCs w:val="21"/>
      <w:lang w:val="zh-CN" w:eastAsia="zh-CN"/>
    </w:rPr>
  </w:style>
  <w:style w:type="character" w:customStyle="1" w:styleId="43">
    <w:name w:val="页眉 字符"/>
    <w:basedOn w:val="25"/>
    <w:link w:val="20"/>
    <w:qFormat/>
    <w:uiPriority w:val="99"/>
    <w:rPr>
      <w:rFonts w:eastAsiaTheme="minorEastAsia"/>
      <w:kern w:val="2"/>
      <w:sz w:val="18"/>
      <w:szCs w:val="18"/>
    </w:rPr>
  </w:style>
  <w:style w:type="character" w:customStyle="1" w:styleId="44">
    <w:name w:val="页脚 字符"/>
    <w:basedOn w:val="25"/>
    <w:link w:val="19"/>
    <w:qFormat/>
    <w:uiPriority w:val="99"/>
    <w:rPr>
      <w:rFonts w:eastAsiaTheme="minorEastAsia"/>
      <w:kern w:val="2"/>
      <w:sz w:val="18"/>
      <w:szCs w:val="18"/>
    </w:rPr>
  </w:style>
  <w:style w:type="character" w:customStyle="1" w:styleId="45">
    <w:name w:val="font01"/>
    <w:basedOn w:val="25"/>
    <w:qFormat/>
    <w:uiPriority w:val="0"/>
    <w:rPr>
      <w:rFonts w:hint="eastAsia" w:ascii="宋体" w:hAnsi="宋体" w:eastAsia="宋体" w:cs="宋体"/>
      <w:color w:val="000000"/>
      <w:sz w:val="20"/>
      <w:szCs w:val="20"/>
      <w:u w:val="none"/>
    </w:rPr>
  </w:style>
  <w:style w:type="character" w:customStyle="1" w:styleId="46">
    <w:name w:val="font61"/>
    <w:basedOn w:val="25"/>
    <w:qFormat/>
    <w:uiPriority w:val="0"/>
    <w:rPr>
      <w:rFonts w:hint="eastAsia" w:ascii="宋体" w:hAnsi="宋体" w:eastAsia="宋体" w:cs="宋体"/>
      <w:b/>
      <w:bCs/>
      <w:color w:val="000000"/>
      <w:sz w:val="20"/>
      <w:szCs w:val="20"/>
      <w:u w:val="none"/>
    </w:rPr>
  </w:style>
  <w:style w:type="paragraph" w:styleId="47">
    <w:name w:val="List Paragraph"/>
    <w:basedOn w:val="1"/>
    <w:qFormat/>
    <w:uiPriority w:val="34"/>
    <w:pPr>
      <w:ind w:firstLine="420" w:firstLineChars="200"/>
    </w:pPr>
  </w:style>
  <w:style w:type="paragraph" w:customStyle="1" w:styleId="48">
    <w:name w:val="表格文字2"/>
    <w:basedOn w:val="49"/>
    <w:qFormat/>
    <w:uiPriority w:val="99"/>
    <w:pPr>
      <w:spacing w:before="25" w:after="25"/>
      <w:jc w:val="left"/>
    </w:pPr>
    <w:rPr>
      <w:bCs/>
      <w:spacing w:val="10"/>
      <w:kern w:val="0"/>
    </w:rPr>
  </w:style>
  <w:style w:type="paragraph" w:customStyle="1" w:styleId="49">
    <w:name w:val="正文1"/>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image" Target="media/image7.jpeg"/><Relationship Id="rId15" Type="http://schemas.openxmlformats.org/officeDocument/2006/relationships/image" Target="media/image6.jpeg"/><Relationship Id="rId14" Type="http://schemas.openxmlformats.org/officeDocument/2006/relationships/image" Target="media/image5.jpeg"/><Relationship Id="rId13" Type="http://schemas.openxmlformats.org/officeDocument/2006/relationships/image" Target="media/image4.jpeg"/><Relationship Id="rId12" Type="http://schemas.openxmlformats.org/officeDocument/2006/relationships/image" Target="media/image3.jpeg"/><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64</Pages>
  <Words>28697</Words>
  <Characters>30961</Characters>
  <Lines>254</Lines>
  <Paragraphs>71</Paragraphs>
  <TotalTime>2</TotalTime>
  <ScaleCrop>false</ScaleCrop>
  <LinksUpToDate>false</LinksUpToDate>
  <CharactersWithSpaces>33707</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2022-04-24T16:19:00Z</dcterms:created>
  <dc:creator>陈晓东</dc:creator>
  <cp:lastModifiedBy>Mr  Lai</cp:lastModifiedBy>
  <cp:lastPrinted>2022-05-06T10:31:00Z</cp:lastPrinted>
  <dcterms:modified xsi:type="dcterms:W3CDTF">2023-08-31T05:30:37Z</dcterms:modified>
  <cp:revision>218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60703883CCA0443CAAB5A9150DE188D9_12</vt:lpwstr>
  </property>
</Properties>
</file>