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BBD4E">
      <w:pPr>
        <w:jc w:val="center"/>
        <w:rPr>
          <w:rFonts w:hint="eastAsia" w:ascii="宋体" w:hAnsi="宋体" w:eastAsia="宋体" w:cs="宋体"/>
          <w:b/>
          <w:bCs/>
          <w:color w:val="auto"/>
          <w:sz w:val="48"/>
          <w:szCs w:val="48"/>
          <w:highlight w:val="none"/>
          <w:u w:val="none"/>
        </w:rPr>
      </w:pPr>
      <w:r>
        <w:rPr>
          <w:rFonts w:hint="eastAsia" w:ascii="宋体" w:hAnsi="宋体" w:eastAsia="宋体" w:cs="宋体"/>
          <w:b/>
          <w:bCs/>
          <w:color w:val="auto"/>
          <w:sz w:val="48"/>
          <w:szCs w:val="48"/>
          <w:u w:val="none"/>
          <w:lang w:val="en-US" w:eastAsia="zh-CN"/>
        </w:rPr>
        <w:t>阿勒泰地区富蕴县公安局机场派出所</w:t>
      </w:r>
    </w:p>
    <w:p w14:paraId="2D8D0FFB">
      <w:pPr>
        <w:spacing w:line="242" w:lineRule="auto"/>
        <w:rPr>
          <w:rFonts w:hint="eastAsia" w:ascii="黑体" w:hAnsi="黑体" w:eastAsia="黑体" w:cs="黑体"/>
          <w:b/>
          <w:bCs w:val="0"/>
          <w:color w:val="auto"/>
          <w:sz w:val="21"/>
        </w:rPr>
      </w:pPr>
    </w:p>
    <w:p w14:paraId="72CC8442">
      <w:pPr>
        <w:pStyle w:val="13"/>
        <w:rPr>
          <w:rFonts w:hint="eastAsia" w:ascii="黑体" w:hAnsi="黑体" w:eastAsia="黑体" w:cs="黑体"/>
          <w:b/>
          <w:bCs w:val="0"/>
          <w:color w:val="auto"/>
          <w:sz w:val="21"/>
        </w:rPr>
      </w:pPr>
    </w:p>
    <w:p w14:paraId="3414FE94">
      <w:pPr>
        <w:pStyle w:val="3"/>
        <w:rPr>
          <w:rFonts w:hint="eastAsia" w:ascii="黑体" w:hAnsi="黑体" w:eastAsia="黑体" w:cs="黑体"/>
          <w:b/>
          <w:bCs w:val="0"/>
          <w:color w:val="auto"/>
          <w:sz w:val="21"/>
        </w:rPr>
      </w:pPr>
    </w:p>
    <w:p w14:paraId="1CDCF5B8">
      <w:pPr>
        <w:pStyle w:val="10"/>
        <w:rPr>
          <w:rFonts w:hint="eastAsia" w:ascii="黑体" w:hAnsi="黑体" w:eastAsia="黑体" w:cs="黑体"/>
          <w:b/>
          <w:bCs w:val="0"/>
          <w:color w:val="auto"/>
          <w:sz w:val="21"/>
        </w:rPr>
      </w:pPr>
    </w:p>
    <w:p w14:paraId="0A86B7D3">
      <w:pPr>
        <w:rPr>
          <w:rFonts w:hint="eastAsia" w:ascii="黑体" w:hAnsi="黑体" w:eastAsia="黑体" w:cs="黑体"/>
          <w:b/>
          <w:bCs w:val="0"/>
          <w:color w:val="auto"/>
          <w:sz w:val="21"/>
        </w:rPr>
      </w:pPr>
    </w:p>
    <w:p w14:paraId="2E3D9CCA">
      <w:pPr>
        <w:pStyle w:val="13"/>
        <w:rPr>
          <w:rFonts w:hint="eastAsia" w:ascii="黑体" w:hAnsi="黑体" w:eastAsia="黑体" w:cs="黑体"/>
          <w:b/>
          <w:bCs w:val="0"/>
          <w:color w:val="auto"/>
          <w:sz w:val="21"/>
        </w:rPr>
      </w:pPr>
    </w:p>
    <w:p w14:paraId="0A0D4D3A">
      <w:pPr>
        <w:pStyle w:val="3"/>
        <w:rPr>
          <w:rFonts w:hint="eastAsia"/>
        </w:rPr>
      </w:pPr>
    </w:p>
    <w:p w14:paraId="5D406F7D">
      <w:pPr>
        <w:pStyle w:val="10"/>
        <w:rPr>
          <w:rFonts w:hint="eastAsia" w:ascii="黑体" w:hAnsi="黑体" w:eastAsia="黑体" w:cs="黑体"/>
          <w:b/>
          <w:bCs w:val="0"/>
          <w:color w:val="auto"/>
          <w:sz w:val="21"/>
        </w:rPr>
      </w:pPr>
    </w:p>
    <w:p w14:paraId="499CA9EA">
      <w:pPr>
        <w:rPr>
          <w:rFonts w:hint="eastAsia"/>
        </w:rPr>
      </w:pPr>
    </w:p>
    <w:p w14:paraId="19E5979C">
      <w:pPr>
        <w:autoSpaceDE w:val="0"/>
        <w:autoSpaceDN w:val="0"/>
        <w:spacing w:line="360" w:lineRule="auto"/>
        <w:jc w:val="center"/>
        <w:outlineLvl w:val="0"/>
        <w:rPr>
          <w:rFonts w:hint="default" w:ascii="黑体" w:hAnsi="黑体" w:eastAsia="黑体" w:cs="黑体"/>
          <w:b/>
          <w:bCs w:val="0"/>
          <w:color w:val="auto"/>
          <w:sz w:val="32"/>
          <w:highlight w:val="none"/>
          <w:lang w:val="en-US" w:eastAsia="zh-CN"/>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XJXS-A2025025</w:t>
      </w:r>
    </w:p>
    <w:p w14:paraId="7D3ED1C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1729CEB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2AD7A5B1">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377819BD">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5FDB6B76">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0ACAE8F3">
      <w:pPr>
        <w:spacing w:line="243" w:lineRule="auto"/>
        <w:rPr>
          <w:rFonts w:hint="eastAsia" w:ascii="黑体" w:hAnsi="黑体" w:eastAsia="黑体" w:cs="黑体"/>
          <w:b/>
          <w:bCs w:val="0"/>
          <w:color w:val="auto"/>
          <w:sz w:val="21"/>
        </w:rPr>
      </w:pPr>
    </w:p>
    <w:p w14:paraId="4F0B8570">
      <w:pPr>
        <w:spacing w:line="243" w:lineRule="auto"/>
        <w:rPr>
          <w:rFonts w:hint="eastAsia" w:ascii="黑体" w:hAnsi="黑体" w:eastAsia="黑体" w:cs="黑体"/>
          <w:b/>
          <w:bCs w:val="0"/>
          <w:color w:val="auto"/>
          <w:sz w:val="21"/>
        </w:rPr>
      </w:pPr>
    </w:p>
    <w:p w14:paraId="3FA1D240">
      <w:pPr>
        <w:pStyle w:val="6"/>
        <w:rPr>
          <w:rFonts w:hint="eastAsia"/>
          <w:color w:val="auto"/>
        </w:rPr>
      </w:pPr>
    </w:p>
    <w:p w14:paraId="222471D4">
      <w:pPr>
        <w:rPr>
          <w:rFonts w:hint="eastAsia"/>
        </w:rPr>
      </w:pPr>
    </w:p>
    <w:p w14:paraId="4E8FB658">
      <w:pPr>
        <w:spacing w:line="243" w:lineRule="auto"/>
        <w:rPr>
          <w:rFonts w:hint="eastAsia" w:ascii="黑体" w:hAnsi="黑体" w:eastAsia="黑体" w:cs="黑体"/>
          <w:b/>
          <w:bCs w:val="0"/>
          <w:color w:val="auto"/>
          <w:sz w:val="21"/>
        </w:rPr>
      </w:pPr>
    </w:p>
    <w:p w14:paraId="2B4961E8">
      <w:pPr>
        <w:spacing w:line="243" w:lineRule="auto"/>
        <w:rPr>
          <w:rFonts w:hint="eastAsia" w:ascii="黑体" w:hAnsi="黑体" w:eastAsia="黑体" w:cs="黑体"/>
          <w:b/>
          <w:bCs w:val="0"/>
          <w:color w:val="auto"/>
          <w:sz w:val="21"/>
        </w:rPr>
      </w:pPr>
    </w:p>
    <w:p w14:paraId="4D5C34F6">
      <w:pPr>
        <w:pStyle w:val="7"/>
        <w:rPr>
          <w:rFonts w:hint="eastAsia" w:ascii="黑体" w:hAnsi="黑体" w:eastAsia="黑体" w:cs="黑体"/>
          <w:b/>
          <w:bCs w:val="0"/>
          <w:color w:val="auto"/>
          <w:sz w:val="32"/>
          <w:highlight w:val="none"/>
          <w:lang w:val="zh-CN"/>
        </w:rPr>
      </w:pPr>
    </w:p>
    <w:p w14:paraId="5E64D0BE">
      <w:pPr>
        <w:pStyle w:val="3"/>
        <w:rPr>
          <w:rFonts w:hint="eastAsia" w:ascii="黑体" w:hAnsi="黑体" w:eastAsia="黑体" w:cs="黑体"/>
          <w:b/>
          <w:bCs w:val="0"/>
          <w:color w:val="auto"/>
          <w:sz w:val="36"/>
          <w:highlight w:val="none"/>
          <w:lang w:eastAsia="zh-CN"/>
        </w:rPr>
      </w:pPr>
    </w:p>
    <w:p w14:paraId="6A76234D">
      <w:pPr>
        <w:spacing w:line="360" w:lineRule="auto"/>
        <w:rPr>
          <w:rFonts w:hint="eastAsia" w:ascii="黑体" w:hAnsi="黑体" w:eastAsia="黑体" w:cs="黑体"/>
          <w:b/>
          <w:bCs w:val="0"/>
          <w:color w:val="auto"/>
          <w:sz w:val="36"/>
          <w:highlight w:val="none"/>
          <w:lang w:val="en-US"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val="en-US" w:eastAsia="zh-CN"/>
        </w:rPr>
        <w:t>富蕴县公安局</w:t>
      </w:r>
    </w:p>
    <w:p w14:paraId="2B28FB6A">
      <w:pPr>
        <w:spacing w:line="360" w:lineRule="auto"/>
        <w:rPr>
          <w:rFonts w:hint="default"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val="en-US" w:eastAsia="zh-CN"/>
        </w:rPr>
        <w:t>新疆信实工程招标咨询服务有限公司</w:t>
      </w:r>
    </w:p>
    <w:p w14:paraId="5253ABDD">
      <w:pPr>
        <w:jc w:val="center"/>
        <w:rPr>
          <w:rFonts w:hint="eastAsia" w:ascii="黑体" w:hAnsi="黑体" w:eastAsia="黑体" w:cs="黑体"/>
          <w:b/>
          <w:bCs w:val="0"/>
          <w:color w:val="auto"/>
          <w:sz w:val="36"/>
          <w:highlight w:val="none"/>
        </w:rPr>
      </w:pPr>
    </w:p>
    <w:p w14:paraId="22975B80">
      <w:pPr>
        <w:ind w:firstLine="723" w:firstLineChars="200"/>
        <w:jc w:val="both"/>
        <w:rPr>
          <w:rFonts w:hint="eastAsia" w:ascii="黑体" w:hAnsi="黑体" w:eastAsia="黑体" w:cs="黑体"/>
          <w:b/>
          <w:bCs w:val="0"/>
          <w:color w:val="auto"/>
          <w:sz w:val="36"/>
          <w:highlight w:val="none"/>
        </w:rPr>
      </w:pPr>
      <w:r>
        <w:rPr>
          <w:rFonts w:hint="eastAsia" w:ascii="黑体" w:hAnsi="黑体" w:eastAsia="黑体" w:cs="黑体"/>
          <w:b/>
          <w:bCs w:val="0"/>
          <w:color w:val="auto"/>
          <w:sz w:val="36"/>
          <w:highlight w:val="none"/>
        </w:rPr>
        <w:t>日</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u w:val="none"/>
        </w:rPr>
        <w:t xml:space="preserve"> </w:t>
      </w:r>
      <w:r>
        <w:rPr>
          <w:rFonts w:hint="eastAsia" w:ascii="黑体" w:hAnsi="黑体" w:eastAsia="黑体" w:cs="黑体"/>
          <w:b/>
          <w:bCs w:val="0"/>
          <w:color w:val="auto"/>
          <w:sz w:val="36"/>
          <w:highlight w:val="none"/>
          <w:u w:val="none"/>
          <w:lang w:val="en-US" w:eastAsia="zh-CN"/>
        </w:rPr>
        <w:t>2025</w:t>
      </w:r>
      <w:r>
        <w:rPr>
          <w:rFonts w:hint="eastAsia" w:ascii="黑体" w:hAnsi="黑体" w:eastAsia="黑体" w:cs="黑体"/>
          <w:b/>
          <w:bCs w:val="0"/>
          <w:color w:val="auto"/>
          <w:sz w:val="36"/>
          <w:highlight w:val="none"/>
          <w:u w:val="none"/>
        </w:rPr>
        <w:t xml:space="preserve"> 年</w:t>
      </w:r>
      <w:r>
        <w:rPr>
          <w:rFonts w:hint="eastAsia" w:ascii="黑体" w:hAnsi="黑体" w:eastAsia="黑体" w:cs="黑体"/>
          <w:b/>
          <w:bCs w:val="0"/>
          <w:color w:val="auto"/>
          <w:sz w:val="36"/>
          <w:highlight w:val="none"/>
          <w:u w:val="none"/>
          <w:lang w:val="en-US" w:eastAsia="zh-CN"/>
        </w:rPr>
        <w:t xml:space="preserve"> 6 </w:t>
      </w:r>
      <w:r>
        <w:rPr>
          <w:rFonts w:hint="eastAsia" w:ascii="黑体" w:hAnsi="黑体" w:eastAsia="黑体" w:cs="黑体"/>
          <w:b/>
          <w:bCs w:val="0"/>
          <w:color w:val="auto"/>
          <w:sz w:val="36"/>
          <w:highlight w:val="none"/>
        </w:rPr>
        <w:t>月</w:t>
      </w:r>
      <w:bookmarkStart w:id="0" w:name="_Toc28359001"/>
      <w:bookmarkStart w:id="1" w:name="_Toc35393789"/>
      <w:bookmarkStart w:id="2" w:name="_Toc35393796"/>
      <w:bookmarkStart w:id="3" w:name="_Toc35393627"/>
      <w:bookmarkStart w:id="4" w:name="_Toc28359008"/>
      <w:bookmarkStart w:id="5" w:name="_Toc28359085"/>
    </w:p>
    <w:p w14:paraId="3DBCC7CE">
      <w:pPr>
        <w:ind w:firstLine="723" w:firstLineChars="200"/>
        <w:jc w:val="both"/>
        <w:rPr>
          <w:rFonts w:hint="eastAsia" w:ascii="黑体" w:hAnsi="黑体" w:eastAsia="黑体" w:cs="黑体"/>
          <w:b/>
          <w:bCs w:val="0"/>
          <w:color w:val="auto"/>
          <w:sz w:val="36"/>
          <w:highlight w:val="none"/>
        </w:rPr>
      </w:pPr>
    </w:p>
    <w:p w14:paraId="55545B86">
      <w:pPr>
        <w:ind w:firstLine="420" w:firstLineChars="200"/>
        <w:jc w:val="both"/>
        <w:rPr>
          <w:rFonts w:hint="eastAsia" w:ascii="华文中宋" w:hAnsi="华文中宋" w:eastAsia="华文中宋"/>
          <w:color w:val="auto"/>
          <w:lang w:val="en-US" w:eastAsia="zh-CN"/>
        </w:rPr>
      </w:pPr>
      <w:r>
        <w:rPr>
          <w:rFonts w:hint="eastAsia" w:ascii="华文中宋" w:hAnsi="华文中宋" w:eastAsia="华文中宋"/>
          <w:color w:val="auto"/>
          <w:lang w:val="en-US" w:eastAsia="zh-CN"/>
        </w:rPr>
        <w:t xml:space="preserve">  </w:t>
      </w:r>
    </w:p>
    <w:p w14:paraId="7C775B67">
      <w:pPr>
        <w:pStyle w:val="4"/>
        <w:tabs>
          <w:tab w:val="left" w:pos="0"/>
          <w:tab w:val="left" w:pos="3165"/>
          <w:tab w:val="center" w:pos="4153"/>
        </w:tabs>
        <w:autoSpaceDE w:val="0"/>
        <w:autoSpaceDN w:val="0"/>
        <w:adjustRightInd w:val="0"/>
        <w:spacing w:line="360" w:lineRule="auto"/>
        <w:jc w:val="center"/>
        <w:rPr>
          <w:rFonts w:hint="default" w:ascii="华文中宋" w:hAnsi="华文中宋" w:eastAsia="华文中宋"/>
          <w:color w:val="auto"/>
          <w:lang w:val="en-US" w:eastAsia="zh-CN"/>
        </w:rPr>
      </w:pPr>
      <w:r>
        <w:rPr>
          <w:rFonts w:hint="eastAsia" w:ascii="华文中宋" w:hAnsi="华文中宋" w:eastAsia="华文中宋"/>
          <w:color w:val="auto"/>
          <w:lang w:val="en-US" w:eastAsia="zh-CN"/>
        </w:rPr>
        <w:t>第一章</w:t>
      </w:r>
      <w:r>
        <w:rPr>
          <w:rFonts w:hint="eastAsia" w:ascii="华文中宋" w:hAnsi="华文中宋" w:eastAsia="华文中宋"/>
          <w:color w:val="auto"/>
          <w:lang w:eastAsia="zh-CN"/>
        </w:rPr>
        <w:t>竞</w:t>
      </w:r>
      <w:r>
        <w:rPr>
          <w:rFonts w:hint="eastAsia" w:ascii="华文中宋" w:hAnsi="华文中宋" w:eastAsia="华文中宋"/>
          <w:color w:val="auto"/>
          <w:lang w:val="en-US" w:eastAsia="zh-CN"/>
        </w:rPr>
        <w:t xml:space="preserve">  </w:t>
      </w:r>
      <w:r>
        <w:rPr>
          <w:rFonts w:hint="eastAsia" w:ascii="华文中宋" w:hAnsi="华文中宋" w:eastAsia="华文中宋"/>
          <w:color w:val="auto"/>
          <w:lang w:eastAsia="zh-CN"/>
        </w:rPr>
        <w:t>争性磋商公告</w:t>
      </w:r>
    </w:p>
    <w:bookmarkEnd w:id="0"/>
    <w:bookmarkEnd w:id="1"/>
    <w:bookmarkEnd w:id="2"/>
    <w:bookmarkEnd w:id="3"/>
    <w:bookmarkEnd w:id="4"/>
    <w:bookmarkEnd w:id="5"/>
    <w:p w14:paraId="5E1131CB">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r>
        <w:rPr>
          <w:rFonts w:hint="eastAsia" w:ascii="华文中宋" w:hAnsi="华文中宋" w:eastAsia="华文中宋"/>
          <w:color w:val="auto"/>
          <w:lang w:val="en-US" w:eastAsia="zh-CN"/>
        </w:rPr>
        <w:t xml:space="preserve">  </w:t>
      </w:r>
      <w:r>
        <w:rPr>
          <w:rFonts w:hint="eastAsia" w:ascii="华文中宋" w:hAnsi="华文中宋" w:eastAsia="华文中宋"/>
          <w:color w:val="auto"/>
          <w:lang w:eastAsia="zh-CN"/>
        </w:rPr>
        <w:t>竞争性磋商公告</w:t>
      </w:r>
    </w:p>
    <w:p w14:paraId="739ECAF1">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Toc35393621"/>
      <w:bookmarkStart w:id="7" w:name="_Toc35393790"/>
      <w:bookmarkStart w:id="8" w:name="_Toc28359079"/>
      <w:bookmarkStart w:id="9" w:name="_Hlk24379207"/>
      <w:bookmarkStart w:id="10" w:name="_Toc28359002"/>
      <w:r>
        <w:rPr>
          <w:rFonts w:hint="eastAsia" w:ascii="仿宋" w:hAnsi="仿宋" w:eastAsia="仿宋"/>
          <w:color w:val="auto"/>
          <w:sz w:val="28"/>
          <w:szCs w:val="28"/>
        </w:rPr>
        <w:t>项目概况</w:t>
      </w:r>
    </w:p>
    <w:p w14:paraId="3EA5E26C">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阿勒泰地区富蕴县公安局机场派出所</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olor w:val="auto"/>
          <w:sz w:val="28"/>
          <w:szCs w:val="28"/>
          <w:u w:val="single"/>
          <w:lang w:val="en-US" w:eastAsia="zh-CN"/>
        </w:rPr>
        <w:t>2025年07月07日16时30分（北京时间）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248C2DF6">
      <w:pPr>
        <w:pStyle w:val="5"/>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3382C152">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项目编号：XJXS-A20250</w:t>
      </w:r>
      <w:r>
        <w:rPr>
          <w:rFonts w:hint="eastAsia" w:ascii="仿宋" w:hAnsi="仿宋" w:eastAsia="仿宋" w:cs="仿宋"/>
          <w:i w:val="0"/>
          <w:iCs w:val="0"/>
          <w:caps w:val="0"/>
          <w:color w:val="auto"/>
          <w:spacing w:val="0"/>
          <w:sz w:val="27"/>
          <w:szCs w:val="27"/>
          <w:lang w:val="en-US" w:eastAsia="zh-CN"/>
        </w:rPr>
        <w:t>25</w:t>
      </w:r>
    </w:p>
    <w:p w14:paraId="3EFC5FF2">
      <w:pPr>
        <w:spacing w:line="360" w:lineRule="auto"/>
        <w:ind w:firstLine="54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阿勒泰地区富蕴县公安局机场派出所</w:t>
      </w:r>
    </w:p>
    <w:p w14:paraId="23147816">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highlight w:val="none"/>
          <w:lang w:val="en-US"/>
        </w:rPr>
        <w:t>：1579080.11</w:t>
      </w:r>
      <w:r>
        <w:rPr>
          <w:rFonts w:hint="eastAsia" w:ascii="仿宋" w:hAnsi="仿宋" w:eastAsia="仿宋" w:cs="仿宋"/>
          <w:i w:val="0"/>
          <w:iCs w:val="0"/>
          <w:caps w:val="0"/>
          <w:color w:val="auto"/>
          <w:spacing w:val="0"/>
          <w:sz w:val="27"/>
          <w:szCs w:val="27"/>
          <w:highlight w:val="none"/>
          <w:lang w:val="en-US" w:eastAsia="zh-CN"/>
        </w:rPr>
        <w:t>元</w:t>
      </w:r>
    </w:p>
    <w:p w14:paraId="02E86E0F">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最高限价：1579080.11元</w:t>
      </w:r>
    </w:p>
    <w:p w14:paraId="6397EB65">
      <w:pPr>
        <w:spacing w:line="360" w:lineRule="auto"/>
        <w:ind w:firstLine="540"/>
        <w:rPr>
          <w:rFonts w:hint="default" w:ascii="仿宋" w:hAnsi="仿宋" w:eastAsia="仿宋" w:cs="仿宋"/>
          <w:i w:val="0"/>
          <w:iCs w:val="0"/>
          <w:caps w:val="0"/>
          <w:color w:val="auto"/>
          <w:spacing w:val="0"/>
          <w:sz w:val="27"/>
          <w:szCs w:val="27"/>
          <w:lang w:val="en-US"/>
        </w:rPr>
      </w:pPr>
      <w:r>
        <w:rPr>
          <w:rFonts w:hint="eastAsia" w:ascii="仿宋" w:hAnsi="仿宋" w:eastAsia="仿宋" w:cs="仿宋"/>
          <w:i w:val="0"/>
          <w:iCs w:val="0"/>
          <w:caps w:val="0"/>
          <w:color w:val="auto"/>
          <w:spacing w:val="0"/>
          <w:sz w:val="27"/>
          <w:szCs w:val="27"/>
          <w:lang w:val="en-US"/>
        </w:rPr>
        <w:t>采购需求：</w:t>
      </w:r>
      <w:bookmarkStart w:id="12" w:name="OLE_LINK3"/>
      <w:r>
        <w:rPr>
          <w:rFonts w:hint="eastAsia" w:ascii="仿宋" w:hAnsi="仿宋" w:eastAsia="仿宋" w:cs="仿宋"/>
          <w:i w:val="0"/>
          <w:iCs w:val="0"/>
          <w:caps w:val="0"/>
          <w:color w:val="auto"/>
          <w:spacing w:val="0"/>
          <w:sz w:val="27"/>
          <w:szCs w:val="27"/>
          <w:lang w:val="en-US" w:eastAsia="zh-CN"/>
        </w:rPr>
        <w:t>新建建筑面积568平方米。</w:t>
      </w:r>
      <w:bookmarkEnd w:id="12"/>
      <w:r>
        <w:rPr>
          <w:rFonts w:hint="eastAsia" w:ascii="仿宋" w:hAnsi="仿宋" w:eastAsia="仿宋" w:cs="仿宋"/>
          <w:i w:val="0"/>
          <w:iCs w:val="0"/>
          <w:caps w:val="0"/>
          <w:color w:val="auto"/>
          <w:spacing w:val="0"/>
          <w:sz w:val="27"/>
          <w:szCs w:val="27"/>
          <w:lang w:val="en-US" w:eastAsia="zh-CN"/>
        </w:rPr>
        <w:t>（详见招标工程量清单）</w:t>
      </w:r>
    </w:p>
    <w:p w14:paraId="6EBF24F0">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lang w:val="en-US" w:eastAsia="zh-CN"/>
        </w:rPr>
        <w:t>甲乙双方协商</w:t>
      </w:r>
    </w:p>
    <w:p w14:paraId="2E21472A">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0251BD04">
      <w:pPr>
        <w:pStyle w:val="5"/>
        <w:spacing w:line="360" w:lineRule="auto"/>
        <w:rPr>
          <w:rFonts w:ascii="黑体" w:hAnsi="黑体" w:cs="宋体"/>
          <w:b w:val="0"/>
          <w:color w:val="auto"/>
          <w:sz w:val="28"/>
          <w:szCs w:val="28"/>
          <w:highlight w:val="none"/>
        </w:rPr>
      </w:pPr>
      <w:bookmarkStart w:id="13" w:name="_Toc28359080"/>
      <w:bookmarkStart w:id="14" w:name="_Toc35393622"/>
      <w:bookmarkStart w:id="15" w:name="_Toc35393791"/>
      <w:bookmarkStart w:id="16" w:name="_Toc28359003"/>
      <w:bookmarkStart w:id="17" w:name="_Toc25257"/>
      <w:r>
        <w:rPr>
          <w:rFonts w:hint="eastAsia" w:ascii="黑体" w:hAnsi="黑体" w:cs="宋体"/>
          <w:b w:val="0"/>
          <w:color w:val="auto"/>
          <w:sz w:val="28"/>
          <w:szCs w:val="28"/>
          <w:highlight w:val="none"/>
        </w:rPr>
        <w:t>二、申请人的资格要求：</w:t>
      </w:r>
      <w:bookmarkEnd w:id="13"/>
      <w:bookmarkEnd w:id="14"/>
      <w:bookmarkEnd w:id="15"/>
      <w:bookmarkEnd w:id="16"/>
      <w:bookmarkEnd w:id="17"/>
    </w:p>
    <w:p w14:paraId="189D3EE6">
      <w:pPr>
        <w:spacing w:line="360" w:lineRule="auto"/>
        <w:ind w:firstLine="540"/>
        <w:rPr>
          <w:rFonts w:ascii="仿宋" w:hAnsi="仿宋" w:eastAsia="仿宋" w:cs="仿宋"/>
          <w:i w:val="0"/>
          <w:iCs w:val="0"/>
          <w:caps w:val="0"/>
          <w:color w:val="auto"/>
          <w:spacing w:val="0"/>
          <w:sz w:val="27"/>
          <w:szCs w:val="27"/>
        </w:rPr>
      </w:pPr>
      <w:bookmarkStart w:id="18" w:name="_Toc28359081"/>
      <w:bookmarkStart w:id="19" w:name="_Toc2583"/>
      <w:bookmarkStart w:id="20" w:name="_Toc35393623"/>
      <w:bookmarkStart w:id="21" w:name="_Toc28359004"/>
      <w:bookmarkStart w:id="22" w:name="_Toc35393792"/>
      <w:r>
        <w:rPr>
          <w:rFonts w:hint="eastAsia" w:ascii="仿宋" w:hAnsi="仿宋" w:eastAsia="仿宋" w:cs="仿宋"/>
          <w:i w:val="0"/>
          <w:iCs w:val="0"/>
          <w:caps w:val="0"/>
          <w:color w:val="auto"/>
          <w:spacing w:val="0"/>
          <w:sz w:val="27"/>
          <w:szCs w:val="27"/>
        </w:rPr>
        <w:t>1.满足《中华人民共和国政府采购法》第二十二条规定；</w:t>
      </w:r>
    </w:p>
    <w:p w14:paraId="787245B1">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00136764">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bookmarkStart w:id="23" w:name="OLE_LINK4"/>
      <w:r>
        <w:rPr>
          <w:rFonts w:hint="eastAsia" w:ascii="仿宋" w:hAnsi="仿宋" w:eastAsia="仿宋" w:cs="仿宋"/>
          <w:i w:val="0"/>
          <w:iCs w:val="0"/>
          <w:caps w:val="0"/>
          <w:color w:val="auto"/>
          <w:spacing w:val="0"/>
          <w:sz w:val="27"/>
          <w:szCs w:val="27"/>
          <w:lang w:val="en-US" w:eastAsia="zh-CN"/>
        </w:rPr>
        <w:t>（1）企业具有[建筑工程施工总承包二级](含)以上资质、企业安全生产许可证；（2）拟派项目负责人具有二级（含）以上建造师资格（建筑工程专业）和安全生产考核合格证书B证（均合格有效），且不得担任其他在建工程项目的项目负责人，技术负责人、施工员、质检员、安全员、资料员、材料员等项目管理机构班组人员必须持证上岗（在建设云平台可查到）</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bookmarkEnd w:id="23"/>
    </w:p>
    <w:p w14:paraId="34D46499">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8"/>
      <w:bookmarkEnd w:id="19"/>
      <w:bookmarkEnd w:id="20"/>
      <w:bookmarkEnd w:id="21"/>
      <w:bookmarkEnd w:id="22"/>
    </w:p>
    <w:p w14:paraId="21558A4F">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02</w:t>
      </w:r>
      <w:bookmarkStart w:id="171" w:name="_GoBack"/>
      <w:bookmarkEnd w:id="171"/>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3DEB7058">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地点：政采云平台线上获取</w:t>
      </w:r>
    </w:p>
    <w:p w14:paraId="58B79FAF">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2C06B7C8">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3E0317D2">
      <w:pPr>
        <w:pStyle w:val="5"/>
        <w:spacing w:line="360" w:lineRule="auto"/>
        <w:rPr>
          <w:rFonts w:ascii="黑体" w:hAnsi="黑体" w:cs="宋体"/>
          <w:b w:val="0"/>
          <w:color w:val="auto"/>
          <w:sz w:val="28"/>
          <w:szCs w:val="28"/>
        </w:rPr>
      </w:pPr>
      <w:bookmarkStart w:id="24" w:name="_Toc28359082"/>
      <w:bookmarkStart w:id="25" w:name="_Toc28359005"/>
      <w:bookmarkStart w:id="26" w:name="_Toc35393793"/>
      <w:bookmarkStart w:id="27" w:name="_Toc20860"/>
      <w:bookmarkStart w:id="28" w:name="_Toc35393624"/>
      <w:r>
        <w:rPr>
          <w:rFonts w:hint="eastAsia" w:ascii="黑体" w:hAnsi="黑体" w:cs="宋体"/>
          <w:b w:val="0"/>
          <w:color w:val="auto"/>
          <w:sz w:val="28"/>
          <w:szCs w:val="28"/>
        </w:rPr>
        <w:t>四、提交投标文件</w:t>
      </w:r>
      <w:bookmarkEnd w:id="24"/>
      <w:bookmarkEnd w:id="25"/>
      <w:r>
        <w:rPr>
          <w:rFonts w:hint="eastAsia" w:ascii="黑体" w:hAnsi="黑体" w:cs="宋体"/>
          <w:b w:val="0"/>
          <w:color w:val="auto"/>
          <w:sz w:val="28"/>
          <w:szCs w:val="28"/>
        </w:rPr>
        <w:t>截止时间、开标时间和地点</w:t>
      </w:r>
      <w:bookmarkEnd w:id="26"/>
      <w:bookmarkEnd w:id="27"/>
      <w:bookmarkEnd w:id="28"/>
    </w:p>
    <w:p w14:paraId="5E6B1DE1">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 xml:space="preserve"> 2025年07月07日16时30分（北京时间）</w:t>
      </w:r>
    </w:p>
    <w:p w14:paraId="2790F25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5BC04EC0">
      <w:pPr>
        <w:pStyle w:val="5"/>
        <w:spacing w:line="240" w:lineRule="auto"/>
        <w:rPr>
          <w:rFonts w:ascii="黑体" w:hAnsi="黑体" w:cs="宋体"/>
          <w:b w:val="0"/>
          <w:color w:val="auto"/>
          <w:sz w:val="28"/>
          <w:szCs w:val="28"/>
        </w:rPr>
      </w:pPr>
      <w:bookmarkStart w:id="29" w:name="_Toc28359007"/>
      <w:bookmarkStart w:id="30" w:name="_Toc28359084"/>
      <w:bookmarkStart w:id="31" w:name="_Toc20651"/>
      <w:bookmarkStart w:id="32" w:name="_Toc35393625"/>
      <w:bookmarkStart w:id="33" w:name="_Toc35393794"/>
      <w:r>
        <w:rPr>
          <w:rFonts w:hint="eastAsia" w:ascii="黑体" w:hAnsi="黑体" w:cs="宋体"/>
          <w:b w:val="0"/>
          <w:color w:val="auto"/>
          <w:sz w:val="28"/>
          <w:szCs w:val="28"/>
        </w:rPr>
        <w:t>五、公告期限</w:t>
      </w:r>
      <w:bookmarkEnd w:id="29"/>
      <w:bookmarkEnd w:id="30"/>
      <w:bookmarkEnd w:id="31"/>
      <w:bookmarkEnd w:id="32"/>
      <w:bookmarkEnd w:id="33"/>
    </w:p>
    <w:p w14:paraId="4AE5606D">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668063E4">
      <w:pPr>
        <w:pStyle w:val="5"/>
        <w:spacing w:line="360" w:lineRule="auto"/>
        <w:rPr>
          <w:rFonts w:ascii="黑体" w:hAnsi="黑体" w:cs="宋体"/>
          <w:b w:val="0"/>
          <w:color w:val="auto"/>
          <w:sz w:val="28"/>
          <w:szCs w:val="28"/>
        </w:rPr>
      </w:pPr>
      <w:bookmarkStart w:id="34" w:name="_Toc26551"/>
      <w:bookmarkStart w:id="35" w:name="_Toc35393626"/>
      <w:bookmarkStart w:id="36" w:name="_Toc35393795"/>
      <w:r>
        <w:rPr>
          <w:rFonts w:hint="eastAsia" w:ascii="黑体" w:hAnsi="黑体" w:cs="宋体"/>
          <w:b w:val="0"/>
          <w:color w:val="auto"/>
          <w:sz w:val="28"/>
          <w:szCs w:val="28"/>
        </w:rPr>
        <w:t>六、其他补充事宜</w:t>
      </w:r>
      <w:bookmarkEnd w:id="34"/>
      <w:bookmarkEnd w:id="35"/>
      <w:bookmarkEnd w:id="36"/>
    </w:p>
    <w:p w14:paraId="2FF57D43">
      <w:pPr>
        <w:spacing w:line="360" w:lineRule="auto"/>
        <w:ind w:firstLine="540"/>
        <w:rPr>
          <w:rFonts w:hint="eastAsia" w:ascii="仿宋" w:hAnsi="仿宋" w:eastAsia="仿宋" w:cs="仿宋"/>
          <w:i w:val="0"/>
          <w:iCs w:val="0"/>
          <w:caps w:val="0"/>
          <w:color w:val="auto"/>
          <w:spacing w:val="0"/>
          <w:sz w:val="27"/>
          <w:szCs w:val="27"/>
          <w:lang w:val="en-US" w:eastAsia="zh-CN"/>
        </w:rPr>
      </w:pPr>
      <w:bookmarkStart w:id="37" w:name="OLE_LINK5"/>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649FEC6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03B9E4E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347AA31A">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8F63CD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71B7D2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72A1181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07ACC08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6D3ACB0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1C508AB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bookmarkEnd w:id="37"/>
    </w:p>
    <w:p w14:paraId="602B3119">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5B13ACD7">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65C29692">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5A46690D">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652C3714">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582ABCAD">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2428B3A1">
      <w:pPr>
        <w:rPr>
          <w:rFonts w:hint="eastAsia" w:ascii="仿宋" w:hAnsi="仿宋" w:eastAsia="仿宋" w:cs="仿宋"/>
          <w:color w:val="auto"/>
          <w:sz w:val="28"/>
          <w:szCs w:val="28"/>
          <w:lang w:val="en-US" w:eastAsia="zh-CN"/>
        </w:rPr>
      </w:pPr>
    </w:p>
    <w:p w14:paraId="517FD6D4">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p>
    <w:p w14:paraId="6654035A">
      <w:pPr>
        <w:spacing w:before="92" w:line="384" w:lineRule="auto"/>
        <w:rPr>
          <w:rFonts w:hint="eastAsia" w:ascii="仿宋" w:hAnsi="仿宋" w:eastAsia="仿宋" w:cs="仿宋"/>
          <w:spacing w:val="-7"/>
          <w:sz w:val="28"/>
          <w:szCs w:val="28"/>
          <w:lang w:val="en-US" w:eastAsia="zh-CN"/>
        </w:rPr>
      </w:pPr>
      <w:bookmarkStart w:id="38" w:name="_Toc28359086"/>
      <w:bookmarkStart w:id="39" w:name="_Toc28359009"/>
      <w:r>
        <w:rPr>
          <w:rFonts w:hint="eastAsia" w:ascii="仿宋" w:hAnsi="仿宋" w:eastAsia="仿宋" w:cs="仿宋"/>
          <w:spacing w:val="-7"/>
          <w:sz w:val="28"/>
          <w:szCs w:val="28"/>
          <w:lang w:val="en-US" w:eastAsia="zh-CN"/>
        </w:rPr>
        <w:t>1.采购人信息</w:t>
      </w:r>
    </w:p>
    <w:p w14:paraId="0082DDC1">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称：富蕴县公安局</w:t>
      </w:r>
    </w:p>
    <w:p w14:paraId="70490E58">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地 址：富蕴县</w:t>
      </w:r>
    </w:p>
    <w:p w14:paraId="26EC64A7">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联系方式：18097508810</w:t>
      </w:r>
    </w:p>
    <w:p w14:paraId="0B9F0D6C">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8"/>
    <w:bookmarkEnd w:id="39"/>
    <w:p w14:paraId="1D1F7651">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称：新疆信实工程招标咨询服务有限公司</w:t>
      </w:r>
    </w:p>
    <w:p w14:paraId="5709F14E">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阿勒泰市南区迎宾路金枫雅苑三号商铺楼三楼</w:t>
      </w:r>
    </w:p>
    <w:p w14:paraId="51558203">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13150303322</w:t>
      </w:r>
    </w:p>
    <w:p w14:paraId="178C083C">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00427D71">
      <w:pPr>
        <w:spacing w:line="344" w:lineRule="auto"/>
        <w:rPr>
          <w:rFonts w:ascii="Arial"/>
          <w:sz w:val="21"/>
        </w:rPr>
      </w:pPr>
    </w:p>
    <w:p w14:paraId="6A77CA8B">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项目联系人：唐爱玲</w:t>
      </w:r>
    </w:p>
    <w:p w14:paraId="351982AD">
      <w:pPr>
        <w:spacing w:before="92" w:line="384" w:lineRule="auto"/>
        <w:ind w:firstLine="532" w:firstLineChars="200"/>
      </w:pPr>
      <w:r>
        <w:rPr>
          <w:rFonts w:hint="eastAsia" w:ascii="仿宋" w:hAnsi="仿宋" w:eastAsia="仿宋" w:cs="仿宋"/>
          <w:spacing w:val="-7"/>
          <w:sz w:val="28"/>
          <w:szCs w:val="28"/>
          <w:lang w:val="en-US" w:eastAsia="zh-CN"/>
        </w:rPr>
        <w:t>电      话：13150303322</w:t>
      </w:r>
    </w:p>
    <w:p w14:paraId="40D14A40">
      <w:pPr>
        <w:pStyle w:val="2"/>
        <w:ind w:left="0" w:leftChars="0" w:firstLine="0" w:firstLineChars="0"/>
        <w:rPr>
          <w:rFonts w:hint="eastAsia" w:ascii="仿宋" w:hAnsi="仿宋" w:eastAsia="仿宋" w:cs="仿宋"/>
          <w:spacing w:val="-7"/>
          <w:sz w:val="28"/>
          <w:szCs w:val="28"/>
          <w:lang w:val="en-US" w:eastAsia="zh-CN"/>
        </w:rPr>
      </w:pPr>
    </w:p>
    <w:p w14:paraId="2C9470BA">
      <w:pPr>
        <w:spacing w:before="90" w:line="225" w:lineRule="auto"/>
        <w:ind w:left="3142"/>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7D52762B">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35ED50D3">
      <w:pPr>
        <w:spacing w:line="96" w:lineRule="exact"/>
        <w:rPr>
          <w:color w:val="auto"/>
        </w:rPr>
      </w:pPr>
    </w:p>
    <w:tbl>
      <w:tblPr>
        <w:tblStyle w:val="20"/>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240E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C734825">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19C65A51">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79A16809">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1BF0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503BED1">
            <w:pPr>
              <w:spacing w:line="433" w:lineRule="auto"/>
              <w:rPr>
                <w:rFonts w:ascii="Arial"/>
                <w:color w:val="auto"/>
                <w:sz w:val="21"/>
              </w:rPr>
            </w:pPr>
          </w:p>
          <w:p w14:paraId="25991C0D">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664459DB">
            <w:pPr>
              <w:spacing w:line="402" w:lineRule="auto"/>
              <w:rPr>
                <w:rFonts w:ascii="Arial"/>
                <w:color w:val="auto"/>
                <w:sz w:val="21"/>
              </w:rPr>
            </w:pPr>
          </w:p>
          <w:p w14:paraId="3E15A87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D8074C3">
            <w:pPr>
              <w:spacing w:line="360" w:lineRule="auto"/>
              <w:rPr>
                <w:rFonts w:hint="eastAsia"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名  称：</w:t>
            </w:r>
            <w:r>
              <w:rPr>
                <w:rFonts w:hint="eastAsia" w:ascii="宋体" w:hAnsi="宋体" w:eastAsia="宋体" w:cs="宋体"/>
                <w:color w:val="auto"/>
                <w:spacing w:val="16"/>
                <w:sz w:val="20"/>
                <w:szCs w:val="20"/>
                <w:lang w:val="en-US" w:eastAsia="zh-CN"/>
              </w:rPr>
              <w:t>富蕴县公安局</w:t>
            </w:r>
          </w:p>
          <w:p w14:paraId="5BBB100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地  址：</w:t>
            </w:r>
            <w:r>
              <w:rPr>
                <w:rFonts w:hint="eastAsia" w:ascii="宋体" w:hAnsi="宋体" w:eastAsia="宋体" w:cs="宋体"/>
                <w:color w:val="auto"/>
                <w:spacing w:val="16"/>
                <w:sz w:val="20"/>
                <w:szCs w:val="20"/>
                <w:lang w:val="en-US" w:eastAsia="zh-CN"/>
              </w:rPr>
              <w:t>富蕴县</w:t>
            </w:r>
          </w:p>
          <w:p w14:paraId="0B3A8B9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lang w:eastAsia="zh-CN"/>
              </w:rPr>
              <w:t>联系人：</w:t>
            </w:r>
            <w:r>
              <w:rPr>
                <w:rFonts w:hint="eastAsia" w:ascii="宋体" w:hAnsi="宋体" w:eastAsia="宋体" w:cs="宋体"/>
                <w:color w:val="auto"/>
                <w:spacing w:val="16"/>
                <w:sz w:val="20"/>
                <w:szCs w:val="20"/>
                <w:lang w:val="en-US" w:eastAsia="zh-CN"/>
              </w:rPr>
              <w:t>尹琦岩</w:t>
            </w:r>
          </w:p>
          <w:p w14:paraId="60E48CD2">
            <w:pPr>
              <w:spacing w:line="360" w:lineRule="auto"/>
              <w:rPr>
                <w:rFonts w:ascii="宋体" w:hAnsi="宋体" w:eastAsia="宋体" w:cs="宋体"/>
                <w:color w:val="auto"/>
                <w:sz w:val="20"/>
                <w:szCs w:val="20"/>
              </w:rPr>
            </w:pPr>
            <w:r>
              <w:rPr>
                <w:rFonts w:hint="eastAsia" w:ascii="宋体" w:hAnsi="宋体" w:eastAsia="宋体" w:cs="宋体"/>
                <w:color w:val="auto"/>
                <w:spacing w:val="16"/>
                <w:sz w:val="20"/>
                <w:szCs w:val="20"/>
                <w:lang w:eastAsia="zh-CN"/>
              </w:rPr>
              <w:t>电话：18097508810</w:t>
            </w:r>
          </w:p>
        </w:tc>
      </w:tr>
      <w:tr w14:paraId="68F2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43549E4">
            <w:pPr>
              <w:spacing w:line="434" w:lineRule="auto"/>
              <w:rPr>
                <w:rFonts w:ascii="Arial"/>
                <w:color w:val="auto"/>
                <w:sz w:val="21"/>
              </w:rPr>
            </w:pPr>
          </w:p>
          <w:p w14:paraId="03EC1B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2A45B056">
            <w:pPr>
              <w:spacing w:line="402" w:lineRule="auto"/>
              <w:rPr>
                <w:rFonts w:ascii="Arial"/>
                <w:color w:val="auto"/>
                <w:sz w:val="21"/>
              </w:rPr>
            </w:pPr>
          </w:p>
          <w:p w14:paraId="390EF420">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2F87BB7F">
            <w:pPr>
              <w:spacing w:line="360" w:lineRule="auto"/>
              <w:rPr>
                <w:rFonts w:hint="eastAsia" w:ascii="宋体" w:hAnsi="宋体" w:eastAsia="宋体" w:cs="宋体"/>
                <w:sz w:val="20"/>
                <w:szCs w:val="20"/>
                <w:lang w:val="en-US" w:eastAsia="zh-CN"/>
              </w:rPr>
            </w:pPr>
            <w:r>
              <w:rPr>
                <w:rFonts w:hint="eastAsia" w:ascii="宋体" w:hAnsi="宋体" w:eastAsia="宋体" w:cs="宋体"/>
                <w:color w:val="auto"/>
                <w:spacing w:val="16"/>
                <w:sz w:val="20"/>
                <w:szCs w:val="20"/>
              </w:rPr>
              <w:t>名</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8"/>
                <w:sz w:val="20"/>
                <w:szCs w:val="20"/>
              </w:rPr>
              <w:t xml:space="preserve"> 称：</w:t>
            </w:r>
            <w:r>
              <w:rPr>
                <w:rFonts w:hint="eastAsia" w:ascii="宋体" w:hAnsi="宋体" w:eastAsia="宋体" w:cs="宋体"/>
                <w:sz w:val="20"/>
                <w:szCs w:val="20"/>
                <w:lang w:eastAsia="zh-CN"/>
              </w:rPr>
              <w:t>新疆信实工程招标咨询服务有限公司</w:t>
            </w:r>
          </w:p>
          <w:p w14:paraId="2CDEB864">
            <w:pPr>
              <w:spacing w:line="360" w:lineRule="auto"/>
              <w:rPr>
                <w:rFonts w:hint="eastAsia" w:ascii="宋体" w:hAnsi="宋体" w:eastAsia="宋体" w:cs="宋体"/>
                <w:color w:val="auto"/>
                <w:sz w:val="20"/>
                <w:szCs w:val="20"/>
                <w:lang w:val="en-US" w:eastAsia="zh-CN"/>
              </w:rPr>
            </w:pPr>
            <w:r>
              <w:rPr>
                <w:rFonts w:hint="eastAsia" w:ascii="宋体" w:hAnsi="宋体" w:eastAsia="宋体" w:cs="宋体"/>
                <w:color w:val="auto"/>
                <w:spacing w:val="13"/>
                <w:sz w:val="20"/>
                <w:szCs w:val="20"/>
              </w:rPr>
              <w:t>地</w:t>
            </w:r>
            <w:r>
              <w:rPr>
                <w:rFonts w:hint="eastAsia" w:ascii="宋体" w:hAnsi="宋体" w:eastAsia="宋体" w:cs="宋体"/>
                <w:color w:val="auto"/>
                <w:spacing w:val="7"/>
                <w:sz w:val="20"/>
                <w:szCs w:val="20"/>
              </w:rPr>
              <w:t xml:space="preserve">  址：</w:t>
            </w:r>
            <w:r>
              <w:rPr>
                <w:rFonts w:hint="eastAsia" w:ascii="宋体" w:hAnsi="宋体" w:eastAsia="宋体" w:cs="宋体"/>
                <w:sz w:val="20"/>
                <w:szCs w:val="20"/>
                <w:lang w:val="en-US" w:eastAsia="zh-CN"/>
              </w:rPr>
              <w:t>阿勒泰市南区金枫雅苑商业楼三楼</w:t>
            </w:r>
          </w:p>
          <w:p w14:paraId="118583A7">
            <w:pPr>
              <w:spacing w:before="101" w:line="231" w:lineRule="auto"/>
              <w:rPr>
                <w:rFonts w:ascii="宋体" w:hAnsi="宋体" w:eastAsia="宋体" w:cs="宋体"/>
                <w:color w:val="auto"/>
                <w:spacing w:val="6"/>
                <w:sz w:val="20"/>
                <w:szCs w:val="20"/>
              </w:rPr>
            </w:pPr>
            <w:r>
              <w:rPr>
                <w:rFonts w:ascii="宋体" w:hAnsi="宋体" w:eastAsia="宋体" w:cs="宋体"/>
                <w:color w:val="auto"/>
                <w:spacing w:val="12"/>
                <w:sz w:val="20"/>
                <w:szCs w:val="20"/>
              </w:rPr>
              <w:t>联</w:t>
            </w:r>
            <w:r>
              <w:rPr>
                <w:rFonts w:ascii="宋体" w:hAnsi="宋体" w:eastAsia="宋体" w:cs="宋体"/>
                <w:color w:val="auto"/>
                <w:spacing w:val="7"/>
                <w:sz w:val="20"/>
                <w:szCs w:val="20"/>
              </w:rPr>
              <w:t>系</w:t>
            </w:r>
            <w:r>
              <w:rPr>
                <w:rFonts w:ascii="宋体" w:hAnsi="宋体" w:eastAsia="宋体" w:cs="宋体"/>
                <w:color w:val="auto"/>
                <w:spacing w:val="6"/>
                <w:sz w:val="20"/>
                <w:szCs w:val="20"/>
              </w:rPr>
              <w:t>人：</w:t>
            </w:r>
            <w:r>
              <w:rPr>
                <w:rFonts w:hint="eastAsia" w:ascii="宋体" w:hAnsi="宋体" w:eastAsia="宋体" w:cs="宋体"/>
                <w:color w:val="auto"/>
                <w:spacing w:val="6"/>
                <w:sz w:val="20"/>
                <w:szCs w:val="20"/>
                <w:lang w:val="en-US" w:eastAsia="zh-CN"/>
              </w:rPr>
              <w:t>汤爱玲</w:t>
            </w:r>
            <w:r>
              <w:rPr>
                <w:rFonts w:ascii="宋体" w:hAnsi="宋体" w:eastAsia="宋体" w:cs="宋体"/>
                <w:color w:val="auto"/>
                <w:spacing w:val="6"/>
                <w:sz w:val="20"/>
                <w:szCs w:val="20"/>
              </w:rPr>
              <w:t xml:space="preserve">  </w:t>
            </w:r>
          </w:p>
          <w:p w14:paraId="6D49201C">
            <w:pPr>
              <w:spacing w:before="101" w:line="231" w:lineRule="auto"/>
              <w:rPr>
                <w:rFonts w:hint="default" w:ascii="宋体" w:hAnsi="宋体" w:eastAsia="宋体" w:cs="宋体"/>
                <w:color w:val="auto"/>
                <w:sz w:val="20"/>
                <w:szCs w:val="20"/>
                <w:lang w:val="en-US"/>
              </w:rPr>
            </w:pPr>
            <w:r>
              <w:rPr>
                <w:rFonts w:ascii="宋体" w:hAnsi="宋体" w:eastAsia="宋体" w:cs="宋体"/>
                <w:color w:val="auto"/>
                <w:spacing w:val="6"/>
                <w:sz w:val="20"/>
                <w:szCs w:val="20"/>
              </w:rPr>
              <w:t>电  话：</w:t>
            </w:r>
            <w:r>
              <w:rPr>
                <w:rFonts w:hint="eastAsia" w:ascii="宋体" w:hAnsi="宋体" w:eastAsia="宋体" w:cs="宋体"/>
                <w:color w:val="auto"/>
                <w:spacing w:val="6"/>
                <w:sz w:val="20"/>
                <w:szCs w:val="20"/>
                <w:lang w:val="en-US" w:eastAsia="zh-CN"/>
              </w:rPr>
              <w:t>13150303322</w:t>
            </w:r>
          </w:p>
        </w:tc>
      </w:tr>
      <w:tr w14:paraId="1AA7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8429BE">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71E509DA">
            <w:pPr>
              <w:spacing w:before="101" w:line="231" w:lineRule="auto"/>
              <w:ind w:left="115" w:firstLine="636" w:firstLineChars="300"/>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项目名称</w:t>
            </w:r>
          </w:p>
        </w:tc>
        <w:tc>
          <w:tcPr>
            <w:tcW w:w="5477" w:type="dxa"/>
            <w:vAlign w:val="center"/>
          </w:tcPr>
          <w:p w14:paraId="1B62DBD8">
            <w:pPr>
              <w:spacing w:before="101" w:line="231" w:lineRule="auto"/>
              <w:ind w:left="115"/>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阿勒泰地区富蕴县公安局机场派出所</w:t>
            </w:r>
          </w:p>
        </w:tc>
      </w:tr>
      <w:tr w14:paraId="7F1D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7E4225E1">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6928AF1F">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6EF6BC9C">
            <w:pPr>
              <w:spacing w:before="111" w:line="228" w:lineRule="auto"/>
              <w:ind w:left="115"/>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富蕴县机场</w:t>
            </w:r>
          </w:p>
        </w:tc>
      </w:tr>
      <w:tr w14:paraId="7488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C724CB6">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5CEA8E5C">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5B027D48">
            <w:pPr>
              <w:spacing w:before="112" w:line="227" w:lineRule="auto"/>
              <w:ind w:left="149"/>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中央预算内资金</w:t>
            </w:r>
          </w:p>
        </w:tc>
      </w:tr>
      <w:tr w14:paraId="51CC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73C2A559">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23BABE4E">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2E00F103">
            <w:pPr>
              <w:spacing w:before="111" w:line="228" w:lineRule="auto"/>
              <w:ind w:left="115"/>
              <w:rPr>
                <w:rFonts w:hint="eastAsia" w:ascii="宋体" w:hAnsi="宋体" w:eastAsia="宋体" w:cs="宋体"/>
                <w:color w:val="auto"/>
                <w:sz w:val="20"/>
                <w:szCs w:val="20"/>
              </w:rPr>
            </w:pPr>
            <w:r>
              <w:rPr>
                <w:rFonts w:hint="eastAsia" w:ascii="宋体" w:hAnsi="宋体" w:eastAsia="宋体" w:cs="宋体"/>
                <w:color w:val="auto"/>
                <w:spacing w:val="18"/>
                <w:sz w:val="20"/>
                <w:szCs w:val="20"/>
              </w:rPr>
              <w:t>招</w:t>
            </w:r>
            <w:r>
              <w:rPr>
                <w:rFonts w:hint="eastAsia" w:ascii="宋体" w:hAnsi="宋体" w:eastAsia="宋体" w:cs="宋体"/>
                <w:color w:val="auto"/>
                <w:spacing w:val="10"/>
                <w:sz w:val="20"/>
                <w:szCs w:val="20"/>
              </w:rPr>
              <w:t>标</w:t>
            </w:r>
            <w:r>
              <w:rPr>
                <w:rFonts w:hint="eastAsia" w:ascii="宋体" w:hAnsi="宋体" w:eastAsia="宋体" w:cs="宋体"/>
                <w:color w:val="auto"/>
                <w:spacing w:val="9"/>
                <w:sz w:val="20"/>
                <w:szCs w:val="20"/>
              </w:rPr>
              <w:t>文件、工程量清单及答疑范围内的全部内容</w:t>
            </w:r>
          </w:p>
        </w:tc>
      </w:tr>
      <w:tr w14:paraId="44C6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22" w:type="dxa"/>
            <w:vAlign w:val="top"/>
          </w:tcPr>
          <w:p w14:paraId="06C1FBD2">
            <w:pPr>
              <w:spacing w:line="405" w:lineRule="auto"/>
              <w:rPr>
                <w:rFonts w:ascii="Arial"/>
                <w:color w:val="auto"/>
                <w:sz w:val="21"/>
              </w:rPr>
            </w:pPr>
          </w:p>
          <w:p w14:paraId="59F607F3">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49F2F85B">
            <w:pPr>
              <w:spacing w:before="111" w:line="228" w:lineRule="auto"/>
              <w:ind w:left="115"/>
              <w:rPr>
                <w:rFonts w:hint="eastAsia" w:ascii="宋体" w:hAnsi="宋体" w:eastAsia="宋体" w:cs="宋体"/>
                <w:color w:val="auto"/>
                <w:spacing w:val="9"/>
                <w:sz w:val="20"/>
                <w:szCs w:val="20"/>
              </w:rPr>
            </w:pPr>
          </w:p>
          <w:p w14:paraId="4DC5428B">
            <w:pPr>
              <w:spacing w:before="111" w:line="228" w:lineRule="auto"/>
              <w:ind w:left="115"/>
              <w:rPr>
                <w:rFonts w:hint="eastAsia" w:ascii="宋体" w:hAnsi="宋体" w:eastAsia="宋体" w:cs="宋体"/>
                <w:color w:val="auto"/>
                <w:spacing w:val="9"/>
                <w:sz w:val="20"/>
                <w:szCs w:val="20"/>
              </w:rPr>
            </w:pPr>
            <w:r>
              <w:rPr>
                <w:rFonts w:hint="eastAsia" w:ascii="宋体" w:hAnsi="宋体" w:eastAsia="宋体" w:cs="宋体"/>
                <w:color w:val="auto"/>
                <w:spacing w:val="9"/>
                <w:sz w:val="20"/>
                <w:szCs w:val="20"/>
              </w:rPr>
              <w:t>计划工期</w:t>
            </w:r>
          </w:p>
        </w:tc>
        <w:tc>
          <w:tcPr>
            <w:tcW w:w="5477" w:type="dxa"/>
            <w:vAlign w:val="top"/>
          </w:tcPr>
          <w:p w14:paraId="34A98F22">
            <w:pPr>
              <w:spacing w:before="111" w:line="228" w:lineRule="auto"/>
              <w:ind w:left="115"/>
              <w:rPr>
                <w:rFonts w:hint="default"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总工期：176日历天</w:t>
            </w:r>
          </w:p>
          <w:p w14:paraId="653FCAE0">
            <w:pPr>
              <w:spacing w:before="111" w:line="228" w:lineRule="auto"/>
              <w:ind w:left="115"/>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 xml:space="preserve">计划开工日期 </w:t>
            </w:r>
            <w:r>
              <w:rPr>
                <w:rFonts w:hint="eastAsia" w:ascii="宋体" w:hAnsi="宋体" w:eastAsia="宋体" w:cs="宋体"/>
                <w:color w:val="auto"/>
                <w:spacing w:val="9"/>
                <w:sz w:val="20"/>
                <w:szCs w:val="20"/>
                <w:highlight w:val="none"/>
                <w:lang w:val="en-US" w:eastAsia="zh-CN"/>
              </w:rPr>
              <w:t>2025</w:t>
            </w:r>
            <w:r>
              <w:rPr>
                <w:rFonts w:hint="eastAsia" w:ascii="宋体" w:hAnsi="宋体" w:eastAsia="宋体" w:cs="宋体"/>
                <w:color w:val="auto"/>
                <w:spacing w:val="9"/>
                <w:sz w:val="20"/>
                <w:szCs w:val="20"/>
                <w:highlight w:val="none"/>
              </w:rPr>
              <w:t xml:space="preserve"> 年 </w:t>
            </w:r>
            <w:r>
              <w:rPr>
                <w:rFonts w:hint="eastAsia" w:ascii="宋体" w:hAnsi="宋体" w:eastAsia="宋体" w:cs="宋体"/>
                <w:color w:val="auto"/>
                <w:spacing w:val="9"/>
                <w:sz w:val="20"/>
                <w:szCs w:val="20"/>
                <w:highlight w:val="none"/>
                <w:lang w:val="en-US" w:eastAsia="zh-CN"/>
              </w:rPr>
              <w:t>07</w:t>
            </w:r>
            <w:r>
              <w:rPr>
                <w:rFonts w:hint="eastAsia" w:ascii="宋体" w:hAnsi="宋体" w:eastAsia="宋体" w:cs="宋体"/>
                <w:color w:val="auto"/>
                <w:spacing w:val="9"/>
                <w:sz w:val="20"/>
                <w:szCs w:val="20"/>
                <w:highlight w:val="none"/>
              </w:rPr>
              <w:t xml:space="preserve"> 月</w:t>
            </w:r>
            <w:r>
              <w:rPr>
                <w:rFonts w:hint="eastAsia" w:ascii="宋体" w:hAnsi="宋体" w:eastAsia="宋体" w:cs="宋体"/>
                <w:color w:val="auto"/>
                <w:spacing w:val="9"/>
                <w:sz w:val="20"/>
                <w:szCs w:val="20"/>
                <w:highlight w:val="none"/>
                <w:lang w:val="en-US" w:eastAsia="zh-CN"/>
              </w:rPr>
              <w:t xml:space="preserve"> 09 </w:t>
            </w:r>
            <w:r>
              <w:rPr>
                <w:rFonts w:hint="eastAsia" w:ascii="宋体" w:hAnsi="宋体" w:eastAsia="宋体" w:cs="宋体"/>
                <w:color w:val="auto"/>
                <w:spacing w:val="9"/>
                <w:sz w:val="20"/>
                <w:szCs w:val="20"/>
                <w:highlight w:val="none"/>
              </w:rPr>
              <w:t>日，</w:t>
            </w:r>
          </w:p>
          <w:p w14:paraId="4684A4BD">
            <w:pPr>
              <w:spacing w:before="111" w:line="228" w:lineRule="auto"/>
              <w:ind w:left="115"/>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val="en-US" w:eastAsia="zh-CN"/>
              </w:rPr>
              <w:t>计划</w:t>
            </w:r>
            <w:r>
              <w:rPr>
                <w:rFonts w:hint="eastAsia" w:ascii="宋体" w:hAnsi="宋体" w:eastAsia="宋体" w:cs="宋体"/>
                <w:color w:val="auto"/>
                <w:spacing w:val="9"/>
                <w:sz w:val="20"/>
                <w:szCs w:val="20"/>
                <w:highlight w:val="none"/>
              </w:rPr>
              <w:t>竣工日期</w:t>
            </w:r>
            <w:r>
              <w:rPr>
                <w:rFonts w:hint="eastAsia" w:ascii="宋体" w:hAnsi="宋体" w:eastAsia="宋体" w:cs="宋体"/>
                <w:color w:val="auto"/>
                <w:spacing w:val="9"/>
                <w:sz w:val="20"/>
                <w:szCs w:val="20"/>
                <w:highlight w:val="none"/>
                <w:lang w:val="en-US" w:eastAsia="zh-CN"/>
              </w:rPr>
              <w:t xml:space="preserve"> 2025 </w:t>
            </w:r>
            <w:r>
              <w:rPr>
                <w:rFonts w:hint="eastAsia"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 xml:space="preserve"> 12</w:t>
            </w:r>
            <w:r>
              <w:rPr>
                <w:rFonts w:hint="eastAsia" w:ascii="宋体" w:hAnsi="宋体" w:eastAsia="宋体" w:cs="宋体"/>
                <w:color w:val="auto"/>
                <w:spacing w:val="9"/>
                <w:sz w:val="20"/>
                <w:szCs w:val="20"/>
                <w:highlight w:val="none"/>
              </w:rPr>
              <w:t xml:space="preserve"> 月 </w:t>
            </w:r>
            <w:r>
              <w:rPr>
                <w:rFonts w:hint="eastAsia" w:ascii="宋体" w:hAnsi="宋体" w:eastAsia="宋体" w:cs="宋体"/>
                <w:color w:val="auto"/>
                <w:spacing w:val="9"/>
                <w:sz w:val="20"/>
                <w:szCs w:val="20"/>
                <w:highlight w:val="none"/>
                <w:lang w:val="en-US" w:eastAsia="zh-CN"/>
              </w:rPr>
              <w:t xml:space="preserve">31 </w:t>
            </w:r>
            <w:r>
              <w:rPr>
                <w:rFonts w:hint="eastAsia" w:ascii="宋体" w:hAnsi="宋体" w:eastAsia="宋体" w:cs="宋体"/>
                <w:color w:val="auto"/>
                <w:spacing w:val="9"/>
                <w:sz w:val="20"/>
                <w:szCs w:val="20"/>
                <w:highlight w:val="none"/>
              </w:rPr>
              <w:t>日</w:t>
            </w:r>
            <w:r>
              <w:rPr>
                <w:rFonts w:hint="eastAsia" w:ascii="宋体" w:hAnsi="宋体" w:eastAsia="宋体" w:cs="宋体"/>
                <w:color w:val="auto"/>
                <w:spacing w:val="9"/>
                <w:sz w:val="20"/>
                <w:szCs w:val="20"/>
                <w:highlight w:val="none"/>
                <w:lang w:eastAsia="zh-CN"/>
              </w:rPr>
              <w:t>。</w:t>
            </w:r>
          </w:p>
        </w:tc>
      </w:tr>
      <w:tr w14:paraId="40FB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A8299E9">
            <w:pPr>
              <w:spacing w:line="258" w:lineRule="auto"/>
              <w:rPr>
                <w:rFonts w:ascii="Arial"/>
                <w:color w:val="auto"/>
                <w:sz w:val="21"/>
              </w:rPr>
            </w:pPr>
          </w:p>
          <w:p w14:paraId="089BFD7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top"/>
          </w:tcPr>
          <w:p w14:paraId="571404F5">
            <w:pPr>
              <w:spacing w:before="293"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top"/>
          </w:tcPr>
          <w:p w14:paraId="61C4103A">
            <w:pPr>
              <w:spacing w:before="113"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 xml:space="preserve">质量标准：合 </w:t>
            </w:r>
            <w:r>
              <w:rPr>
                <w:rFonts w:ascii="宋体" w:hAnsi="宋体" w:eastAsia="宋体" w:cs="宋体"/>
                <w:color w:val="auto"/>
                <w:spacing w:val="7"/>
                <w:sz w:val="20"/>
                <w:szCs w:val="20"/>
              </w:rPr>
              <w:t>格</w:t>
            </w:r>
          </w:p>
          <w:p w14:paraId="746A6D0E">
            <w:pPr>
              <w:spacing w:before="112" w:line="228" w:lineRule="auto"/>
              <w:ind w:left="118"/>
              <w:rPr>
                <w:rFonts w:ascii="宋体" w:hAnsi="宋体" w:eastAsia="宋体" w:cs="宋体"/>
                <w:color w:val="auto"/>
                <w:sz w:val="20"/>
                <w:szCs w:val="20"/>
              </w:rPr>
            </w:pPr>
            <w:r>
              <w:rPr>
                <w:rFonts w:ascii="宋体" w:hAnsi="宋体" w:eastAsia="宋体" w:cs="宋体"/>
                <w:color w:val="auto"/>
                <w:spacing w:val="25"/>
                <w:sz w:val="20"/>
                <w:szCs w:val="20"/>
              </w:rPr>
              <w:t>关</w:t>
            </w:r>
            <w:r>
              <w:rPr>
                <w:rFonts w:ascii="宋体" w:hAnsi="宋体" w:eastAsia="宋体" w:cs="宋体"/>
                <w:color w:val="auto"/>
                <w:spacing w:val="13"/>
                <w:sz w:val="20"/>
                <w:szCs w:val="20"/>
              </w:rPr>
              <w:t>于质量要求的详细说明见第七章“技术标准和要求”</w:t>
            </w:r>
          </w:p>
        </w:tc>
      </w:tr>
      <w:tr w14:paraId="16F7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022" w:type="dxa"/>
            <w:vAlign w:val="top"/>
          </w:tcPr>
          <w:p w14:paraId="724E01B6">
            <w:pPr>
              <w:spacing w:line="251" w:lineRule="auto"/>
              <w:rPr>
                <w:rFonts w:ascii="Arial"/>
                <w:color w:val="auto"/>
                <w:sz w:val="21"/>
              </w:rPr>
            </w:pPr>
          </w:p>
          <w:p w14:paraId="17974361">
            <w:pPr>
              <w:spacing w:line="251" w:lineRule="auto"/>
              <w:rPr>
                <w:rFonts w:ascii="Arial"/>
                <w:color w:val="auto"/>
                <w:sz w:val="21"/>
              </w:rPr>
            </w:pPr>
          </w:p>
          <w:p w14:paraId="63BB1490">
            <w:pPr>
              <w:spacing w:line="252" w:lineRule="auto"/>
              <w:rPr>
                <w:rFonts w:ascii="Arial"/>
                <w:color w:val="auto"/>
                <w:sz w:val="21"/>
              </w:rPr>
            </w:pPr>
          </w:p>
          <w:p w14:paraId="30E7FC95">
            <w:pPr>
              <w:spacing w:line="252" w:lineRule="auto"/>
              <w:rPr>
                <w:rFonts w:ascii="Arial"/>
                <w:color w:val="auto"/>
                <w:sz w:val="21"/>
              </w:rPr>
            </w:pPr>
          </w:p>
          <w:p w14:paraId="6E0FC402">
            <w:pPr>
              <w:spacing w:line="252" w:lineRule="auto"/>
              <w:rPr>
                <w:rFonts w:ascii="Arial"/>
                <w:color w:val="auto"/>
                <w:sz w:val="21"/>
              </w:rPr>
            </w:pPr>
          </w:p>
          <w:p w14:paraId="5F336514">
            <w:pPr>
              <w:spacing w:line="252" w:lineRule="auto"/>
              <w:rPr>
                <w:rFonts w:ascii="Arial"/>
                <w:color w:val="auto"/>
                <w:sz w:val="21"/>
              </w:rPr>
            </w:pPr>
          </w:p>
          <w:p w14:paraId="65655580">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6F71169A">
            <w:pPr>
              <w:spacing w:line="260" w:lineRule="auto"/>
              <w:rPr>
                <w:rFonts w:ascii="Arial"/>
                <w:color w:val="auto"/>
                <w:sz w:val="21"/>
              </w:rPr>
            </w:pPr>
          </w:p>
          <w:p w14:paraId="08667800">
            <w:pPr>
              <w:spacing w:line="260" w:lineRule="auto"/>
              <w:rPr>
                <w:rFonts w:ascii="Arial"/>
                <w:color w:val="auto"/>
                <w:sz w:val="21"/>
              </w:rPr>
            </w:pPr>
          </w:p>
          <w:p w14:paraId="30125403">
            <w:pPr>
              <w:spacing w:line="260" w:lineRule="auto"/>
              <w:rPr>
                <w:rFonts w:ascii="Arial"/>
                <w:color w:val="auto"/>
                <w:sz w:val="21"/>
              </w:rPr>
            </w:pPr>
          </w:p>
          <w:p w14:paraId="25170AA3">
            <w:pPr>
              <w:spacing w:line="260" w:lineRule="auto"/>
              <w:rPr>
                <w:rFonts w:ascii="Arial"/>
                <w:color w:val="auto"/>
                <w:sz w:val="21"/>
              </w:rPr>
            </w:pPr>
          </w:p>
          <w:p w14:paraId="343FAD81">
            <w:pPr>
              <w:spacing w:line="260" w:lineRule="auto"/>
              <w:rPr>
                <w:rFonts w:ascii="Arial"/>
                <w:color w:val="auto"/>
                <w:sz w:val="21"/>
              </w:rPr>
            </w:pPr>
          </w:p>
          <w:p w14:paraId="6CB49BFD">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9BEF575">
            <w:pPr>
              <w:spacing w:before="113" w:line="332" w:lineRule="auto"/>
              <w:ind w:left="115" w:right="109" w:firstLine="8"/>
              <w:rPr>
                <w:rFonts w:ascii="宋体" w:hAnsi="宋体" w:eastAsia="宋体" w:cs="宋体"/>
                <w:color w:val="auto"/>
                <w:sz w:val="20"/>
                <w:szCs w:val="20"/>
              </w:rPr>
            </w:pPr>
            <w:r>
              <w:rPr>
                <w:rFonts w:ascii="宋体" w:hAnsi="宋体" w:eastAsia="宋体" w:cs="宋体"/>
                <w:color w:val="auto"/>
                <w:spacing w:val="9"/>
                <w:sz w:val="20"/>
                <w:szCs w:val="20"/>
              </w:rPr>
              <w:t>资质条件：</w:t>
            </w:r>
            <w:r>
              <w:rPr>
                <w:rFonts w:hint="eastAsia" w:ascii="宋体" w:hAnsi="宋体" w:eastAsia="宋体" w:cs="宋体"/>
                <w:color w:val="auto"/>
                <w:sz w:val="20"/>
                <w:szCs w:val="20"/>
                <w:lang w:eastAsia="zh-CN"/>
              </w:rPr>
              <w:t>具备</w:t>
            </w:r>
            <w:r>
              <w:rPr>
                <w:rFonts w:hint="eastAsia" w:ascii="宋体" w:hAnsi="宋体" w:eastAsia="宋体" w:cs="宋体"/>
                <w:b w:val="0"/>
                <w:bCs w:val="0"/>
                <w:sz w:val="20"/>
                <w:szCs w:val="20"/>
                <w:highlight w:val="none"/>
                <w:lang w:val="en-US" w:eastAsia="zh-CN"/>
              </w:rPr>
              <w:t>建筑工程施工总承包贰级（含贰级）以上资质；</w:t>
            </w:r>
          </w:p>
          <w:p w14:paraId="00C074A9">
            <w:pPr>
              <w:spacing w:line="225" w:lineRule="auto"/>
              <w:rPr>
                <w:rFonts w:hint="eastAsia" w:ascii="宋体" w:hAnsi="宋体" w:eastAsia="宋体" w:cs="宋体"/>
                <w:color w:val="auto"/>
                <w:sz w:val="20"/>
                <w:szCs w:val="20"/>
                <w:lang w:val="en-US" w:eastAsia="zh-CN"/>
              </w:rPr>
            </w:pPr>
            <w:r>
              <w:rPr>
                <w:rFonts w:ascii="宋体" w:hAnsi="宋体" w:eastAsia="宋体" w:cs="宋体"/>
                <w:color w:val="auto"/>
                <w:spacing w:val="12"/>
                <w:sz w:val="20"/>
                <w:szCs w:val="20"/>
              </w:rPr>
              <w:t>类</w:t>
            </w:r>
            <w:r>
              <w:rPr>
                <w:rFonts w:ascii="宋体" w:hAnsi="宋体" w:eastAsia="宋体" w:cs="宋体"/>
                <w:color w:val="auto"/>
                <w:spacing w:val="9"/>
                <w:sz w:val="20"/>
                <w:szCs w:val="20"/>
              </w:rPr>
              <w:t>似工程业绩：近三年类似工程</w:t>
            </w:r>
            <w:r>
              <w:rPr>
                <w:rFonts w:hint="eastAsia" w:ascii="宋体" w:hAnsi="宋体" w:eastAsia="宋体" w:cs="宋体"/>
                <w:color w:val="auto"/>
                <w:spacing w:val="9"/>
                <w:sz w:val="20"/>
                <w:szCs w:val="20"/>
                <w:lang w:val="en-US" w:eastAsia="zh-CN"/>
              </w:rPr>
              <w:t>业绩</w:t>
            </w:r>
          </w:p>
          <w:p w14:paraId="3518D4FB">
            <w:pPr>
              <w:pStyle w:val="14"/>
              <w:spacing w:before="0" w:beforeAutospacing="0" w:after="0" w:afterAutospacing="0" w:line="400" w:lineRule="exact"/>
              <w:ind w:left="0" w:leftChars="0" w:firstLine="0" w:firstLineChars="0"/>
              <w:rPr>
                <w:rFonts w:hint="eastAsia" w:ascii="宋体" w:hAnsi="宋体" w:eastAsia="宋体" w:cs="宋体"/>
                <w:color w:val="auto"/>
                <w:sz w:val="20"/>
                <w:szCs w:val="20"/>
                <w:lang w:eastAsia="zh-CN"/>
              </w:rPr>
            </w:pPr>
            <w:r>
              <w:rPr>
                <w:rFonts w:ascii="宋体" w:hAnsi="宋体" w:eastAsia="宋体" w:cs="宋体"/>
                <w:snapToGrid w:val="0"/>
                <w:color w:val="auto"/>
                <w:spacing w:val="9"/>
                <w:kern w:val="0"/>
                <w:sz w:val="20"/>
                <w:szCs w:val="20"/>
              </w:rPr>
              <w:t>财务要求：</w:t>
            </w: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w:t>
            </w:r>
            <w:r>
              <w:rPr>
                <w:rFonts w:hint="eastAsia" w:ascii="宋体" w:hAnsi="宋体" w:eastAsia="宋体" w:cs="宋体"/>
                <w:snapToGrid w:val="0"/>
                <w:color w:val="auto"/>
                <w:spacing w:val="9"/>
                <w:kern w:val="0"/>
                <w:sz w:val="20"/>
                <w:szCs w:val="20"/>
                <w:lang w:eastAsia="zh-CN"/>
              </w:rPr>
              <w:t>，</w:t>
            </w:r>
            <w:r>
              <w:rPr>
                <w:rFonts w:hint="eastAsia" w:ascii="宋体" w:hAnsi="宋体" w:eastAsia="宋体" w:cs="宋体"/>
                <w:snapToGrid w:val="0"/>
                <w:color w:val="auto"/>
                <w:spacing w:val="9"/>
                <w:kern w:val="0"/>
                <w:sz w:val="20"/>
                <w:szCs w:val="20"/>
                <w:lang w:val="en-US" w:eastAsia="zh-CN"/>
              </w:rPr>
              <w:t>新成立公司需提供近半年财务报表；</w:t>
            </w:r>
          </w:p>
          <w:p w14:paraId="197501F0">
            <w:pPr>
              <w:spacing w:before="112" w:line="228" w:lineRule="auto"/>
              <w:rPr>
                <w:rFonts w:ascii="宋体" w:hAnsi="宋体" w:eastAsia="宋体" w:cs="宋体"/>
                <w:color w:val="auto"/>
                <w:sz w:val="20"/>
                <w:szCs w:val="20"/>
              </w:rPr>
            </w:pPr>
            <w:r>
              <w:rPr>
                <w:rFonts w:ascii="宋体" w:hAnsi="宋体" w:eastAsia="宋体" w:cs="宋体"/>
                <w:color w:val="auto"/>
                <w:spacing w:val="10"/>
                <w:sz w:val="20"/>
                <w:szCs w:val="20"/>
              </w:rPr>
              <w:t>信</w:t>
            </w:r>
            <w:r>
              <w:rPr>
                <w:rFonts w:ascii="宋体" w:hAnsi="宋体" w:eastAsia="宋体" w:cs="宋体"/>
                <w:color w:val="auto"/>
                <w:spacing w:val="9"/>
                <w:sz w:val="20"/>
                <w:szCs w:val="20"/>
              </w:rPr>
              <w:t>誉要求：无不良行为记录</w:t>
            </w:r>
          </w:p>
          <w:p w14:paraId="26335659">
            <w:pPr>
              <w:spacing w:before="114" w:line="332" w:lineRule="auto"/>
              <w:ind w:right="10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项目</w:t>
            </w:r>
            <w:r>
              <w:rPr>
                <w:rFonts w:ascii="宋体" w:hAnsi="宋体" w:eastAsia="宋体" w:cs="宋体"/>
                <w:color w:val="auto"/>
                <w:spacing w:val="10"/>
                <w:sz w:val="20"/>
                <w:szCs w:val="20"/>
                <w:highlight w:val="none"/>
              </w:rPr>
              <w:t>经</w:t>
            </w:r>
            <w:r>
              <w:rPr>
                <w:rFonts w:ascii="宋体" w:hAnsi="宋体" w:eastAsia="宋体" w:cs="宋体"/>
                <w:color w:val="auto"/>
                <w:spacing w:val="9"/>
                <w:sz w:val="20"/>
                <w:szCs w:val="20"/>
                <w:highlight w:val="none"/>
              </w:rPr>
              <w:t>理资格：</w:t>
            </w: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p>
          <w:p w14:paraId="23C9B70F">
            <w:pPr>
              <w:spacing w:line="226" w:lineRule="auto"/>
              <w:ind w:left="115"/>
              <w:rPr>
                <w:rFonts w:ascii="宋体" w:hAnsi="宋体" w:eastAsia="宋体" w:cs="宋体"/>
                <w:color w:val="auto"/>
                <w:sz w:val="20"/>
                <w:szCs w:val="20"/>
              </w:rPr>
            </w:pPr>
            <w:r>
              <w:rPr>
                <w:rFonts w:ascii="宋体" w:hAnsi="宋体" w:eastAsia="宋体" w:cs="宋体"/>
                <w:color w:val="auto"/>
                <w:spacing w:val="-8"/>
                <w:sz w:val="20"/>
                <w:szCs w:val="20"/>
              </w:rPr>
              <w:t>其</w:t>
            </w:r>
            <w:r>
              <w:rPr>
                <w:rFonts w:ascii="宋体" w:hAnsi="宋体" w:eastAsia="宋体" w:cs="宋体"/>
                <w:color w:val="auto"/>
                <w:spacing w:val="-6"/>
                <w:sz w:val="20"/>
                <w:szCs w:val="20"/>
              </w:rPr>
              <w:t>他</w:t>
            </w:r>
            <w:r>
              <w:rPr>
                <w:rFonts w:ascii="宋体" w:hAnsi="宋体" w:eastAsia="宋体" w:cs="宋体"/>
                <w:color w:val="auto"/>
                <w:spacing w:val="-4"/>
                <w:sz w:val="20"/>
                <w:szCs w:val="20"/>
              </w:rPr>
              <w:t>要求：   /</w:t>
            </w:r>
          </w:p>
        </w:tc>
      </w:tr>
      <w:tr w14:paraId="73D4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E66B8AA">
            <w:pPr>
              <w:spacing w:line="258" w:lineRule="auto"/>
              <w:rPr>
                <w:rFonts w:ascii="Arial"/>
                <w:color w:val="auto"/>
                <w:sz w:val="21"/>
              </w:rPr>
            </w:pPr>
          </w:p>
          <w:p w14:paraId="4D5767C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51DE816E">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37311DEB">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6F604827">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r>
              <w:rPr>
                <w:rFonts w:ascii="宋体" w:hAnsi="宋体" w:eastAsia="宋体" w:cs="宋体"/>
                <w:color w:val="auto"/>
                <w:sz w:val="20"/>
                <w:szCs w:val="20"/>
              </w:rPr>
              <w:t>，</w:t>
            </w:r>
          </w:p>
        </w:tc>
      </w:tr>
      <w:tr w14:paraId="5262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52D1FE90">
            <w:pPr>
              <w:spacing w:line="257" w:lineRule="auto"/>
              <w:rPr>
                <w:rFonts w:ascii="Arial"/>
                <w:color w:val="auto"/>
                <w:sz w:val="21"/>
              </w:rPr>
            </w:pPr>
          </w:p>
          <w:p w14:paraId="41224A4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34BC273C">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5AF2707F">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50E6D29">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5280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7C580C7">
            <w:pPr>
              <w:spacing w:line="436" w:lineRule="auto"/>
              <w:rPr>
                <w:rFonts w:ascii="Arial"/>
                <w:color w:val="auto"/>
                <w:sz w:val="21"/>
              </w:rPr>
            </w:pPr>
          </w:p>
          <w:p w14:paraId="4C477DB5">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23E11DD3">
            <w:pPr>
              <w:spacing w:line="404" w:lineRule="auto"/>
              <w:rPr>
                <w:rFonts w:ascii="Arial"/>
                <w:color w:val="auto"/>
                <w:sz w:val="21"/>
              </w:rPr>
            </w:pPr>
          </w:p>
          <w:p w14:paraId="759E44EB">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4FDFF4E5">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367606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p w14:paraId="0EE46AC6">
            <w:pPr>
              <w:spacing w:line="229" w:lineRule="auto"/>
              <w:ind w:left="122"/>
              <w:rPr>
                <w:rFonts w:ascii="宋体" w:hAnsi="宋体" w:eastAsia="宋体" w:cs="宋体"/>
                <w:color w:val="auto"/>
                <w:sz w:val="20"/>
                <w:szCs w:val="20"/>
              </w:rPr>
            </w:pPr>
            <w:r>
              <w:rPr>
                <w:rFonts w:ascii="宋体" w:hAnsi="宋体" w:eastAsia="宋体" w:cs="宋体"/>
                <w:color w:val="auto"/>
                <w:spacing w:val="9"/>
                <w:sz w:val="20"/>
                <w:szCs w:val="20"/>
              </w:rPr>
              <w:t>召</w:t>
            </w:r>
            <w:r>
              <w:rPr>
                <w:rFonts w:ascii="宋体" w:hAnsi="宋体" w:eastAsia="宋体" w:cs="宋体"/>
                <w:color w:val="auto"/>
                <w:spacing w:val="6"/>
                <w:sz w:val="20"/>
                <w:szCs w:val="20"/>
              </w:rPr>
              <w:t>开地点：/</w:t>
            </w:r>
          </w:p>
        </w:tc>
      </w:tr>
      <w:tr w14:paraId="555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74EB7B96">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6974993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1F2F6548">
            <w:pPr>
              <w:spacing w:before="115" w:line="228"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tc>
      </w:tr>
    </w:tbl>
    <w:p w14:paraId="30FB52BB">
      <w:pPr>
        <w:spacing w:line="42" w:lineRule="exact"/>
        <w:rPr>
          <w:color w:val="auto"/>
        </w:rPr>
      </w:pPr>
    </w:p>
    <w:tbl>
      <w:tblPr>
        <w:tblStyle w:val="20"/>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559"/>
      </w:tblGrid>
      <w:tr w14:paraId="4F6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2" w:type="dxa"/>
            <w:vAlign w:val="top"/>
          </w:tcPr>
          <w:p w14:paraId="6EE2DF65">
            <w:pPr>
              <w:rPr>
                <w:rFonts w:ascii="Arial"/>
                <w:color w:val="auto"/>
                <w:sz w:val="21"/>
              </w:rPr>
            </w:pPr>
          </w:p>
        </w:tc>
        <w:tc>
          <w:tcPr>
            <w:tcW w:w="2632" w:type="dxa"/>
            <w:vAlign w:val="top"/>
          </w:tcPr>
          <w:p w14:paraId="32E1A596">
            <w:pPr>
              <w:rPr>
                <w:rFonts w:ascii="Arial"/>
                <w:color w:val="auto"/>
                <w:sz w:val="21"/>
              </w:rPr>
            </w:pPr>
          </w:p>
        </w:tc>
        <w:tc>
          <w:tcPr>
            <w:tcW w:w="5559" w:type="dxa"/>
            <w:vAlign w:val="top"/>
          </w:tcPr>
          <w:p w14:paraId="00A8CD5B">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625A7BC9">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011A4CE3">
            <w:pPr>
              <w:spacing w:before="114" w:line="227" w:lineRule="auto"/>
              <w:ind w:left="113"/>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432F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FEDEBF">
            <w:pPr>
              <w:spacing w:line="254" w:lineRule="auto"/>
              <w:rPr>
                <w:rFonts w:ascii="Arial"/>
                <w:color w:val="auto"/>
                <w:sz w:val="21"/>
              </w:rPr>
            </w:pPr>
          </w:p>
          <w:p w14:paraId="44B209CB">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1680E233">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559" w:type="dxa"/>
            <w:vAlign w:val="top"/>
          </w:tcPr>
          <w:p w14:paraId="15802E78">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2A373AB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48C3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8F2A351">
            <w:pPr>
              <w:spacing w:line="254" w:lineRule="auto"/>
              <w:rPr>
                <w:rFonts w:ascii="Arial"/>
                <w:color w:val="auto"/>
                <w:sz w:val="21"/>
              </w:rPr>
            </w:pPr>
          </w:p>
          <w:p w14:paraId="653D32CF">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10C01D11">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z w:val="20"/>
                <w:szCs w:val="20"/>
              </w:rPr>
              <w:t xml:space="preserve"> </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559" w:type="dxa"/>
            <w:vAlign w:val="top"/>
          </w:tcPr>
          <w:p w14:paraId="397B4EFB">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41BD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22" w:type="dxa"/>
            <w:vAlign w:val="top"/>
          </w:tcPr>
          <w:p w14:paraId="2875046C">
            <w:pPr>
              <w:spacing w:line="363" w:lineRule="auto"/>
              <w:rPr>
                <w:rFonts w:ascii="Arial"/>
                <w:color w:val="auto"/>
                <w:sz w:val="21"/>
              </w:rPr>
            </w:pPr>
          </w:p>
          <w:p w14:paraId="09ADE469">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EEE6B3E">
            <w:pPr>
              <w:spacing w:before="218" w:line="334"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标人要求澄清竞争性磋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文件的截止时间</w:t>
            </w:r>
          </w:p>
        </w:tc>
        <w:tc>
          <w:tcPr>
            <w:tcW w:w="5559" w:type="dxa"/>
            <w:vAlign w:val="top"/>
          </w:tcPr>
          <w:p w14:paraId="3121AD52">
            <w:pPr>
              <w:spacing w:line="331" w:lineRule="auto"/>
              <w:rPr>
                <w:rFonts w:ascii="Arial"/>
                <w:color w:val="auto"/>
                <w:sz w:val="21"/>
              </w:rPr>
            </w:pPr>
          </w:p>
          <w:p w14:paraId="00843C8D">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EFD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022" w:type="dxa"/>
            <w:vAlign w:val="top"/>
          </w:tcPr>
          <w:p w14:paraId="79687FB1">
            <w:pPr>
              <w:spacing w:line="264" w:lineRule="auto"/>
              <w:rPr>
                <w:rFonts w:ascii="Arial"/>
                <w:color w:val="auto"/>
                <w:sz w:val="21"/>
              </w:rPr>
            </w:pPr>
          </w:p>
          <w:p w14:paraId="1892B89D">
            <w:pPr>
              <w:spacing w:before="65" w:line="193" w:lineRule="auto"/>
              <w:ind w:left="255"/>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17AA2117">
            <w:pPr>
              <w:spacing w:line="253" w:lineRule="auto"/>
              <w:rPr>
                <w:rFonts w:ascii="Arial"/>
                <w:color w:val="auto"/>
                <w:sz w:val="21"/>
              </w:rPr>
            </w:pPr>
          </w:p>
          <w:p w14:paraId="1C78A1F3">
            <w:pPr>
              <w:spacing w:before="65" w:line="229" w:lineRule="auto"/>
              <w:ind w:left="796"/>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559" w:type="dxa"/>
            <w:vAlign w:val="top"/>
          </w:tcPr>
          <w:p w14:paraId="4E61EB77">
            <w:pPr>
              <w:spacing w:before="65" w:line="229" w:lineRule="auto"/>
              <w:ind w:left="117"/>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开标日期及时间：</w:t>
            </w:r>
            <w:r>
              <w:rPr>
                <w:rFonts w:hint="eastAsia" w:ascii="宋体" w:hAnsi="宋体" w:eastAsia="宋体" w:cs="宋体"/>
                <w:color w:val="auto"/>
                <w:spacing w:val="-7"/>
                <w:sz w:val="20"/>
                <w:szCs w:val="20"/>
                <w:highlight w:val="none"/>
                <w:lang w:val="en-US" w:eastAsia="zh-CN"/>
              </w:rPr>
              <w:t>2025年07月07日 16:30</w:t>
            </w:r>
            <w:r>
              <w:rPr>
                <w:rFonts w:ascii="宋体" w:hAnsi="宋体" w:eastAsia="宋体" w:cs="宋体"/>
                <w:color w:val="auto"/>
                <w:spacing w:val="-7"/>
                <w:sz w:val="20"/>
                <w:szCs w:val="20"/>
                <w:highlight w:val="none"/>
              </w:rPr>
              <w:t xml:space="preserve">(北京时间)                                                 开标地点：政采云平台 </w:t>
            </w:r>
            <w:r>
              <w:rPr>
                <w:rFonts w:ascii="宋体" w:hAnsi="宋体" w:eastAsia="宋体" w:cs="宋体"/>
                <w:color w:val="auto"/>
                <w:spacing w:val="-7"/>
                <w:sz w:val="20"/>
                <w:szCs w:val="20"/>
                <w:highlight w:val="none"/>
              </w:rPr>
              <w:fldChar w:fldCharType="begin"/>
            </w:r>
            <w:r>
              <w:rPr>
                <w:rFonts w:ascii="宋体" w:hAnsi="宋体" w:eastAsia="宋体" w:cs="宋体"/>
                <w:color w:val="auto"/>
                <w:spacing w:val="-7"/>
                <w:sz w:val="20"/>
                <w:szCs w:val="20"/>
                <w:highlight w:val="none"/>
              </w:rPr>
              <w:instrText xml:space="preserve"> HYPERLINK "https://www.zcygov.cn" </w:instrText>
            </w:r>
            <w:r>
              <w:rPr>
                <w:rFonts w:ascii="宋体" w:hAnsi="宋体" w:eastAsia="宋体" w:cs="宋体"/>
                <w:color w:val="auto"/>
                <w:spacing w:val="-7"/>
                <w:sz w:val="20"/>
                <w:szCs w:val="20"/>
                <w:highlight w:val="none"/>
              </w:rPr>
              <w:fldChar w:fldCharType="separate"/>
            </w:r>
            <w:r>
              <w:rPr>
                <w:rFonts w:ascii="宋体" w:hAnsi="宋体" w:eastAsia="宋体" w:cs="宋体"/>
                <w:color w:val="auto"/>
                <w:spacing w:val="-7"/>
                <w:sz w:val="20"/>
                <w:szCs w:val="20"/>
                <w:highlight w:val="none"/>
              </w:rPr>
              <w:t>https://www.zcygov.cn</w:t>
            </w:r>
            <w:r>
              <w:rPr>
                <w:rFonts w:ascii="宋体" w:hAnsi="宋体" w:eastAsia="宋体" w:cs="宋体"/>
                <w:color w:val="auto"/>
                <w:spacing w:val="-7"/>
                <w:sz w:val="20"/>
                <w:szCs w:val="20"/>
                <w:highlight w:val="none"/>
              </w:rPr>
              <w:fldChar w:fldCharType="end"/>
            </w:r>
          </w:p>
          <w:p w14:paraId="1A454ABC">
            <w:pPr>
              <w:spacing w:before="65" w:line="229" w:lineRule="auto"/>
              <w:ind w:left="117"/>
              <w:rPr>
                <w:rFonts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lang w:val="en-US" w:eastAsia="zh-CN"/>
              </w:rPr>
              <w:t>评</w:t>
            </w:r>
            <w:r>
              <w:rPr>
                <w:rFonts w:ascii="宋体" w:hAnsi="宋体" w:eastAsia="宋体" w:cs="宋体"/>
                <w:color w:val="auto"/>
                <w:spacing w:val="-7"/>
                <w:sz w:val="20"/>
                <w:szCs w:val="20"/>
                <w:highlight w:val="none"/>
              </w:rPr>
              <w:t xml:space="preserve">标日期及时间： </w:t>
            </w:r>
            <w:r>
              <w:rPr>
                <w:rFonts w:hint="eastAsia" w:ascii="宋体" w:hAnsi="宋体" w:eastAsia="宋体" w:cs="宋体"/>
                <w:color w:val="auto"/>
                <w:spacing w:val="-7"/>
                <w:sz w:val="20"/>
                <w:szCs w:val="20"/>
                <w:highlight w:val="none"/>
                <w:lang w:val="en-US" w:eastAsia="zh-CN"/>
              </w:rPr>
              <w:t>2025年07月07日 16:30</w:t>
            </w:r>
            <w:r>
              <w:rPr>
                <w:rFonts w:ascii="宋体" w:hAnsi="宋体" w:eastAsia="宋体" w:cs="宋体"/>
                <w:color w:val="auto"/>
                <w:spacing w:val="-7"/>
                <w:sz w:val="20"/>
                <w:szCs w:val="20"/>
                <w:highlight w:val="none"/>
              </w:rPr>
              <w:t>(北京时间)</w:t>
            </w:r>
          </w:p>
          <w:p w14:paraId="61934EC3">
            <w:pPr>
              <w:spacing w:before="65" w:line="229" w:lineRule="auto"/>
              <w:ind w:left="117"/>
            </w:pPr>
            <w:r>
              <w:rPr>
                <w:rFonts w:hint="eastAsia" w:ascii="宋体" w:hAnsi="宋体" w:eastAsia="宋体" w:cs="宋体"/>
                <w:color w:val="auto"/>
                <w:spacing w:val="-7"/>
                <w:sz w:val="20"/>
                <w:szCs w:val="20"/>
                <w:highlight w:val="none"/>
                <w:lang w:val="en-US" w:eastAsia="zh-CN"/>
              </w:rPr>
              <w:t>评标</w:t>
            </w:r>
            <w:r>
              <w:rPr>
                <w:rFonts w:ascii="宋体" w:hAnsi="宋体" w:eastAsia="宋体" w:cs="宋体"/>
                <w:color w:val="auto"/>
                <w:spacing w:val="-7"/>
                <w:sz w:val="20"/>
                <w:szCs w:val="20"/>
                <w:highlight w:val="none"/>
              </w:rPr>
              <w:t>地点</w:t>
            </w:r>
            <w:r>
              <w:rPr>
                <w:rFonts w:hint="eastAsia" w:ascii="宋体" w:hAnsi="宋体" w:eastAsia="宋体" w:cs="宋体"/>
                <w:color w:val="auto"/>
                <w:spacing w:val="-7"/>
                <w:sz w:val="20"/>
                <w:szCs w:val="20"/>
                <w:highlight w:val="none"/>
                <w:lang w:eastAsia="zh-CN"/>
              </w:rPr>
              <w:t xml:space="preserve">：政采云平台 </w:t>
            </w:r>
            <w:r>
              <w:rPr>
                <w:rFonts w:hint="eastAsia" w:ascii="宋体" w:hAnsi="宋体" w:eastAsia="宋体" w:cs="宋体"/>
                <w:color w:val="auto"/>
                <w:spacing w:val="-7"/>
                <w:sz w:val="20"/>
                <w:szCs w:val="20"/>
                <w:highlight w:val="none"/>
                <w:lang w:eastAsia="zh-CN"/>
              </w:rPr>
              <w:fldChar w:fldCharType="begin"/>
            </w:r>
            <w:r>
              <w:rPr>
                <w:rFonts w:hint="eastAsia" w:ascii="宋体" w:hAnsi="宋体" w:eastAsia="宋体" w:cs="宋体"/>
                <w:color w:val="auto"/>
                <w:spacing w:val="-7"/>
                <w:sz w:val="20"/>
                <w:szCs w:val="20"/>
                <w:highlight w:val="none"/>
                <w:lang w:eastAsia="zh-CN"/>
              </w:rPr>
              <w:instrText xml:space="preserve"> HYPERLINK "https://www.zcygov.cn" </w:instrText>
            </w:r>
            <w:r>
              <w:rPr>
                <w:rFonts w:hint="eastAsia" w:ascii="宋体" w:hAnsi="宋体" w:eastAsia="宋体" w:cs="宋体"/>
                <w:color w:val="auto"/>
                <w:spacing w:val="-7"/>
                <w:sz w:val="20"/>
                <w:szCs w:val="20"/>
                <w:highlight w:val="none"/>
                <w:lang w:eastAsia="zh-CN"/>
              </w:rPr>
              <w:fldChar w:fldCharType="separate"/>
            </w:r>
            <w:r>
              <w:rPr>
                <w:rFonts w:hint="eastAsia" w:ascii="宋体" w:hAnsi="宋体" w:eastAsia="宋体" w:cs="宋体"/>
                <w:color w:val="auto"/>
                <w:spacing w:val="-7"/>
                <w:sz w:val="20"/>
                <w:szCs w:val="20"/>
                <w:highlight w:val="none"/>
                <w:lang w:eastAsia="zh-CN"/>
              </w:rPr>
              <w:t>https://www.zcygov.cn</w:t>
            </w:r>
            <w:r>
              <w:rPr>
                <w:rFonts w:hint="eastAsia" w:ascii="宋体" w:hAnsi="宋体" w:eastAsia="宋体" w:cs="宋体"/>
                <w:color w:val="auto"/>
                <w:spacing w:val="-7"/>
                <w:sz w:val="20"/>
                <w:szCs w:val="20"/>
                <w:highlight w:val="none"/>
                <w:lang w:eastAsia="zh-CN"/>
              </w:rPr>
              <w:fldChar w:fldCharType="end"/>
            </w:r>
          </w:p>
        </w:tc>
      </w:tr>
      <w:tr w14:paraId="0511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DAAB63">
            <w:pPr>
              <w:spacing w:line="257" w:lineRule="auto"/>
              <w:rPr>
                <w:rFonts w:ascii="Arial"/>
                <w:color w:val="auto"/>
                <w:sz w:val="21"/>
              </w:rPr>
            </w:pPr>
          </w:p>
          <w:p w14:paraId="3E340927">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650D2FA4">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文件澄清的时间</w:t>
            </w:r>
          </w:p>
        </w:tc>
        <w:tc>
          <w:tcPr>
            <w:tcW w:w="5559" w:type="dxa"/>
            <w:vAlign w:val="top"/>
          </w:tcPr>
          <w:p w14:paraId="46F3A471">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D5C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C1B03B">
            <w:pPr>
              <w:spacing w:line="257" w:lineRule="auto"/>
              <w:rPr>
                <w:rFonts w:ascii="Arial"/>
                <w:color w:val="auto"/>
                <w:sz w:val="21"/>
              </w:rPr>
            </w:pPr>
          </w:p>
          <w:p w14:paraId="48871837">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181A5416">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文件修改的时间</w:t>
            </w:r>
          </w:p>
        </w:tc>
        <w:tc>
          <w:tcPr>
            <w:tcW w:w="5559" w:type="dxa"/>
            <w:vAlign w:val="top"/>
          </w:tcPr>
          <w:p w14:paraId="3B04E7DB">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69A2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729DA3A">
            <w:pPr>
              <w:spacing w:line="257" w:lineRule="auto"/>
              <w:rPr>
                <w:rFonts w:ascii="Arial"/>
                <w:color w:val="auto"/>
                <w:sz w:val="21"/>
              </w:rPr>
            </w:pPr>
          </w:p>
          <w:p w14:paraId="041C763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11163213">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z w:val="20"/>
                <w:szCs w:val="20"/>
              </w:rPr>
              <w:t xml:space="preserve"> </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559" w:type="dxa"/>
            <w:vAlign w:val="top"/>
          </w:tcPr>
          <w:p w14:paraId="680427F2">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3884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22" w:type="dxa"/>
            <w:vAlign w:val="top"/>
          </w:tcPr>
          <w:p w14:paraId="403914A3">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3682B8B">
            <w:pPr>
              <w:spacing w:before="111"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标有效期</w:t>
            </w:r>
          </w:p>
        </w:tc>
        <w:tc>
          <w:tcPr>
            <w:tcW w:w="5559" w:type="dxa"/>
            <w:vAlign w:val="top"/>
          </w:tcPr>
          <w:p w14:paraId="62B9ADEE">
            <w:pPr>
              <w:spacing w:before="111" w:line="229" w:lineRule="auto"/>
              <w:ind w:left="118"/>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u w:val="single" w:color="auto"/>
                <w:lang w:val="en-US" w:eastAsia="zh-CN"/>
              </w:rPr>
              <w:t>90</w:t>
            </w:r>
            <w:r>
              <w:rPr>
                <w:rFonts w:hint="eastAsia" w:ascii="宋体" w:hAnsi="宋体" w:eastAsia="宋体" w:cs="宋体"/>
                <w:color w:val="auto"/>
                <w:spacing w:val="3"/>
                <w:sz w:val="20"/>
                <w:szCs w:val="20"/>
                <w:u w:val="single" w:color="auto"/>
                <w:lang w:eastAsia="zh-CN"/>
              </w:rPr>
              <w:t>日历天</w:t>
            </w:r>
          </w:p>
        </w:tc>
      </w:tr>
      <w:tr w14:paraId="0B6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2" w:type="dxa"/>
            <w:vAlign w:val="top"/>
          </w:tcPr>
          <w:p w14:paraId="279DA7B0">
            <w:pPr>
              <w:spacing w:line="251" w:lineRule="auto"/>
              <w:rPr>
                <w:rFonts w:ascii="Arial"/>
                <w:color w:val="auto"/>
                <w:sz w:val="21"/>
              </w:rPr>
            </w:pPr>
          </w:p>
          <w:p w14:paraId="439888CC">
            <w:pPr>
              <w:spacing w:line="251" w:lineRule="auto"/>
              <w:rPr>
                <w:rFonts w:ascii="Arial"/>
                <w:color w:val="auto"/>
                <w:sz w:val="21"/>
              </w:rPr>
            </w:pPr>
          </w:p>
          <w:p w14:paraId="512F7872">
            <w:pPr>
              <w:spacing w:line="251" w:lineRule="auto"/>
              <w:rPr>
                <w:rFonts w:ascii="Arial"/>
                <w:color w:val="auto"/>
                <w:sz w:val="21"/>
              </w:rPr>
            </w:pPr>
          </w:p>
          <w:p w14:paraId="3EAAD4B7">
            <w:pPr>
              <w:spacing w:line="251" w:lineRule="auto"/>
              <w:rPr>
                <w:rFonts w:ascii="Arial"/>
                <w:color w:val="auto"/>
                <w:sz w:val="21"/>
              </w:rPr>
            </w:pPr>
          </w:p>
          <w:p w14:paraId="481BAE6B">
            <w:pPr>
              <w:spacing w:line="251" w:lineRule="auto"/>
              <w:rPr>
                <w:rFonts w:ascii="Arial"/>
                <w:color w:val="auto"/>
                <w:sz w:val="21"/>
              </w:rPr>
            </w:pPr>
          </w:p>
          <w:p w14:paraId="29AA891E">
            <w:pPr>
              <w:spacing w:line="251" w:lineRule="auto"/>
              <w:rPr>
                <w:rFonts w:ascii="Arial"/>
                <w:color w:val="auto"/>
                <w:sz w:val="21"/>
              </w:rPr>
            </w:pPr>
          </w:p>
          <w:p w14:paraId="6CA4E832">
            <w:pPr>
              <w:spacing w:line="251" w:lineRule="auto"/>
              <w:rPr>
                <w:rFonts w:ascii="Arial"/>
                <w:color w:val="auto"/>
                <w:sz w:val="21"/>
              </w:rPr>
            </w:pPr>
          </w:p>
          <w:p w14:paraId="35A8ADDF">
            <w:pPr>
              <w:spacing w:line="251" w:lineRule="auto"/>
              <w:rPr>
                <w:rFonts w:ascii="Arial"/>
                <w:color w:val="auto"/>
                <w:sz w:val="21"/>
              </w:rPr>
            </w:pPr>
          </w:p>
          <w:p w14:paraId="74DB917C">
            <w:pPr>
              <w:spacing w:line="251" w:lineRule="auto"/>
              <w:rPr>
                <w:rFonts w:ascii="Arial"/>
                <w:color w:val="auto"/>
                <w:sz w:val="21"/>
              </w:rPr>
            </w:pPr>
          </w:p>
          <w:p w14:paraId="2CAAE8BA">
            <w:pPr>
              <w:spacing w:line="251" w:lineRule="auto"/>
              <w:rPr>
                <w:rFonts w:ascii="Arial"/>
                <w:color w:val="auto"/>
                <w:sz w:val="21"/>
              </w:rPr>
            </w:pPr>
          </w:p>
          <w:p w14:paraId="0B8888E3">
            <w:pPr>
              <w:spacing w:line="251" w:lineRule="auto"/>
              <w:rPr>
                <w:rFonts w:ascii="Arial"/>
                <w:color w:val="auto"/>
                <w:sz w:val="21"/>
              </w:rPr>
            </w:pPr>
          </w:p>
          <w:p w14:paraId="2F5DB1F1">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451E25AC">
            <w:pPr>
              <w:spacing w:line="248" w:lineRule="auto"/>
              <w:rPr>
                <w:rFonts w:ascii="Arial"/>
                <w:color w:val="auto"/>
                <w:sz w:val="21"/>
              </w:rPr>
            </w:pPr>
          </w:p>
          <w:p w14:paraId="1BC1CBE2">
            <w:pPr>
              <w:spacing w:line="248" w:lineRule="auto"/>
              <w:rPr>
                <w:rFonts w:ascii="Arial"/>
                <w:color w:val="auto"/>
                <w:sz w:val="21"/>
              </w:rPr>
            </w:pPr>
          </w:p>
          <w:p w14:paraId="67262781">
            <w:pPr>
              <w:spacing w:line="248" w:lineRule="auto"/>
              <w:rPr>
                <w:rFonts w:ascii="Arial"/>
                <w:color w:val="auto"/>
                <w:sz w:val="21"/>
              </w:rPr>
            </w:pPr>
          </w:p>
          <w:p w14:paraId="0CD9649E">
            <w:pPr>
              <w:spacing w:line="248" w:lineRule="auto"/>
              <w:rPr>
                <w:rFonts w:ascii="Arial"/>
                <w:color w:val="auto"/>
                <w:sz w:val="21"/>
              </w:rPr>
            </w:pPr>
          </w:p>
          <w:p w14:paraId="2CD15F53">
            <w:pPr>
              <w:spacing w:line="248" w:lineRule="auto"/>
              <w:rPr>
                <w:rFonts w:ascii="Arial"/>
                <w:color w:val="auto"/>
                <w:sz w:val="21"/>
              </w:rPr>
            </w:pPr>
          </w:p>
          <w:p w14:paraId="702F831C">
            <w:pPr>
              <w:spacing w:line="248" w:lineRule="auto"/>
              <w:rPr>
                <w:rFonts w:ascii="Arial"/>
                <w:color w:val="auto"/>
                <w:sz w:val="21"/>
              </w:rPr>
            </w:pPr>
          </w:p>
          <w:p w14:paraId="51068789">
            <w:pPr>
              <w:spacing w:line="248" w:lineRule="auto"/>
              <w:rPr>
                <w:rFonts w:ascii="Arial"/>
                <w:color w:val="auto"/>
                <w:sz w:val="21"/>
              </w:rPr>
            </w:pPr>
          </w:p>
          <w:p w14:paraId="36F5B259">
            <w:pPr>
              <w:spacing w:line="248" w:lineRule="auto"/>
              <w:rPr>
                <w:rFonts w:ascii="Arial"/>
                <w:color w:val="auto"/>
                <w:sz w:val="21"/>
              </w:rPr>
            </w:pPr>
          </w:p>
          <w:p w14:paraId="61F9A5E4">
            <w:pPr>
              <w:spacing w:line="248" w:lineRule="auto"/>
              <w:rPr>
                <w:rFonts w:ascii="Arial"/>
                <w:color w:val="auto"/>
                <w:sz w:val="21"/>
              </w:rPr>
            </w:pPr>
          </w:p>
          <w:p w14:paraId="1C7A28E7">
            <w:pPr>
              <w:spacing w:line="248" w:lineRule="auto"/>
              <w:rPr>
                <w:rFonts w:ascii="Arial"/>
                <w:color w:val="auto"/>
                <w:sz w:val="21"/>
              </w:rPr>
            </w:pPr>
          </w:p>
          <w:p w14:paraId="43019CFC">
            <w:pPr>
              <w:spacing w:line="249" w:lineRule="auto"/>
              <w:rPr>
                <w:rFonts w:ascii="Arial"/>
                <w:color w:val="auto"/>
                <w:sz w:val="21"/>
              </w:rPr>
            </w:pPr>
          </w:p>
          <w:p w14:paraId="6E320612">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559" w:type="dxa"/>
            <w:vAlign w:val="top"/>
          </w:tcPr>
          <w:p w14:paraId="6C7B1D78">
            <w:pPr>
              <w:spacing w:before="62" w:beforeLines="20" w:line="288" w:lineRule="auto"/>
              <w:rPr>
                <w:rFonts w:hint="eastAsia" w:ascii="宋体" w:hAnsi="宋体" w:eastAsia="宋体" w:cs="宋体"/>
                <w:sz w:val="21"/>
                <w:szCs w:val="21"/>
              </w:rPr>
            </w:pPr>
            <w:r>
              <w:rPr>
                <w:rFonts w:hint="eastAsia" w:ascii="宋体" w:hAnsi="宋体" w:eastAsia="宋体" w:cs="宋体"/>
                <w:color w:val="auto"/>
                <w:kern w:val="2"/>
                <w:sz w:val="21"/>
                <w:szCs w:val="21"/>
                <w:lang w:eastAsia="zh-CN"/>
              </w:rPr>
              <w:t>保证金</w:t>
            </w:r>
            <w:r>
              <w:rPr>
                <w:rFonts w:hint="eastAsia" w:ascii="宋体" w:hAnsi="宋体" w:eastAsia="宋体" w:cs="宋体"/>
                <w:color w:val="auto"/>
                <w:kern w:val="2"/>
                <w:sz w:val="21"/>
                <w:szCs w:val="21"/>
              </w:rPr>
              <w:t>形式：</w:t>
            </w:r>
            <w:r>
              <w:rPr>
                <w:rFonts w:hint="eastAsia" w:ascii="宋体" w:hAnsi="宋体" w:eastAsia="宋体" w:cs="宋体"/>
                <w:color w:val="auto"/>
                <w:sz w:val="21"/>
                <w:szCs w:val="21"/>
              </w:rPr>
              <w:t>☑对公转账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保函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☑电汇</w:t>
            </w:r>
          </w:p>
          <w:p w14:paraId="6781C4C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投标保证金：</w:t>
            </w:r>
          </w:p>
          <w:p w14:paraId="394C62EC">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金额（小写）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Cs/>
                <w:sz w:val="21"/>
                <w:szCs w:val="21"/>
                <w:highlight w:val="none"/>
              </w:rPr>
              <w:t xml:space="preserve">元  </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4657E3A5">
            <w:pPr>
              <w:pStyle w:val="13"/>
              <w:rPr>
                <w:rFonts w:hint="eastAsia" w:ascii="宋体" w:hAnsi="宋体" w:eastAsia="宋体" w:cs="宋体"/>
                <w:sz w:val="21"/>
                <w:szCs w:val="21"/>
              </w:rPr>
            </w:pPr>
            <w:r>
              <w:rPr>
                <w:rFonts w:hint="eastAsia" w:ascii="宋体" w:hAnsi="宋体" w:eastAsia="宋体" w:cs="宋体"/>
                <w:bCs/>
                <w:color w:val="000000" w:themeColor="text1"/>
                <w:sz w:val="21"/>
                <w:szCs w:val="21"/>
                <w:highlight w:val="none"/>
                <w14:textFill>
                  <w14:solidFill>
                    <w14:schemeClr w14:val="tx1"/>
                  </w14:solidFill>
                </w14:textFill>
              </w:rPr>
              <w:t>金额（大写）：</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壹万伍仟</w:t>
            </w:r>
            <w:r>
              <w:rPr>
                <w:rFonts w:hint="eastAsia" w:ascii="宋体" w:hAnsi="宋体" w:eastAsia="宋体" w:cs="宋体"/>
                <w:bCs/>
                <w:color w:val="000000" w:themeColor="text1"/>
                <w:sz w:val="21"/>
                <w:szCs w:val="21"/>
                <w:highlight w:val="none"/>
                <w14:textFill>
                  <w14:solidFill>
                    <w14:schemeClr w14:val="tx1"/>
                  </w14:solidFill>
                </w14:textFill>
              </w:rPr>
              <w:t>元整；（备注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+投标保证金或简写</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1860726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收款单位：</w:t>
            </w:r>
          </w:p>
          <w:p w14:paraId="2FA00A0C">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开户名称：新疆信实工程招标咨询服务有限公司阿勒泰分公司</w:t>
            </w:r>
          </w:p>
          <w:p w14:paraId="68494324">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账号：3008120309200014451</w:t>
            </w:r>
          </w:p>
          <w:p w14:paraId="6C6E80CC">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开户行：中国工商银行股份有限公司阿勒泰解放路支行</w:t>
            </w:r>
          </w:p>
          <w:p w14:paraId="2E2F1C23">
            <w:pPr>
              <w:numPr>
                <w:ilvl w:val="0"/>
                <w:numId w:val="1"/>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(1)供应商必须投标截止时间</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2025年07月07日16：30</w:t>
            </w:r>
            <w:r>
              <w:rPr>
                <w:rFonts w:hint="eastAsia" w:ascii="宋体" w:hAnsi="宋体" w:eastAsia="宋体" w:cs="宋体"/>
                <w:b/>
                <w:bCs w:val="0"/>
                <w:color w:val="000000" w:themeColor="text1"/>
                <w:sz w:val="21"/>
                <w:szCs w:val="21"/>
                <w:highlight w:val="none"/>
                <w14:textFill>
                  <w14:solidFill>
                    <w14:schemeClr w14:val="tx1"/>
                  </w14:solidFill>
                </w14:textFill>
              </w:rPr>
              <w:t>前</w:t>
            </w:r>
            <w:r>
              <w:rPr>
                <w:rFonts w:hint="eastAsia" w:ascii="宋体" w:hAnsi="宋体" w:eastAsia="宋体" w:cs="宋体"/>
                <w:bCs/>
                <w:color w:val="000000" w:themeColor="text1"/>
                <w:sz w:val="21"/>
                <w:szCs w:val="21"/>
                <w:highlight w:val="none"/>
                <w14:textFill>
                  <w14:solidFill>
                    <w14:schemeClr w14:val="tx1"/>
                  </w14:solidFill>
                </w14:textFill>
              </w:rPr>
              <w:t>完成保证金缴纳工作。投标保证金和电子保函有效期应当与投标有效期一致；若</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未按照上述规定缴纳保证金，投标（响应）文件将被拒绝评审。</w:t>
            </w:r>
          </w:p>
          <w:p w14:paraId="2D6456F1">
            <w:pPr>
              <w:pStyle w:val="3"/>
              <w:ind w:left="0" w:leftChars="0" w:firstLine="0" w:firstLineChars="0"/>
              <w:rPr>
                <w:rFonts w:ascii="宋体" w:hAnsi="宋体" w:eastAsia="宋体" w:cs="宋体"/>
                <w:color w:val="auto"/>
                <w:sz w:val="20"/>
                <w:szCs w:val="20"/>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tc>
      </w:tr>
      <w:tr w14:paraId="5BBC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89253C4">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00A07BB8">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559" w:type="dxa"/>
            <w:vAlign w:val="top"/>
          </w:tcPr>
          <w:p w14:paraId="23220F70">
            <w:pPr>
              <w:spacing w:before="108" w:line="228" w:lineRule="auto"/>
              <w:ind w:left="115"/>
              <w:rPr>
                <w:rFonts w:hint="default" w:ascii="宋体" w:hAnsi="宋体" w:eastAsia="宋体" w:cs="宋体"/>
                <w:color w:val="auto"/>
                <w:sz w:val="20"/>
                <w:szCs w:val="20"/>
                <w:lang w:val="en-US"/>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和健全的财务制度，新成立公司需提供近半年财务报表；（复印件需加盖公章）</w:t>
            </w:r>
          </w:p>
        </w:tc>
      </w:tr>
      <w:tr w14:paraId="5DD8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3E911C5">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3F6FC8AF">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年类似项目的年份要求</w:t>
            </w:r>
          </w:p>
        </w:tc>
        <w:tc>
          <w:tcPr>
            <w:tcW w:w="5559" w:type="dxa"/>
            <w:vAlign w:val="top"/>
          </w:tcPr>
          <w:p w14:paraId="5483EF84">
            <w:pPr>
              <w:spacing w:before="108" w:line="228" w:lineRule="auto"/>
              <w:ind w:left="113"/>
              <w:rPr>
                <w:rFonts w:ascii="宋体" w:hAnsi="宋体" w:eastAsia="宋体" w:cs="宋体"/>
                <w:color w:val="auto"/>
                <w:sz w:val="20"/>
                <w:szCs w:val="20"/>
              </w:rPr>
            </w:pPr>
            <w:r>
              <w:rPr>
                <w:rFonts w:ascii="宋体" w:hAnsi="宋体" w:eastAsia="宋体" w:cs="宋体"/>
                <w:color w:val="auto"/>
                <w:spacing w:val="6"/>
                <w:sz w:val="20"/>
                <w:szCs w:val="20"/>
              </w:rPr>
              <w:t>近三年，20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06月</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2025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07月</w:t>
            </w:r>
            <w:r>
              <w:rPr>
                <w:rFonts w:ascii="宋体" w:hAnsi="宋体" w:eastAsia="宋体" w:cs="宋体"/>
                <w:color w:val="auto"/>
                <w:spacing w:val="3"/>
                <w:sz w:val="20"/>
                <w:szCs w:val="20"/>
              </w:rPr>
              <w:t>(附中标通知书</w:t>
            </w:r>
            <w:r>
              <w:rPr>
                <w:rFonts w:hint="eastAsia" w:ascii="宋体" w:hAnsi="宋体" w:eastAsia="宋体" w:cs="宋体"/>
                <w:color w:val="auto"/>
                <w:spacing w:val="3"/>
                <w:sz w:val="20"/>
                <w:szCs w:val="20"/>
                <w:lang w:val="en-US" w:eastAsia="zh-CN"/>
              </w:rPr>
              <w:t>和</w:t>
            </w:r>
            <w:r>
              <w:rPr>
                <w:rFonts w:ascii="宋体" w:hAnsi="宋体" w:eastAsia="宋体" w:cs="宋体"/>
                <w:color w:val="auto"/>
                <w:spacing w:val="3"/>
                <w:sz w:val="20"/>
                <w:szCs w:val="20"/>
              </w:rPr>
              <w:t>合同)</w:t>
            </w:r>
          </w:p>
        </w:tc>
      </w:tr>
      <w:tr w14:paraId="19C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ECD263">
            <w:pPr>
              <w:spacing w:line="254" w:lineRule="auto"/>
              <w:rPr>
                <w:rFonts w:ascii="Arial"/>
                <w:color w:val="auto"/>
                <w:sz w:val="21"/>
              </w:rPr>
            </w:pPr>
          </w:p>
          <w:p w14:paraId="7A1A5327">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4A76BFB9">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z w:val="20"/>
                <w:szCs w:val="20"/>
              </w:rPr>
              <w:t xml:space="preserve"> </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559" w:type="dxa"/>
            <w:vAlign w:val="top"/>
          </w:tcPr>
          <w:p w14:paraId="1271D6E5">
            <w:pPr>
              <w:spacing w:before="288" w:line="228" w:lineRule="auto"/>
              <w:ind w:left="113"/>
              <w:rPr>
                <w:rFonts w:hint="eastAsia" w:ascii="宋体" w:hAnsi="宋体" w:eastAsia="宋体" w:cs="宋体"/>
                <w:color w:val="auto"/>
                <w:sz w:val="20"/>
                <w:szCs w:val="20"/>
                <w:lang w:eastAsia="zh-CN"/>
              </w:rPr>
            </w:pPr>
            <w:r>
              <w:rPr>
                <w:rFonts w:ascii="宋体" w:hAnsi="宋体" w:eastAsia="宋体" w:cs="宋体"/>
                <w:color w:val="auto"/>
                <w:spacing w:val="1"/>
                <w:sz w:val="20"/>
                <w:szCs w:val="20"/>
              </w:rPr>
              <w:t>近三年，</w:t>
            </w:r>
            <w:r>
              <w:rPr>
                <w:rFonts w:ascii="宋体" w:hAnsi="宋体" w:eastAsia="宋体" w:cs="宋体"/>
                <w:color w:val="auto"/>
                <w:spacing w:val="6"/>
                <w:sz w:val="20"/>
                <w:szCs w:val="20"/>
              </w:rPr>
              <w:t>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06月</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2025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07月</w:t>
            </w:r>
          </w:p>
        </w:tc>
      </w:tr>
    </w:tbl>
    <w:p w14:paraId="4FA72FC2">
      <w:pPr>
        <w:spacing w:line="42" w:lineRule="exact"/>
        <w:rPr>
          <w:color w:val="auto"/>
        </w:rPr>
      </w:pPr>
    </w:p>
    <w:tbl>
      <w:tblPr>
        <w:tblStyle w:val="20"/>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874"/>
        <w:gridCol w:w="7332"/>
      </w:tblGrid>
      <w:tr w14:paraId="4C734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85B27B2">
            <w:pPr>
              <w:spacing w:line="257" w:lineRule="auto"/>
              <w:rPr>
                <w:rFonts w:ascii="Arial"/>
                <w:color w:val="auto"/>
                <w:sz w:val="21"/>
              </w:rPr>
            </w:pPr>
          </w:p>
          <w:p w14:paraId="515765F4">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474" w:type="pct"/>
            <w:vAlign w:val="top"/>
          </w:tcPr>
          <w:p w14:paraId="023285D2">
            <w:pPr>
              <w:spacing w:before="109" w:line="281" w:lineRule="auto"/>
              <w:ind w:right="161"/>
              <w:jc w:val="center"/>
              <w:rPr>
                <w:rFonts w:hint="default" w:ascii="宋体" w:hAnsi="宋体" w:eastAsia="宋体" w:cs="宋体"/>
                <w:color w:val="auto"/>
                <w:sz w:val="20"/>
                <w:szCs w:val="20"/>
                <w:lang w:val="en-US" w:eastAsia="zh-CN"/>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案</w:t>
            </w:r>
          </w:p>
        </w:tc>
        <w:tc>
          <w:tcPr>
            <w:tcW w:w="3975" w:type="pct"/>
            <w:vAlign w:val="top"/>
          </w:tcPr>
          <w:p w14:paraId="0D362ACE">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7E08F709">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070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1BBA7A6A">
            <w:pPr>
              <w:spacing w:before="65" w:line="190" w:lineRule="auto"/>
              <w:ind w:left="362"/>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3.5.1</w:t>
            </w:r>
          </w:p>
        </w:tc>
        <w:tc>
          <w:tcPr>
            <w:tcW w:w="474" w:type="pct"/>
            <w:vAlign w:val="top"/>
          </w:tcPr>
          <w:p w14:paraId="70018A91">
            <w:pPr>
              <w:spacing w:before="109" w:line="281" w:lineRule="auto"/>
              <w:ind w:right="161"/>
              <w:jc w:val="center"/>
              <w:rPr>
                <w:rFonts w:hint="default" w:ascii="宋体" w:hAnsi="宋体" w:eastAsia="宋体" w:cs="宋体"/>
                <w:color w:val="auto"/>
                <w:spacing w:val="15"/>
                <w:sz w:val="20"/>
                <w:szCs w:val="20"/>
                <w:lang w:val="en-US" w:eastAsia="zh-CN"/>
              </w:rPr>
            </w:pPr>
            <w:r>
              <w:rPr>
                <w:rFonts w:hint="eastAsia" w:ascii="宋体" w:hAnsi="宋体" w:eastAsia="宋体" w:cs="宋体"/>
                <w:color w:val="auto"/>
                <w:spacing w:val="15"/>
                <w:sz w:val="20"/>
                <w:szCs w:val="20"/>
                <w:lang w:val="en-US" w:eastAsia="zh-CN"/>
              </w:rPr>
              <w:t>低于成本价不正当竞争预防措施</w:t>
            </w:r>
          </w:p>
        </w:tc>
        <w:tc>
          <w:tcPr>
            <w:tcW w:w="3975" w:type="pct"/>
            <w:vAlign w:val="top"/>
          </w:tcPr>
          <w:p w14:paraId="3BE87042">
            <w:pPr>
              <w:pStyle w:val="32"/>
              <w:spacing w:line="360" w:lineRule="auto"/>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评标委员会认为投标人的报价明显低于其他通过符合性审查投标人的报价，有可能影响产品质或者不能诚信履约的，应当要求其在评标现场合理的时间内提供书面说明，必要时提交相关证明材料;投标人不能证明其报价合理性的，评标委员会应当将其作为无效投标处理。</w:t>
            </w:r>
          </w:p>
          <w:p w14:paraId="1F82489F">
            <w:pPr>
              <w:pStyle w:val="32"/>
              <w:spacing w:line="360" w:lineRule="auto"/>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供应商书面说明应当签字确认</w:t>
            </w:r>
            <w:r>
              <w:rPr>
                <w:rFonts w:hint="eastAsia" w:ascii="宋体" w:hAnsi="宋体" w:cs="宋体"/>
                <w:sz w:val="20"/>
                <w:szCs w:val="20"/>
                <w:highlight w:val="none"/>
                <w:lang w:val="en-US" w:eastAsia="zh-CN"/>
              </w:rPr>
              <w:t>并</w:t>
            </w:r>
            <w:r>
              <w:rPr>
                <w:rFonts w:hint="eastAsia" w:ascii="宋体" w:hAnsi="宋体" w:eastAsia="宋体" w:cs="宋体"/>
                <w:sz w:val="20"/>
                <w:szCs w:val="20"/>
                <w:highlight w:val="none"/>
                <w:lang w:val="en-US" w:eastAsia="zh-CN"/>
              </w:rPr>
              <w:t>加盖公章，否则无效书面说明的签字确认，供应商为法人的，由其法定代表人签字确认。</w:t>
            </w:r>
          </w:p>
          <w:p w14:paraId="4774A1BC">
            <w:pPr>
              <w:pStyle w:val="32"/>
              <w:spacing w:line="360" w:lineRule="auto"/>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在评标过程中，</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报价低于采购预算</w:t>
            </w:r>
            <w:r>
              <w:rPr>
                <w:rFonts w:hint="eastAsia" w:ascii="宋体" w:hAnsi="宋体" w:eastAsia="宋体" w:cs="宋体"/>
                <w:sz w:val="20"/>
                <w:szCs w:val="20"/>
                <w:highlight w:val="none"/>
                <w:lang w:val="en-US" w:eastAsia="zh-CN"/>
              </w:rPr>
              <w:t>60</w:t>
            </w:r>
            <w:r>
              <w:rPr>
                <w:rFonts w:hint="eastAsia" w:ascii="宋体" w:hAnsi="宋体" w:eastAsia="宋体" w:cs="宋体"/>
                <w:sz w:val="20"/>
                <w:szCs w:val="20"/>
                <w:highlight w:val="none"/>
              </w:rPr>
              <w:t>%或者低于其他有效</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报价算术平均价</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任意一项，视为低价竞争</w:t>
            </w:r>
            <w:r>
              <w:rPr>
                <w:rFonts w:hint="eastAsia" w:ascii="宋体" w:hAnsi="宋体" w:eastAsia="宋体" w:cs="宋体"/>
                <w:sz w:val="20"/>
                <w:szCs w:val="20"/>
                <w:highlight w:val="none"/>
              </w:rPr>
              <w:t>，有可能影响</w:t>
            </w:r>
            <w:r>
              <w:rPr>
                <w:rFonts w:hint="eastAsia" w:ascii="宋体" w:hAnsi="宋体" w:cs="宋体"/>
                <w:sz w:val="20"/>
                <w:szCs w:val="20"/>
                <w:highlight w:val="none"/>
                <w:lang w:val="en-US" w:eastAsia="zh-CN"/>
              </w:rPr>
              <w:t>工程</w:t>
            </w:r>
            <w:r>
              <w:rPr>
                <w:rFonts w:hint="eastAsia" w:ascii="宋体" w:hAnsi="宋体" w:eastAsia="宋体" w:cs="宋体"/>
                <w:sz w:val="20"/>
                <w:szCs w:val="20"/>
                <w:highlight w:val="none"/>
              </w:rPr>
              <w:t>质量</w:t>
            </w:r>
            <w:r>
              <w:rPr>
                <w:rFonts w:hint="eastAsia" w:ascii="宋体" w:hAnsi="宋体" w:cs="宋体"/>
                <w:sz w:val="20"/>
                <w:szCs w:val="20"/>
                <w:highlight w:val="none"/>
                <w:lang w:val="en-US" w:eastAsia="zh-CN"/>
              </w:rPr>
              <w:t>和</w:t>
            </w:r>
            <w:r>
              <w:rPr>
                <w:rFonts w:hint="eastAsia" w:ascii="宋体" w:hAnsi="宋体" w:eastAsia="宋体" w:cs="宋体"/>
                <w:sz w:val="20"/>
                <w:szCs w:val="20"/>
                <w:highlight w:val="none"/>
              </w:rPr>
              <w:t>不能诚信履约的，评标委员会应当要求其在评标现场合理的时间内提供成本构成书面说明，并提交相关证明材料。</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书面说明应当按照国家财务会计制度的规定要求，逐项就</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提供的货物、工程和服务的主营业务成本（应根据</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企业类型予以区别）、税金及附加、销售费用、管理费用、财务费用等成本构成事项详细陈述。</w:t>
            </w:r>
          </w:p>
          <w:p w14:paraId="09D348B0">
            <w:pPr>
              <w:pStyle w:val="32"/>
              <w:spacing w:line="360" w:lineRule="auto"/>
              <w:jc w:val="left"/>
              <w:rPr>
                <w:rFonts w:hint="default"/>
                <w:lang w:val="en-US" w:eastAsia="zh-CN"/>
              </w:rPr>
            </w:pPr>
            <w:r>
              <w:rPr>
                <w:rFonts w:hint="eastAsia" w:ascii="宋体" w:hAnsi="宋体" w:eastAsia="宋体" w:cs="宋体"/>
                <w:sz w:val="20"/>
                <w:szCs w:val="20"/>
                <w:highlight w:val="none"/>
                <w:lang w:val="en-US" w:eastAsia="zh-CN"/>
              </w:rPr>
              <w:t>。</w:t>
            </w:r>
          </w:p>
        </w:tc>
      </w:tr>
      <w:tr w14:paraId="15FA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59A2E42A">
            <w:pPr>
              <w:spacing w:line="255" w:lineRule="auto"/>
              <w:rPr>
                <w:rFonts w:ascii="Arial"/>
                <w:color w:val="auto"/>
                <w:sz w:val="21"/>
              </w:rPr>
            </w:pPr>
          </w:p>
          <w:p w14:paraId="1FA3AB1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474" w:type="pct"/>
            <w:vAlign w:val="top"/>
          </w:tcPr>
          <w:p w14:paraId="181ED258">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3975" w:type="pct"/>
            <w:vAlign w:val="top"/>
          </w:tcPr>
          <w:p w14:paraId="58DA3906">
            <w:pPr>
              <w:spacing w:before="113" w:line="225" w:lineRule="auto"/>
              <w:ind w:left="118"/>
              <w:rPr>
                <w:rFonts w:hint="eastAsia" w:ascii="宋体" w:hAnsi="宋体" w:eastAsia="宋体" w:cs="宋体"/>
                <w:color w:val="auto"/>
                <w:spacing w:val="9"/>
                <w:sz w:val="20"/>
                <w:szCs w:val="20"/>
                <w:highlight w:val="none"/>
                <w:lang w:val="zh-CN" w:eastAsia="zh-CN"/>
              </w:rPr>
            </w:pPr>
            <w:r>
              <w:rPr>
                <w:rFonts w:hint="eastAsia" w:ascii="宋体" w:hAnsi="宋体" w:eastAsia="宋体" w:cs="宋体"/>
                <w:color w:val="auto"/>
                <w:spacing w:val="9"/>
                <w:sz w:val="20"/>
                <w:szCs w:val="20"/>
                <w:highlight w:val="none"/>
                <w:lang w:val="zh-CN" w:eastAsia="zh-CN"/>
              </w:rPr>
              <w:t>代理报酬甲乙双方约定按中标价为基数，采用差额定率累进计费方式，100万元*1.05%,100-500万元*0.8%，500-1000万元*0.63%，1000-5000万元*0.41%对招标代理费进行计算，中标服务费由中标人在领取《中标通知书》前向采购代理机构一次性支付。</w:t>
            </w:r>
          </w:p>
          <w:p w14:paraId="11815F18">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highlight w:val="none"/>
                <w:lang w:val="en-US" w:eastAsia="zh-CN"/>
              </w:rPr>
              <w:t>(具体双方协商)</w:t>
            </w:r>
          </w:p>
        </w:tc>
      </w:tr>
      <w:tr w14:paraId="222E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50" w:type="pct"/>
            <w:vAlign w:val="top"/>
          </w:tcPr>
          <w:p w14:paraId="4CB11429">
            <w:pPr>
              <w:spacing w:before="65" w:line="190" w:lineRule="auto"/>
              <w:jc w:val="center"/>
              <w:rPr>
                <w:rFonts w:ascii="宋体" w:hAnsi="宋体" w:eastAsia="宋体" w:cs="宋体"/>
                <w:color w:val="auto"/>
                <w:spacing w:val="4"/>
                <w:sz w:val="20"/>
                <w:szCs w:val="20"/>
              </w:rPr>
            </w:pPr>
          </w:p>
          <w:p w14:paraId="15E83A9F">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474" w:type="pct"/>
            <w:vAlign w:val="top"/>
          </w:tcPr>
          <w:p w14:paraId="298D12B0">
            <w:pPr>
              <w:spacing w:before="65" w:line="229" w:lineRule="auto"/>
              <w:jc w:val="both"/>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3975" w:type="pct"/>
            <w:vAlign w:val="top"/>
          </w:tcPr>
          <w:p w14:paraId="7D91E53E">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 xml:space="preserve">开标结束后投标单位需提供纸质版投标文件三份，正本 </w:t>
            </w:r>
            <w:r>
              <w:rPr>
                <w:rFonts w:hint="eastAsia" w:ascii="宋体" w:hAnsi="宋体" w:eastAsia="宋体" w:cs="宋体"/>
                <w:b/>
                <w:bCs/>
                <w:color w:val="auto"/>
                <w:sz w:val="20"/>
                <w:szCs w:val="20"/>
                <w:u w:val="single"/>
                <w:lang w:val="en-US" w:eastAsia="zh-CN"/>
              </w:rPr>
              <w:t xml:space="preserve">一 </w:t>
            </w:r>
            <w:r>
              <w:rPr>
                <w:rFonts w:hint="eastAsia" w:ascii="宋体" w:hAnsi="宋体" w:eastAsia="宋体" w:cs="宋体"/>
                <w:b/>
                <w:bCs/>
                <w:color w:val="auto"/>
                <w:sz w:val="20"/>
                <w:szCs w:val="20"/>
                <w:lang w:val="en-US" w:eastAsia="zh-CN"/>
              </w:rPr>
              <w:t>份，副本</w:t>
            </w:r>
            <w:r>
              <w:rPr>
                <w:rFonts w:hint="eastAsia" w:ascii="宋体" w:hAnsi="宋体" w:eastAsia="宋体" w:cs="宋体"/>
                <w:b/>
                <w:bCs/>
                <w:color w:val="auto"/>
                <w:sz w:val="20"/>
                <w:szCs w:val="20"/>
                <w:u w:val="single"/>
                <w:lang w:val="en-US" w:eastAsia="zh-CN"/>
              </w:rPr>
              <w:t xml:space="preserve"> 二 </w:t>
            </w:r>
            <w:r>
              <w:rPr>
                <w:rFonts w:hint="eastAsia" w:ascii="宋体" w:hAnsi="宋体" w:eastAsia="宋体" w:cs="宋体"/>
                <w:b/>
                <w:bCs/>
                <w:color w:val="auto"/>
                <w:sz w:val="20"/>
                <w:szCs w:val="20"/>
                <w:lang w:val="en-US" w:eastAsia="zh-CN"/>
              </w:rPr>
              <w:t>份，电子光盘1份（含商务、报价及技术）。</w:t>
            </w:r>
          </w:p>
        </w:tc>
      </w:tr>
      <w:tr w14:paraId="5D6D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7AB9E59">
            <w:pPr>
              <w:spacing w:line="253" w:lineRule="auto"/>
              <w:rPr>
                <w:rFonts w:ascii="Arial"/>
                <w:color w:val="auto"/>
                <w:sz w:val="21"/>
              </w:rPr>
            </w:pPr>
          </w:p>
          <w:p w14:paraId="435B61B6">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474" w:type="pct"/>
            <w:vAlign w:val="top"/>
          </w:tcPr>
          <w:p w14:paraId="320E4D70">
            <w:pPr>
              <w:spacing w:before="289" w:line="228" w:lineRule="auto"/>
              <w:jc w:val="both"/>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3975" w:type="pct"/>
            <w:vAlign w:val="top"/>
          </w:tcPr>
          <w:p w14:paraId="0CF0EEC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263745B1">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4B55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pct"/>
            <w:tcBorders>
              <w:bottom w:val="nil"/>
            </w:tcBorders>
            <w:vAlign w:val="top"/>
          </w:tcPr>
          <w:p w14:paraId="396D12C3">
            <w:pPr>
              <w:spacing w:line="243" w:lineRule="auto"/>
              <w:rPr>
                <w:rFonts w:ascii="Arial"/>
                <w:color w:val="auto"/>
                <w:sz w:val="21"/>
              </w:rPr>
            </w:pPr>
          </w:p>
          <w:p w14:paraId="71F55038">
            <w:pPr>
              <w:spacing w:line="244" w:lineRule="auto"/>
              <w:rPr>
                <w:rFonts w:ascii="Arial"/>
                <w:color w:val="auto"/>
                <w:sz w:val="21"/>
              </w:rPr>
            </w:pPr>
          </w:p>
          <w:p w14:paraId="36BE6F04">
            <w:pPr>
              <w:spacing w:line="244" w:lineRule="auto"/>
              <w:rPr>
                <w:rFonts w:ascii="Arial"/>
                <w:color w:val="auto"/>
                <w:sz w:val="21"/>
              </w:rPr>
            </w:pPr>
          </w:p>
          <w:p w14:paraId="06D86625">
            <w:pPr>
              <w:spacing w:line="244" w:lineRule="auto"/>
              <w:rPr>
                <w:rFonts w:ascii="Arial"/>
                <w:color w:val="auto"/>
                <w:sz w:val="21"/>
              </w:rPr>
            </w:pPr>
          </w:p>
          <w:p w14:paraId="2B07A526">
            <w:pPr>
              <w:spacing w:line="244" w:lineRule="auto"/>
              <w:rPr>
                <w:rFonts w:ascii="Arial"/>
                <w:color w:val="auto"/>
                <w:sz w:val="21"/>
              </w:rPr>
            </w:pPr>
          </w:p>
          <w:p w14:paraId="5A62ED2F">
            <w:pPr>
              <w:spacing w:line="244" w:lineRule="auto"/>
              <w:rPr>
                <w:rFonts w:ascii="Arial"/>
                <w:color w:val="auto"/>
                <w:sz w:val="21"/>
              </w:rPr>
            </w:pPr>
          </w:p>
          <w:p w14:paraId="798E1972">
            <w:pPr>
              <w:spacing w:line="244" w:lineRule="auto"/>
              <w:rPr>
                <w:rFonts w:ascii="Arial"/>
                <w:color w:val="auto"/>
                <w:sz w:val="21"/>
              </w:rPr>
            </w:pPr>
          </w:p>
          <w:p w14:paraId="3600957E">
            <w:pPr>
              <w:spacing w:line="244" w:lineRule="auto"/>
              <w:rPr>
                <w:rFonts w:ascii="Arial"/>
                <w:color w:val="auto"/>
                <w:sz w:val="21"/>
              </w:rPr>
            </w:pPr>
          </w:p>
          <w:p w14:paraId="7F7665B4">
            <w:pPr>
              <w:spacing w:line="244" w:lineRule="auto"/>
              <w:rPr>
                <w:rFonts w:ascii="Arial"/>
                <w:color w:val="auto"/>
                <w:sz w:val="21"/>
              </w:rPr>
            </w:pPr>
          </w:p>
          <w:p w14:paraId="63A6BC1B">
            <w:pPr>
              <w:spacing w:before="65" w:line="191" w:lineRule="auto"/>
              <w:ind w:left="36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474" w:type="pct"/>
            <w:tcBorders>
              <w:bottom w:val="nil"/>
            </w:tcBorders>
            <w:vAlign w:val="top"/>
          </w:tcPr>
          <w:p w14:paraId="488C7474">
            <w:pPr>
              <w:rPr>
                <w:rFonts w:ascii="Arial"/>
                <w:color w:val="auto"/>
                <w:sz w:val="21"/>
              </w:rPr>
            </w:pPr>
          </w:p>
          <w:p w14:paraId="7CCA8081">
            <w:pPr>
              <w:rPr>
                <w:rFonts w:ascii="Arial"/>
                <w:color w:val="auto"/>
                <w:sz w:val="21"/>
              </w:rPr>
            </w:pPr>
          </w:p>
          <w:p w14:paraId="69981DA6">
            <w:pPr>
              <w:rPr>
                <w:rFonts w:ascii="Arial"/>
                <w:color w:val="auto"/>
                <w:sz w:val="21"/>
              </w:rPr>
            </w:pPr>
          </w:p>
          <w:p w14:paraId="12A9913D">
            <w:pPr>
              <w:rPr>
                <w:rFonts w:ascii="Arial"/>
                <w:color w:val="auto"/>
                <w:sz w:val="21"/>
              </w:rPr>
            </w:pPr>
          </w:p>
          <w:p w14:paraId="22F64BA7">
            <w:pPr>
              <w:rPr>
                <w:rFonts w:ascii="Arial"/>
                <w:color w:val="auto"/>
                <w:sz w:val="21"/>
              </w:rPr>
            </w:pPr>
          </w:p>
          <w:p w14:paraId="228C7569">
            <w:pPr>
              <w:spacing w:line="241" w:lineRule="auto"/>
              <w:rPr>
                <w:rFonts w:ascii="Arial"/>
                <w:color w:val="auto"/>
                <w:sz w:val="21"/>
              </w:rPr>
            </w:pPr>
          </w:p>
          <w:p w14:paraId="2DE8F178">
            <w:pPr>
              <w:spacing w:line="241" w:lineRule="auto"/>
              <w:rPr>
                <w:rFonts w:ascii="Arial"/>
                <w:color w:val="auto"/>
                <w:sz w:val="21"/>
              </w:rPr>
            </w:pPr>
          </w:p>
          <w:p w14:paraId="25E1E52B">
            <w:pPr>
              <w:spacing w:line="241" w:lineRule="auto"/>
              <w:rPr>
                <w:rFonts w:ascii="Arial"/>
                <w:color w:val="auto"/>
                <w:sz w:val="21"/>
              </w:rPr>
            </w:pPr>
          </w:p>
          <w:p w14:paraId="417C962C">
            <w:pPr>
              <w:spacing w:line="241" w:lineRule="auto"/>
              <w:rPr>
                <w:rFonts w:ascii="Arial"/>
                <w:color w:val="auto"/>
                <w:sz w:val="21"/>
              </w:rPr>
            </w:pPr>
          </w:p>
          <w:p w14:paraId="16EA5283">
            <w:pPr>
              <w:spacing w:before="65" w:line="228" w:lineRule="auto"/>
              <w:ind w:left="169"/>
              <w:rPr>
                <w:rFonts w:ascii="宋体" w:hAnsi="宋体" w:eastAsia="宋体" w:cs="宋体"/>
                <w:color w:val="auto"/>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3975" w:type="pct"/>
            <w:tcBorders>
              <w:bottom w:val="nil"/>
            </w:tcBorders>
            <w:vAlign w:val="top"/>
          </w:tcPr>
          <w:p w14:paraId="1794F3DB">
            <w:pPr>
              <w:spacing w:before="271" w:line="240" w:lineRule="auto"/>
              <w:ind w:left="130"/>
              <w:outlineLvl w:val="0"/>
              <w:rPr>
                <w:rFonts w:ascii="宋体" w:hAnsi="宋体" w:eastAsia="宋体" w:cs="宋体"/>
                <w:color w:val="auto"/>
                <w:sz w:val="20"/>
                <w:szCs w:val="20"/>
              </w:rPr>
            </w:pPr>
            <w:r>
              <w:rPr>
                <w:rFonts w:ascii="宋体" w:hAnsi="宋体" w:eastAsia="宋体" w:cs="宋体"/>
                <w:color w:val="auto"/>
                <w:spacing w:val="16"/>
                <w:position w:val="1"/>
                <w:sz w:val="20"/>
                <w:szCs w:val="20"/>
              </w:rPr>
              <w:t>1、</w:t>
            </w:r>
            <w:r>
              <w:rPr>
                <w:rFonts w:ascii="宋体" w:hAnsi="宋体" w:eastAsia="宋体" w:cs="宋体"/>
                <w:color w:val="auto"/>
                <w:spacing w:val="9"/>
                <w:position w:val="1"/>
                <w:sz w:val="20"/>
                <w:szCs w:val="20"/>
              </w:rPr>
              <w:t>本</w:t>
            </w:r>
            <w:r>
              <w:rPr>
                <w:rFonts w:ascii="宋体" w:hAnsi="宋体" w:eastAsia="宋体" w:cs="宋体"/>
                <w:color w:val="auto"/>
                <w:spacing w:val="8"/>
                <w:position w:val="1"/>
                <w:sz w:val="20"/>
                <w:szCs w:val="20"/>
              </w:rPr>
              <w:t>项目实行电子招投标，供应商须登录政府采购云平</w:t>
            </w:r>
          </w:p>
          <w:p w14:paraId="0501E8C7">
            <w:pPr>
              <w:spacing w:before="135" w:line="240" w:lineRule="auto"/>
              <w:ind w:left="113" w:right="116" w:firstLine="17"/>
              <w:rPr>
                <w:rFonts w:ascii="宋体" w:hAnsi="宋体" w:eastAsia="宋体" w:cs="宋体"/>
                <w:color w:val="auto"/>
                <w:sz w:val="20"/>
                <w:szCs w:val="20"/>
              </w:rPr>
            </w:pPr>
            <w:r>
              <w:rPr>
                <w:rFonts w:ascii="宋体" w:hAnsi="宋体" w:eastAsia="宋体" w:cs="宋体"/>
                <w:color w:val="auto"/>
                <w:spacing w:val="9"/>
                <w:sz w:val="20"/>
                <w:szCs w:val="20"/>
              </w:rPr>
              <w:t>台申请获取采购文件，并需要使用</w:t>
            </w:r>
            <w:r>
              <w:rPr>
                <w:rFonts w:ascii="宋体" w:hAnsi="宋体" w:eastAsia="宋体" w:cs="宋体"/>
                <w:color w:val="auto"/>
                <w:sz w:val="20"/>
                <w:szCs w:val="20"/>
              </w:rPr>
              <w:t>CA</w:t>
            </w:r>
            <w:r>
              <w:rPr>
                <w:rFonts w:ascii="宋体" w:hAnsi="宋体" w:eastAsia="宋体" w:cs="宋体"/>
                <w:color w:val="auto"/>
                <w:spacing w:val="9"/>
                <w:sz w:val="20"/>
                <w:szCs w:val="20"/>
              </w:rPr>
              <w:t xml:space="preserve"> 锁，在新疆政府采</w:t>
            </w:r>
            <w:r>
              <w:rPr>
                <w:rFonts w:ascii="宋体" w:hAnsi="宋体" w:eastAsia="宋体" w:cs="宋体"/>
                <w:color w:val="auto"/>
                <w:sz w:val="20"/>
                <w:szCs w:val="20"/>
              </w:rPr>
              <w:t xml:space="preserve"> </w:t>
            </w:r>
            <w:r>
              <w:rPr>
                <w:rFonts w:ascii="宋体" w:hAnsi="宋体" w:eastAsia="宋体" w:cs="宋体"/>
                <w:color w:val="auto"/>
                <w:spacing w:val="17"/>
                <w:sz w:val="20"/>
                <w:szCs w:val="20"/>
              </w:rPr>
              <w:t>购</w:t>
            </w:r>
            <w:r>
              <w:rPr>
                <w:rFonts w:ascii="宋体" w:hAnsi="宋体" w:eastAsia="宋体" w:cs="宋体"/>
                <w:color w:val="auto"/>
                <w:spacing w:val="9"/>
                <w:sz w:val="20"/>
                <w:szCs w:val="20"/>
              </w:rPr>
              <w:t>网-下载专区下载-供应商客户端制作响应文件，并生成</w:t>
            </w:r>
            <w:r>
              <w:rPr>
                <w:rFonts w:ascii="宋体" w:hAnsi="宋体" w:eastAsia="宋体" w:cs="宋体"/>
                <w:color w:val="auto"/>
                <w:sz w:val="20"/>
                <w:szCs w:val="20"/>
              </w:rPr>
              <w:t xml:space="preserve"> JMBS</w:t>
            </w:r>
            <w:r>
              <w:rPr>
                <w:rFonts w:ascii="宋体" w:hAnsi="宋体" w:eastAsia="宋体" w:cs="宋体"/>
                <w:color w:val="auto"/>
                <w:spacing w:val="8"/>
                <w:sz w:val="20"/>
                <w:szCs w:val="20"/>
              </w:rPr>
              <w:t xml:space="preserve"> 格式加密文件，在投标截止前上传至政府采购云</w:t>
            </w:r>
            <w:r>
              <w:rPr>
                <w:rFonts w:ascii="宋体" w:hAnsi="宋体" w:eastAsia="宋体" w:cs="宋体"/>
                <w:color w:val="auto"/>
                <w:spacing w:val="5"/>
                <w:sz w:val="20"/>
                <w:szCs w:val="20"/>
              </w:rPr>
              <w:t>平</w:t>
            </w:r>
            <w:r>
              <w:rPr>
                <w:rFonts w:ascii="宋体" w:hAnsi="宋体" w:eastAsia="宋体" w:cs="宋体"/>
                <w:color w:val="auto"/>
                <w:sz w:val="20"/>
                <w:szCs w:val="20"/>
              </w:rPr>
              <w:t xml:space="preserve"> </w:t>
            </w:r>
            <w:r>
              <w:rPr>
                <w:rFonts w:ascii="宋体" w:hAnsi="宋体" w:eastAsia="宋体" w:cs="宋体"/>
                <w:color w:val="auto"/>
                <w:spacing w:val="10"/>
                <w:sz w:val="20"/>
                <w:szCs w:val="20"/>
              </w:rPr>
              <w:t>台</w:t>
            </w:r>
            <w:r>
              <w:rPr>
                <w:rFonts w:ascii="宋体" w:hAnsi="宋体" w:eastAsia="宋体" w:cs="宋体"/>
                <w:color w:val="auto"/>
                <w:spacing w:val="6"/>
                <w:sz w:val="20"/>
                <w:szCs w:val="20"/>
              </w:rPr>
              <w:t>。</w:t>
            </w:r>
            <w:r>
              <w:rPr>
                <w:rFonts w:ascii="宋体" w:hAnsi="宋体" w:eastAsia="宋体" w:cs="宋体"/>
                <w:color w:val="auto"/>
                <w:spacing w:val="5"/>
                <w:sz w:val="20"/>
                <w:szCs w:val="20"/>
              </w:rPr>
              <w:t>若供应商参与投标， 自行承担与投标有关的一切费</w:t>
            </w:r>
            <w:r>
              <w:rPr>
                <w:rFonts w:ascii="宋体" w:hAnsi="宋体" w:eastAsia="宋体" w:cs="宋体"/>
                <w:color w:val="auto"/>
                <w:sz w:val="20"/>
                <w:szCs w:val="20"/>
              </w:rPr>
              <w:t xml:space="preserve">  </w:t>
            </w:r>
            <w:r>
              <w:rPr>
                <w:rFonts w:ascii="宋体" w:hAnsi="宋体" w:eastAsia="宋体" w:cs="宋体"/>
                <w:color w:val="auto"/>
                <w:spacing w:val="1"/>
                <w:sz w:val="20"/>
                <w:szCs w:val="20"/>
              </w:rPr>
              <w:t>用。</w:t>
            </w:r>
          </w:p>
          <w:p w14:paraId="431CC46A">
            <w:pPr>
              <w:spacing w:before="222" w:line="240" w:lineRule="auto"/>
              <w:ind w:left="117"/>
              <w:outlineLvl w:val="0"/>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9"/>
                <w:position w:val="1"/>
                <w:sz w:val="20"/>
                <w:szCs w:val="20"/>
              </w:rPr>
              <w:t>、各供应商应在开标前确保是新疆维吾尔自治区政府采</w:t>
            </w:r>
          </w:p>
          <w:p w14:paraId="2B2615C4">
            <w:pPr>
              <w:spacing w:before="136" w:line="240" w:lineRule="auto"/>
              <w:ind w:left="117" w:right="222" w:hanging="4"/>
              <w:rPr>
                <w:rFonts w:ascii="宋体" w:hAnsi="宋体" w:eastAsia="宋体" w:cs="宋体"/>
                <w:color w:val="auto"/>
                <w:sz w:val="20"/>
                <w:szCs w:val="20"/>
              </w:rPr>
            </w:pPr>
            <w:r>
              <w:rPr>
                <w:rFonts w:ascii="宋体" w:hAnsi="宋体" w:eastAsia="宋体" w:cs="宋体"/>
                <w:color w:val="auto"/>
                <w:spacing w:val="10"/>
                <w:sz w:val="20"/>
                <w:szCs w:val="20"/>
              </w:rPr>
              <w:t>购网</w:t>
            </w:r>
            <w:r>
              <w:rPr>
                <w:rFonts w:ascii="宋体" w:hAnsi="宋体" w:eastAsia="宋体" w:cs="宋体"/>
                <w:color w:val="auto"/>
                <w:spacing w:val="6"/>
                <w:sz w:val="20"/>
                <w:szCs w:val="20"/>
              </w:rPr>
              <w:t>正</w:t>
            </w:r>
            <w:r>
              <w:rPr>
                <w:rFonts w:ascii="宋体" w:hAnsi="宋体" w:eastAsia="宋体" w:cs="宋体"/>
                <w:color w:val="auto"/>
                <w:spacing w:val="5"/>
                <w:sz w:val="20"/>
                <w:szCs w:val="20"/>
              </w:rPr>
              <w:t xml:space="preserve">式注册入库的供应商，并完成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数字证书申领。</w:t>
            </w:r>
            <w:r>
              <w:rPr>
                <w:rFonts w:ascii="宋体" w:hAnsi="宋体" w:eastAsia="宋体" w:cs="宋体"/>
                <w:color w:val="auto"/>
                <w:sz w:val="20"/>
                <w:szCs w:val="20"/>
              </w:rPr>
              <w:t xml:space="preserve"> </w:t>
            </w:r>
            <w:r>
              <w:rPr>
                <w:rFonts w:ascii="宋体" w:hAnsi="宋体" w:eastAsia="宋体" w:cs="宋体"/>
                <w:color w:val="auto"/>
                <w:spacing w:val="10"/>
                <w:sz w:val="20"/>
                <w:szCs w:val="20"/>
              </w:rPr>
              <w:t>因</w:t>
            </w:r>
            <w:r>
              <w:rPr>
                <w:rFonts w:ascii="宋体" w:hAnsi="宋体" w:eastAsia="宋体" w:cs="宋体"/>
                <w:color w:val="auto"/>
                <w:spacing w:val="7"/>
                <w:sz w:val="20"/>
                <w:szCs w:val="20"/>
              </w:rPr>
              <w:t>未</w:t>
            </w:r>
            <w:r>
              <w:rPr>
                <w:rFonts w:ascii="宋体" w:hAnsi="宋体" w:eastAsia="宋体" w:cs="宋体"/>
                <w:color w:val="auto"/>
                <w:spacing w:val="5"/>
                <w:sz w:val="20"/>
                <w:szCs w:val="20"/>
              </w:rPr>
              <w:t xml:space="preserve">注册入库、未办理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数字证书等原因造成无法投标</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4"/>
                <w:sz w:val="20"/>
                <w:szCs w:val="20"/>
              </w:rPr>
              <w:t>投</w:t>
            </w:r>
            <w:r>
              <w:rPr>
                <w:rFonts w:ascii="宋体" w:hAnsi="宋体" w:eastAsia="宋体" w:cs="宋体"/>
                <w:color w:val="auto"/>
                <w:spacing w:val="8"/>
                <w:sz w:val="20"/>
                <w:szCs w:val="20"/>
              </w:rPr>
              <w:t>标失败等后果的由供应商自行承担。</w:t>
            </w:r>
          </w:p>
        </w:tc>
      </w:tr>
      <w:tr w14:paraId="0B62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3" w:hRule="atLeast"/>
        </w:trPr>
        <w:tc>
          <w:tcPr>
            <w:tcW w:w="550" w:type="pct"/>
            <w:vAlign w:val="top"/>
          </w:tcPr>
          <w:p w14:paraId="411ADCEA">
            <w:pPr>
              <w:rPr>
                <w:rFonts w:ascii="Arial"/>
                <w:color w:val="auto"/>
                <w:sz w:val="21"/>
              </w:rPr>
            </w:pPr>
          </w:p>
        </w:tc>
        <w:tc>
          <w:tcPr>
            <w:tcW w:w="474" w:type="pct"/>
            <w:vAlign w:val="top"/>
          </w:tcPr>
          <w:p w14:paraId="440C84D8">
            <w:pPr>
              <w:rPr>
                <w:rFonts w:ascii="Arial"/>
                <w:color w:val="auto"/>
                <w:sz w:val="21"/>
              </w:rPr>
            </w:pPr>
          </w:p>
        </w:tc>
        <w:tc>
          <w:tcPr>
            <w:tcW w:w="3975" w:type="pct"/>
            <w:vAlign w:val="top"/>
          </w:tcPr>
          <w:p w14:paraId="16899F7E">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12FF8B90">
            <w:pPr>
              <w:spacing w:before="166" w:line="240" w:lineRule="auto"/>
              <w:ind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户端，安装完成后，可通过账号密码或</w:t>
            </w:r>
            <w:r>
              <w:rPr>
                <w:rFonts w:ascii="宋体" w:hAnsi="宋体" w:eastAsia="宋体" w:cs="宋体"/>
                <w:color w:val="auto"/>
                <w:sz w:val="20"/>
                <w:szCs w:val="20"/>
              </w:rPr>
              <w:t>CA</w:t>
            </w:r>
            <w:r>
              <w:rPr>
                <w:rFonts w:ascii="宋体" w:hAnsi="宋体" w:eastAsia="宋体" w:cs="宋体"/>
                <w:color w:val="auto"/>
                <w:spacing w:val="5"/>
                <w:sz w:val="20"/>
                <w:szCs w:val="20"/>
              </w:rPr>
              <w:t>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打政府采购云平台客户服务热线400-881-7190 进行咨</w:t>
            </w:r>
            <w:r>
              <w:rPr>
                <w:rFonts w:ascii="宋体" w:hAnsi="宋体" w:eastAsia="宋体" w:cs="宋体"/>
                <w:color w:val="auto"/>
                <w:sz w:val="20"/>
                <w:szCs w:val="20"/>
              </w:rPr>
              <w:t>询。</w:t>
            </w:r>
          </w:p>
          <w:p w14:paraId="41D98DDE">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6801FA40">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 </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 360 浏览器</w:t>
            </w:r>
            <w:r>
              <w:rPr>
                <w:rFonts w:ascii="宋体" w:hAnsi="宋体" w:eastAsia="宋体" w:cs="宋体"/>
                <w:color w:val="auto"/>
                <w:sz w:val="20"/>
                <w:szCs w:val="20"/>
              </w:rPr>
              <w:t xml:space="preserve"> </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71ED44EF">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4A4420D4">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44A21CF8">
            <w:pPr>
              <w:numPr>
                <w:ilvl w:val="0"/>
                <w:numId w:val="2"/>
              </w:numPr>
              <w:spacing w:before="190" w:line="240" w:lineRule="auto"/>
              <w:ind w:left="115" w:right="116"/>
              <w:rPr>
                <w:rFonts w:ascii="宋体" w:hAnsi="宋体" w:eastAsia="宋体" w:cs="宋体"/>
                <w:color w:val="auto"/>
                <w:spacing w:val="1"/>
                <w:sz w:val="20"/>
                <w:szCs w:val="20"/>
              </w:rPr>
            </w:pP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5个工作日内退还，但因投标人自身原因导致无法及时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订后5个工作日内退还。</w:t>
            </w:r>
          </w:p>
          <w:p w14:paraId="42A06B41">
            <w:pPr>
              <w:pStyle w:val="13"/>
              <w:numPr>
                <w:ilvl w:val="0"/>
                <w:numId w:val="2"/>
              </w:numPr>
            </w:pPr>
            <w:r>
              <w:rPr>
                <w:rFonts w:hint="eastAsia" w:eastAsia="宋体"/>
                <w:lang w:val="en-US" w:eastAsia="zh-CN"/>
              </w:rPr>
              <w:t>本项目为政采云网上提交，如有不符条款请自行忽略。</w:t>
            </w:r>
          </w:p>
        </w:tc>
      </w:tr>
    </w:tbl>
    <w:p w14:paraId="74C69307">
      <w:pPr>
        <w:spacing w:line="42" w:lineRule="exact"/>
        <w:rPr>
          <w:color w:val="auto"/>
        </w:rPr>
      </w:pPr>
    </w:p>
    <w:tbl>
      <w:tblPr>
        <w:tblStyle w:val="20"/>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77"/>
      </w:tblGrid>
      <w:tr w14:paraId="7F953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08530C76">
            <w:pPr>
              <w:spacing w:line="243" w:lineRule="auto"/>
              <w:rPr>
                <w:rFonts w:ascii="Arial"/>
                <w:color w:val="auto"/>
                <w:sz w:val="21"/>
              </w:rPr>
            </w:pPr>
          </w:p>
          <w:p w14:paraId="478A2B49">
            <w:pPr>
              <w:spacing w:line="243" w:lineRule="auto"/>
              <w:rPr>
                <w:rFonts w:ascii="Arial"/>
                <w:color w:val="auto"/>
                <w:sz w:val="21"/>
              </w:rPr>
            </w:pPr>
          </w:p>
          <w:p w14:paraId="0D33161D">
            <w:pPr>
              <w:spacing w:line="243" w:lineRule="auto"/>
              <w:rPr>
                <w:rFonts w:ascii="Arial"/>
                <w:color w:val="auto"/>
                <w:sz w:val="21"/>
              </w:rPr>
            </w:pPr>
          </w:p>
          <w:p w14:paraId="372F5EF1">
            <w:pPr>
              <w:spacing w:line="244" w:lineRule="auto"/>
              <w:rPr>
                <w:rFonts w:ascii="Arial"/>
                <w:color w:val="auto"/>
                <w:sz w:val="21"/>
              </w:rPr>
            </w:pPr>
          </w:p>
          <w:p w14:paraId="2151C1B0">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809A6DB">
            <w:pPr>
              <w:spacing w:line="313" w:lineRule="auto"/>
              <w:rPr>
                <w:rFonts w:ascii="Arial"/>
                <w:color w:val="auto"/>
                <w:sz w:val="21"/>
              </w:rPr>
            </w:pPr>
          </w:p>
          <w:p w14:paraId="602A81A1">
            <w:pPr>
              <w:spacing w:line="314" w:lineRule="auto"/>
              <w:rPr>
                <w:rFonts w:ascii="Arial"/>
                <w:color w:val="auto"/>
                <w:sz w:val="21"/>
              </w:rPr>
            </w:pPr>
          </w:p>
          <w:p w14:paraId="034B1A6F">
            <w:pPr>
              <w:spacing w:line="314" w:lineRule="auto"/>
              <w:rPr>
                <w:rFonts w:ascii="Arial"/>
                <w:color w:val="auto"/>
                <w:sz w:val="21"/>
              </w:rPr>
            </w:pPr>
          </w:p>
          <w:p w14:paraId="34357652">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77" w:type="dxa"/>
            <w:vAlign w:val="top"/>
          </w:tcPr>
          <w:p w14:paraId="5EEF9F65">
            <w:pPr>
              <w:spacing w:before="113" w:line="332" w:lineRule="auto"/>
              <w:ind w:left="113" w:right="106"/>
              <w:rPr>
                <w:rFonts w:ascii="宋体" w:hAnsi="宋体" w:eastAsia="宋体" w:cs="宋体"/>
                <w:color w:val="auto"/>
                <w:sz w:val="20"/>
                <w:szCs w:val="20"/>
                <w:highlight w:val="none"/>
              </w:rPr>
            </w:pPr>
            <w:r>
              <w:rPr>
                <w:rFonts w:ascii="宋体" w:hAnsi="宋体" w:eastAsia="宋体" w:cs="宋体"/>
                <w:color w:val="auto"/>
                <w:spacing w:val="5"/>
                <w:sz w:val="20"/>
                <w:szCs w:val="20"/>
              </w:rPr>
              <w:t xml:space="preserve">评标委员会构成： </w:t>
            </w:r>
            <w:r>
              <w:rPr>
                <w:rFonts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u w:val="single" w:color="auto"/>
                <w:lang w:val="en-US" w:eastAsia="zh-CN"/>
              </w:rPr>
              <w:t>3</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hint="eastAsia" w:ascii="宋体" w:hAnsi="宋体" w:eastAsia="宋体" w:cs="宋体"/>
                <w:color w:val="auto"/>
                <w:spacing w:val="5"/>
                <w:sz w:val="20"/>
                <w:szCs w:val="20"/>
                <w:u w:val="single" w:color="auto"/>
                <w:lang w:val="en-US" w:eastAsia="zh-CN"/>
              </w:rPr>
              <w:t>0</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z w:val="20"/>
                <w:szCs w:val="20"/>
              </w:rPr>
              <w:t xml:space="preserve"> </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w:t>
            </w:r>
            <w:r>
              <w:rPr>
                <w:rFonts w:hint="eastAsia" w:ascii="宋体" w:hAnsi="宋体" w:eastAsia="宋体" w:cs="宋体"/>
                <w:color w:val="auto"/>
                <w:spacing w:val="-3"/>
                <w:sz w:val="20"/>
                <w:szCs w:val="20"/>
                <w:lang w:val="en-US" w:eastAsia="zh-CN"/>
              </w:rPr>
              <w:t>5</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分  组     技术组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人，经济组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w:t>
            </w:r>
            <w:r>
              <w:rPr>
                <w:rFonts w:ascii="宋体" w:hAnsi="宋体" w:eastAsia="宋体" w:cs="宋体"/>
                <w:color w:val="auto"/>
                <w:sz w:val="20"/>
                <w:szCs w:val="20"/>
                <w:highlight w:val="none"/>
              </w:rPr>
              <w:t xml:space="preserve">                </w:t>
            </w:r>
            <w:r>
              <w:rPr>
                <w:rFonts w:ascii="MS PMincho" w:hAnsi="MS PMincho" w:eastAsia="MS PMincho" w:cs="MS PMincho"/>
                <w:color w:val="auto"/>
                <w:spacing w:val="9"/>
                <w:sz w:val="20"/>
                <w:szCs w:val="20"/>
                <w:highlight w:val="none"/>
              </w:rPr>
              <w:t>☑</w:t>
            </w:r>
            <w:r>
              <w:rPr>
                <w:rFonts w:ascii="宋体" w:hAnsi="宋体" w:eastAsia="宋体" w:cs="宋体"/>
                <w:color w:val="auto"/>
                <w:spacing w:val="7"/>
                <w:sz w:val="20"/>
                <w:szCs w:val="20"/>
                <w:highlight w:val="none"/>
              </w:rPr>
              <w:t>不分组</w:t>
            </w:r>
          </w:p>
          <w:p w14:paraId="219A100B">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75B0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14097AF">
            <w:pPr>
              <w:spacing w:line="258" w:lineRule="auto"/>
              <w:rPr>
                <w:rFonts w:ascii="Arial"/>
                <w:color w:val="auto"/>
                <w:sz w:val="21"/>
              </w:rPr>
            </w:pPr>
          </w:p>
          <w:p w14:paraId="7E076C5F">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5C763B2A">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z w:val="20"/>
                <w:szCs w:val="20"/>
              </w:rPr>
              <w:t xml:space="preserve"> </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77" w:type="dxa"/>
            <w:vAlign w:val="top"/>
          </w:tcPr>
          <w:p w14:paraId="4113A9E2">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2264B95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19BE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65D704B3">
            <w:pPr>
              <w:spacing w:line="307" w:lineRule="auto"/>
              <w:rPr>
                <w:rFonts w:ascii="Arial"/>
                <w:color w:val="auto"/>
                <w:sz w:val="21"/>
              </w:rPr>
            </w:pPr>
          </w:p>
          <w:p w14:paraId="2C3EA1C3">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499C24FD">
            <w:pPr>
              <w:spacing w:line="291" w:lineRule="auto"/>
              <w:rPr>
                <w:rFonts w:ascii="Arial"/>
                <w:color w:val="auto"/>
                <w:sz w:val="21"/>
              </w:rPr>
            </w:pPr>
          </w:p>
          <w:p w14:paraId="2D3FD6EA">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77" w:type="dxa"/>
            <w:vAlign w:val="top"/>
          </w:tcPr>
          <w:p w14:paraId="04C4426F">
            <w:pPr>
              <w:spacing w:before="111" w:line="228" w:lineRule="auto"/>
              <w:ind w:left="1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履约</w:t>
            </w:r>
            <w:r>
              <w:rPr>
                <w:rFonts w:ascii="宋体" w:hAnsi="宋体" w:eastAsia="宋体" w:cs="宋体"/>
                <w:color w:val="auto"/>
                <w:spacing w:val="5"/>
                <w:sz w:val="20"/>
                <w:szCs w:val="20"/>
                <w:highlight w:val="none"/>
              </w:rPr>
              <w:t>担</w:t>
            </w:r>
            <w:r>
              <w:rPr>
                <w:rFonts w:ascii="宋体" w:hAnsi="宋体" w:eastAsia="宋体" w:cs="宋体"/>
                <w:color w:val="auto"/>
                <w:spacing w:val="4"/>
                <w:sz w:val="20"/>
                <w:szCs w:val="20"/>
                <w:highlight w:val="none"/>
              </w:rPr>
              <w:t xml:space="preserve">保的形式： </w:t>
            </w:r>
            <w:r>
              <w:rPr>
                <w:rFonts w:ascii="宋体" w:hAnsi="宋体" w:eastAsia="宋体" w:cs="宋体"/>
                <w:color w:val="auto"/>
                <w:spacing w:val="4"/>
                <w:sz w:val="20"/>
                <w:szCs w:val="20"/>
                <w:highlight w:val="none"/>
                <w:u w:val="single" w:color="auto"/>
              </w:rPr>
              <w:t>甲乙双方签订合同时协商约定</w:t>
            </w:r>
          </w:p>
          <w:p w14:paraId="1367BDAF">
            <w:pPr>
              <w:spacing w:before="113" w:line="227" w:lineRule="auto"/>
              <w:ind w:left="118"/>
              <w:rPr>
                <w:rFonts w:ascii="宋体" w:hAnsi="宋体" w:eastAsia="宋体" w:cs="宋体"/>
                <w:color w:val="auto"/>
                <w:sz w:val="20"/>
                <w:szCs w:val="20"/>
              </w:rPr>
            </w:pPr>
            <w:r>
              <w:rPr>
                <w:rFonts w:ascii="宋体" w:hAnsi="宋体" w:eastAsia="宋体" w:cs="宋体"/>
                <w:color w:val="auto"/>
                <w:spacing w:val="11"/>
                <w:sz w:val="20"/>
                <w:szCs w:val="20"/>
                <w:highlight w:val="none"/>
              </w:rPr>
              <w:t>履</w:t>
            </w:r>
            <w:r>
              <w:rPr>
                <w:rFonts w:ascii="宋体" w:hAnsi="宋体" w:eastAsia="宋体" w:cs="宋体"/>
                <w:color w:val="auto"/>
                <w:spacing w:val="8"/>
                <w:sz w:val="20"/>
                <w:szCs w:val="20"/>
                <w:highlight w:val="none"/>
              </w:rPr>
              <w:t>约担保的金额：</w:t>
            </w:r>
            <w:r>
              <w:rPr>
                <w:rFonts w:hint="eastAsia" w:ascii="宋体" w:hAnsi="宋体" w:eastAsia="宋体" w:cs="宋体"/>
                <w:color w:val="auto"/>
                <w:spacing w:val="8"/>
                <w:sz w:val="20"/>
                <w:szCs w:val="20"/>
                <w:highlight w:val="none"/>
                <w:u w:val="single" w:color="auto"/>
              </w:rPr>
              <w:t>工程价款的</w:t>
            </w:r>
            <w:r>
              <w:rPr>
                <w:rFonts w:hint="eastAsia" w:ascii="宋体" w:hAnsi="宋体" w:eastAsia="宋体" w:cs="宋体"/>
                <w:color w:val="auto"/>
                <w:spacing w:val="8"/>
                <w:sz w:val="20"/>
                <w:szCs w:val="20"/>
                <w:highlight w:val="none"/>
                <w:u w:val="single" w:color="auto"/>
                <w:lang w:val="en-US" w:eastAsia="zh-CN"/>
              </w:rPr>
              <w:t>5</w:t>
            </w:r>
            <w:r>
              <w:rPr>
                <w:rFonts w:hint="eastAsia" w:ascii="宋体" w:hAnsi="宋体" w:eastAsia="宋体" w:cs="宋体"/>
                <w:color w:val="auto"/>
                <w:spacing w:val="8"/>
                <w:sz w:val="20"/>
                <w:szCs w:val="20"/>
                <w:highlight w:val="none"/>
                <w:u w:val="single" w:color="auto"/>
              </w:rPr>
              <w:t>%（不含暂列金）</w:t>
            </w:r>
          </w:p>
        </w:tc>
      </w:tr>
      <w:tr w14:paraId="1610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A69CB44">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109" w:type="dxa"/>
            <w:gridSpan w:val="4"/>
            <w:vAlign w:val="top"/>
          </w:tcPr>
          <w:p w14:paraId="7E54E9F4">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1A1C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6D706961">
            <w:pPr>
              <w:rPr>
                <w:rFonts w:ascii="Arial"/>
                <w:color w:val="auto"/>
                <w:sz w:val="21"/>
              </w:rPr>
            </w:pPr>
          </w:p>
        </w:tc>
        <w:tc>
          <w:tcPr>
            <w:tcW w:w="2625" w:type="dxa"/>
            <w:gridSpan w:val="2"/>
            <w:vAlign w:val="top"/>
          </w:tcPr>
          <w:p w14:paraId="16762997">
            <w:pPr>
              <w:spacing w:line="357" w:lineRule="auto"/>
              <w:rPr>
                <w:rFonts w:ascii="Arial"/>
                <w:color w:val="auto"/>
                <w:sz w:val="21"/>
              </w:rPr>
            </w:pPr>
          </w:p>
          <w:p w14:paraId="0DD73230">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84" w:type="dxa"/>
            <w:gridSpan w:val="2"/>
            <w:vAlign w:val="top"/>
          </w:tcPr>
          <w:p w14:paraId="0F322839">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101634F6">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743DE228">
            <w:pPr>
              <w:spacing w:before="27" w:line="228" w:lineRule="auto"/>
              <w:ind w:left="121"/>
              <w:rPr>
                <w:rFonts w:hint="eastAsia" w:ascii="宋体" w:hAnsi="宋体" w:eastAsia="宋体" w:cs="宋体"/>
                <w:color w:val="auto"/>
                <w:sz w:val="20"/>
                <w:szCs w:val="20"/>
                <w:lang w:eastAsia="zh-CN"/>
              </w:rPr>
            </w:pPr>
            <w:r>
              <w:rPr>
                <w:rFonts w:ascii="宋体" w:hAnsi="宋体" w:eastAsia="宋体" w:cs="宋体"/>
                <w:color w:val="auto"/>
                <w:spacing w:val="15"/>
                <w:position w:val="2"/>
                <w:sz w:val="20"/>
                <w:szCs w:val="20"/>
              </w:rPr>
              <w:t>本</w:t>
            </w:r>
            <w:r>
              <w:rPr>
                <w:rFonts w:ascii="宋体" w:hAnsi="宋体" w:eastAsia="宋体" w:cs="宋体"/>
                <w:color w:val="auto"/>
                <w:spacing w:val="10"/>
                <w:position w:val="2"/>
                <w:sz w:val="20"/>
                <w:szCs w:val="20"/>
              </w:rPr>
              <w:t>项目控制价为</w:t>
            </w:r>
            <w:r>
              <w:rPr>
                <w:rFonts w:hint="eastAsia" w:ascii="宋体" w:hAnsi="宋体" w:eastAsia="宋体" w:cs="宋体"/>
                <w:color w:val="auto"/>
                <w:spacing w:val="10"/>
                <w:position w:val="2"/>
                <w:sz w:val="20"/>
                <w:szCs w:val="20"/>
                <w:lang w:eastAsia="zh-CN"/>
              </w:rPr>
              <w:t>：</w:t>
            </w:r>
            <w:r>
              <w:rPr>
                <w:rFonts w:hint="eastAsia" w:ascii="宋体" w:hAnsi="宋体" w:eastAsia="宋体" w:cs="宋体"/>
                <w:color w:val="auto"/>
                <w:spacing w:val="10"/>
                <w:position w:val="2"/>
                <w:sz w:val="20"/>
                <w:szCs w:val="20"/>
                <w:lang w:val="en-US" w:eastAsia="zh-CN"/>
              </w:rPr>
              <w:t>1579080.11</w:t>
            </w:r>
            <w:r>
              <w:rPr>
                <w:rFonts w:ascii="宋体" w:hAnsi="宋体" w:eastAsia="宋体" w:cs="宋体"/>
                <w:b w:val="0"/>
                <w:bCs w:val="0"/>
                <w:color w:val="auto"/>
                <w:spacing w:val="15"/>
                <w:position w:val="2"/>
                <w:sz w:val="20"/>
                <w:szCs w:val="20"/>
                <w:highlight w:val="none"/>
              </w:rPr>
              <w:t>元</w:t>
            </w:r>
            <w:r>
              <w:rPr>
                <w:rFonts w:hint="eastAsia" w:ascii="宋体" w:hAnsi="宋体" w:eastAsia="宋体" w:cs="宋体"/>
                <w:b w:val="0"/>
                <w:bCs w:val="0"/>
                <w:color w:val="auto"/>
                <w:spacing w:val="15"/>
                <w:position w:val="2"/>
                <w:sz w:val="20"/>
                <w:szCs w:val="20"/>
                <w:highlight w:val="none"/>
                <w:lang w:eastAsia="zh-CN"/>
              </w:rPr>
              <w:t>（</w:t>
            </w:r>
            <w:r>
              <w:rPr>
                <w:rFonts w:hint="eastAsia" w:ascii="宋体" w:hAnsi="宋体" w:eastAsia="宋体" w:cs="宋体"/>
                <w:b w:val="0"/>
                <w:bCs w:val="0"/>
                <w:color w:val="auto"/>
                <w:spacing w:val="15"/>
                <w:position w:val="2"/>
                <w:sz w:val="20"/>
                <w:szCs w:val="20"/>
                <w:highlight w:val="none"/>
                <w:lang w:val="en-US" w:eastAsia="zh-CN"/>
              </w:rPr>
              <w:t>壹佰伍拾柒万玖仟零捌拾元壹角壹分</w:t>
            </w:r>
            <w:r>
              <w:rPr>
                <w:rFonts w:hint="eastAsia" w:ascii="宋体" w:hAnsi="宋体" w:eastAsia="宋体" w:cs="宋体"/>
                <w:b w:val="0"/>
                <w:bCs w:val="0"/>
                <w:color w:val="auto"/>
                <w:spacing w:val="15"/>
                <w:position w:val="2"/>
                <w:sz w:val="20"/>
                <w:szCs w:val="20"/>
                <w:highlight w:val="none"/>
                <w:lang w:eastAsia="zh-CN"/>
              </w:rPr>
              <w:t>）</w:t>
            </w:r>
          </w:p>
        </w:tc>
      </w:tr>
      <w:tr w14:paraId="3829F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DE3E79">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109" w:type="dxa"/>
            <w:gridSpan w:val="4"/>
            <w:vAlign w:val="top"/>
          </w:tcPr>
          <w:p w14:paraId="7D971806">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1C6B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F620D06">
            <w:pPr>
              <w:rPr>
                <w:rFonts w:ascii="Arial"/>
                <w:color w:val="auto"/>
                <w:sz w:val="21"/>
              </w:rPr>
            </w:pPr>
          </w:p>
        </w:tc>
        <w:tc>
          <w:tcPr>
            <w:tcW w:w="8109" w:type="dxa"/>
            <w:gridSpan w:val="4"/>
            <w:vAlign w:val="top"/>
          </w:tcPr>
          <w:p w14:paraId="03A18F28">
            <w:pPr>
              <w:spacing w:before="113" w:line="280" w:lineRule="auto"/>
              <w:ind w:left="112" w:right="106" w:firstLine="411"/>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z w:val="20"/>
                <w:szCs w:val="20"/>
              </w:rPr>
              <w:t xml:space="preserve"> </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p>
        </w:tc>
      </w:tr>
      <w:tr w14:paraId="787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8D7B864">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109" w:type="dxa"/>
            <w:gridSpan w:val="4"/>
            <w:vAlign w:val="top"/>
          </w:tcPr>
          <w:p w14:paraId="64927B89">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250B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5449101">
            <w:pPr>
              <w:rPr>
                <w:rFonts w:ascii="Arial"/>
                <w:color w:val="auto"/>
                <w:sz w:val="21"/>
              </w:rPr>
            </w:pPr>
          </w:p>
        </w:tc>
        <w:tc>
          <w:tcPr>
            <w:tcW w:w="8109" w:type="dxa"/>
            <w:gridSpan w:val="4"/>
            <w:vAlign w:val="top"/>
          </w:tcPr>
          <w:p w14:paraId="5FDF26A1">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z w:val="20"/>
                <w:szCs w:val="20"/>
              </w:rPr>
              <w:t xml:space="preserve"> </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1A595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33CD87">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109" w:type="dxa"/>
            <w:gridSpan w:val="4"/>
            <w:vAlign w:val="top"/>
          </w:tcPr>
          <w:p w14:paraId="020DC18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64C4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78B4331A">
            <w:pPr>
              <w:rPr>
                <w:rFonts w:ascii="Arial"/>
                <w:color w:val="auto"/>
                <w:sz w:val="21"/>
              </w:rPr>
            </w:pPr>
          </w:p>
        </w:tc>
        <w:tc>
          <w:tcPr>
            <w:tcW w:w="8109" w:type="dxa"/>
            <w:gridSpan w:val="4"/>
            <w:vAlign w:val="top"/>
          </w:tcPr>
          <w:p w14:paraId="6511B33D">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 、“专用合同条款” 、“技术</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 ，在招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83F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4544B561">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109" w:type="dxa"/>
            <w:gridSpan w:val="4"/>
            <w:vAlign w:val="top"/>
          </w:tcPr>
          <w:p w14:paraId="6921BF5E">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6A41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41128E50">
            <w:pPr>
              <w:rPr>
                <w:rFonts w:ascii="Arial"/>
                <w:color w:val="auto"/>
                <w:sz w:val="21"/>
              </w:rPr>
            </w:pPr>
          </w:p>
        </w:tc>
        <w:tc>
          <w:tcPr>
            <w:tcW w:w="8109" w:type="dxa"/>
            <w:gridSpan w:val="4"/>
            <w:vAlign w:val="top"/>
          </w:tcPr>
          <w:p w14:paraId="2BA9D001">
            <w:pPr>
              <w:spacing w:before="135" w:line="317" w:lineRule="auto"/>
              <w:ind w:left="110" w:right="106" w:firstLine="423"/>
              <w:rPr>
                <w:rFonts w:ascii="宋体" w:hAnsi="宋体" w:eastAsia="宋体" w:cs="宋体"/>
                <w:color w:val="auto"/>
                <w:sz w:val="20"/>
                <w:szCs w:val="20"/>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w:t>
            </w:r>
            <w:r>
              <w:rPr>
                <w:rFonts w:ascii="宋体" w:hAnsi="宋体" w:eastAsia="宋体" w:cs="宋体"/>
                <w:color w:val="auto"/>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10"/>
                <w:sz w:val="20"/>
                <w:szCs w:val="20"/>
              </w:rPr>
              <w:t>致，构成合同文件组成内容， 以合同文件约定内容为准，且以专用合同条款约定的</w:t>
            </w:r>
            <w:r>
              <w:rPr>
                <w:rFonts w:ascii="宋体" w:hAnsi="宋体" w:eastAsia="宋体" w:cs="宋体"/>
                <w:color w:val="auto"/>
                <w:sz w:val="20"/>
                <w:szCs w:val="20"/>
              </w:rPr>
              <w:t xml:space="preserve"> </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z w:val="20"/>
                <w:szCs w:val="20"/>
              </w:rPr>
              <w:t xml:space="preserve"> </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 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 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p>
        </w:tc>
      </w:tr>
      <w:tr w14:paraId="0944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516AA1B">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1E8AF659">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93" w:type="dxa"/>
            <w:gridSpan w:val="3"/>
            <w:vAlign w:val="top"/>
          </w:tcPr>
          <w:p w14:paraId="48EB3364">
            <w:pPr>
              <w:spacing w:before="111" w:line="226" w:lineRule="auto"/>
              <w:ind w:left="112" w:firstLine="400" w:firstLineChars="2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1D98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31" w:type="dxa"/>
            <w:gridSpan w:val="5"/>
            <w:vAlign w:val="top"/>
          </w:tcPr>
          <w:p w14:paraId="2D61D5D5">
            <w:pPr>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本次磋商共</w:t>
            </w:r>
            <w:r>
              <w:rPr>
                <w:rFonts w:hint="eastAsia" w:ascii="宋体" w:hAnsi="宋体" w:eastAsia="宋体" w:cs="宋体"/>
                <w:color w:val="auto"/>
                <w:sz w:val="20"/>
                <w:szCs w:val="20"/>
                <w:u w:val="single"/>
                <w:lang w:val="en-US" w:eastAsia="zh-CN"/>
              </w:rPr>
              <w:t xml:space="preserve"> 二 </w:t>
            </w:r>
            <w:r>
              <w:rPr>
                <w:rFonts w:hint="eastAsia" w:ascii="宋体" w:hAnsi="宋体" w:eastAsia="宋体" w:cs="宋体"/>
                <w:color w:val="auto"/>
                <w:sz w:val="20"/>
                <w:szCs w:val="20"/>
                <w:lang w:val="en-US" w:eastAsia="zh-CN"/>
              </w:rPr>
              <w:t>轮报价（含首轮投标报价）</w:t>
            </w:r>
          </w:p>
        </w:tc>
      </w:tr>
      <w:tr w14:paraId="266B4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31" w:type="dxa"/>
            <w:gridSpan w:val="5"/>
            <w:vAlign w:val="top"/>
          </w:tcPr>
          <w:p w14:paraId="625FC91C">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p>
        </w:tc>
      </w:tr>
    </w:tbl>
    <w:p w14:paraId="2B187803">
      <w:pPr>
        <w:rPr>
          <w:color w:val="auto"/>
        </w:rPr>
        <w:sectPr>
          <w:headerReference r:id="rId5" w:type="default"/>
          <w:footerReference r:id="rId6" w:type="default"/>
          <w:pgSz w:w="11906" w:h="16839"/>
          <w:pgMar w:top="1431" w:right="1262" w:bottom="1156" w:left="1507" w:header="0" w:footer="996" w:gutter="0"/>
          <w:pgNumType w:fmt="decimal"/>
          <w:cols w:space="720" w:num="1"/>
        </w:sectPr>
      </w:pPr>
    </w:p>
    <w:p w14:paraId="76AF3E40">
      <w:pPr>
        <w:spacing w:line="408" w:lineRule="auto"/>
        <w:rPr>
          <w:rFonts w:ascii="Arial"/>
          <w:color w:val="auto"/>
          <w:sz w:val="21"/>
        </w:rPr>
      </w:pPr>
    </w:p>
    <w:p w14:paraId="4E1EFE52">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7645166">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4B69F5BD">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10ECC2D6">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7F7D4FE4">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0DBCAA7A">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58460FC6">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57FD2C85">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5E1715FC">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2B0C6EA5">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AE39C78">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1DB7453F">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794489F1">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4DC5D7A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79A3166C">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4662C140">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247CC8F5">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投标人应是收到招标人发出投标邀请书的单位</w:t>
      </w:r>
      <w:r>
        <w:rPr>
          <w:rFonts w:ascii="宋体" w:hAnsi="宋体" w:eastAsia="宋体" w:cs="宋体"/>
          <w:color w:val="auto"/>
          <w:spacing w:val="4"/>
          <w:sz w:val="20"/>
          <w:szCs w:val="20"/>
        </w:rPr>
        <w:t>。</w:t>
      </w:r>
    </w:p>
    <w:p w14:paraId="6D39DECE">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66DCC3A2">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262FA405">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36AEBA6C">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12C25327">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3459F7E1">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01FCAA61">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75BBAF62">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7E572605">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p>
    <w:p w14:paraId="3D75C7BC">
      <w:pPr>
        <w:spacing w:before="154" w:line="228" w:lineRule="auto"/>
        <w:ind w:left="1"/>
        <w:rPr>
          <w:rFonts w:ascii="宋体" w:hAnsi="宋体" w:eastAsia="宋体" w:cs="宋体"/>
          <w:color w:val="auto"/>
          <w:sz w:val="20"/>
          <w:szCs w:val="20"/>
        </w:rPr>
      </w:pP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30F6945F">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751F8ED2">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20D38018">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0833F4B9">
      <w:pPr>
        <w:rPr>
          <w:color w:val="auto"/>
        </w:rPr>
        <w:sectPr>
          <w:footerReference r:id="rId7" w:type="default"/>
          <w:pgSz w:w="11906" w:h="16839"/>
          <w:pgMar w:top="1431" w:right="1530" w:bottom="1156" w:left="1629" w:header="0" w:footer="996" w:gutter="0"/>
          <w:pgNumType w:fmt="decimal"/>
          <w:cols w:space="720" w:num="1"/>
        </w:sectPr>
      </w:pPr>
    </w:p>
    <w:p w14:paraId="03774561">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62E42A85">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52C16C5D">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3969AC35">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29642F26">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33E93E89">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6F473CBF">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6BBA211B">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7AC5BE45">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73551480">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07EEC17E">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220178EC">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608DF925">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6FD473F9">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1F33B470">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75E86BD7">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69FAE42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p>
    <w:p w14:paraId="3D3DE1BE">
      <w:pPr>
        <w:spacing w:before="150" w:line="233" w:lineRule="auto"/>
        <w:rPr>
          <w:rFonts w:ascii="宋体" w:hAnsi="宋体" w:eastAsia="宋体" w:cs="宋体"/>
          <w:color w:val="auto"/>
          <w:sz w:val="20"/>
          <w:szCs w:val="20"/>
        </w:rPr>
      </w:pP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124919A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0E954A13">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55C45CB0">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428ED56B">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5475C3C2">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074BAAB7">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D96521F">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54C85A1E">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3C9F2E3A">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z w:val="20"/>
          <w:szCs w:val="20"/>
        </w:rPr>
        <w:t xml:space="preserve"> </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1932E05D">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2684426C">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1140CED7">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p>
    <w:p w14:paraId="686B7006">
      <w:pPr>
        <w:spacing w:before="154" w:line="225" w:lineRule="auto"/>
        <w:ind w:left="1"/>
        <w:rPr>
          <w:rFonts w:ascii="宋体" w:hAnsi="宋体" w:eastAsia="宋体" w:cs="宋体"/>
          <w:color w:val="auto"/>
          <w:sz w:val="20"/>
          <w:szCs w:val="20"/>
        </w:rPr>
      </w:pPr>
      <w:r>
        <w:rPr>
          <w:rFonts w:ascii="宋体" w:hAnsi="宋体" w:eastAsia="宋体" w:cs="宋体"/>
          <w:color w:val="auto"/>
          <w:spacing w:val="2"/>
          <w:sz w:val="20"/>
          <w:szCs w:val="20"/>
        </w:rPr>
        <w:t>人， 以便招标人在会议</w:t>
      </w:r>
      <w:r>
        <w:rPr>
          <w:rFonts w:ascii="宋体" w:hAnsi="宋体" w:eastAsia="宋体" w:cs="宋体"/>
          <w:color w:val="auto"/>
          <w:spacing w:val="1"/>
          <w:sz w:val="20"/>
          <w:szCs w:val="20"/>
        </w:rPr>
        <w:t>期间澄清。</w:t>
      </w:r>
    </w:p>
    <w:p w14:paraId="473FBD06">
      <w:pPr>
        <w:rPr>
          <w:color w:val="auto"/>
        </w:rPr>
        <w:sectPr>
          <w:footerReference r:id="rId8" w:type="default"/>
          <w:pgSz w:w="11906" w:h="16839"/>
          <w:pgMar w:top="1431" w:right="1531" w:bottom="1156" w:left="1628" w:header="0" w:footer="996" w:gutter="0"/>
          <w:pgNumType w:fmt="decimal"/>
          <w:cols w:space="720" w:num="1"/>
        </w:sectPr>
      </w:pPr>
    </w:p>
    <w:p w14:paraId="559B0F79">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z w:val="20"/>
          <w:szCs w:val="20"/>
        </w:rPr>
        <w:t xml:space="preserve"> </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 xml:space="preserve"> 以书面方式通知所有购买竞争性磋商文件的投标人。该澄清内容为竞争性磋商文件的组</w:t>
      </w:r>
      <w:r>
        <w:rPr>
          <w:rFonts w:ascii="宋体" w:hAnsi="宋体" w:eastAsia="宋体" w:cs="宋体"/>
          <w:color w:val="auto"/>
          <w:sz w:val="20"/>
          <w:szCs w:val="20"/>
        </w:rPr>
        <w:t xml:space="preserve"> </w:t>
      </w:r>
      <w:r>
        <w:rPr>
          <w:rFonts w:ascii="宋体" w:hAnsi="宋体" w:eastAsia="宋体" w:cs="宋体"/>
          <w:color w:val="auto"/>
          <w:spacing w:val="5"/>
          <w:sz w:val="20"/>
          <w:szCs w:val="20"/>
        </w:rPr>
        <w:t>成部分。</w:t>
      </w:r>
    </w:p>
    <w:p w14:paraId="5D1D9B36">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563A2ED1">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z w:val="20"/>
          <w:szCs w:val="20"/>
        </w:rPr>
        <w:t xml:space="preserve"> </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33B7F43C">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214F5E86">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z w:val="20"/>
          <w:szCs w:val="20"/>
        </w:rPr>
        <w:t xml:space="preserve"> </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5950BF32">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1C5B9008">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5FB3C9AD">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69112CF9">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36F1773D">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4B1E21D6">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3273E12A">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7B0D581F">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64F08736">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28D33356">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75C1D7CE">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29F024B3">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11F1CB04">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3D589C63">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E83349A">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7A361DB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1A510D4F">
      <w:pPr>
        <w:spacing w:before="1" w:line="228" w:lineRule="auto"/>
        <w:ind w:left="423"/>
        <w:rPr>
          <w:rFonts w:ascii="宋体" w:hAnsi="宋体" w:eastAsia="宋体" w:cs="宋体"/>
          <w:color w:val="auto"/>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p>
    <w:p w14:paraId="79BC92D4">
      <w:pPr>
        <w:spacing w:before="153" w:line="231" w:lineRule="auto"/>
        <w:ind w:left="2"/>
        <w:rPr>
          <w:rFonts w:ascii="宋体" w:hAnsi="宋体" w:eastAsia="宋体" w:cs="宋体"/>
          <w:color w:val="auto"/>
          <w:sz w:val="20"/>
          <w:szCs w:val="20"/>
        </w:rPr>
      </w:pP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CF1661A">
      <w:pPr>
        <w:spacing w:before="149"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0E45D9CE">
      <w:pPr>
        <w:spacing w:before="153" w:line="229" w:lineRule="auto"/>
        <w:ind w:left="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p>
    <w:p w14:paraId="7634A6F3">
      <w:pPr>
        <w:rPr>
          <w:color w:val="auto"/>
        </w:rPr>
        <w:sectPr>
          <w:footerReference r:id="rId9" w:type="default"/>
          <w:pgSz w:w="11906" w:h="16839"/>
          <w:pgMar w:top="1431" w:right="1530" w:bottom="1156" w:left="1627" w:header="0" w:footer="996" w:gutter="0"/>
          <w:pgNumType w:fmt="decimal"/>
          <w:cols w:space="720" w:num="1"/>
        </w:sectPr>
      </w:pPr>
    </w:p>
    <w:p w14:paraId="515DE73F">
      <w:pPr>
        <w:spacing w:before="182" w:line="228" w:lineRule="auto"/>
        <w:rPr>
          <w:rFonts w:ascii="宋体" w:hAnsi="宋体" w:eastAsia="宋体" w:cs="宋体"/>
          <w:color w:val="auto"/>
          <w:sz w:val="20"/>
          <w:szCs w:val="20"/>
        </w:rPr>
      </w:pP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78F17444">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p>
    <w:p w14:paraId="308546DF">
      <w:pPr>
        <w:spacing w:before="151" w:line="231" w:lineRule="auto"/>
        <w:ind w:left="3"/>
        <w:rPr>
          <w:rFonts w:ascii="宋体" w:hAnsi="宋体" w:eastAsia="宋体" w:cs="宋体"/>
          <w:color w:val="auto"/>
          <w:sz w:val="20"/>
          <w:szCs w:val="20"/>
        </w:rPr>
      </w:pP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2ED373E0">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39B673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392B5961">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46C29B8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9527267">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46B7F33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3164E2E">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CCFCCA2">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36D14AE">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6646C7AA">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7261828F">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4DFA2F24">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729905B9">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78FA2C88">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6394BD73">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423B8CF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5EF371C1">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5F5824A9">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4B5CA29">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1EF1E6E">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08CDD80">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1F3AC2A7">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C060A0B">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2F9D71F4">
      <w:pPr>
        <w:pStyle w:val="7"/>
        <w:rPr>
          <w:rFonts w:hint="default" w:eastAsia="宋体"/>
          <w:lang w:val="en-US" w:eastAsia="zh-CN"/>
        </w:rPr>
      </w:pPr>
    </w:p>
    <w:p w14:paraId="6FC2C5D1">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1FFC20FD">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18E37F7">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395F1E25">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11723419">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7DE7E839">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702A73B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2EE8BCB6">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53B5D66C">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0A4935D7">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w:t>
      </w:r>
      <w:r>
        <w:rPr>
          <w:rFonts w:ascii="宋体" w:hAnsi="宋体" w:eastAsia="宋体" w:cs="宋体"/>
          <w:color w:val="auto"/>
          <w:sz w:val="20"/>
          <w:szCs w:val="20"/>
        </w:rPr>
        <w:t xml:space="preserve"> </w:t>
      </w:r>
      <w:r>
        <w:rPr>
          <w:rFonts w:ascii="宋体" w:hAnsi="宋体" w:eastAsia="宋体" w:cs="宋体"/>
          <w:color w:val="auto"/>
          <w:spacing w:val="6"/>
          <w:sz w:val="20"/>
          <w:szCs w:val="20"/>
        </w:rPr>
        <w:t>应文件不包括本章第 3.1.1.1 (3) 目所指的联合体协议书</w:t>
      </w:r>
      <w:r>
        <w:rPr>
          <w:rFonts w:ascii="宋体" w:hAnsi="宋体" w:eastAsia="宋体" w:cs="宋体"/>
          <w:color w:val="auto"/>
          <w:spacing w:val="1"/>
          <w:sz w:val="20"/>
          <w:szCs w:val="20"/>
        </w:rPr>
        <w:t>。</w:t>
      </w:r>
    </w:p>
    <w:p w14:paraId="5F75D32D">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30063B89">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67D783D1">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z w:val="20"/>
          <w:szCs w:val="20"/>
        </w:rPr>
        <w:t xml:space="preserve"> </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519A55BC">
      <w:pPr>
        <w:spacing w:before="1" w:line="226" w:lineRule="auto"/>
        <w:ind w:left="425"/>
        <w:rPr>
          <w:rFonts w:ascii="宋体" w:hAnsi="宋体" w:eastAsia="宋体" w:cs="宋体"/>
          <w:color w:val="auto"/>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.2.3 投标人的投标报价，应是完成本投标人须知前附表第 1.3.1 条所列工程招标范围和</w:t>
      </w:r>
    </w:p>
    <w:p w14:paraId="151DA579">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1.3.2 条工期及 1.3.3 条质量要</w:t>
      </w:r>
      <w:r>
        <w:rPr>
          <w:rFonts w:ascii="宋体" w:hAnsi="宋体" w:eastAsia="宋体" w:cs="宋体"/>
          <w:color w:val="auto"/>
          <w:sz w:val="20"/>
          <w:szCs w:val="20"/>
        </w:rPr>
        <w:t>求的全部内容。</w:t>
      </w:r>
    </w:p>
    <w:p w14:paraId="7D06C7A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314CF612">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z w:val="20"/>
          <w:szCs w:val="20"/>
        </w:rPr>
        <w:t xml:space="preserve"> </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3B6147AD">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z w:val="20"/>
          <w:szCs w:val="20"/>
        </w:rPr>
        <w:t xml:space="preserve"> </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5A3F3C45">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3AD8E365">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z w:val="20"/>
          <w:szCs w:val="20"/>
        </w:rPr>
        <w:t xml:space="preserve"> </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6342E38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3F0FA61E">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76EE45D9">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73779F7E">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p>
    <w:p w14:paraId="7DA6A0FD">
      <w:pPr>
        <w:spacing w:before="154" w:line="229" w:lineRule="auto"/>
        <w:ind w:left="1"/>
        <w:rPr>
          <w:rFonts w:ascii="宋体" w:hAnsi="宋体" w:eastAsia="宋体" w:cs="宋体"/>
          <w:color w:val="auto"/>
          <w:sz w:val="20"/>
          <w:szCs w:val="20"/>
        </w:rPr>
      </w:pP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4915426D">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491F267B">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 (如是外地投标人需提供) 等材料的复印件</w:t>
      </w:r>
      <w:r>
        <w:rPr>
          <w:rFonts w:ascii="宋体" w:hAnsi="宋体" w:eastAsia="宋体" w:cs="宋体"/>
          <w:color w:val="auto"/>
          <w:spacing w:val="5"/>
          <w:sz w:val="20"/>
          <w:szCs w:val="20"/>
        </w:rPr>
        <w:t>。</w:t>
      </w:r>
    </w:p>
    <w:p w14:paraId="64585D56">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w:t>
      </w:r>
      <w:r>
        <w:rPr>
          <w:rFonts w:hint="eastAsia" w:ascii="宋体" w:hAnsi="宋体" w:eastAsia="宋体" w:cs="宋体"/>
          <w:color w:val="auto"/>
          <w:spacing w:val="10"/>
          <w:sz w:val="20"/>
          <w:szCs w:val="20"/>
          <w:lang w:val="en-US" w:eastAsia="zh-CN"/>
        </w:rPr>
        <w:t>以及审计公司营业执照及从业资格相关证件</w:t>
      </w:r>
      <w:r>
        <w:rPr>
          <w:rFonts w:ascii="宋体" w:hAnsi="宋体" w:eastAsia="宋体" w:cs="宋体"/>
          <w:color w:val="auto"/>
          <w:spacing w:val="10"/>
          <w:sz w:val="20"/>
          <w:szCs w:val="20"/>
        </w:rPr>
        <w:t>，具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32A649FA">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721D443">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5DAB4D4C">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5A315855">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42A31B9A">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72A9BB06">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41FCB80A">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60A7E492">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64F61B39">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3181F5E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452E983B">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17E9CE56">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5633E39D">
      <w:pPr>
        <w:spacing w:before="1" w:line="369" w:lineRule="auto"/>
        <w:ind w:left="1" w:right="2" w:firstLine="422"/>
        <w:rPr>
          <w:rFonts w:hint="default" w:ascii="宋体" w:hAnsi="宋体" w:eastAsia="宋体" w:cs="宋体"/>
          <w:color w:val="auto"/>
          <w:sz w:val="20"/>
          <w:szCs w:val="20"/>
          <w:lang w:val="en-US" w:eastAsia="zh-CN"/>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标书应逐页加盖公章、法人私章、法人电子签名。</w:t>
      </w:r>
    </w:p>
    <w:p w14:paraId="2FBC277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56D14793">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7DF205D7">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68973D11">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612146EA">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2FA396F6">
      <w:pPr>
        <w:spacing w:line="376" w:lineRule="auto"/>
        <w:ind w:right="4" w:firstLine="424"/>
        <w:rPr>
          <w:rFonts w:ascii="宋体" w:hAnsi="宋体" w:eastAsia="宋体" w:cs="宋体"/>
          <w:color w:val="auto"/>
          <w:spacing w:val="8"/>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6A37FA">
      <w:pPr>
        <w:spacing w:line="376" w:lineRule="auto"/>
        <w:ind w:right="4" w:firstLine="424"/>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5D812FCA">
      <w:pPr>
        <w:keepNext w:val="0"/>
        <w:keepLines w:val="0"/>
        <w:pageBreakBefore w:val="0"/>
        <w:widowControl/>
        <w:kinsoku w:val="0"/>
        <w:wordWrap/>
        <w:overflowPunct/>
        <w:topLinePunct w:val="0"/>
        <w:autoSpaceDE w:val="0"/>
        <w:autoSpaceDN w:val="0"/>
        <w:bidi w:val="0"/>
        <w:adjustRightInd w:val="0"/>
        <w:snapToGrid w:val="0"/>
        <w:spacing w:before="81" w:line="360" w:lineRule="auto"/>
        <w:ind w:left="6" w:firstLine="472" w:firstLineChars="200"/>
        <w:textAlignment w:val="baseline"/>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4F94D751">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6A192584">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4650F58D">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1528D581">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4055F640">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0DEF77F9">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11E3D665">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2A09E837">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p>
    <w:p w14:paraId="13FD839E">
      <w:pPr>
        <w:spacing w:before="153" w:line="227" w:lineRule="auto"/>
        <w:rPr>
          <w:rFonts w:ascii="宋体" w:hAnsi="宋体" w:eastAsia="宋体" w:cs="宋体"/>
          <w:color w:val="auto"/>
          <w:sz w:val="20"/>
          <w:szCs w:val="20"/>
        </w:rPr>
      </w:pP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707FDA1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p>
    <w:p w14:paraId="787D7C20">
      <w:pPr>
        <w:spacing w:before="153" w:line="375" w:lineRule="auto"/>
        <w:ind w:firstLine="2"/>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z w:val="20"/>
          <w:szCs w:val="20"/>
        </w:rPr>
        <w:t xml:space="preserve"> </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47D649A1">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0E0AB8C1">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7A81DFA7">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42965626">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76A1840D">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p>
    <w:p w14:paraId="249B4C2C">
      <w:pPr>
        <w:spacing w:before="154" w:line="369" w:lineRule="auto"/>
        <w:ind w:left="1" w:right="1" w:firstLine="1"/>
        <w:rPr>
          <w:rFonts w:ascii="宋体" w:hAnsi="宋体" w:eastAsia="宋体" w:cs="宋体"/>
          <w:color w:val="auto"/>
          <w:sz w:val="20"/>
          <w:szCs w:val="20"/>
        </w:rPr>
      </w:pP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6F3D86A7">
      <w:pPr>
        <w:spacing w:before="1" w:line="228"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(检查网上招标系统正常</w:t>
      </w:r>
    </w:p>
    <w:p w14:paraId="5F6A5768">
      <w:pPr>
        <w:rPr>
          <w:color w:val="auto"/>
        </w:rPr>
        <w:sectPr>
          <w:footerReference r:id="rId10" w:type="default"/>
          <w:pgSz w:w="11906" w:h="16839"/>
          <w:pgMar w:top="1431" w:right="1532" w:bottom="1156" w:left="1627" w:header="0" w:footer="996" w:gutter="0"/>
          <w:pgNumType w:fmt="decimal"/>
          <w:cols w:space="720" w:num="1"/>
        </w:sectPr>
      </w:pPr>
    </w:p>
    <w:p w14:paraId="5060DE29">
      <w:pPr>
        <w:spacing w:before="183" w:line="369" w:lineRule="auto"/>
        <w:ind w:left="4" w:right="2" w:firstLine="1"/>
        <w:rPr>
          <w:rFonts w:ascii="宋体" w:hAnsi="宋体" w:eastAsia="宋体" w:cs="宋体"/>
          <w:color w:val="auto"/>
          <w:sz w:val="20"/>
          <w:szCs w:val="20"/>
        </w:rPr>
      </w:pP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p>
    <w:p w14:paraId="7FF05F3C">
      <w:pPr>
        <w:spacing w:before="1" w:line="368" w:lineRule="auto"/>
        <w:ind w:left="5" w:firstLine="372"/>
        <w:rPr>
          <w:rFonts w:ascii="宋体" w:hAnsi="宋体" w:eastAsia="宋体" w:cs="宋体"/>
          <w:color w:val="auto"/>
          <w:sz w:val="20"/>
          <w:szCs w:val="20"/>
        </w:rPr>
      </w:pP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5F02B5EB">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w:t>
      </w:r>
      <w:r>
        <w:rPr>
          <w:rFonts w:ascii="宋体" w:hAnsi="宋体" w:eastAsia="宋体" w:cs="宋体"/>
          <w:color w:val="auto"/>
          <w:sz w:val="20"/>
          <w:szCs w:val="20"/>
        </w:rPr>
        <w:t xml:space="preserve"> </w:t>
      </w:r>
      <w:r>
        <w:rPr>
          <w:rFonts w:ascii="宋体" w:hAnsi="宋体" w:eastAsia="宋体" w:cs="宋体"/>
          <w:color w:val="auto"/>
          <w:spacing w:val="13"/>
          <w:sz w:val="20"/>
          <w:szCs w:val="20"/>
        </w:rPr>
        <w:t>请</w:t>
      </w:r>
      <w:r>
        <w:rPr>
          <w:rFonts w:ascii="宋体" w:hAnsi="宋体" w:eastAsia="宋体" w:cs="宋体"/>
          <w:color w:val="auto"/>
          <w:spacing w:val="9"/>
          <w:sz w:val="20"/>
          <w:szCs w:val="20"/>
        </w:rPr>
        <w:t>注意，否则采购代理机构对此不承担任何责任。</w:t>
      </w:r>
    </w:p>
    <w:p w14:paraId="724C2D65">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w:t>
      </w:r>
      <w:r>
        <w:rPr>
          <w:rFonts w:ascii="宋体" w:hAnsi="宋体" w:eastAsia="宋体" w:cs="宋体"/>
          <w:color w:val="auto"/>
          <w:sz w:val="20"/>
          <w:szCs w:val="20"/>
        </w:rPr>
        <w:t xml:space="preserve"> </w:t>
      </w:r>
      <w:r>
        <w:rPr>
          <w:rFonts w:ascii="宋体" w:hAnsi="宋体" w:eastAsia="宋体" w:cs="宋体"/>
          <w:color w:val="auto"/>
          <w:spacing w:val="8"/>
          <w:sz w:val="20"/>
          <w:szCs w:val="20"/>
        </w:rPr>
        <w:t>开</w:t>
      </w:r>
      <w:r>
        <w:rPr>
          <w:rFonts w:ascii="宋体" w:hAnsi="宋体" w:eastAsia="宋体" w:cs="宋体"/>
          <w:color w:val="auto"/>
          <w:spacing w:val="5"/>
          <w:sz w:val="20"/>
          <w:szCs w:val="20"/>
        </w:rPr>
        <w:t>标现场。</w:t>
      </w:r>
    </w:p>
    <w:p w14:paraId="7EF2F03D">
      <w:pPr>
        <w:spacing w:before="1" w:line="227" w:lineRule="auto"/>
        <w:ind w:left="356"/>
        <w:rPr>
          <w:rFonts w:ascii="宋体" w:hAnsi="宋体" w:eastAsia="宋体" w:cs="宋体"/>
          <w:b/>
          <w:bCs/>
          <w:color w:val="auto"/>
          <w:sz w:val="20"/>
          <w:szCs w:val="20"/>
        </w:rPr>
      </w:pPr>
      <w:r>
        <w:rPr>
          <w:rFonts w:ascii="宋体" w:hAnsi="宋体" w:eastAsia="宋体" w:cs="宋体"/>
          <w:b/>
          <w:bCs/>
          <w:color w:val="auto"/>
          <w:sz w:val="20"/>
          <w:szCs w:val="20"/>
        </w:rPr>
        <w:t>B</w:t>
      </w:r>
      <w:r>
        <w:rPr>
          <w:rFonts w:ascii="宋体" w:hAnsi="宋体" w:eastAsia="宋体" w:cs="宋体"/>
          <w:b/>
          <w:bCs/>
          <w:color w:val="auto"/>
          <w:spacing w:val="14"/>
          <w:sz w:val="20"/>
          <w:szCs w:val="20"/>
        </w:rPr>
        <w:t>．</w:t>
      </w:r>
      <w:r>
        <w:rPr>
          <w:rFonts w:ascii="宋体" w:hAnsi="宋体" w:eastAsia="宋体" w:cs="宋体"/>
          <w:b/>
          <w:bCs/>
          <w:color w:val="auto"/>
          <w:spacing w:val="9"/>
          <w:sz w:val="20"/>
          <w:szCs w:val="20"/>
        </w:rPr>
        <w:t>采用不见面开标方式 (是否采用详见投标人须知前附表)</w:t>
      </w:r>
    </w:p>
    <w:p w14:paraId="1208D465">
      <w:pPr>
        <w:spacing w:before="152" w:line="369" w:lineRule="auto"/>
        <w:ind w:left="6" w:firstLine="355"/>
        <w:rPr>
          <w:rFonts w:ascii="宋体" w:hAnsi="宋体" w:eastAsia="宋体" w:cs="宋体"/>
          <w:b/>
          <w:bCs/>
          <w:color w:val="auto"/>
          <w:sz w:val="20"/>
          <w:szCs w:val="20"/>
        </w:rPr>
      </w:pPr>
      <w:r>
        <w:rPr>
          <w:rFonts w:ascii="宋体" w:hAnsi="宋体" w:eastAsia="宋体" w:cs="宋体"/>
          <w:b/>
          <w:bCs/>
          <w:color w:val="auto"/>
          <w:spacing w:val="26"/>
          <w:sz w:val="20"/>
          <w:szCs w:val="20"/>
        </w:rPr>
        <w:t>招</w:t>
      </w:r>
      <w:r>
        <w:rPr>
          <w:rFonts w:ascii="宋体" w:hAnsi="宋体" w:eastAsia="宋体" w:cs="宋体"/>
          <w:b/>
          <w:bCs/>
          <w:color w:val="auto"/>
          <w:spacing w:val="14"/>
          <w:sz w:val="20"/>
          <w:szCs w:val="20"/>
        </w:rPr>
        <w:t>标人在规定的投标截止时间 (开标时间) 和投标人须知前附表规定的地点开标。投标人</w:t>
      </w:r>
      <w:r>
        <w:rPr>
          <w:rFonts w:ascii="宋体" w:hAnsi="宋体" w:eastAsia="宋体" w:cs="宋体"/>
          <w:b/>
          <w:bCs/>
          <w:color w:val="auto"/>
          <w:spacing w:val="36"/>
          <w:sz w:val="20"/>
          <w:szCs w:val="20"/>
        </w:rPr>
        <w:t>的</w:t>
      </w:r>
      <w:r>
        <w:rPr>
          <w:rFonts w:ascii="宋体" w:hAnsi="宋体" w:eastAsia="宋体" w:cs="宋体"/>
          <w:b/>
          <w:bCs/>
          <w:color w:val="auto"/>
          <w:spacing w:val="19"/>
          <w:sz w:val="20"/>
          <w:szCs w:val="20"/>
        </w:rPr>
        <w:t>法</w:t>
      </w:r>
      <w:r>
        <w:rPr>
          <w:rFonts w:ascii="宋体" w:hAnsi="宋体" w:eastAsia="宋体" w:cs="宋体"/>
          <w:b/>
          <w:bCs/>
          <w:color w:val="auto"/>
          <w:spacing w:val="18"/>
          <w:sz w:val="20"/>
          <w:szCs w:val="20"/>
        </w:rPr>
        <w:t>定代表人或其委托代理人无需到达开标现场，仅需在任意地点通过政采云不见面开标系统</w:t>
      </w:r>
      <w:r>
        <w:rPr>
          <w:rFonts w:ascii="宋体" w:hAnsi="宋体" w:eastAsia="宋体" w:cs="宋体"/>
          <w:b/>
          <w:bCs/>
          <w:color w:val="auto"/>
          <w:spacing w:val="11"/>
          <w:sz w:val="20"/>
          <w:szCs w:val="20"/>
        </w:rPr>
        <w:t>，</w:t>
      </w:r>
      <w:r>
        <w:rPr>
          <w:rFonts w:ascii="宋体" w:hAnsi="宋体" w:eastAsia="宋体" w:cs="宋体"/>
          <w:b/>
          <w:bCs/>
          <w:color w:val="auto"/>
          <w:spacing w:val="9"/>
          <w:sz w:val="20"/>
          <w:szCs w:val="20"/>
        </w:rPr>
        <w:t>使用数字证书密钥完成远程解密、提疑澄清、开标唱标、结果公布等交互环节。</w:t>
      </w:r>
    </w:p>
    <w:p w14:paraId="1EDFAE0E">
      <w:pPr>
        <w:spacing w:before="3" w:line="373" w:lineRule="auto"/>
        <w:ind w:firstLine="361"/>
        <w:rPr>
          <w:rFonts w:ascii="宋体" w:hAnsi="宋体" w:eastAsia="宋体" w:cs="宋体"/>
          <w:color w:val="auto"/>
          <w:sz w:val="20"/>
          <w:szCs w:val="20"/>
        </w:rPr>
      </w:pPr>
      <w:r>
        <w:rPr>
          <w:rFonts w:ascii="宋体" w:hAnsi="宋体" w:eastAsia="宋体" w:cs="宋体"/>
          <w:b/>
          <w:bCs/>
          <w:color w:val="auto"/>
          <w:spacing w:val="34"/>
          <w:sz w:val="20"/>
          <w:szCs w:val="20"/>
        </w:rPr>
        <w:t>法</w:t>
      </w:r>
      <w:r>
        <w:rPr>
          <w:rFonts w:ascii="宋体" w:hAnsi="宋体" w:eastAsia="宋体" w:cs="宋体"/>
          <w:b/>
          <w:bCs/>
          <w:color w:val="auto"/>
          <w:spacing w:val="23"/>
          <w:sz w:val="20"/>
          <w:szCs w:val="20"/>
        </w:rPr>
        <w:t>定</w:t>
      </w:r>
      <w:r>
        <w:rPr>
          <w:rFonts w:ascii="宋体" w:hAnsi="宋体" w:eastAsia="宋体" w:cs="宋体"/>
          <w:b/>
          <w:bCs/>
          <w:color w:val="auto"/>
          <w:spacing w:val="17"/>
          <w:sz w:val="20"/>
          <w:szCs w:val="20"/>
        </w:rPr>
        <w:t>代表人或法定代表人授权委托人参与远程交互，中途不得更换，在废标、澄清、提</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疑</w:t>
      </w:r>
      <w:r>
        <w:rPr>
          <w:rFonts w:ascii="宋体" w:hAnsi="宋体" w:eastAsia="宋体" w:cs="宋体"/>
          <w:b/>
          <w:bCs/>
          <w:color w:val="auto"/>
          <w:spacing w:val="13"/>
          <w:sz w:val="20"/>
          <w:szCs w:val="20"/>
        </w:rPr>
        <w:t>、传送文件等特殊情况下需要交互时，投标人一端参与交互的人员将均被视为是投标人的授</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权</w:t>
      </w:r>
      <w:r>
        <w:rPr>
          <w:rFonts w:ascii="宋体" w:hAnsi="宋体" w:eastAsia="宋体" w:cs="宋体"/>
          <w:b/>
          <w:bCs/>
          <w:color w:val="auto"/>
          <w:spacing w:val="13"/>
          <w:sz w:val="20"/>
          <w:szCs w:val="20"/>
        </w:rPr>
        <w:t>委托人或法人代表，投标人不得以不承认交互人员的资格或身份等为借口推脱，投标人自行</w:t>
      </w:r>
      <w:r>
        <w:rPr>
          <w:rFonts w:ascii="宋体" w:hAnsi="宋体" w:eastAsia="宋体" w:cs="宋体"/>
          <w:b/>
          <w:bCs/>
          <w:color w:val="auto"/>
          <w:sz w:val="20"/>
          <w:szCs w:val="20"/>
        </w:rPr>
        <w:t xml:space="preserve"> </w:t>
      </w:r>
      <w:r>
        <w:rPr>
          <w:rFonts w:ascii="宋体" w:hAnsi="宋体" w:eastAsia="宋体" w:cs="宋体"/>
          <w:b/>
          <w:bCs/>
          <w:color w:val="auto"/>
          <w:spacing w:val="9"/>
          <w:sz w:val="20"/>
          <w:szCs w:val="20"/>
        </w:rPr>
        <w:t>承担随意更换人员所导致的一切后果</w:t>
      </w:r>
      <w:r>
        <w:rPr>
          <w:rFonts w:ascii="宋体" w:hAnsi="宋体" w:eastAsia="宋体" w:cs="宋体"/>
          <w:b/>
          <w:bCs/>
          <w:color w:val="auto"/>
          <w:spacing w:val="6"/>
          <w:sz w:val="20"/>
          <w:szCs w:val="20"/>
        </w:rPr>
        <w:t>。</w:t>
      </w:r>
    </w:p>
    <w:p w14:paraId="552C3675">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70F83C34">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14A0E92C">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z w:val="20"/>
          <w:szCs w:val="20"/>
        </w:rPr>
        <w:t xml:space="preserve"> </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 以及有关技术、经济等方面的专家组成。磋商小组成员人数以及技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692C2915">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63A87CF7">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7D83E176">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A43A853">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6956B501">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p>
    <w:p w14:paraId="1840BA6D">
      <w:pPr>
        <w:spacing w:before="151" w:line="229" w:lineRule="auto"/>
        <w:ind w:left="4"/>
        <w:rPr>
          <w:rFonts w:ascii="宋体" w:hAnsi="宋体" w:eastAsia="宋体" w:cs="宋体"/>
          <w:color w:val="auto"/>
          <w:sz w:val="20"/>
          <w:szCs w:val="20"/>
        </w:rPr>
      </w:pP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E992FC7">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7AA56841">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289F6D5C">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B3AD724">
      <w:pPr>
        <w:spacing w:before="153" w:line="379" w:lineRule="auto"/>
        <w:ind w:left="5" w:right="2" w:firstLine="415"/>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50413EB4">
      <w:pPr>
        <w:rPr>
          <w:color w:val="auto"/>
        </w:rPr>
        <w:sectPr>
          <w:footerReference r:id="rId11" w:type="default"/>
          <w:pgSz w:w="11906" w:h="16839"/>
          <w:pgMar w:top="1431" w:right="1530" w:bottom="1156" w:left="1626" w:header="0" w:footer="996" w:gutter="0"/>
          <w:pgNumType w:fmt="decimal"/>
          <w:cols w:space="720" w:num="1"/>
        </w:sectPr>
      </w:pPr>
    </w:p>
    <w:p w14:paraId="57EADDF2">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F10FCF3">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17742AE1">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09D9BFC">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z w:val="20"/>
          <w:szCs w:val="20"/>
        </w:rPr>
        <w:t xml:space="preserve"> </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z w:val="20"/>
          <w:szCs w:val="20"/>
        </w:rPr>
        <w:t xml:space="preserve"> </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77AD3C86">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9733EDB">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p>
    <w:p w14:paraId="3EE80730">
      <w:pPr>
        <w:spacing w:before="152" w:line="228" w:lineRule="auto"/>
        <w:ind w:left="5"/>
        <w:rPr>
          <w:rFonts w:ascii="宋体" w:hAnsi="宋体" w:eastAsia="宋体" w:cs="宋体"/>
          <w:color w:val="auto"/>
          <w:sz w:val="20"/>
          <w:szCs w:val="20"/>
        </w:rPr>
      </w:pP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3E53479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6926DB5F">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在签订合同后五日内，中标人应按投标人须知前附表规定的金额、担保形式向招标</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58D2DF26">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z w:val="20"/>
          <w:szCs w:val="20"/>
        </w:rPr>
        <w:t xml:space="preserve"> </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予退还，给招标人造成的损失超过投标保证金数额的，中标人还应当对超过部分予以赔</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F07DB52">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23F8C6F">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z w:val="20"/>
          <w:szCs w:val="20"/>
        </w:rPr>
        <w:t xml:space="preserve"> </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z w:val="20"/>
          <w:szCs w:val="20"/>
        </w:rPr>
        <w:t xml:space="preserve"> </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z w:val="20"/>
          <w:szCs w:val="20"/>
        </w:rPr>
        <w:t xml:space="preserve"> </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3FCBD598">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p>
    <w:p w14:paraId="20220CDE">
      <w:pPr>
        <w:spacing w:before="153" w:line="231" w:lineRule="auto"/>
        <w:ind w:left="2"/>
        <w:rPr>
          <w:rFonts w:ascii="宋体" w:hAnsi="宋体" w:eastAsia="宋体" w:cs="宋体"/>
          <w:color w:val="auto"/>
          <w:sz w:val="20"/>
          <w:szCs w:val="20"/>
        </w:rPr>
      </w:pP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3258C240">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D99EB3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454651A4">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72A0E8FE">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73B3E60F">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AED92B">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7C70FDE7">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p>
    <w:p w14:paraId="5165EF10">
      <w:pPr>
        <w:spacing w:before="154" w:line="231" w:lineRule="auto"/>
        <w:ind w:left="40"/>
        <w:rPr>
          <w:rFonts w:ascii="宋体" w:hAnsi="宋体" w:eastAsia="宋体" w:cs="宋体"/>
          <w:color w:val="auto"/>
          <w:sz w:val="20"/>
          <w:szCs w:val="20"/>
        </w:rPr>
      </w:pP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1D4F2E79">
      <w:pPr>
        <w:rPr>
          <w:color w:val="auto"/>
        </w:rPr>
        <w:sectPr>
          <w:footerReference r:id="rId12" w:type="default"/>
          <w:pgSz w:w="11906" w:h="16839"/>
          <w:pgMar w:top="1431" w:right="1532" w:bottom="1156" w:left="1627" w:header="0" w:footer="996" w:gutter="0"/>
          <w:pgNumType w:fmt="decimal"/>
          <w:cols w:space="720" w:num="1"/>
        </w:sectPr>
      </w:pPr>
    </w:p>
    <w:p w14:paraId="1E2BB73B">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4C8AA6BE">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37754FEF">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z w:val="20"/>
          <w:szCs w:val="20"/>
        </w:rPr>
        <w:t xml:space="preserve"> </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641B326A">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1504552F">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z w:val="20"/>
          <w:szCs w:val="20"/>
        </w:rPr>
        <w:t xml:space="preserve"> </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z w:val="20"/>
          <w:szCs w:val="20"/>
        </w:rPr>
        <w:t xml:space="preserve"> </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1ED917D7">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5BC0C9C1">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z w:val="20"/>
          <w:szCs w:val="20"/>
        </w:rPr>
        <w:t xml:space="preserve"> </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z w:val="20"/>
          <w:szCs w:val="20"/>
        </w:rPr>
        <w:t xml:space="preserve"> </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z w:val="20"/>
          <w:szCs w:val="20"/>
        </w:rPr>
        <w:t xml:space="preserve"> </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33730573">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6F3B8058">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z w:val="20"/>
          <w:szCs w:val="20"/>
        </w:rPr>
        <w:t xml:space="preserve"> </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z w:val="20"/>
          <w:szCs w:val="20"/>
        </w:rPr>
        <w:t xml:space="preserve"> </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2BEBA63B">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52D83B41">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z w:val="20"/>
          <w:szCs w:val="20"/>
        </w:rPr>
        <w:t xml:space="preserve"> </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4A8E753D">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6390C50C">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574E316B">
      <w:pPr>
        <w:rPr>
          <w:color w:val="auto"/>
        </w:rPr>
        <w:sectPr>
          <w:footerReference r:id="rId13" w:type="default"/>
          <w:pgSz w:w="11906" w:h="16839"/>
          <w:pgMar w:top="1431" w:right="1532" w:bottom="1156" w:left="1626" w:header="0" w:footer="996" w:gutter="0"/>
          <w:pgNumType w:fmt="decimal"/>
          <w:cols w:space="720" w:num="1"/>
        </w:sectPr>
      </w:pPr>
    </w:p>
    <w:p w14:paraId="438DC26B">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4D46F01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3DEF">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z w:val="20"/>
          <w:szCs w:val="20"/>
        </w:rPr>
        <w:t xml:space="preserve"> </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27D54C1B">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5C878F2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2F7238E">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p>
    <w:p w14:paraId="014B21A6">
      <w:pPr>
        <w:spacing w:before="128" w:line="228" w:lineRule="auto"/>
        <w:outlineLvl w:val="1"/>
        <w:rPr>
          <w:rFonts w:ascii="宋体" w:hAnsi="宋体" w:eastAsia="宋体" w:cs="宋体"/>
          <w:color w:val="auto"/>
          <w:sz w:val="20"/>
          <w:szCs w:val="20"/>
        </w:rPr>
      </w:pPr>
      <w:r>
        <w:rPr>
          <w:rFonts w:ascii="宋体" w:hAnsi="宋体" w:eastAsia="宋体" w:cs="宋体"/>
          <w:color w:val="auto"/>
          <w:spacing w:val="1"/>
          <w:sz w:val="20"/>
          <w:szCs w:val="20"/>
        </w:rPr>
        <w:t>任</w:t>
      </w:r>
      <w:r>
        <w:rPr>
          <w:rFonts w:ascii="宋体" w:hAnsi="宋体" w:eastAsia="宋体" w:cs="宋体"/>
          <w:color w:val="auto"/>
          <w:sz w:val="20"/>
          <w:szCs w:val="20"/>
        </w:rPr>
        <w:t>。</w:t>
      </w:r>
    </w:p>
    <w:p w14:paraId="65B40D8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3D20C49E">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EAB1CB2">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503F5D0C">
      <w:pPr>
        <w:spacing w:before="254" w:line="228" w:lineRule="auto"/>
        <w:ind w:left="42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p>
    <w:p w14:paraId="7D404CAB">
      <w:pPr>
        <w:spacing w:before="150" w:line="379" w:lineRule="auto"/>
        <w:ind w:left="20" w:right="2" w:hanging="20"/>
        <w:rPr>
          <w:rFonts w:ascii="宋体" w:hAnsi="宋体" w:eastAsia="宋体" w:cs="宋体"/>
          <w:color w:val="auto"/>
          <w:sz w:val="20"/>
          <w:szCs w:val="20"/>
        </w:rPr>
      </w:pP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z w:val="20"/>
          <w:szCs w:val="20"/>
        </w:rPr>
        <w:t xml:space="preserve"> </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37E579BF">
      <w:pPr>
        <w:spacing w:before="29" w:line="229" w:lineRule="auto"/>
        <w:ind w:left="420"/>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4C8499D1">
      <w:pPr>
        <w:spacing w:before="196" w:line="229"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6CB7174F">
      <w:pPr>
        <w:spacing w:line="244" w:lineRule="auto"/>
        <w:rPr>
          <w:rFonts w:ascii="Arial"/>
          <w:color w:val="auto"/>
          <w:sz w:val="21"/>
        </w:rPr>
      </w:pPr>
    </w:p>
    <w:p w14:paraId="1BD55599">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磋商小组审阅磋商文件和竞争性磋商文件；</w:t>
      </w:r>
    </w:p>
    <w:p w14:paraId="45313BFF">
      <w:pPr>
        <w:spacing w:line="248" w:lineRule="auto"/>
        <w:rPr>
          <w:rFonts w:ascii="Arial"/>
          <w:color w:val="auto"/>
          <w:sz w:val="21"/>
        </w:rPr>
      </w:pPr>
    </w:p>
    <w:p w14:paraId="02EDC7B8">
      <w:pPr>
        <w:spacing w:before="192" w:line="230" w:lineRule="auto"/>
        <w:ind w:left="3" w:firstLine="512" w:firstLineChars="200"/>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围绕磋商要点磋商小组全体成员集中与各个供应商方分别进行磋商。</w:t>
      </w:r>
    </w:p>
    <w:p w14:paraId="76627EC7">
      <w:pPr>
        <w:spacing w:line="243" w:lineRule="auto"/>
        <w:rPr>
          <w:rFonts w:ascii="Arial"/>
          <w:color w:val="auto"/>
          <w:sz w:val="21"/>
        </w:rPr>
      </w:pPr>
    </w:p>
    <w:p w14:paraId="4C14E84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15024600">
      <w:pPr>
        <w:spacing w:line="265" w:lineRule="auto"/>
        <w:rPr>
          <w:rFonts w:ascii="Arial"/>
          <w:color w:val="auto"/>
          <w:sz w:val="21"/>
        </w:rPr>
      </w:pPr>
    </w:p>
    <w:p w14:paraId="0411C616">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68CCDDEA">
      <w:pPr>
        <w:spacing w:before="213" w:line="428" w:lineRule="auto"/>
        <w:ind w:left="1" w:right="2" w:firstLine="418"/>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w:t>
      </w:r>
      <w:r>
        <w:rPr>
          <w:rFonts w:ascii="宋体" w:hAnsi="宋体" w:eastAsia="宋体" w:cs="宋体"/>
          <w:color w:val="auto"/>
          <w:sz w:val="20"/>
          <w:szCs w:val="20"/>
        </w:rPr>
        <w:t xml:space="preserve"> </w:t>
      </w:r>
      <w:r>
        <w:rPr>
          <w:rFonts w:ascii="宋体" w:hAnsi="宋体" w:eastAsia="宋体" w:cs="宋体"/>
          <w:color w:val="auto"/>
          <w:spacing w:val="13"/>
          <w:sz w:val="20"/>
          <w:szCs w:val="20"/>
        </w:rPr>
        <w:t>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z w:val="20"/>
          <w:szCs w:val="20"/>
        </w:rPr>
        <w:t xml:space="preserve"> </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456CFD98">
      <w:pPr>
        <w:rPr>
          <w:color w:val="auto"/>
        </w:rPr>
        <w:sectPr>
          <w:footerReference r:id="rId14" w:type="default"/>
          <w:pgSz w:w="11906" w:h="16839"/>
          <w:pgMar w:top="1431" w:right="1530" w:bottom="1156" w:left="1627" w:header="0" w:footer="996" w:gutter="0"/>
          <w:pgNumType w:fmt="decimal"/>
          <w:cols w:space="720" w:num="1"/>
        </w:sectPr>
      </w:pPr>
    </w:p>
    <w:p w14:paraId="582B0A4A">
      <w:pPr>
        <w:pStyle w:val="11"/>
        <w:jc w:val="center"/>
        <w:rPr>
          <w:rFonts w:hint="eastAsia"/>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响应文件—资格性审查表</w:t>
      </w:r>
    </w:p>
    <w:tbl>
      <w:tblPr>
        <w:tblStyle w:val="16"/>
        <w:tblpPr w:leftFromText="180" w:rightFromText="180" w:vertAnchor="text" w:horzAnchor="page" w:tblpXSpec="center" w:tblpY="666"/>
        <w:tblOverlap w:val="never"/>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3"/>
        <w:gridCol w:w="7535"/>
        <w:gridCol w:w="719"/>
        <w:gridCol w:w="473"/>
      </w:tblGrid>
      <w:tr w14:paraId="6D9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24" w:type="pct"/>
            <w:vMerge w:val="restart"/>
            <w:vAlign w:val="center"/>
          </w:tcPr>
          <w:p w14:paraId="44CB9A07">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项目</w:t>
            </w:r>
          </w:p>
        </w:tc>
        <w:tc>
          <w:tcPr>
            <w:tcW w:w="4069" w:type="pct"/>
            <w:gridSpan w:val="2"/>
            <w:vMerge w:val="restart"/>
            <w:vAlign w:val="center"/>
          </w:tcPr>
          <w:p w14:paraId="342CA60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评审内容</w:t>
            </w:r>
          </w:p>
        </w:tc>
        <w:tc>
          <w:tcPr>
            <w:tcW w:w="605" w:type="pct"/>
            <w:gridSpan w:val="2"/>
            <w:vAlign w:val="center"/>
          </w:tcPr>
          <w:p w14:paraId="4D150F37">
            <w:pPr>
              <w:spacing w:line="440" w:lineRule="exact"/>
              <w:jc w:val="both"/>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评审意见</w:t>
            </w:r>
          </w:p>
        </w:tc>
      </w:tr>
      <w:tr w14:paraId="53A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4" w:type="pct"/>
            <w:vMerge w:val="continue"/>
            <w:vAlign w:val="center"/>
          </w:tcPr>
          <w:p w14:paraId="4F19C57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4069" w:type="pct"/>
            <w:gridSpan w:val="2"/>
            <w:vMerge w:val="continue"/>
          </w:tcPr>
          <w:p w14:paraId="3B1BF4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365" w:type="pct"/>
            <w:vAlign w:val="center"/>
          </w:tcPr>
          <w:p w14:paraId="2A74ABEA">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是</w:t>
            </w:r>
          </w:p>
        </w:tc>
        <w:tc>
          <w:tcPr>
            <w:tcW w:w="240" w:type="pct"/>
            <w:vAlign w:val="center"/>
          </w:tcPr>
          <w:p w14:paraId="34EF2B32">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否</w:t>
            </w:r>
          </w:p>
        </w:tc>
      </w:tr>
      <w:tr w14:paraId="5069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restart"/>
            <w:vAlign w:val="center"/>
          </w:tcPr>
          <w:p w14:paraId="22AD7487">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审查标准</w:t>
            </w:r>
          </w:p>
        </w:tc>
        <w:tc>
          <w:tcPr>
            <w:tcW w:w="245" w:type="pct"/>
            <w:vAlign w:val="center"/>
          </w:tcPr>
          <w:p w14:paraId="5B620AE3">
            <w:pPr>
              <w:spacing w:line="36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3824" w:type="pct"/>
            <w:vAlign w:val="center"/>
          </w:tcPr>
          <w:p w14:paraId="777FD1E6">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是否提供合格单位三证合一营业执照（复印件加盖公章）</w:t>
            </w:r>
          </w:p>
        </w:tc>
        <w:tc>
          <w:tcPr>
            <w:tcW w:w="365" w:type="pct"/>
          </w:tcPr>
          <w:p w14:paraId="4AD87A8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B81EAE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F4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continue"/>
            <w:vAlign w:val="center"/>
          </w:tcPr>
          <w:p w14:paraId="38D1199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4C7446F8">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2</w:t>
            </w:r>
          </w:p>
        </w:tc>
        <w:tc>
          <w:tcPr>
            <w:tcW w:w="3824" w:type="pct"/>
            <w:vAlign w:val="center"/>
          </w:tcPr>
          <w:p w14:paraId="3B521DE3">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shd w:val="clear" w:color="auto"/>
                <w:lang w:val="en-US" w:eastAsia="zh-CN"/>
              </w:rPr>
              <w:t>投标人需具备建筑工程施工总承包贰级（含贰级）以上资质，具有有效的安全生产许可证；</w:t>
            </w:r>
          </w:p>
        </w:tc>
        <w:tc>
          <w:tcPr>
            <w:tcW w:w="365" w:type="pct"/>
          </w:tcPr>
          <w:p w14:paraId="3FD2242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80D4761">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01A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4" w:type="pct"/>
            <w:vMerge w:val="continue"/>
            <w:vAlign w:val="center"/>
          </w:tcPr>
          <w:p w14:paraId="7DBB2B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1A508497">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3</w:t>
            </w:r>
          </w:p>
        </w:tc>
        <w:tc>
          <w:tcPr>
            <w:tcW w:w="3824" w:type="pct"/>
            <w:vAlign w:val="center"/>
          </w:tcPr>
          <w:p w14:paraId="6878144B">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snapToGrid w:val="0"/>
                <w:color w:val="auto"/>
                <w:spacing w:val="9"/>
                <w:kern w:val="0"/>
                <w:sz w:val="20"/>
                <w:szCs w:val="20"/>
              </w:rPr>
              <w:t>法定代表人身份证明书及法定代表人授权委托书是否按磋商文件规定格式完整提供、并按磋商文件要求签字盖章。</w:t>
            </w:r>
          </w:p>
        </w:tc>
        <w:tc>
          <w:tcPr>
            <w:tcW w:w="365" w:type="pct"/>
          </w:tcPr>
          <w:p w14:paraId="2CA67F8C">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9383BC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24FA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4" w:type="pct"/>
            <w:vMerge w:val="continue"/>
            <w:vAlign w:val="center"/>
          </w:tcPr>
          <w:p w14:paraId="3B2DF7BD">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2BFD194D">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4</w:t>
            </w:r>
          </w:p>
        </w:tc>
        <w:tc>
          <w:tcPr>
            <w:tcW w:w="3824" w:type="pct"/>
            <w:vAlign w:val="center"/>
          </w:tcPr>
          <w:p w14:paraId="1860A009">
            <w:pPr>
              <w:numPr>
                <w:ilvl w:val="0"/>
                <w:numId w:val="0"/>
              </w:numPr>
              <w:spacing w:line="500" w:lineRule="exact"/>
              <w:jc w:val="left"/>
              <w:rPr>
                <w:rFonts w:hint="eastAsia" w:ascii="宋体" w:hAnsi="宋体" w:eastAsia="宋体" w:cs="宋体"/>
                <w:color w:val="auto"/>
                <w:sz w:val="20"/>
                <w:szCs w:val="20"/>
                <w:highlight w:val="none"/>
                <w:lang w:eastAsia="zh-CN"/>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2-2024）年度任一年</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w:t>
            </w:r>
            <w:r>
              <w:rPr>
                <w:rFonts w:hint="eastAsia" w:ascii="宋体" w:hAnsi="宋体" w:eastAsia="宋体" w:cs="宋体"/>
                <w:color w:val="auto"/>
                <w:sz w:val="20"/>
                <w:szCs w:val="20"/>
                <w:highlight w:val="none"/>
              </w:rPr>
              <w:t>（复印件加盖公章）</w:t>
            </w:r>
            <w:r>
              <w:rPr>
                <w:rFonts w:hint="eastAsia" w:ascii="宋体" w:hAnsi="宋体" w:eastAsia="宋体" w:cs="宋体"/>
                <w:color w:val="auto"/>
                <w:sz w:val="20"/>
                <w:szCs w:val="20"/>
                <w:highlight w:val="none"/>
                <w:lang w:eastAsia="zh-CN"/>
              </w:rPr>
              <w:t>；</w:t>
            </w:r>
          </w:p>
        </w:tc>
        <w:tc>
          <w:tcPr>
            <w:tcW w:w="365" w:type="pct"/>
          </w:tcPr>
          <w:p w14:paraId="08A0F23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4E0045E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F6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5D54B848">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5E9D6DEF">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5</w:t>
            </w:r>
          </w:p>
        </w:tc>
        <w:tc>
          <w:tcPr>
            <w:tcW w:w="3824" w:type="pct"/>
            <w:vAlign w:val="center"/>
          </w:tcPr>
          <w:p w14:paraId="5D91D73C">
            <w:pPr>
              <w:numPr>
                <w:ilvl w:val="0"/>
                <w:numId w:val="0"/>
              </w:numPr>
              <w:spacing w:line="50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lang w:val="en-US" w:eastAsia="zh-CN"/>
              </w:rPr>
              <w:t>（本项目投标截止期前）未被“信用中国”（www.creditchina.gov.cn）和中国政府采购网（www.ccgp.gov.cn）列入失信被执行人、重大税收违法案件当事人名单、政府采购严重违法失信行为记录名单；（截图须加盖公章）；</w:t>
            </w:r>
          </w:p>
        </w:tc>
        <w:tc>
          <w:tcPr>
            <w:tcW w:w="365" w:type="pct"/>
          </w:tcPr>
          <w:p w14:paraId="3D2CD3F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298508D5">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31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7F62059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06E8BB9">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6</w:t>
            </w:r>
          </w:p>
        </w:tc>
        <w:tc>
          <w:tcPr>
            <w:tcW w:w="3824" w:type="pct"/>
            <w:vAlign w:val="center"/>
          </w:tcPr>
          <w:p w14:paraId="7DCAFF64">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按要求</w:t>
            </w:r>
            <w:r>
              <w:rPr>
                <w:rFonts w:hint="eastAsia" w:ascii="宋体" w:hAnsi="宋体" w:eastAsia="宋体" w:cs="宋体"/>
                <w:color w:val="auto"/>
                <w:sz w:val="20"/>
                <w:szCs w:val="20"/>
                <w:lang w:eastAsia="zh-CN"/>
              </w:rPr>
              <w:t>递交了投标</w:t>
            </w:r>
            <w:r>
              <w:rPr>
                <w:rFonts w:hint="eastAsia" w:ascii="宋体" w:hAnsi="宋体" w:eastAsia="宋体" w:cs="宋体"/>
                <w:color w:val="auto"/>
                <w:sz w:val="20"/>
                <w:szCs w:val="20"/>
              </w:rPr>
              <w:t>保证金，且保证金的缴纳主体与投标人一致；</w:t>
            </w:r>
            <w:r>
              <w:rPr>
                <w:rFonts w:hint="eastAsia" w:ascii="宋体" w:hAnsi="宋体" w:eastAsia="宋体" w:cs="宋体"/>
                <w:color w:val="auto"/>
                <w:sz w:val="20"/>
                <w:szCs w:val="20"/>
                <w:highlight w:val="none"/>
                <w:lang w:val="en-US" w:eastAsia="zh-CN"/>
              </w:rPr>
              <w:t>（或保函）</w:t>
            </w:r>
          </w:p>
        </w:tc>
        <w:tc>
          <w:tcPr>
            <w:tcW w:w="365" w:type="pct"/>
          </w:tcPr>
          <w:p w14:paraId="4FC763E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B328CF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6BA8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24" w:type="pct"/>
            <w:vMerge w:val="continue"/>
            <w:vAlign w:val="center"/>
          </w:tcPr>
          <w:p w14:paraId="409231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41BC9C8">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7</w:t>
            </w:r>
          </w:p>
        </w:tc>
        <w:tc>
          <w:tcPr>
            <w:tcW w:w="3824" w:type="pct"/>
            <w:vAlign w:val="center"/>
          </w:tcPr>
          <w:p w14:paraId="4D6B1029">
            <w:pPr>
              <w:spacing w:before="114" w:line="332" w:lineRule="auto"/>
              <w:ind w:left="114" w:right="106" w:firstLine="3"/>
              <w:rPr>
                <w:rFonts w:hint="default" w:ascii="宋体" w:hAnsi="宋体" w:eastAsia="宋体" w:cs="宋体"/>
                <w:color w:val="auto"/>
                <w:sz w:val="20"/>
                <w:szCs w:val="20"/>
                <w:highlight w:val="yellow"/>
                <w:lang w:val="en-US" w:eastAsia="zh-CN"/>
              </w:rPr>
            </w:pP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并提供</w:t>
            </w:r>
            <w:r>
              <w:rPr>
                <w:rFonts w:hint="eastAsia" w:ascii="宋体" w:hAnsi="宋体" w:eastAsia="宋体" w:cs="宋体"/>
                <w:color w:val="auto"/>
                <w:sz w:val="20"/>
                <w:szCs w:val="20"/>
                <w:highlight w:val="none"/>
                <w:lang w:val="en-US" w:eastAsia="zh-CN"/>
              </w:rPr>
              <w:t>在本单位依法缴纳社会保险近三个月任意一个月的社保明细单。</w:t>
            </w:r>
          </w:p>
        </w:tc>
        <w:tc>
          <w:tcPr>
            <w:tcW w:w="365" w:type="pct"/>
          </w:tcPr>
          <w:p w14:paraId="0E1BEBC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5BBCEF2">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19A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24" w:type="pct"/>
            <w:vMerge w:val="continue"/>
            <w:vAlign w:val="center"/>
          </w:tcPr>
          <w:p w14:paraId="0E685EC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4DE2C52">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8</w:t>
            </w:r>
          </w:p>
        </w:tc>
        <w:tc>
          <w:tcPr>
            <w:tcW w:w="3824" w:type="pct"/>
            <w:vAlign w:val="center"/>
          </w:tcPr>
          <w:p w14:paraId="2574441B">
            <w:pPr>
              <w:numPr>
                <w:ilvl w:val="0"/>
                <w:numId w:val="0"/>
              </w:numPr>
              <w:spacing w:line="500" w:lineRule="exact"/>
              <w:jc w:val="left"/>
              <w:rPr>
                <w:rFonts w:hint="eastAsia" w:ascii="宋体" w:hAnsi="宋体" w:eastAsia="宋体" w:cs="宋体"/>
                <w:color w:val="auto"/>
                <w:sz w:val="20"/>
                <w:szCs w:val="20"/>
                <w:highlight w:val="yellow"/>
                <w:lang w:val="en-US" w:eastAsia="zh-CN"/>
              </w:rPr>
            </w:pPr>
            <w:r>
              <w:rPr>
                <w:rFonts w:hint="eastAsia" w:ascii="宋体" w:hAnsi="宋体" w:eastAsia="宋体" w:cs="宋体"/>
                <w:color w:val="auto"/>
                <w:sz w:val="20"/>
                <w:szCs w:val="20"/>
                <w:highlight w:val="none"/>
                <w:lang w:val="en-US" w:eastAsia="zh-CN"/>
              </w:rPr>
              <w:t>中小微企业需认真阅读《政府采购促进中小企业发展管理办法》（财库﹝2020﹞46 号）的相关规定后在投标文件中提供《中小企业声明函》，无需提供其他中小企业证明文件。</w:t>
            </w:r>
          </w:p>
        </w:tc>
        <w:tc>
          <w:tcPr>
            <w:tcW w:w="365" w:type="pct"/>
          </w:tcPr>
          <w:p w14:paraId="294C3AB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33BA75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2BC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24CA1222">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726BC8C5">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9</w:t>
            </w:r>
          </w:p>
        </w:tc>
        <w:tc>
          <w:tcPr>
            <w:tcW w:w="3824" w:type="pct"/>
            <w:vAlign w:val="center"/>
          </w:tcPr>
          <w:p w14:paraId="6337E488">
            <w:pPr>
              <w:numPr>
                <w:ilvl w:val="0"/>
                <w:numId w:val="0"/>
              </w:numPr>
              <w:spacing w:line="500" w:lineRule="exact"/>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满足《中华人民共和国政府采购法》第二十二条规定承诺</w:t>
            </w:r>
          </w:p>
        </w:tc>
        <w:tc>
          <w:tcPr>
            <w:tcW w:w="365" w:type="pct"/>
          </w:tcPr>
          <w:p w14:paraId="78DAE72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3336B2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1A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Align w:val="center"/>
          </w:tcPr>
          <w:p w14:paraId="5FDD8CB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6BEE24F">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p>
        </w:tc>
        <w:tc>
          <w:tcPr>
            <w:tcW w:w="3824" w:type="pct"/>
            <w:vAlign w:val="center"/>
          </w:tcPr>
          <w:p w14:paraId="353C2785">
            <w:pPr>
              <w:numPr>
                <w:ilvl w:val="0"/>
                <w:numId w:val="0"/>
              </w:numPr>
              <w:spacing w:line="500" w:lineRule="exact"/>
              <w:jc w:val="left"/>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结论：是否通过评审（须填写通过或不通过）</w:t>
            </w:r>
          </w:p>
          <w:p w14:paraId="59071C82">
            <w:pPr>
              <w:numPr>
                <w:ilvl w:val="0"/>
                <w:numId w:val="0"/>
              </w:numPr>
              <w:spacing w:line="500" w:lineRule="exact"/>
              <w:jc w:val="left"/>
              <w:rPr>
                <w:rFonts w:hint="eastAsia" w:ascii="宋体" w:hAnsi="宋体" w:eastAsia="宋体" w:cs="宋体"/>
                <w:color w:val="auto"/>
                <w:sz w:val="20"/>
                <w:szCs w:val="20"/>
                <w:highlight w:val="none"/>
                <w:lang w:val="en-US" w:eastAsia="zh-CN"/>
              </w:rPr>
            </w:pPr>
          </w:p>
        </w:tc>
        <w:tc>
          <w:tcPr>
            <w:tcW w:w="365" w:type="pct"/>
          </w:tcPr>
          <w:p w14:paraId="45ED9A3B">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40D4C7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bl>
    <w:p w14:paraId="051254E5">
      <w:pPr>
        <w:spacing w:line="311" w:lineRule="auto"/>
        <w:rPr>
          <w:rFonts w:ascii="Arial"/>
          <w:color w:val="auto"/>
          <w:sz w:val="21"/>
        </w:rPr>
      </w:pPr>
    </w:p>
    <w:p w14:paraId="5CD70297">
      <w:pPr>
        <w:pStyle w:val="7"/>
      </w:pPr>
    </w:p>
    <w:p w14:paraId="445FC090">
      <w:pPr>
        <w:spacing w:line="312" w:lineRule="auto"/>
        <w:rPr>
          <w:rFonts w:ascii="Arial"/>
          <w:color w:val="auto"/>
          <w:sz w:val="21"/>
        </w:rPr>
      </w:pPr>
    </w:p>
    <w:p w14:paraId="402CAD6E">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0994CD72">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24923D0F">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14D099BA">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544A94B1">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6A624A1B">
      <w:pPr>
        <w:rPr>
          <w:rFonts w:ascii="Arial"/>
          <w:color w:val="auto"/>
          <w:sz w:val="21"/>
        </w:rPr>
      </w:pPr>
    </w:p>
    <w:p w14:paraId="1AA6C3DE">
      <w:pPr>
        <w:jc w:val="center"/>
        <w:rPr>
          <w:rFonts w:hint="eastAsia" w:ascii="宋体" w:hAnsi="宋体" w:eastAsia="宋体" w:cs="宋体"/>
          <w:b/>
          <w:bCs/>
          <w:szCs w:val="24"/>
        </w:rPr>
      </w:pPr>
      <w:r>
        <w:rPr>
          <w:rFonts w:hint="eastAsia" w:ascii="宋体" w:hAnsi="宋体" w:eastAsia="宋体" w:cs="宋体"/>
          <w:b/>
          <w:bCs/>
          <w:szCs w:val="24"/>
        </w:rPr>
        <w:t>符合性审查表</w:t>
      </w:r>
    </w:p>
    <w:p w14:paraId="16F736D9">
      <w:pPr>
        <w:pStyle w:val="13"/>
        <w:rPr>
          <w:rFonts w:hint="eastAsia" w:ascii="宋体" w:hAnsi="宋体" w:eastAsia="宋体" w:cs="宋体"/>
          <w:b/>
          <w:bCs/>
          <w:szCs w:val="24"/>
        </w:rPr>
      </w:pPr>
    </w:p>
    <w:p w14:paraId="094EB2FE">
      <w:pPr>
        <w:pStyle w:val="3"/>
        <w:rPr>
          <w:rFonts w:hint="eastAsia" w:hAnsi="宋体" w:eastAsia="宋体" w:cs="宋体"/>
          <w:sz w:val="20"/>
          <w:szCs w:val="20"/>
          <w:lang w:eastAsia="zh-CN"/>
        </w:rPr>
      </w:pPr>
      <w:r>
        <w:rPr>
          <w:rFonts w:hint="eastAsia" w:ascii="宋体" w:hAnsi="宋体" w:eastAsia="宋体" w:cs="宋体"/>
          <w:sz w:val="20"/>
          <w:szCs w:val="20"/>
        </w:rPr>
        <w:t>本表由评审小组的每位专家分别填写</w:t>
      </w:r>
      <w:r>
        <w:rPr>
          <w:rFonts w:hint="eastAsia" w:hAnsi="宋体" w:eastAsia="宋体" w:cs="宋体"/>
          <w:sz w:val="20"/>
          <w:szCs w:val="20"/>
          <w:lang w:eastAsia="zh-CN"/>
        </w:rPr>
        <w:t>；</w:t>
      </w:r>
    </w:p>
    <w:tbl>
      <w:tblPr>
        <w:tblStyle w:val="16"/>
        <w:tblpPr w:leftFromText="180" w:rightFromText="180" w:vertAnchor="text" w:horzAnchor="page" w:tblpX="1449" w:tblpY="156"/>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319"/>
        <w:gridCol w:w="525"/>
        <w:gridCol w:w="506"/>
      </w:tblGrid>
      <w:tr w14:paraId="2078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tcBorders>
            <w:vAlign w:val="center"/>
          </w:tcPr>
          <w:p w14:paraId="7EEA36AF">
            <w:pPr>
              <w:spacing w:line="440" w:lineRule="exact"/>
              <w:jc w:val="lef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w:t>
            </w:r>
          </w:p>
        </w:tc>
        <w:tc>
          <w:tcPr>
            <w:tcW w:w="6917" w:type="dxa"/>
            <w:gridSpan w:val="2"/>
            <w:vMerge w:val="restart"/>
            <w:tcBorders>
              <w:top w:val="single" w:color="auto" w:sz="4" w:space="0"/>
            </w:tcBorders>
            <w:vAlign w:val="center"/>
          </w:tcPr>
          <w:p w14:paraId="336FD6E3">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评审内容</w:t>
            </w:r>
          </w:p>
        </w:tc>
        <w:tc>
          <w:tcPr>
            <w:tcW w:w="1031" w:type="dxa"/>
            <w:gridSpan w:val="2"/>
            <w:tcBorders>
              <w:top w:val="single" w:color="auto" w:sz="4" w:space="0"/>
              <w:right w:val="single" w:color="auto" w:sz="4" w:space="0"/>
            </w:tcBorders>
            <w:vAlign w:val="center"/>
          </w:tcPr>
          <w:p w14:paraId="717F0A46">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w:t>
            </w:r>
          </w:p>
          <w:p w14:paraId="7A65607C">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意见</w:t>
            </w:r>
          </w:p>
        </w:tc>
      </w:tr>
      <w:tr w14:paraId="1A21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vMerge w:val="continue"/>
            <w:tcBorders>
              <w:left w:val="single" w:color="auto" w:sz="4" w:space="0"/>
              <w:bottom w:val="single" w:color="auto" w:sz="4" w:space="0"/>
            </w:tcBorders>
            <w:vAlign w:val="center"/>
          </w:tcPr>
          <w:p w14:paraId="47E3496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vMerge w:val="continue"/>
            <w:tcBorders>
              <w:bottom w:val="single" w:color="auto" w:sz="4" w:space="0"/>
            </w:tcBorders>
          </w:tcPr>
          <w:p w14:paraId="61D0F50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25" w:type="dxa"/>
            <w:vAlign w:val="center"/>
          </w:tcPr>
          <w:p w14:paraId="4CAC9C7A">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是</w:t>
            </w:r>
          </w:p>
        </w:tc>
        <w:tc>
          <w:tcPr>
            <w:tcW w:w="506" w:type="dxa"/>
            <w:tcBorders>
              <w:right w:val="single" w:color="auto" w:sz="4" w:space="0"/>
            </w:tcBorders>
            <w:vAlign w:val="center"/>
          </w:tcPr>
          <w:p w14:paraId="76727640">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否</w:t>
            </w:r>
          </w:p>
        </w:tc>
      </w:tr>
      <w:tr w14:paraId="78D2B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vAlign w:val="center"/>
          </w:tcPr>
          <w:p w14:paraId="66D8D3B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审</w:t>
            </w:r>
          </w:p>
          <w:p w14:paraId="506BB724">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查</w:t>
            </w:r>
          </w:p>
          <w:p w14:paraId="42055295">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标</w:t>
            </w:r>
          </w:p>
          <w:p w14:paraId="52011170">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准</w:t>
            </w:r>
          </w:p>
        </w:tc>
        <w:tc>
          <w:tcPr>
            <w:tcW w:w="598" w:type="dxa"/>
            <w:tcBorders>
              <w:top w:val="single" w:color="auto" w:sz="4" w:space="0"/>
              <w:left w:val="single" w:color="auto" w:sz="4" w:space="0"/>
              <w:right w:val="single" w:color="auto" w:sz="4" w:space="0"/>
            </w:tcBorders>
            <w:vAlign w:val="center"/>
          </w:tcPr>
          <w:p w14:paraId="4BC7825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1</w:t>
            </w:r>
          </w:p>
        </w:tc>
        <w:tc>
          <w:tcPr>
            <w:tcW w:w="6319" w:type="dxa"/>
            <w:tcBorders>
              <w:top w:val="single" w:color="auto" w:sz="4" w:space="0"/>
              <w:left w:val="single" w:color="auto" w:sz="4" w:space="0"/>
              <w:right w:val="single" w:color="auto" w:sz="4" w:space="0"/>
            </w:tcBorders>
          </w:tcPr>
          <w:p w14:paraId="4C170345">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本项目投入人员是投标人单位人员，资格符合磋商文件规定</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right w:val="single" w:color="auto" w:sz="4" w:space="0"/>
            </w:tcBorders>
          </w:tcPr>
          <w:p w14:paraId="418E0D1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left w:val="single" w:color="auto" w:sz="4" w:space="0"/>
              <w:right w:val="single" w:color="auto" w:sz="4" w:space="0"/>
            </w:tcBorders>
          </w:tcPr>
          <w:p w14:paraId="7F2ED80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181E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3274D0F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56FCBE92">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2</w:t>
            </w:r>
          </w:p>
        </w:tc>
        <w:tc>
          <w:tcPr>
            <w:tcW w:w="6319" w:type="dxa"/>
            <w:tcBorders>
              <w:top w:val="single" w:color="auto" w:sz="4" w:space="0"/>
              <w:left w:val="single" w:color="auto" w:sz="4" w:space="0"/>
              <w:bottom w:val="single" w:color="auto" w:sz="4" w:space="0"/>
              <w:right w:val="single" w:color="auto" w:sz="4" w:space="0"/>
            </w:tcBorders>
          </w:tcPr>
          <w:p w14:paraId="66CCA56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类似业绩满足磋商文件的要求；</w:t>
            </w:r>
          </w:p>
        </w:tc>
        <w:tc>
          <w:tcPr>
            <w:tcW w:w="525" w:type="dxa"/>
            <w:tcBorders>
              <w:left w:val="single" w:color="auto" w:sz="4" w:space="0"/>
            </w:tcBorders>
          </w:tcPr>
          <w:p w14:paraId="538413E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104CA4A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954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690D6EB7">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3D305E1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3</w:t>
            </w:r>
          </w:p>
        </w:tc>
        <w:tc>
          <w:tcPr>
            <w:tcW w:w="6319" w:type="dxa"/>
            <w:tcBorders>
              <w:top w:val="single" w:color="auto" w:sz="4" w:space="0"/>
              <w:left w:val="single" w:color="auto" w:sz="4" w:space="0"/>
              <w:bottom w:val="single" w:color="auto" w:sz="4" w:space="0"/>
              <w:right w:val="single" w:color="auto" w:sz="4" w:space="0"/>
            </w:tcBorders>
          </w:tcPr>
          <w:p w14:paraId="44B3F98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投标工期未超过磋商文件规定期限；</w:t>
            </w:r>
          </w:p>
        </w:tc>
        <w:tc>
          <w:tcPr>
            <w:tcW w:w="525" w:type="dxa"/>
            <w:tcBorders>
              <w:left w:val="single" w:color="auto" w:sz="4" w:space="0"/>
            </w:tcBorders>
          </w:tcPr>
          <w:p w14:paraId="3E92A06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70C2A9A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224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6BB59AC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0B24F707">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4</w:t>
            </w:r>
          </w:p>
        </w:tc>
        <w:tc>
          <w:tcPr>
            <w:tcW w:w="6319" w:type="dxa"/>
            <w:tcBorders>
              <w:right w:val="single" w:color="auto" w:sz="4" w:space="0"/>
            </w:tcBorders>
          </w:tcPr>
          <w:p w14:paraId="3241E7D4">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投标保证金是否按招标文件要求足额缴纳</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tcBorders>
          </w:tcPr>
          <w:p w14:paraId="36FA3D1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5441095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7142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vAlign w:val="center"/>
          </w:tcPr>
          <w:p w14:paraId="153A1E1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bottom w:val="single" w:color="auto" w:sz="4" w:space="0"/>
            </w:tcBorders>
            <w:vAlign w:val="center"/>
          </w:tcPr>
          <w:p w14:paraId="757005B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5</w:t>
            </w:r>
          </w:p>
        </w:tc>
        <w:tc>
          <w:tcPr>
            <w:tcW w:w="6319" w:type="dxa"/>
            <w:tcBorders>
              <w:bottom w:val="single" w:color="auto" w:sz="4" w:space="0"/>
              <w:right w:val="single" w:color="auto" w:sz="4" w:space="0"/>
            </w:tcBorders>
          </w:tcPr>
          <w:p w14:paraId="5C323BB0">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投标文件是否有投标人法定代表人或其授权</w:t>
            </w:r>
            <w:r>
              <w:rPr>
                <w:rFonts w:hint="eastAsia" w:ascii="宋体" w:hAnsi="宋体" w:eastAsia="宋体" w:cs="宋体"/>
                <w:bCs/>
                <w:color w:val="000000" w:themeColor="text1"/>
                <w:sz w:val="22"/>
                <w:szCs w:val="22"/>
                <w:lang w:val="en-US" w:eastAsia="zh-CN"/>
                <w14:textFill>
                  <w14:solidFill>
                    <w14:schemeClr w14:val="tx1"/>
                  </w14:solidFill>
                </w14:textFill>
              </w:rPr>
              <w:t>委托</w:t>
            </w:r>
            <w:r>
              <w:rPr>
                <w:rFonts w:hint="eastAsia" w:ascii="宋体" w:hAnsi="宋体" w:eastAsia="宋体" w:cs="宋体"/>
                <w:bCs/>
                <w:color w:val="000000" w:themeColor="text1"/>
                <w:sz w:val="22"/>
                <w:szCs w:val="22"/>
                <w14:textFill>
                  <w14:solidFill>
                    <w14:schemeClr w14:val="tx1"/>
                  </w14:solidFill>
                </w14:textFill>
              </w:rPr>
              <w:t>人签字</w:t>
            </w:r>
            <w:r>
              <w:rPr>
                <w:rFonts w:hint="eastAsia" w:ascii="宋体" w:hAnsi="宋体" w:eastAsia="宋体" w:cs="宋体"/>
                <w:bCs/>
                <w:color w:val="000000" w:themeColor="text1"/>
                <w:sz w:val="22"/>
                <w:szCs w:val="22"/>
                <w:lang w:val="en-US" w:eastAsia="zh-CN"/>
                <w14:textFill>
                  <w14:solidFill>
                    <w14:schemeClr w14:val="tx1"/>
                  </w14:solidFill>
                </w14:textFill>
              </w:rPr>
              <w:t>并</w:t>
            </w:r>
            <w:r>
              <w:rPr>
                <w:rFonts w:hint="eastAsia" w:ascii="宋体" w:hAnsi="宋体" w:eastAsia="宋体" w:cs="宋体"/>
                <w:bCs/>
                <w:color w:val="000000" w:themeColor="text1"/>
                <w:sz w:val="22"/>
                <w:szCs w:val="22"/>
                <w14:textFill>
                  <w14:solidFill>
                    <w14:schemeClr w14:val="tx1"/>
                  </w14:solidFill>
                </w14:textFill>
              </w:rPr>
              <w:t>加盖投标人公章</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bottom w:val="single" w:color="auto" w:sz="4" w:space="0"/>
            </w:tcBorders>
          </w:tcPr>
          <w:p w14:paraId="41022C5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bottom w:val="single" w:color="auto" w:sz="4" w:space="0"/>
              <w:right w:val="single" w:color="auto" w:sz="4" w:space="0"/>
            </w:tcBorders>
          </w:tcPr>
          <w:p w14:paraId="4C9D1AC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2C5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2ACE9B2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73A50C0">
            <w:pPr>
              <w:spacing w:line="440" w:lineRule="exact"/>
              <w:jc w:val="center"/>
              <w:outlineLvl w:val="0"/>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6</w:t>
            </w:r>
          </w:p>
        </w:tc>
        <w:tc>
          <w:tcPr>
            <w:tcW w:w="6319" w:type="dxa"/>
            <w:tcBorders>
              <w:right w:val="single" w:color="auto" w:sz="4" w:space="0"/>
            </w:tcBorders>
          </w:tcPr>
          <w:p w14:paraId="51F290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投标人对同一招标项目未作出两个以上报价；</w:t>
            </w:r>
          </w:p>
        </w:tc>
        <w:tc>
          <w:tcPr>
            <w:tcW w:w="525" w:type="dxa"/>
            <w:tcBorders>
              <w:left w:val="single" w:color="auto" w:sz="4" w:space="0"/>
            </w:tcBorders>
          </w:tcPr>
          <w:p w14:paraId="7FC2C94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0FDAEDA0">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7A626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78577D7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F694A08">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7</w:t>
            </w:r>
          </w:p>
        </w:tc>
        <w:tc>
          <w:tcPr>
            <w:tcW w:w="6319" w:type="dxa"/>
            <w:tcBorders>
              <w:right w:val="single" w:color="auto" w:sz="4" w:space="0"/>
            </w:tcBorders>
          </w:tcPr>
          <w:p w14:paraId="1DF19BF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投标文件附有采购人不能接受条件的；</w:t>
            </w:r>
          </w:p>
        </w:tc>
        <w:tc>
          <w:tcPr>
            <w:tcW w:w="525" w:type="dxa"/>
            <w:tcBorders>
              <w:left w:val="single" w:color="auto" w:sz="4" w:space="0"/>
            </w:tcBorders>
          </w:tcPr>
          <w:p w14:paraId="26163E39">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29F0CF2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91E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2F5C969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433A2DAD">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8</w:t>
            </w:r>
          </w:p>
        </w:tc>
        <w:tc>
          <w:tcPr>
            <w:tcW w:w="6319" w:type="dxa"/>
            <w:tcBorders>
              <w:right w:val="single" w:color="auto" w:sz="4" w:space="0"/>
            </w:tcBorders>
          </w:tcPr>
          <w:p w14:paraId="3E5CABC1">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不满足招标文件实质性要求的其他情形.....</w:t>
            </w:r>
          </w:p>
        </w:tc>
        <w:tc>
          <w:tcPr>
            <w:tcW w:w="525" w:type="dxa"/>
            <w:tcBorders>
              <w:left w:val="single" w:color="auto" w:sz="4" w:space="0"/>
            </w:tcBorders>
          </w:tcPr>
          <w:p w14:paraId="6B22091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36D82DB8">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06F1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vAlign w:val="center"/>
          </w:tcPr>
          <w:p w14:paraId="083B11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tcBorders>
              <w:left w:val="single" w:color="auto" w:sz="4" w:space="0"/>
              <w:bottom w:val="single" w:color="auto" w:sz="4" w:space="0"/>
              <w:right w:val="single" w:color="auto" w:sz="4" w:space="0"/>
            </w:tcBorders>
          </w:tcPr>
          <w:p w14:paraId="7F793C0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结论：是否通过评审（须填写通过或不通过）</w:t>
            </w:r>
          </w:p>
          <w:p w14:paraId="69EDF50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1031" w:type="dxa"/>
            <w:gridSpan w:val="2"/>
            <w:tcBorders>
              <w:left w:val="single" w:color="auto" w:sz="4" w:space="0"/>
              <w:bottom w:val="single" w:color="auto" w:sz="4" w:space="0"/>
              <w:right w:val="single" w:color="auto" w:sz="4" w:space="0"/>
            </w:tcBorders>
          </w:tcPr>
          <w:p w14:paraId="7B5B117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bl>
    <w:p w14:paraId="32E79859">
      <w:pPr>
        <w:rPr>
          <w:rFonts w:hint="eastAsia"/>
          <w:lang w:eastAsia="zh-CN"/>
        </w:rPr>
        <w:sectPr>
          <w:footerReference r:id="rId15" w:type="default"/>
          <w:pgSz w:w="11906" w:h="16839"/>
          <w:pgMar w:top="1431" w:right="551" w:bottom="1156" w:left="641" w:header="0" w:footer="996" w:gutter="0"/>
          <w:pgNumType w:fmt="decimal"/>
          <w:cols w:space="720" w:num="1"/>
        </w:sectPr>
      </w:pPr>
    </w:p>
    <w:p w14:paraId="037FA586">
      <w:pPr>
        <w:spacing w:before="74" w:line="229" w:lineRule="auto"/>
        <w:rPr>
          <w:rFonts w:ascii="宋体" w:hAnsi="宋体" w:eastAsia="宋体" w:cs="宋体"/>
          <w:color w:val="auto"/>
          <w:sz w:val="23"/>
          <w:szCs w:val="23"/>
        </w:rPr>
      </w:pPr>
      <w:r>
        <w:rPr>
          <w:rFonts w:ascii="宋体" w:hAnsi="宋体" w:eastAsia="宋体" w:cs="宋体"/>
          <w:color w:val="auto"/>
          <w:spacing w:val="-4"/>
          <w:sz w:val="23"/>
          <w:szCs w:val="23"/>
        </w:rPr>
        <w:t>1</w:t>
      </w:r>
      <w:r>
        <w:rPr>
          <w:rFonts w:ascii="宋体" w:hAnsi="宋体" w:eastAsia="宋体" w:cs="宋体"/>
          <w:color w:val="auto"/>
          <w:spacing w:val="-3"/>
          <w:sz w:val="23"/>
          <w:szCs w:val="23"/>
        </w:rPr>
        <w:t>9</w:t>
      </w:r>
      <w:r>
        <w:rPr>
          <w:rFonts w:ascii="宋体" w:hAnsi="宋体" w:eastAsia="宋体" w:cs="宋体"/>
          <w:color w:val="auto"/>
          <w:spacing w:val="-2"/>
          <w:sz w:val="23"/>
          <w:szCs w:val="23"/>
        </w:rPr>
        <w:t>.6 评分标准：</w:t>
      </w:r>
    </w:p>
    <w:p w14:paraId="6DEFF7E7">
      <w:pPr>
        <w:spacing w:line="248" w:lineRule="auto"/>
        <w:rPr>
          <w:rFonts w:ascii="Arial"/>
          <w:color w:val="auto"/>
          <w:sz w:val="21"/>
        </w:rPr>
      </w:pPr>
    </w:p>
    <w:p w14:paraId="1F8026A7">
      <w:pPr>
        <w:spacing w:before="74" w:line="229" w:lineRule="auto"/>
        <w:ind w:left="859"/>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6"/>
          <w:sz w:val="23"/>
          <w:szCs w:val="23"/>
          <w14:textOutline w14:w="4358" w14:cap="sq" w14:cmpd="sng">
            <w14:solidFill>
              <w14:srgbClr w14:val="000000"/>
            </w14:solidFill>
            <w14:prstDash w14:val="solid"/>
            <w14:bevel/>
          </w14:textOutline>
        </w:rPr>
        <w:t>分细则：</w:t>
      </w:r>
    </w:p>
    <w:p w14:paraId="3BF6E8E5">
      <w:pPr>
        <w:spacing w:line="17" w:lineRule="exact"/>
        <w:rPr>
          <w:color w:val="auto"/>
        </w:rPr>
      </w:pPr>
    </w:p>
    <w:tbl>
      <w:tblPr>
        <w:tblStyle w:val="20"/>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784"/>
        <w:gridCol w:w="875"/>
        <w:gridCol w:w="6232"/>
      </w:tblGrid>
      <w:tr w14:paraId="7729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80" w:type="dxa"/>
            <w:gridSpan w:val="4"/>
            <w:vAlign w:val="top"/>
          </w:tcPr>
          <w:p w14:paraId="61450EF2">
            <w:pPr>
              <w:spacing w:before="247"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第一部分：响应报价得分</w:t>
            </w:r>
          </w:p>
        </w:tc>
      </w:tr>
      <w:tr w14:paraId="0AB3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89" w:type="dxa"/>
            <w:vAlign w:val="top"/>
          </w:tcPr>
          <w:p w14:paraId="0BAE6341">
            <w:pPr>
              <w:spacing w:before="267" w:line="228" w:lineRule="auto"/>
              <w:ind w:left="115"/>
              <w:rPr>
                <w:rFonts w:ascii="宋体" w:hAnsi="宋体" w:eastAsia="宋体" w:cs="宋体"/>
                <w:color w:val="auto"/>
                <w:sz w:val="23"/>
                <w:szCs w:val="23"/>
              </w:rPr>
            </w:pPr>
            <w:r>
              <w:rPr>
                <w:rFonts w:ascii="宋体" w:hAnsi="宋体" w:eastAsia="宋体" w:cs="宋体"/>
                <w:color w:val="auto"/>
                <w:spacing w:val="7"/>
                <w:sz w:val="23"/>
                <w:szCs w:val="23"/>
              </w:rPr>
              <w:t>评分项</w:t>
            </w:r>
          </w:p>
        </w:tc>
        <w:tc>
          <w:tcPr>
            <w:tcW w:w="1784" w:type="dxa"/>
            <w:vAlign w:val="top"/>
          </w:tcPr>
          <w:p w14:paraId="1AA210B7">
            <w:pPr>
              <w:spacing w:before="267" w:line="228" w:lineRule="auto"/>
              <w:ind w:left="429"/>
              <w:rPr>
                <w:rFonts w:ascii="宋体" w:hAnsi="宋体" w:eastAsia="宋体" w:cs="宋体"/>
                <w:color w:val="auto"/>
                <w:sz w:val="23"/>
                <w:szCs w:val="23"/>
              </w:rPr>
            </w:pPr>
            <w:r>
              <w:rPr>
                <w:rFonts w:ascii="宋体" w:hAnsi="宋体" w:eastAsia="宋体" w:cs="宋体"/>
                <w:color w:val="auto"/>
                <w:spacing w:val="8"/>
                <w:sz w:val="23"/>
                <w:szCs w:val="23"/>
              </w:rPr>
              <w:t>评分内</w:t>
            </w:r>
            <w:r>
              <w:rPr>
                <w:rFonts w:ascii="宋体" w:hAnsi="宋体" w:eastAsia="宋体" w:cs="宋体"/>
                <w:color w:val="auto"/>
                <w:spacing w:val="7"/>
                <w:sz w:val="23"/>
                <w:szCs w:val="23"/>
              </w:rPr>
              <w:t>容</w:t>
            </w:r>
          </w:p>
        </w:tc>
        <w:tc>
          <w:tcPr>
            <w:tcW w:w="875" w:type="dxa"/>
            <w:vAlign w:val="top"/>
          </w:tcPr>
          <w:p w14:paraId="2290913C">
            <w:pPr>
              <w:spacing w:before="267" w:line="228" w:lineRule="auto"/>
              <w:ind w:left="183"/>
              <w:rPr>
                <w:rFonts w:ascii="宋体" w:hAnsi="宋体" w:eastAsia="宋体" w:cs="宋体"/>
                <w:color w:val="auto"/>
                <w:sz w:val="23"/>
                <w:szCs w:val="23"/>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c>
          <w:tcPr>
            <w:tcW w:w="6232" w:type="dxa"/>
            <w:vAlign w:val="top"/>
          </w:tcPr>
          <w:p w14:paraId="257492C8">
            <w:pPr>
              <w:rPr>
                <w:rFonts w:ascii="Arial"/>
                <w:color w:val="auto"/>
                <w:sz w:val="21"/>
              </w:rPr>
            </w:pPr>
          </w:p>
        </w:tc>
      </w:tr>
      <w:tr w14:paraId="7997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289" w:type="dxa"/>
            <w:vAlign w:val="top"/>
          </w:tcPr>
          <w:p w14:paraId="6EF399CA">
            <w:pPr>
              <w:spacing w:line="365" w:lineRule="auto"/>
              <w:jc w:val="both"/>
              <w:rPr>
                <w:rFonts w:ascii="Arial"/>
                <w:color w:val="auto"/>
                <w:sz w:val="21"/>
              </w:rPr>
            </w:pPr>
          </w:p>
          <w:p w14:paraId="59E58E48">
            <w:pPr>
              <w:spacing w:before="75" w:line="302" w:lineRule="auto"/>
              <w:ind w:left="492" w:right="171" w:hanging="492" w:hangingChars="200"/>
              <w:jc w:val="left"/>
              <w:rPr>
                <w:rFonts w:ascii="宋体" w:hAnsi="宋体" w:eastAsia="宋体" w:cs="宋体"/>
                <w:color w:val="auto"/>
                <w:sz w:val="23"/>
                <w:szCs w:val="23"/>
              </w:rPr>
            </w:pPr>
            <w:r>
              <w:rPr>
                <w:rFonts w:ascii="宋体" w:hAnsi="宋体" w:eastAsia="宋体" w:cs="宋体"/>
                <w:color w:val="auto"/>
                <w:spacing w:val="8"/>
                <w:sz w:val="23"/>
                <w:szCs w:val="23"/>
              </w:rPr>
              <w:t>价</w:t>
            </w:r>
            <w:r>
              <w:rPr>
                <w:rFonts w:ascii="宋体" w:hAnsi="宋体" w:eastAsia="宋体" w:cs="宋体"/>
                <w:color w:val="auto"/>
                <w:spacing w:val="7"/>
                <w:sz w:val="23"/>
                <w:szCs w:val="23"/>
              </w:rPr>
              <w:t>格</w:t>
            </w:r>
            <w:r>
              <w:rPr>
                <w:rFonts w:hint="eastAsia" w:ascii="宋体" w:hAnsi="宋体" w:eastAsia="宋体" w:cs="宋体"/>
                <w:color w:val="auto"/>
                <w:spacing w:val="7"/>
                <w:sz w:val="23"/>
                <w:szCs w:val="23"/>
                <w:lang w:val="en-US" w:eastAsia="zh-CN"/>
              </w:rPr>
              <w:t>部</w:t>
            </w:r>
            <w:r>
              <w:rPr>
                <w:rFonts w:ascii="宋体" w:hAnsi="宋体" w:eastAsia="宋体" w:cs="宋体"/>
                <w:color w:val="auto"/>
                <w:spacing w:val="7"/>
                <w:sz w:val="23"/>
                <w:szCs w:val="23"/>
              </w:rPr>
              <w:t>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1784" w:type="dxa"/>
            <w:vAlign w:val="top"/>
          </w:tcPr>
          <w:p w14:paraId="7A69CF90">
            <w:pPr>
              <w:spacing w:line="272" w:lineRule="auto"/>
              <w:rPr>
                <w:rFonts w:ascii="Arial"/>
                <w:color w:val="auto"/>
                <w:sz w:val="21"/>
              </w:rPr>
            </w:pPr>
          </w:p>
          <w:p w14:paraId="4951B201">
            <w:pPr>
              <w:spacing w:line="272" w:lineRule="auto"/>
              <w:rPr>
                <w:rFonts w:ascii="Arial"/>
                <w:color w:val="auto"/>
                <w:sz w:val="21"/>
              </w:rPr>
            </w:pPr>
          </w:p>
          <w:p w14:paraId="2943CA46">
            <w:pPr>
              <w:spacing w:before="75" w:line="227" w:lineRule="auto"/>
              <w:ind w:left="442"/>
              <w:rPr>
                <w:rFonts w:ascii="宋体" w:hAnsi="宋体" w:eastAsia="宋体" w:cs="宋体"/>
                <w:color w:val="auto"/>
                <w:sz w:val="23"/>
                <w:szCs w:val="23"/>
              </w:rPr>
            </w:pPr>
            <w:r>
              <w:rPr>
                <w:rFonts w:ascii="宋体" w:hAnsi="宋体" w:eastAsia="宋体" w:cs="宋体"/>
                <w:color w:val="auto"/>
                <w:spacing w:val="6"/>
                <w:sz w:val="23"/>
                <w:szCs w:val="23"/>
              </w:rPr>
              <w:t>响</w:t>
            </w:r>
            <w:r>
              <w:rPr>
                <w:rFonts w:ascii="宋体" w:hAnsi="宋体" w:eastAsia="宋体" w:cs="宋体"/>
                <w:color w:val="auto"/>
                <w:spacing w:val="4"/>
                <w:sz w:val="23"/>
                <w:szCs w:val="23"/>
              </w:rPr>
              <w:t>应报价</w:t>
            </w:r>
          </w:p>
        </w:tc>
        <w:tc>
          <w:tcPr>
            <w:tcW w:w="875" w:type="dxa"/>
            <w:vAlign w:val="top"/>
          </w:tcPr>
          <w:p w14:paraId="4EA5F4DC">
            <w:pPr>
              <w:spacing w:line="272" w:lineRule="auto"/>
              <w:rPr>
                <w:rFonts w:ascii="Arial"/>
                <w:color w:val="auto"/>
                <w:sz w:val="21"/>
              </w:rPr>
            </w:pPr>
          </w:p>
          <w:p w14:paraId="2A15AA25">
            <w:pPr>
              <w:spacing w:line="272" w:lineRule="auto"/>
              <w:rPr>
                <w:rFonts w:ascii="Arial"/>
                <w:color w:val="auto"/>
                <w:sz w:val="21"/>
              </w:rPr>
            </w:pPr>
          </w:p>
          <w:p w14:paraId="4EF7E4FA">
            <w:pPr>
              <w:spacing w:before="75" w:line="229" w:lineRule="auto"/>
              <w:ind w:left="156"/>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6232" w:type="dxa"/>
            <w:vAlign w:val="top"/>
          </w:tcPr>
          <w:p w14:paraId="6AEF473E">
            <w:pPr>
              <w:spacing w:line="225" w:lineRule="auto"/>
              <w:ind w:left="113"/>
              <w:rPr>
                <w:rFonts w:hint="eastAsia" w:ascii="宋体" w:hAnsi="宋体" w:eastAsia="宋体" w:cs="宋体"/>
                <w:color w:val="auto"/>
                <w:spacing w:val="14"/>
                <w:sz w:val="23"/>
                <w:szCs w:val="23"/>
              </w:rPr>
            </w:pPr>
            <w:r>
              <w:rPr>
                <w:rFonts w:hint="eastAsia" w:ascii="宋体" w:hAnsi="宋体" w:eastAsia="宋体" w:cs="宋体"/>
                <w:color w:val="auto"/>
                <w:spacing w:val="14"/>
                <w:sz w:val="23"/>
                <w:szCs w:val="23"/>
              </w:rPr>
              <w:t>综合评分法中的价格分统一采用低价优先法计算，即满足磋商文件要求且最后报价最低的供应商的价格为磋商基准价，其价格分为满分。其他供应商的价格分统一按照下列公式计算：</w:t>
            </w:r>
          </w:p>
          <w:p w14:paraId="0D66AD1E">
            <w:pPr>
              <w:spacing w:line="225" w:lineRule="auto"/>
              <w:ind w:left="113"/>
              <w:rPr>
                <w:rFonts w:ascii="宋体" w:hAnsi="宋体" w:eastAsia="宋体" w:cs="宋体"/>
                <w:color w:val="auto"/>
                <w:sz w:val="23"/>
                <w:szCs w:val="23"/>
              </w:rPr>
            </w:pPr>
            <w:r>
              <w:rPr>
                <w:rFonts w:ascii="宋体" w:hAnsi="宋体" w:eastAsia="宋体" w:cs="宋体"/>
                <w:color w:val="auto"/>
                <w:spacing w:val="14"/>
                <w:sz w:val="23"/>
                <w:szCs w:val="23"/>
              </w:rPr>
              <w:t>磋商报</w:t>
            </w:r>
            <w:r>
              <w:rPr>
                <w:rFonts w:ascii="宋体" w:hAnsi="宋体" w:eastAsia="宋体" w:cs="宋体"/>
                <w:color w:val="auto"/>
                <w:spacing w:val="10"/>
                <w:sz w:val="23"/>
                <w:szCs w:val="23"/>
              </w:rPr>
              <w:t>价</w:t>
            </w:r>
            <w:r>
              <w:rPr>
                <w:rFonts w:ascii="宋体" w:hAnsi="宋体" w:eastAsia="宋体" w:cs="宋体"/>
                <w:color w:val="auto"/>
                <w:spacing w:val="7"/>
                <w:sz w:val="23"/>
                <w:szCs w:val="23"/>
              </w:rPr>
              <w:t>得分= (基准价/</w:t>
            </w:r>
            <w:r>
              <w:rPr>
                <w:rFonts w:hint="eastAsia" w:ascii="宋体" w:hAnsi="宋体" w:eastAsia="宋体" w:cs="宋体"/>
                <w:color w:val="auto"/>
                <w:spacing w:val="7"/>
                <w:sz w:val="23"/>
                <w:szCs w:val="23"/>
                <w:lang w:val="en-US" w:eastAsia="zh-CN"/>
              </w:rPr>
              <w:t>投标</w:t>
            </w:r>
            <w:r>
              <w:rPr>
                <w:rFonts w:ascii="宋体" w:hAnsi="宋体" w:eastAsia="宋体" w:cs="宋体"/>
                <w:color w:val="auto"/>
                <w:spacing w:val="7"/>
                <w:sz w:val="23"/>
                <w:szCs w:val="23"/>
              </w:rPr>
              <w:t>报价) ×</w:t>
            </w:r>
            <w:r>
              <w:rPr>
                <w:rFonts w:hint="eastAsia" w:ascii="宋体" w:hAnsi="宋体" w:eastAsia="宋体" w:cs="宋体"/>
                <w:color w:val="auto"/>
                <w:spacing w:val="7"/>
                <w:sz w:val="23"/>
                <w:szCs w:val="23"/>
                <w:lang w:val="en-US" w:eastAsia="zh-CN"/>
              </w:rPr>
              <w:t>3</w:t>
            </w:r>
            <w:r>
              <w:rPr>
                <w:rFonts w:ascii="宋体" w:hAnsi="宋体" w:eastAsia="宋体" w:cs="宋体"/>
                <w:color w:val="auto"/>
                <w:spacing w:val="7"/>
                <w:sz w:val="23"/>
                <w:szCs w:val="23"/>
              </w:rPr>
              <w:t>0%×100</w:t>
            </w:r>
          </w:p>
        </w:tc>
      </w:tr>
      <w:tr w14:paraId="49F1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180" w:type="dxa"/>
            <w:gridSpan w:val="4"/>
            <w:vAlign w:val="top"/>
          </w:tcPr>
          <w:p w14:paraId="135983F8">
            <w:pPr>
              <w:spacing w:before="244"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第二部分：综合比较得分</w:t>
            </w:r>
          </w:p>
        </w:tc>
      </w:tr>
      <w:tr w14:paraId="2FCA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289" w:type="dxa"/>
            <w:vMerge w:val="restart"/>
            <w:tcBorders>
              <w:bottom w:val="nil"/>
            </w:tcBorders>
            <w:vAlign w:val="top"/>
          </w:tcPr>
          <w:p w14:paraId="3354BB72">
            <w:pPr>
              <w:spacing w:line="294" w:lineRule="auto"/>
              <w:rPr>
                <w:rFonts w:ascii="Arial"/>
                <w:color w:val="auto"/>
                <w:sz w:val="21"/>
              </w:rPr>
            </w:pPr>
          </w:p>
          <w:p w14:paraId="4D2DF6A2">
            <w:pPr>
              <w:spacing w:line="294" w:lineRule="auto"/>
              <w:rPr>
                <w:rFonts w:ascii="Arial"/>
                <w:color w:val="auto"/>
                <w:sz w:val="21"/>
              </w:rPr>
            </w:pPr>
          </w:p>
          <w:p w14:paraId="09AFAFBD">
            <w:pPr>
              <w:spacing w:line="294" w:lineRule="auto"/>
              <w:rPr>
                <w:rFonts w:ascii="Arial"/>
                <w:color w:val="auto"/>
                <w:sz w:val="21"/>
              </w:rPr>
            </w:pPr>
          </w:p>
          <w:p w14:paraId="4C87718D">
            <w:pPr>
              <w:spacing w:line="295" w:lineRule="auto"/>
              <w:rPr>
                <w:rFonts w:ascii="Arial"/>
                <w:color w:val="auto"/>
                <w:sz w:val="21"/>
              </w:rPr>
            </w:pPr>
          </w:p>
          <w:p w14:paraId="279A6AFB">
            <w:pPr>
              <w:spacing w:before="75" w:line="302" w:lineRule="auto"/>
              <w:ind w:right="171"/>
              <w:rPr>
                <w:rFonts w:ascii="宋体" w:hAnsi="宋体" w:eastAsia="宋体" w:cs="宋体"/>
                <w:color w:val="auto"/>
                <w:sz w:val="23"/>
                <w:szCs w:val="23"/>
              </w:rPr>
            </w:pPr>
            <w:r>
              <w:rPr>
                <w:rFonts w:ascii="宋体" w:hAnsi="宋体" w:eastAsia="宋体" w:cs="宋体"/>
                <w:color w:val="auto"/>
                <w:spacing w:val="7"/>
                <w:sz w:val="23"/>
                <w:szCs w:val="23"/>
              </w:rPr>
              <w:t>商</w:t>
            </w:r>
            <w:r>
              <w:rPr>
                <w:rFonts w:ascii="宋体" w:hAnsi="宋体" w:eastAsia="宋体" w:cs="宋体"/>
                <w:color w:val="auto"/>
                <w:spacing w:val="6"/>
                <w:sz w:val="23"/>
                <w:szCs w:val="23"/>
              </w:rPr>
              <w:t>务部分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 xml:space="preserve">22 </w:t>
            </w:r>
            <w:r>
              <w:rPr>
                <w:rFonts w:ascii="宋体" w:hAnsi="宋体" w:eastAsia="宋体" w:cs="宋体"/>
                <w:color w:val="auto"/>
                <w:spacing w:val="-11"/>
                <w:sz w:val="23"/>
                <w:szCs w:val="23"/>
              </w:rPr>
              <w:t>分</w:t>
            </w:r>
          </w:p>
        </w:tc>
        <w:tc>
          <w:tcPr>
            <w:tcW w:w="1784" w:type="dxa"/>
            <w:vAlign w:val="top"/>
          </w:tcPr>
          <w:p w14:paraId="4FE402CA">
            <w:pPr>
              <w:spacing w:line="263" w:lineRule="auto"/>
              <w:rPr>
                <w:rFonts w:ascii="Arial"/>
                <w:color w:val="auto"/>
                <w:sz w:val="21"/>
              </w:rPr>
            </w:pPr>
          </w:p>
          <w:p w14:paraId="7728E08B">
            <w:pPr>
              <w:spacing w:line="263" w:lineRule="auto"/>
              <w:rPr>
                <w:rFonts w:ascii="Arial"/>
                <w:color w:val="auto"/>
                <w:sz w:val="21"/>
              </w:rPr>
            </w:pPr>
          </w:p>
          <w:p w14:paraId="23437917">
            <w:pPr>
              <w:spacing w:before="75" w:line="227" w:lineRule="auto"/>
              <w:ind w:left="194"/>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目管理机构</w:t>
            </w:r>
          </w:p>
        </w:tc>
        <w:tc>
          <w:tcPr>
            <w:tcW w:w="875" w:type="dxa"/>
            <w:vAlign w:val="top"/>
          </w:tcPr>
          <w:p w14:paraId="14A27F5E">
            <w:pPr>
              <w:spacing w:line="263" w:lineRule="auto"/>
              <w:rPr>
                <w:rFonts w:ascii="Arial"/>
                <w:color w:val="auto"/>
                <w:sz w:val="21"/>
              </w:rPr>
            </w:pPr>
          </w:p>
          <w:p w14:paraId="5CA8F1C9">
            <w:pPr>
              <w:spacing w:line="263" w:lineRule="auto"/>
              <w:rPr>
                <w:rFonts w:ascii="Arial"/>
                <w:color w:val="auto"/>
                <w:sz w:val="21"/>
              </w:rPr>
            </w:pPr>
          </w:p>
          <w:p w14:paraId="68B229A1">
            <w:pPr>
              <w:spacing w:before="75" w:line="229" w:lineRule="auto"/>
              <w:ind w:left="169"/>
              <w:rPr>
                <w:rFonts w:ascii="宋体" w:hAnsi="宋体" w:eastAsia="宋体" w:cs="宋体"/>
                <w:color w:val="auto"/>
                <w:sz w:val="23"/>
                <w:szCs w:val="23"/>
              </w:rPr>
            </w:pPr>
            <w:r>
              <w:rPr>
                <w:rFonts w:ascii="宋体" w:hAnsi="宋体" w:eastAsia="宋体" w:cs="宋体"/>
                <w:color w:val="auto"/>
                <w:spacing w:val="-15"/>
                <w:sz w:val="23"/>
                <w:szCs w:val="23"/>
              </w:rPr>
              <w:t>10 分</w:t>
            </w:r>
          </w:p>
        </w:tc>
        <w:tc>
          <w:tcPr>
            <w:tcW w:w="6232" w:type="dxa"/>
            <w:vAlign w:val="top"/>
          </w:tcPr>
          <w:p w14:paraId="67767A77">
            <w:pPr>
              <w:spacing w:before="34" w:line="375" w:lineRule="auto"/>
              <w:ind w:left="114" w:right="109" w:firstLine="3"/>
              <w:rPr>
                <w:rFonts w:ascii="宋体" w:hAnsi="宋体" w:eastAsia="宋体" w:cs="宋体"/>
                <w:color w:val="auto"/>
                <w:sz w:val="23"/>
                <w:szCs w:val="23"/>
              </w:rPr>
            </w:pPr>
            <w:r>
              <w:rPr>
                <w:rFonts w:hint="eastAsia" w:ascii="宋体" w:hAnsi="宋体" w:eastAsia="宋体" w:cs="宋体"/>
                <w:color w:val="auto"/>
                <w:spacing w:val="2"/>
                <w:sz w:val="23"/>
                <w:szCs w:val="23"/>
              </w:rPr>
              <w:t>项目</w:t>
            </w:r>
            <w:r>
              <w:rPr>
                <w:rFonts w:hint="eastAsia" w:ascii="宋体" w:hAnsi="宋体" w:eastAsia="宋体" w:cs="宋体"/>
                <w:color w:val="auto"/>
                <w:spacing w:val="2"/>
                <w:sz w:val="23"/>
                <w:szCs w:val="23"/>
                <w:lang w:val="en-US" w:eastAsia="zh-CN"/>
              </w:rPr>
              <w:t>经理</w:t>
            </w:r>
            <w:r>
              <w:rPr>
                <w:rFonts w:hint="eastAsia" w:ascii="宋体" w:hAnsi="宋体" w:eastAsia="宋体" w:cs="宋体"/>
                <w:color w:val="auto"/>
                <w:spacing w:val="2"/>
                <w:sz w:val="23"/>
                <w:szCs w:val="23"/>
              </w:rPr>
              <w:t>须具备二级注册建造师（</w:t>
            </w:r>
            <w:r>
              <w:rPr>
                <w:rFonts w:hint="eastAsia" w:ascii="宋体" w:hAnsi="宋体" w:eastAsia="宋体" w:cs="宋体"/>
                <w:color w:val="auto"/>
                <w:spacing w:val="2"/>
                <w:sz w:val="23"/>
                <w:szCs w:val="23"/>
                <w:lang w:val="en-US" w:eastAsia="zh-CN"/>
              </w:rPr>
              <w:t>建筑工程专业</w:t>
            </w:r>
            <w:r>
              <w:rPr>
                <w:rFonts w:hint="eastAsia" w:ascii="宋体" w:hAnsi="宋体" w:eastAsia="宋体" w:cs="宋体"/>
                <w:color w:val="auto"/>
                <w:spacing w:val="2"/>
                <w:sz w:val="23"/>
                <w:szCs w:val="23"/>
              </w:rPr>
              <w:t>），本单位注册，不接受临时建造师；</w:t>
            </w:r>
            <w:r>
              <w:rPr>
                <w:rFonts w:ascii="宋体" w:hAnsi="宋体" w:eastAsia="宋体" w:cs="宋体"/>
                <w:color w:val="auto"/>
                <w:spacing w:val="2"/>
                <w:sz w:val="23"/>
                <w:szCs w:val="23"/>
              </w:rPr>
              <w:t>具备有效的安全生产考核合格证书，得 5 分，项目管理人员配备齐全得 5 分，否则</w:t>
            </w:r>
            <w:r>
              <w:rPr>
                <w:rFonts w:ascii="宋体" w:hAnsi="宋体" w:eastAsia="宋体" w:cs="宋体"/>
                <w:color w:val="auto"/>
                <w:spacing w:val="4"/>
                <w:sz w:val="23"/>
                <w:szCs w:val="23"/>
              </w:rPr>
              <w:t>不得分。</w:t>
            </w:r>
          </w:p>
        </w:tc>
      </w:tr>
      <w:tr w14:paraId="69A3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289" w:type="dxa"/>
            <w:vMerge w:val="continue"/>
            <w:tcBorders>
              <w:top w:val="nil"/>
              <w:bottom w:val="nil"/>
            </w:tcBorders>
            <w:vAlign w:val="top"/>
          </w:tcPr>
          <w:p w14:paraId="29812CAB">
            <w:pPr>
              <w:rPr>
                <w:rFonts w:ascii="Arial"/>
                <w:color w:val="auto"/>
                <w:sz w:val="21"/>
              </w:rPr>
            </w:pPr>
          </w:p>
        </w:tc>
        <w:tc>
          <w:tcPr>
            <w:tcW w:w="1784" w:type="dxa"/>
            <w:vAlign w:val="top"/>
          </w:tcPr>
          <w:p w14:paraId="02A28309">
            <w:pPr>
              <w:spacing w:line="294" w:lineRule="auto"/>
              <w:rPr>
                <w:rFonts w:ascii="Arial"/>
                <w:color w:val="auto"/>
                <w:sz w:val="21"/>
              </w:rPr>
            </w:pPr>
          </w:p>
          <w:p w14:paraId="374AA0FF">
            <w:pPr>
              <w:spacing w:before="74" w:line="225" w:lineRule="auto"/>
              <w:ind w:left="669"/>
              <w:rPr>
                <w:rFonts w:ascii="宋体" w:hAnsi="宋体" w:eastAsia="宋体" w:cs="宋体"/>
                <w:color w:val="auto"/>
                <w:sz w:val="23"/>
                <w:szCs w:val="23"/>
              </w:rPr>
            </w:pPr>
            <w:r>
              <w:rPr>
                <w:rFonts w:ascii="宋体" w:hAnsi="宋体" w:eastAsia="宋体" w:cs="宋体"/>
                <w:color w:val="auto"/>
                <w:spacing w:val="6"/>
                <w:sz w:val="23"/>
                <w:szCs w:val="23"/>
              </w:rPr>
              <w:t>业</w:t>
            </w:r>
            <w:r>
              <w:rPr>
                <w:rFonts w:ascii="宋体" w:hAnsi="宋体" w:eastAsia="宋体" w:cs="宋体"/>
                <w:color w:val="auto"/>
                <w:spacing w:val="5"/>
                <w:sz w:val="23"/>
                <w:szCs w:val="23"/>
              </w:rPr>
              <w:t>绩</w:t>
            </w:r>
          </w:p>
        </w:tc>
        <w:tc>
          <w:tcPr>
            <w:tcW w:w="875" w:type="dxa"/>
            <w:vAlign w:val="top"/>
          </w:tcPr>
          <w:p w14:paraId="3C25815A">
            <w:pPr>
              <w:spacing w:line="293" w:lineRule="auto"/>
              <w:rPr>
                <w:rFonts w:ascii="Arial"/>
                <w:color w:val="auto"/>
                <w:sz w:val="21"/>
              </w:rPr>
            </w:pPr>
          </w:p>
          <w:p w14:paraId="311E39D1">
            <w:pPr>
              <w:spacing w:before="75" w:line="229" w:lineRule="auto"/>
              <w:ind w:left="169"/>
              <w:rPr>
                <w:rFonts w:ascii="宋体" w:hAnsi="宋体" w:eastAsia="宋体" w:cs="宋体"/>
                <w:color w:val="auto"/>
                <w:sz w:val="23"/>
                <w:szCs w:val="23"/>
              </w:rPr>
            </w:pPr>
            <w:r>
              <w:rPr>
                <w:rFonts w:hint="eastAsia" w:ascii="宋体" w:hAnsi="宋体" w:eastAsia="宋体" w:cs="宋体"/>
                <w:color w:val="auto"/>
                <w:spacing w:val="-15"/>
                <w:sz w:val="23"/>
                <w:szCs w:val="23"/>
                <w:lang w:val="en-US" w:eastAsia="zh-CN"/>
              </w:rPr>
              <w:t>2</w:t>
            </w:r>
            <w:r>
              <w:rPr>
                <w:rFonts w:ascii="宋体" w:hAnsi="宋体" w:eastAsia="宋体" w:cs="宋体"/>
                <w:color w:val="auto"/>
                <w:spacing w:val="-15"/>
                <w:sz w:val="23"/>
                <w:szCs w:val="23"/>
              </w:rPr>
              <w:t xml:space="preserve"> 分</w:t>
            </w:r>
          </w:p>
        </w:tc>
        <w:tc>
          <w:tcPr>
            <w:tcW w:w="6232" w:type="dxa"/>
            <w:vAlign w:val="top"/>
          </w:tcPr>
          <w:p w14:paraId="423E9D17">
            <w:pPr>
              <w:spacing w:before="36" w:line="468" w:lineRule="exact"/>
              <w:ind w:left="113"/>
              <w:rPr>
                <w:rFonts w:hint="eastAsia" w:ascii="宋体" w:hAnsi="宋体" w:eastAsia="宋体" w:cs="宋体"/>
                <w:color w:val="auto"/>
                <w:sz w:val="23"/>
                <w:szCs w:val="23"/>
                <w:lang w:val="en-US" w:eastAsia="zh-CN"/>
              </w:rPr>
            </w:pPr>
            <w:r>
              <w:rPr>
                <w:rFonts w:ascii="宋体" w:hAnsi="宋体" w:eastAsia="宋体" w:cs="宋体"/>
                <w:color w:val="auto"/>
                <w:spacing w:val="26"/>
                <w:position w:val="17"/>
                <w:sz w:val="23"/>
                <w:szCs w:val="23"/>
              </w:rPr>
              <w:t>近</w:t>
            </w:r>
            <w:r>
              <w:rPr>
                <w:rFonts w:ascii="宋体" w:hAnsi="宋体" w:eastAsia="宋体" w:cs="宋体"/>
                <w:color w:val="auto"/>
                <w:spacing w:val="22"/>
                <w:position w:val="17"/>
                <w:sz w:val="23"/>
                <w:szCs w:val="23"/>
              </w:rPr>
              <w:t>三</w:t>
            </w:r>
            <w:r>
              <w:rPr>
                <w:rFonts w:ascii="宋体" w:hAnsi="宋体" w:eastAsia="宋体" w:cs="宋体"/>
                <w:color w:val="auto"/>
                <w:spacing w:val="13"/>
                <w:position w:val="17"/>
                <w:sz w:val="23"/>
                <w:szCs w:val="23"/>
              </w:rPr>
              <w:t xml:space="preserve">年承建类似工程业绩每增加 1 个得 </w:t>
            </w:r>
            <w:r>
              <w:rPr>
                <w:rFonts w:hint="eastAsia" w:ascii="宋体" w:hAnsi="宋体" w:eastAsia="宋体" w:cs="宋体"/>
                <w:color w:val="auto"/>
                <w:spacing w:val="13"/>
                <w:position w:val="17"/>
                <w:sz w:val="23"/>
                <w:szCs w:val="23"/>
                <w:lang w:val="en-US" w:eastAsia="zh-CN"/>
              </w:rPr>
              <w:t>2</w:t>
            </w:r>
            <w:r>
              <w:rPr>
                <w:rFonts w:ascii="宋体" w:hAnsi="宋体" w:eastAsia="宋体" w:cs="宋体"/>
                <w:color w:val="auto"/>
                <w:spacing w:val="13"/>
                <w:position w:val="17"/>
                <w:sz w:val="23"/>
                <w:szCs w:val="23"/>
              </w:rPr>
              <w:t>分，</w:t>
            </w:r>
            <w:r>
              <w:rPr>
                <w:rFonts w:hint="eastAsia" w:ascii="宋体" w:hAnsi="宋体" w:eastAsia="宋体" w:cs="宋体"/>
                <w:color w:val="auto"/>
                <w:spacing w:val="13"/>
                <w:position w:val="17"/>
                <w:sz w:val="23"/>
                <w:szCs w:val="23"/>
                <w:lang w:val="en-US" w:eastAsia="zh-CN"/>
              </w:rPr>
              <w:t>需提供中标通知书和合同。</w:t>
            </w:r>
            <w:r>
              <w:rPr>
                <w:rFonts w:ascii="宋体" w:hAnsi="宋体" w:eastAsia="宋体" w:cs="宋体"/>
                <w:color w:val="auto"/>
                <w:spacing w:val="13"/>
                <w:position w:val="17"/>
                <w:sz w:val="23"/>
                <w:szCs w:val="23"/>
              </w:rPr>
              <w:t>最多得</w:t>
            </w:r>
            <w:r>
              <w:rPr>
                <w:rFonts w:hint="eastAsia" w:ascii="宋体" w:hAnsi="宋体" w:eastAsia="宋体" w:cs="宋体"/>
                <w:color w:val="auto"/>
                <w:spacing w:val="13"/>
                <w:position w:val="17"/>
                <w:sz w:val="23"/>
                <w:szCs w:val="23"/>
                <w:lang w:val="en-US" w:eastAsia="zh-CN"/>
              </w:rPr>
              <w:t>2分。</w:t>
            </w:r>
          </w:p>
        </w:tc>
      </w:tr>
      <w:tr w14:paraId="20C3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9" w:type="dxa"/>
            <w:vMerge w:val="continue"/>
            <w:tcBorders>
              <w:top w:val="nil"/>
            </w:tcBorders>
            <w:vAlign w:val="top"/>
          </w:tcPr>
          <w:p w14:paraId="7647A76C">
            <w:pPr>
              <w:rPr>
                <w:rFonts w:ascii="Arial"/>
                <w:color w:val="auto"/>
                <w:sz w:val="21"/>
              </w:rPr>
            </w:pPr>
          </w:p>
        </w:tc>
        <w:tc>
          <w:tcPr>
            <w:tcW w:w="1784" w:type="dxa"/>
            <w:vAlign w:val="top"/>
          </w:tcPr>
          <w:p w14:paraId="5532F393">
            <w:pPr>
              <w:spacing w:before="84" w:line="257" w:lineRule="auto"/>
              <w:ind w:left="670" w:right="184" w:hanging="468"/>
              <w:rPr>
                <w:rFonts w:hint="eastAsia" w:ascii="宋体" w:hAnsi="宋体" w:eastAsia="宋体" w:cs="宋体"/>
                <w:color w:val="auto"/>
                <w:spacing w:val="9"/>
                <w:sz w:val="23"/>
                <w:szCs w:val="23"/>
                <w:highlight w:val="none"/>
              </w:rPr>
            </w:pPr>
          </w:p>
          <w:p w14:paraId="7F3E0F84">
            <w:pPr>
              <w:spacing w:before="84" w:line="257" w:lineRule="auto"/>
              <w:ind w:left="670" w:right="184" w:hanging="468"/>
              <w:rPr>
                <w:rFonts w:hint="eastAsia" w:ascii="宋体" w:hAnsi="宋体" w:eastAsia="宋体" w:cs="宋体"/>
                <w:color w:val="auto"/>
                <w:spacing w:val="9"/>
                <w:sz w:val="23"/>
                <w:szCs w:val="23"/>
                <w:highlight w:val="none"/>
              </w:rPr>
            </w:pPr>
          </w:p>
          <w:p w14:paraId="678EEC8D">
            <w:pPr>
              <w:spacing w:before="84" w:line="257" w:lineRule="auto"/>
              <w:ind w:left="670" w:right="184" w:hanging="468"/>
              <w:rPr>
                <w:rFonts w:ascii="宋体" w:hAnsi="宋体" w:eastAsia="宋体" w:cs="宋体"/>
                <w:color w:val="auto"/>
                <w:sz w:val="23"/>
                <w:szCs w:val="23"/>
              </w:rPr>
            </w:pPr>
            <w:r>
              <w:rPr>
                <w:rFonts w:hint="eastAsia" w:ascii="宋体" w:hAnsi="宋体" w:eastAsia="宋体" w:cs="宋体"/>
                <w:color w:val="auto"/>
                <w:spacing w:val="9"/>
                <w:sz w:val="23"/>
                <w:szCs w:val="23"/>
                <w:highlight w:val="none"/>
              </w:rPr>
              <w:t>认证体系</w:t>
            </w:r>
          </w:p>
        </w:tc>
        <w:tc>
          <w:tcPr>
            <w:tcW w:w="875" w:type="dxa"/>
            <w:vAlign w:val="top"/>
          </w:tcPr>
          <w:p w14:paraId="3220B2AF">
            <w:pPr>
              <w:spacing w:before="264" w:line="229" w:lineRule="auto"/>
              <w:ind w:left="216"/>
              <w:rPr>
                <w:rFonts w:ascii="宋体" w:hAnsi="宋体" w:eastAsia="宋体" w:cs="宋体"/>
                <w:color w:val="auto"/>
                <w:spacing w:val="-18"/>
                <w:sz w:val="23"/>
                <w:szCs w:val="23"/>
              </w:rPr>
            </w:pPr>
          </w:p>
          <w:p w14:paraId="4D94B455">
            <w:pPr>
              <w:spacing w:before="264" w:line="229" w:lineRule="auto"/>
              <w:ind w:left="216"/>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10</w:t>
            </w:r>
            <w:r>
              <w:rPr>
                <w:rFonts w:ascii="宋体" w:hAnsi="宋体" w:eastAsia="宋体" w:cs="宋体"/>
                <w:color w:val="auto"/>
                <w:spacing w:val="-17"/>
                <w:sz w:val="23"/>
                <w:szCs w:val="23"/>
              </w:rPr>
              <w:t xml:space="preserve"> 分</w:t>
            </w:r>
          </w:p>
        </w:tc>
        <w:tc>
          <w:tcPr>
            <w:tcW w:w="6232" w:type="dxa"/>
            <w:vAlign w:val="top"/>
          </w:tcPr>
          <w:p w14:paraId="0FF86ED1">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1、</w:t>
            </w:r>
            <w:r>
              <w:rPr>
                <w:rFonts w:hint="eastAsia" w:ascii="宋体" w:hAnsi="宋体" w:eastAsia="宋体" w:cs="宋体"/>
                <w:color w:val="auto"/>
                <w:spacing w:val="12"/>
                <w:sz w:val="23"/>
                <w:szCs w:val="23"/>
                <w:highlight w:val="none"/>
              </w:rPr>
              <w:t>已经取得质量管理体系认证且运行情况良好的得</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分，没有不得分。</w:t>
            </w:r>
          </w:p>
          <w:p w14:paraId="021C50AE">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2、</w:t>
            </w:r>
            <w:r>
              <w:rPr>
                <w:rFonts w:hint="eastAsia" w:ascii="宋体" w:hAnsi="宋体" w:eastAsia="宋体" w:cs="宋体"/>
                <w:color w:val="auto"/>
                <w:spacing w:val="12"/>
                <w:sz w:val="23"/>
                <w:szCs w:val="23"/>
                <w:highlight w:val="none"/>
              </w:rPr>
              <w:t>已经取得环境管理体系认证且运行情况良好的得</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分，没有不得分。</w:t>
            </w:r>
          </w:p>
          <w:p w14:paraId="052E48F0">
            <w:pPr>
              <w:spacing w:before="164" w:line="228" w:lineRule="auto"/>
              <w:ind w:left="116"/>
              <w:rPr>
                <w:rFonts w:ascii="宋体" w:hAnsi="宋体" w:eastAsia="宋体" w:cs="宋体"/>
                <w:color w:val="auto"/>
                <w:sz w:val="23"/>
                <w:szCs w:val="23"/>
              </w:rPr>
            </w:pP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己经取得职业安全健康管理体系认证目运行情况良好的得</w:t>
            </w:r>
            <w:r>
              <w:rPr>
                <w:rFonts w:hint="eastAsia" w:ascii="宋体" w:hAnsi="宋体" w:eastAsia="宋体" w:cs="宋体"/>
                <w:color w:val="auto"/>
                <w:spacing w:val="12"/>
                <w:sz w:val="23"/>
                <w:szCs w:val="23"/>
                <w:highlight w:val="none"/>
                <w:lang w:val="en-US" w:eastAsia="zh-CN"/>
              </w:rPr>
              <w:t xml:space="preserve"> 2</w:t>
            </w:r>
            <w:r>
              <w:rPr>
                <w:rFonts w:hint="eastAsia" w:ascii="宋体" w:hAnsi="宋体" w:eastAsia="宋体" w:cs="宋体"/>
                <w:color w:val="auto"/>
                <w:spacing w:val="12"/>
                <w:sz w:val="23"/>
                <w:szCs w:val="23"/>
                <w:highlight w:val="none"/>
              </w:rPr>
              <w:t xml:space="preserve"> 分，没有不得分。</w:t>
            </w:r>
          </w:p>
        </w:tc>
      </w:tr>
      <w:tr w14:paraId="0F20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restart"/>
            <w:tcBorders>
              <w:bottom w:val="nil"/>
            </w:tcBorders>
            <w:vAlign w:val="top"/>
          </w:tcPr>
          <w:p w14:paraId="6103513A">
            <w:pPr>
              <w:spacing w:line="248" w:lineRule="auto"/>
              <w:rPr>
                <w:rFonts w:ascii="Arial"/>
                <w:color w:val="auto"/>
                <w:sz w:val="21"/>
              </w:rPr>
            </w:pPr>
          </w:p>
          <w:p w14:paraId="33C66DB2">
            <w:pPr>
              <w:spacing w:line="248" w:lineRule="auto"/>
              <w:rPr>
                <w:rFonts w:ascii="Arial"/>
                <w:color w:val="auto"/>
                <w:sz w:val="21"/>
              </w:rPr>
            </w:pPr>
          </w:p>
          <w:p w14:paraId="5B1589F6">
            <w:pPr>
              <w:spacing w:line="248" w:lineRule="auto"/>
              <w:rPr>
                <w:rFonts w:ascii="Arial"/>
                <w:color w:val="auto"/>
                <w:sz w:val="21"/>
              </w:rPr>
            </w:pPr>
          </w:p>
          <w:p w14:paraId="14F14360">
            <w:pPr>
              <w:spacing w:line="248" w:lineRule="auto"/>
              <w:rPr>
                <w:rFonts w:ascii="Arial"/>
                <w:color w:val="auto"/>
                <w:sz w:val="21"/>
              </w:rPr>
            </w:pPr>
          </w:p>
          <w:p w14:paraId="2E96D477">
            <w:pPr>
              <w:spacing w:line="248" w:lineRule="auto"/>
              <w:rPr>
                <w:rFonts w:ascii="Arial"/>
                <w:color w:val="auto"/>
                <w:sz w:val="21"/>
              </w:rPr>
            </w:pPr>
          </w:p>
          <w:p w14:paraId="32A42912">
            <w:pPr>
              <w:spacing w:line="249" w:lineRule="auto"/>
              <w:rPr>
                <w:rFonts w:ascii="Arial"/>
                <w:color w:val="auto"/>
                <w:sz w:val="21"/>
              </w:rPr>
            </w:pPr>
          </w:p>
          <w:p w14:paraId="77990B86">
            <w:pPr>
              <w:spacing w:before="74" w:line="302" w:lineRule="auto"/>
              <w:ind w:right="171"/>
              <w:rPr>
                <w:rFonts w:ascii="宋体" w:hAnsi="宋体" w:eastAsia="宋体" w:cs="宋体"/>
                <w:color w:val="auto"/>
                <w:sz w:val="23"/>
                <w:szCs w:val="23"/>
              </w:rPr>
            </w:pPr>
            <w:r>
              <w:rPr>
                <w:rFonts w:ascii="宋体" w:hAnsi="宋体" w:eastAsia="宋体" w:cs="宋体"/>
                <w:color w:val="auto"/>
                <w:spacing w:val="8"/>
                <w:sz w:val="23"/>
                <w:szCs w:val="23"/>
              </w:rPr>
              <w:t>技</w:t>
            </w:r>
            <w:r>
              <w:rPr>
                <w:rFonts w:ascii="宋体" w:hAnsi="宋体" w:eastAsia="宋体" w:cs="宋体"/>
                <w:color w:val="auto"/>
                <w:spacing w:val="7"/>
                <w:sz w:val="23"/>
                <w:szCs w:val="23"/>
              </w:rPr>
              <w:t>术部分</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hint="eastAsia" w:ascii="宋体" w:hAnsi="宋体" w:eastAsia="宋体" w:cs="宋体"/>
                <w:color w:val="auto"/>
                <w:spacing w:val="-12"/>
                <w:sz w:val="23"/>
                <w:szCs w:val="23"/>
                <w:lang w:val="en-US" w:eastAsia="zh-CN"/>
              </w:rPr>
              <w:t>8</w:t>
            </w:r>
            <w:r>
              <w:rPr>
                <w:rFonts w:ascii="宋体" w:hAnsi="宋体" w:eastAsia="宋体" w:cs="宋体"/>
                <w:color w:val="auto"/>
                <w:spacing w:val="-10"/>
                <w:sz w:val="23"/>
                <w:szCs w:val="23"/>
              </w:rPr>
              <w:t xml:space="preserve"> 分</w:t>
            </w:r>
          </w:p>
        </w:tc>
        <w:tc>
          <w:tcPr>
            <w:tcW w:w="1784" w:type="dxa"/>
            <w:vAlign w:val="top"/>
          </w:tcPr>
          <w:p w14:paraId="72FEF3A6">
            <w:pPr>
              <w:spacing w:line="263" w:lineRule="auto"/>
              <w:rPr>
                <w:rFonts w:ascii="Arial"/>
                <w:color w:val="auto"/>
                <w:sz w:val="21"/>
              </w:rPr>
            </w:pPr>
          </w:p>
          <w:p w14:paraId="53C5F540">
            <w:pPr>
              <w:spacing w:line="264" w:lineRule="auto"/>
              <w:rPr>
                <w:rFonts w:ascii="Arial"/>
                <w:color w:val="auto"/>
                <w:sz w:val="21"/>
              </w:rPr>
            </w:pPr>
          </w:p>
          <w:p w14:paraId="1C6FA898">
            <w:pPr>
              <w:spacing w:before="74" w:line="229" w:lineRule="auto"/>
              <w:ind w:left="429"/>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施工方</w:t>
            </w:r>
            <w:r>
              <w:rPr>
                <w:rFonts w:ascii="宋体" w:hAnsi="宋体" w:eastAsia="宋体" w:cs="宋体"/>
                <w:color w:val="auto"/>
                <w:spacing w:val="7"/>
                <w:sz w:val="23"/>
                <w:szCs w:val="23"/>
              </w:rPr>
              <w:t>案</w:t>
            </w:r>
          </w:p>
        </w:tc>
        <w:tc>
          <w:tcPr>
            <w:tcW w:w="875" w:type="dxa"/>
            <w:vAlign w:val="top"/>
          </w:tcPr>
          <w:p w14:paraId="1F7CE6E8">
            <w:pPr>
              <w:spacing w:line="263" w:lineRule="auto"/>
              <w:rPr>
                <w:rFonts w:ascii="Arial"/>
                <w:color w:val="auto"/>
                <w:sz w:val="21"/>
              </w:rPr>
            </w:pPr>
          </w:p>
          <w:p w14:paraId="2EE5D627">
            <w:pPr>
              <w:spacing w:line="264" w:lineRule="auto"/>
              <w:rPr>
                <w:rFonts w:ascii="Arial"/>
                <w:color w:val="auto"/>
                <w:sz w:val="21"/>
              </w:rPr>
            </w:pPr>
          </w:p>
          <w:p w14:paraId="520D7003">
            <w:pPr>
              <w:spacing w:before="74"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9</w:t>
            </w:r>
            <w:r>
              <w:rPr>
                <w:rFonts w:ascii="宋体" w:hAnsi="宋体" w:eastAsia="宋体" w:cs="宋体"/>
                <w:color w:val="auto"/>
                <w:spacing w:val="-17"/>
                <w:sz w:val="23"/>
                <w:szCs w:val="23"/>
              </w:rPr>
              <w:t xml:space="preserve"> 分</w:t>
            </w:r>
          </w:p>
        </w:tc>
        <w:tc>
          <w:tcPr>
            <w:tcW w:w="6232" w:type="dxa"/>
            <w:vAlign w:val="top"/>
          </w:tcPr>
          <w:p w14:paraId="53F1F0E9">
            <w:pPr>
              <w:spacing w:before="38" w:line="229" w:lineRule="auto"/>
              <w:ind w:left="114"/>
              <w:rPr>
                <w:rFonts w:ascii="宋体" w:hAnsi="宋体" w:eastAsia="宋体" w:cs="宋体"/>
                <w:color w:val="auto"/>
                <w:sz w:val="23"/>
                <w:szCs w:val="23"/>
              </w:rPr>
            </w:pPr>
            <w:r>
              <w:rPr>
                <w:rFonts w:ascii="宋体" w:hAnsi="宋体" w:eastAsia="宋体" w:cs="宋体"/>
                <w:color w:val="auto"/>
                <w:spacing w:val="4"/>
                <w:sz w:val="23"/>
                <w:szCs w:val="23"/>
              </w:rPr>
              <w:t>针</w:t>
            </w:r>
            <w:r>
              <w:rPr>
                <w:rFonts w:ascii="宋体" w:hAnsi="宋体" w:eastAsia="宋体" w:cs="宋体"/>
                <w:color w:val="auto"/>
                <w:spacing w:val="3"/>
                <w:sz w:val="23"/>
                <w:szCs w:val="23"/>
              </w:rPr>
              <w:t>对性强，施工重点、难点把握准确</w:t>
            </w:r>
            <w:r>
              <w:rPr>
                <w:rFonts w:hint="eastAsia" w:ascii="宋体" w:hAnsi="宋体" w:eastAsia="宋体" w:cs="宋体"/>
                <w:color w:val="auto"/>
                <w:spacing w:val="3"/>
                <w:sz w:val="23"/>
                <w:szCs w:val="23"/>
                <w:lang w:val="en-US" w:eastAsia="zh-CN"/>
              </w:rPr>
              <w:t xml:space="preserve"> 7</w:t>
            </w:r>
            <w:r>
              <w:rPr>
                <w:rFonts w:ascii="宋体" w:hAnsi="宋体" w:eastAsia="宋体" w:cs="宋体"/>
                <w:color w:val="auto"/>
                <w:spacing w:val="3"/>
                <w:sz w:val="23"/>
                <w:szCs w:val="23"/>
              </w:rPr>
              <w:t>-</w:t>
            </w:r>
            <w:r>
              <w:rPr>
                <w:rFonts w:hint="eastAsia" w:ascii="宋体" w:hAnsi="宋体" w:eastAsia="宋体" w:cs="宋体"/>
                <w:color w:val="auto"/>
                <w:spacing w:val="3"/>
                <w:sz w:val="23"/>
                <w:szCs w:val="23"/>
                <w:lang w:val="en-US" w:eastAsia="zh-CN"/>
              </w:rPr>
              <w:t>9</w:t>
            </w:r>
            <w:r>
              <w:rPr>
                <w:rFonts w:ascii="宋体" w:hAnsi="宋体" w:eastAsia="宋体" w:cs="宋体"/>
                <w:color w:val="auto"/>
                <w:spacing w:val="3"/>
                <w:sz w:val="23"/>
                <w:szCs w:val="23"/>
              </w:rPr>
              <w:t xml:space="preserve"> 分</w:t>
            </w:r>
          </w:p>
          <w:p w14:paraId="3EEB3913">
            <w:pPr>
              <w:spacing w:before="180" w:line="468" w:lineRule="exact"/>
              <w:ind w:left="115"/>
              <w:rPr>
                <w:rFonts w:ascii="宋体" w:hAnsi="宋体" w:eastAsia="宋体" w:cs="宋体"/>
                <w:color w:val="auto"/>
                <w:sz w:val="23"/>
                <w:szCs w:val="23"/>
              </w:rPr>
            </w:pPr>
            <w:r>
              <w:rPr>
                <w:rFonts w:ascii="宋体" w:hAnsi="宋体" w:eastAsia="宋体" w:cs="宋体"/>
                <w:color w:val="auto"/>
                <w:spacing w:val="6"/>
                <w:position w:val="17"/>
                <w:sz w:val="23"/>
                <w:szCs w:val="23"/>
              </w:rPr>
              <w:t>方案可行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 xml:space="preserve">对施工重点、难点把握欠准确 </w:t>
            </w:r>
            <w:r>
              <w:rPr>
                <w:rFonts w:hint="eastAsia" w:ascii="宋体" w:hAnsi="宋体" w:eastAsia="宋体" w:cs="宋体"/>
                <w:color w:val="auto"/>
                <w:spacing w:val="3"/>
                <w:position w:val="17"/>
                <w:sz w:val="23"/>
                <w:szCs w:val="23"/>
                <w:lang w:val="en-US" w:eastAsia="zh-CN"/>
              </w:rPr>
              <w:t>4</w:t>
            </w:r>
            <w:r>
              <w:rPr>
                <w:rFonts w:ascii="宋体" w:hAnsi="宋体" w:eastAsia="宋体" w:cs="宋体"/>
                <w:color w:val="auto"/>
                <w:spacing w:val="3"/>
                <w:position w:val="17"/>
                <w:sz w:val="23"/>
                <w:szCs w:val="23"/>
              </w:rPr>
              <w:t>-</w:t>
            </w:r>
            <w:r>
              <w:rPr>
                <w:rFonts w:hint="eastAsia" w:ascii="宋体" w:hAnsi="宋体" w:eastAsia="宋体" w:cs="宋体"/>
                <w:color w:val="auto"/>
                <w:spacing w:val="3"/>
                <w:position w:val="17"/>
                <w:sz w:val="23"/>
                <w:szCs w:val="23"/>
                <w:lang w:val="en-US" w:eastAsia="zh-CN"/>
              </w:rPr>
              <w:t>6</w:t>
            </w:r>
            <w:r>
              <w:rPr>
                <w:rFonts w:ascii="宋体" w:hAnsi="宋体" w:eastAsia="宋体" w:cs="宋体"/>
                <w:color w:val="auto"/>
                <w:spacing w:val="3"/>
                <w:position w:val="17"/>
                <w:sz w:val="23"/>
                <w:szCs w:val="23"/>
              </w:rPr>
              <w:t>分</w:t>
            </w:r>
          </w:p>
          <w:p w14:paraId="0ABB3DFD">
            <w:pPr>
              <w:spacing w:before="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方案不合理，缺乏针对性 0-</w:t>
            </w:r>
            <w:r>
              <w:rPr>
                <w:rFonts w:hint="eastAsia" w:ascii="宋体" w:hAnsi="宋体" w:eastAsia="宋体" w:cs="宋体"/>
                <w:color w:val="auto"/>
                <w:spacing w:val="1"/>
                <w:sz w:val="23"/>
                <w:szCs w:val="23"/>
                <w:lang w:val="en-US" w:eastAsia="zh-CN"/>
              </w:rPr>
              <w:t>3</w:t>
            </w:r>
            <w:r>
              <w:rPr>
                <w:rFonts w:ascii="宋体" w:hAnsi="宋体" w:eastAsia="宋体" w:cs="宋体"/>
                <w:color w:val="auto"/>
                <w:sz w:val="23"/>
                <w:szCs w:val="23"/>
              </w:rPr>
              <w:t>分</w:t>
            </w:r>
          </w:p>
        </w:tc>
      </w:tr>
      <w:tr w14:paraId="664DE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continue"/>
            <w:tcBorders>
              <w:top w:val="nil"/>
              <w:bottom w:val="nil"/>
            </w:tcBorders>
            <w:vAlign w:val="top"/>
          </w:tcPr>
          <w:p w14:paraId="5A37EDF9">
            <w:pPr>
              <w:rPr>
                <w:rFonts w:ascii="Arial"/>
                <w:color w:val="auto"/>
                <w:sz w:val="21"/>
              </w:rPr>
            </w:pPr>
          </w:p>
        </w:tc>
        <w:tc>
          <w:tcPr>
            <w:tcW w:w="1784" w:type="dxa"/>
            <w:vAlign w:val="top"/>
          </w:tcPr>
          <w:p w14:paraId="4D71A2B7">
            <w:pPr>
              <w:spacing w:line="264" w:lineRule="auto"/>
              <w:rPr>
                <w:rFonts w:ascii="Arial"/>
                <w:color w:val="auto"/>
                <w:sz w:val="21"/>
              </w:rPr>
            </w:pPr>
          </w:p>
          <w:p w14:paraId="614FFA69">
            <w:pPr>
              <w:spacing w:line="264" w:lineRule="auto"/>
              <w:rPr>
                <w:rFonts w:ascii="Arial"/>
                <w:color w:val="auto"/>
                <w:sz w:val="21"/>
              </w:rPr>
            </w:pPr>
          </w:p>
          <w:p w14:paraId="0EA27AAF">
            <w:pPr>
              <w:spacing w:before="75" w:line="229" w:lineRule="auto"/>
              <w:ind w:left="191"/>
              <w:rPr>
                <w:rFonts w:ascii="宋体" w:hAnsi="宋体" w:eastAsia="宋体" w:cs="宋体"/>
                <w:color w:val="auto"/>
                <w:sz w:val="23"/>
                <w:szCs w:val="23"/>
              </w:rPr>
            </w:pPr>
            <w:r>
              <w:rPr>
                <w:rFonts w:ascii="宋体" w:hAnsi="宋体" w:eastAsia="宋体" w:cs="宋体"/>
                <w:color w:val="auto"/>
                <w:spacing w:val="9"/>
                <w:sz w:val="23"/>
                <w:szCs w:val="23"/>
              </w:rPr>
              <w:t>质</w:t>
            </w:r>
            <w:r>
              <w:rPr>
                <w:rFonts w:ascii="宋体" w:hAnsi="宋体" w:eastAsia="宋体" w:cs="宋体"/>
                <w:color w:val="auto"/>
                <w:spacing w:val="8"/>
                <w:sz w:val="23"/>
                <w:szCs w:val="23"/>
              </w:rPr>
              <w:t>量保证措施</w:t>
            </w:r>
          </w:p>
        </w:tc>
        <w:tc>
          <w:tcPr>
            <w:tcW w:w="875" w:type="dxa"/>
            <w:vAlign w:val="top"/>
          </w:tcPr>
          <w:p w14:paraId="072095B1">
            <w:pPr>
              <w:spacing w:line="264" w:lineRule="auto"/>
              <w:rPr>
                <w:rFonts w:ascii="Arial"/>
                <w:color w:val="auto"/>
                <w:sz w:val="21"/>
              </w:rPr>
            </w:pPr>
          </w:p>
          <w:p w14:paraId="0D0CF1E9">
            <w:pPr>
              <w:spacing w:line="264" w:lineRule="auto"/>
              <w:rPr>
                <w:rFonts w:ascii="Arial"/>
                <w:color w:val="auto"/>
                <w:sz w:val="21"/>
              </w:rPr>
            </w:pPr>
          </w:p>
          <w:p w14:paraId="7898575A">
            <w:pPr>
              <w:spacing w:before="75"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32294929">
            <w:pPr>
              <w:spacing w:before="37" w:line="468" w:lineRule="exact"/>
              <w:ind w:left="115"/>
              <w:rPr>
                <w:rFonts w:ascii="宋体" w:hAnsi="宋体" w:eastAsia="宋体" w:cs="宋体"/>
                <w:color w:val="auto"/>
                <w:sz w:val="23"/>
                <w:szCs w:val="23"/>
              </w:rPr>
            </w:pPr>
            <w:r>
              <w:rPr>
                <w:rFonts w:ascii="宋体" w:hAnsi="宋体" w:eastAsia="宋体" w:cs="宋体"/>
                <w:color w:val="auto"/>
                <w:spacing w:val="1"/>
                <w:position w:val="17"/>
                <w:sz w:val="23"/>
                <w:szCs w:val="23"/>
              </w:rPr>
              <w:t>保证体系完整、措施有力 4-</w:t>
            </w:r>
            <w:r>
              <w:rPr>
                <w:rFonts w:hint="eastAsia" w:ascii="宋体" w:hAnsi="宋体" w:eastAsia="宋体" w:cs="宋体"/>
                <w:color w:val="auto"/>
                <w:spacing w:val="1"/>
                <w:position w:val="17"/>
                <w:sz w:val="23"/>
                <w:szCs w:val="23"/>
                <w:lang w:val="en-US" w:eastAsia="zh-CN"/>
              </w:rPr>
              <w:t>6</w:t>
            </w:r>
            <w:r>
              <w:rPr>
                <w:rFonts w:ascii="宋体" w:hAnsi="宋体" w:eastAsia="宋体" w:cs="宋体"/>
                <w:color w:val="auto"/>
                <w:spacing w:val="1"/>
                <w:position w:val="17"/>
                <w:sz w:val="23"/>
                <w:szCs w:val="23"/>
              </w:rPr>
              <w:t xml:space="preserve"> </w:t>
            </w:r>
            <w:r>
              <w:rPr>
                <w:rFonts w:ascii="宋体" w:hAnsi="宋体" w:eastAsia="宋体" w:cs="宋体"/>
                <w:color w:val="auto"/>
                <w:position w:val="17"/>
                <w:sz w:val="23"/>
                <w:szCs w:val="23"/>
              </w:rPr>
              <w:t>分</w:t>
            </w:r>
          </w:p>
          <w:p w14:paraId="0CF86353">
            <w:pPr>
              <w:spacing w:line="228" w:lineRule="auto"/>
              <w:ind w:left="115"/>
              <w:rPr>
                <w:rFonts w:ascii="宋体" w:hAnsi="宋体" w:eastAsia="宋体" w:cs="宋体"/>
                <w:color w:val="auto"/>
                <w:sz w:val="23"/>
                <w:szCs w:val="23"/>
              </w:rPr>
            </w:pPr>
            <w:r>
              <w:rPr>
                <w:rFonts w:ascii="宋体" w:hAnsi="宋体" w:eastAsia="宋体" w:cs="宋体"/>
                <w:color w:val="auto"/>
                <w:spacing w:val="2"/>
                <w:sz w:val="23"/>
                <w:szCs w:val="23"/>
              </w:rPr>
              <w:t>保证体系较完整、</w:t>
            </w:r>
            <w:r>
              <w:rPr>
                <w:rFonts w:ascii="宋体" w:hAnsi="宋体" w:eastAsia="宋体" w:cs="宋体"/>
                <w:color w:val="auto"/>
                <w:spacing w:val="1"/>
                <w:sz w:val="23"/>
                <w:szCs w:val="23"/>
              </w:rPr>
              <w:t>措施一般 2-</w:t>
            </w:r>
            <w:r>
              <w:rPr>
                <w:rFonts w:hint="eastAsia" w:ascii="宋体" w:hAnsi="宋体" w:eastAsia="宋体" w:cs="宋体"/>
                <w:color w:val="auto"/>
                <w:spacing w:val="1"/>
                <w:sz w:val="23"/>
                <w:szCs w:val="23"/>
                <w:lang w:val="en-US" w:eastAsia="zh-CN"/>
              </w:rPr>
              <w:t>3</w:t>
            </w:r>
            <w:r>
              <w:rPr>
                <w:rFonts w:ascii="宋体" w:hAnsi="宋体" w:eastAsia="宋体" w:cs="宋体"/>
                <w:color w:val="auto"/>
                <w:spacing w:val="1"/>
                <w:sz w:val="23"/>
                <w:szCs w:val="23"/>
              </w:rPr>
              <w:t>分</w:t>
            </w:r>
          </w:p>
          <w:p w14:paraId="7462EC58">
            <w:pPr>
              <w:spacing w:before="18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保证体系及措</w:t>
            </w:r>
            <w:r>
              <w:rPr>
                <w:rFonts w:ascii="宋体" w:hAnsi="宋体" w:eastAsia="宋体" w:cs="宋体"/>
                <w:color w:val="auto"/>
                <w:sz w:val="23"/>
                <w:szCs w:val="23"/>
              </w:rPr>
              <w:t>施欠完整 0-</w:t>
            </w:r>
            <w:r>
              <w:rPr>
                <w:rFonts w:hint="eastAsia" w:ascii="宋体" w:hAnsi="宋体" w:eastAsia="宋体" w:cs="宋体"/>
                <w:color w:val="auto"/>
                <w:sz w:val="23"/>
                <w:szCs w:val="23"/>
                <w:lang w:val="en-US" w:eastAsia="zh-CN"/>
              </w:rPr>
              <w:t>1</w:t>
            </w:r>
            <w:r>
              <w:rPr>
                <w:rFonts w:ascii="宋体" w:hAnsi="宋体" w:eastAsia="宋体" w:cs="宋体"/>
                <w:color w:val="auto"/>
                <w:sz w:val="23"/>
                <w:szCs w:val="23"/>
              </w:rPr>
              <w:t xml:space="preserve"> 分</w:t>
            </w:r>
          </w:p>
          <w:p w14:paraId="345F9784">
            <w:pPr>
              <w:pStyle w:val="13"/>
              <w:rPr>
                <w:rFonts w:ascii="宋体" w:hAnsi="宋体" w:eastAsia="宋体" w:cs="宋体"/>
                <w:color w:val="auto"/>
                <w:sz w:val="23"/>
                <w:szCs w:val="23"/>
              </w:rPr>
            </w:pPr>
          </w:p>
          <w:p w14:paraId="108B77BF">
            <w:pPr>
              <w:pStyle w:val="3"/>
            </w:pPr>
          </w:p>
        </w:tc>
      </w:tr>
      <w:tr w14:paraId="16EE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289" w:type="dxa"/>
            <w:vMerge w:val="continue"/>
            <w:tcBorders>
              <w:top w:val="nil"/>
              <w:bottom w:val="nil"/>
            </w:tcBorders>
            <w:vAlign w:val="top"/>
          </w:tcPr>
          <w:p w14:paraId="76659DFB">
            <w:pPr>
              <w:spacing w:before="75" w:line="229" w:lineRule="auto"/>
              <w:ind w:left="191"/>
              <w:rPr>
                <w:rFonts w:ascii="宋体" w:hAnsi="宋体" w:eastAsia="宋体" w:cs="宋体"/>
                <w:color w:val="auto"/>
                <w:spacing w:val="9"/>
                <w:sz w:val="23"/>
                <w:szCs w:val="23"/>
              </w:rPr>
            </w:pPr>
          </w:p>
        </w:tc>
        <w:tc>
          <w:tcPr>
            <w:tcW w:w="1784" w:type="dxa"/>
            <w:vAlign w:val="top"/>
          </w:tcPr>
          <w:p w14:paraId="7EFB06D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施工进度计划及保证措施</w:t>
            </w:r>
          </w:p>
        </w:tc>
        <w:tc>
          <w:tcPr>
            <w:tcW w:w="875" w:type="dxa"/>
            <w:vAlign w:val="top"/>
          </w:tcPr>
          <w:p w14:paraId="4CB8F54B">
            <w:pPr>
              <w:spacing w:before="75" w:line="229" w:lineRule="auto"/>
              <w:ind w:left="191"/>
              <w:rPr>
                <w:rFonts w:ascii="宋体" w:hAnsi="宋体" w:eastAsia="宋体" w:cs="宋体"/>
                <w:color w:val="auto"/>
                <w:spacing w:val="9"/>
                <w:sz w:val="23"/>
                <w:szCs w:val="23"/>
              </w:rPr>
            </w:pPr>
          </w:p>
          <w:p w14:paraId="4C291660">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分</w:t>
            </w:r>
          </w:p>
        </w:tc>
        <w:tc>
          <w:tcPr>
            <w:tcW w:w="6232" w:type="dxa"/>
            <w:vAlign w:val="top"/>
          </w:tcPr>
          <w:p w14:paraId="0CCA832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措施完善、可靠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46C2A95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无措施或措施不可行 0-3 分</w:t>
            </w:r>
          </w:p>
        </w:tc>
      </w:tr>
      <w:tr w14:paraId="42CB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89" w:type="dxa"/>
            <w:vMerge w:val="continue"/>
            <w:tcBorders>
              <w:top w:val="nil"/>
            </w:tcBorders>
            <w:vAlign w:val="top"/>
          </w:tcPr>
          <w:p w14:paraId="58CB85AA">
            <w:pPr>
              <w:spacing w:before="75" w:line="229" w:lineRule="auto"/>
              <w:ind w:left="191"/>
              <w:rPr>
                <w:rFonts w:ascii="宋体" w:hAnsi="宋体" w:eastAsia="宋体" w:cs="宋体"/>
                <w:color w:val="auto"/>
                <w:spacing w:val="9"/>
                <w:sz w:val="23"/>
                <w:szCs w:val="23"/>
              </w:rPr>
            </w:pPr>
          </w:p>
        </w:tc>
        <w:tc>
          <w:tcPr>
            <w:tcW w:w="1784" w:type="dxa"/>
            <w:vAlign w:val="top"/>
          </w:tcPr>
          <w:p w14:paraId="71AC7F25">
            <w:pPr>
              <w:spacing w:before="75" w:line="229" w:lineRule="auto"/>
              <w:ind w:left="191"/>
              <w:rPr>
                <w:rFonts w:ascii="宋体" w:hAnsi="宋体" w:eastAsia="宋体" w:cs="宋体"/>
                <w:color w:val="auto"/>
                <w:spacing w:val="9"/>
                <w:sz w:val="23"/>
                <w:szCs w:val="23"/>
              </w:rPr>
            </w:pPr>
          </w:p>
          <w:p w14:paraId="5B1F778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安全施工措施</w:t>
            </w:r>
          </w:p>
        </w:tc>
        <w:tc>
          <w:tcPr>
            <w:tcW w:w="875" w:type="dxa"/>
            <w:vAlign w:val="top"/>
          </w:tcPr>
          <w:p w14:paraId="5F5F0538">
            <w:pPr>
              <w:spacing w:before="75" w:line="229" w:lineRule="auto"/>
              <w:ind w:left="191"/>
              <w:rPr>
                <w:rFonts w:ascii="宋体" w:hAnsi="宋体" w:eastAsia="宋体" w:cs="宋体"/>
                <w:color w:val="auto"/>
                <w:spacing w:val="9"/>
                <w:sz w:val="23"/>
                <w:szCs w:val="23"/>
              </w:rPr>
            </w:pPr>
          </w:p>
          <w:p w14:paraId="64AB2147">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32" w:type="dxa"/>
            <w:vAlign w:val="top"/>
          </w:tcPr>
          <w:p w14:paraId="3ECD9EC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措施完善、可行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0DA968E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无措施或措施欠完善 0-3 分</w:t>
            </w:r>
          </w:p>
        </w:tc>
      </w:tr>
    </w:tbl>
    <w:tbl>
      <w:tblPr>
        <w:tblStyle w:val="20"/>
        <w:tblpPr w:leftFromText="180" w:rightFromText="180" w:vertAnchor="text" w:horzAnchor="page" w:tblpX="727" w:tblpY="139"/>
        <w:tblOverlap w:val="never"/>
        <w:tblW w:w="10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1788"/>
        <w:gridCol w:w="837"/>
        <w:gridCol w:w="6280"/>
      </w:tblGrid>
      <w:tr w14:paraId="3E65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33" w:type="dxa"/>
            <w:vMerge w:val="restart"/>
            <w:tcBorders>
              <w:bottom w:val="nil"/>
            </w:tcBorders>
            <w:vAlign w:val="top"/>
          </w:tcPr>
          <w:p w14:paraId="6087DF60">
            <w:pPr>
              <w:spacing w:before="75" w:line="229" w:lineRule="auto"/>
              <w:ind w:left="191"/>
              <w:rPr>
                <w:rFonts w:ascii="宋体" w:hAnsi="宋体" w:eastAsia="宋体" w:cs="宋体"/>
                <w:color w:val="auto"/>
                <w:spacing w:val="9"/>
                <w:sz w:val="23"/>
                <w:szCs w:val="23"/>
              </w:rPr>
            </w:pPr>
          </w:p>
        </w:tc>
        <w:tc>
          <w:tcPr>
            <w:tcW w:w="1788" w:type="dxa"/>
            <w:vAlign w:val="top"/>
          </w:tcPr>
          <w:p w14:paraId="65932F7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劳动力计划及拟投入的施工仪器和设备</w:t>
            </w:r>
          </w:p>
        </w:tc>
        <w:tc>
          <w:tcPr>
            <w:tcW w:w="837" w:type="dxa"/>
            <w:vAlign w:val="top"/>
          </w:tcPr>
          <w:p w14:paraId="67DAC5C4">
            <w:pPr>
              <w:spacing w:before="75" w:line="229" w:lineRule="auto"/>
              <w:ind w:left="191"/>
              <w:rPr>
                <w:rFonts w:ascii="宋体" w:hAnsi="宋体" w:eastAsia="宋体" w:cs="宋体"/>
                <w:color w:val="auto"/>
                <w:spacing w:val="9"/>
                <w:sz w:val="23"/>
                <w:szCs w:val="23"/>
              </w:rPr>
            </w:pPr>
          </w:p>
          <w:p w14:paraId="2D972966">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47883CD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计划合理，设备满足工程需要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p w14:paraId="198BE99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计划不合理，设备不能满足工程需要</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分</w:t>
            </w:r>
          </w:p>
        </w:tc>
      </w:tr>
      <w:tr w14:paraId="1BCD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33" w:type="dxa"/>
            <w:vMerge w:val="continue"/>
            <w:tcBorders>
              <w:top w:val="nil"/>
            </w:tcBorders>
            <w:vAlign w:val="top"/>
          </w:tcPr>
          <w:p w14:paraId="275A62D2">
            <w:pPr>
              <w:spacing w:before="75" w:line="229" w:lineRule="auto"/>
              <w:ind w:left="191"/>
              <w:rPr>
                <w:rFonts w:ascii="宋体" w:hAnsi="宋体" w:eastAsia="宋体" w:cs="宋体"/>
                <w:color w:val="auto"/>
                <w:spacing w:val="9"/>
                <w:sz w:val="23"/>
                <w:szCs w:val="23"/>
              </w:rPr>
            </w:pPr>
          </w:p>
        </w:tc>
        <w:tc>
          <w:tcPr>
            <w:tcW w:w="1788" w:type="dxa"/>
            <w:vAlign w:val="top"/>
          </w:tcPr>
          <w:p w14:paraId="1F5B134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施工场地治安保卫管理计划</w:t>
            </w:r>
          </w:p>
        </w:tc>
        <w:tc>
          <w:tcPr>
            <w:tcW w:w="837" w:type="dxa"/>
            <w:vAlign w:val="top"/>
          </w:tcPr>
          <w:p w14:paraId="3112BA2D">
            <w:pPr>
              <w:spacing w:before="75" w:line="229" w:lineRule="auto"/>
              <w:ind w:left="191"/>
              <w:rPr>
                <w:rFonts w:ascii="宋体" w:hAnsi="宋体" w:eastAsia="宋体" w:cs="宋体"/>
                <w:color w:val="auto"/>
                <w:spacing w:val="9"/>
                <w:sz w:val="23"/>
                <w:szCs w:val="23"/>
              </w:rPr>
            </w:pPr>
          </w:p>
          <w:p w14:paraId="77B5667E">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27953F1F">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施工环保措施计划满足本项目需求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分，无措施</w:t>
            </w:r>
            <w:r>
              <w:rPr>
                <w:rFonts w:hint="eastAsia" w:ascii="宋体" w:hAnsi="宋体" w:eastAsia="宋体" w:cs="宋体"/>
                <w:color w:val="auto"/>
                <w:spacing w:val="9"/>
                <w:sz w:val="23"/>
                <w:szCs w:val="23"/>
                <w:lang w:val="en-US" w:eastAsia="zh-CN"/>
              </w:rPr>
              <w:t>或措施不完整</w:t>
            </w:r>
            <w:r>
              <w:rPr>
                <w:rFonts w:ascii="宋体" w:hAnsi="宋体" w:eastAsia="宋体" w:cs="宋体"/>
                <w:color w:val="auto"/>
                <w:spacing w:val="9"/>
                <w:sz w:val="23"/>
                <w:szCs w:val="23"/>
              </w:rPr>
              <w:t>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46E4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67868A3B">
            <w:pPr>
              <w:spacing w:before="75" w:line="229" w:lineRule="auto"/>
              <w:ind w:left="191"/>
              <w:rPr>
                <w:rFonts w:ascii="宋体" w:hAnsi="宋体" w:eastAsia="宋体" w:cs="宋体"/>
                <w:color w:val="auto"/>
                <w:spacing w:val="9"/>
                <w:sz w:val="23"/>
                <w:szCs w:val="23"/>
              </w:rPr>
            </w:pPr>
          </w:p>
        </w:tc>
        <w:tc>
          <w:tcPr>
            <w:tcW w:w="1788" w:type="dxa"/>
            <w:vAlign w:val="top"/>
          </w:tcPr>
          <w:p w14:paraId="7B77C340">
            <w:pPr>
              <w:spacing w:before="75" w:line="229" w:lineRule="auto"/>
              <w:ind w:left="191"/>
              <w:rPr>
                <w:rFonts w:ascii="宋体" w:hAnsi="宋体" w:eastAsia="宋体" w:cs="宋体"/>
                <w:color w:val="auto"/>
                <w:spacing w:val="9"/>
                <w:sz w:val="23"/>
                <w:szCs w:val="23"/>
              </w:rPr>
            </w:pPr>
          </w:p>
          <w:p w14:paraId="13B1BE00">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紧急预案的处</w:t>
            </w:r>
          </w:p>
          <w:p w14:paraId="412B5402">
            <w:pPr>
              <w:spacing w:before="75" w:line="229" w:lineRule="auto"/>
              <w:ind w:left="191"/>
              <w:rPr>
                <w:rFonts w:hint="eastAsia" w:ascii="宋体" w:hAnsi="宋体" w:eastAsia="宋体" w:cs="宋体"/>
                <w:color w:val="auto"/>
                <w:spacing w:val="9"/>
                <w:sz w:val="23"/>
                <w:szCs w:val="23"/>
                <w:lang w:eastAsia="zh-CN"/>
              </w:rPr>
            </w:pPr>
            <w:r>
              <w:rPr>
                <w:rFonts w:ascii="宋体" w:hAnsi="宋体" w:eastAsia="宋体" w:cs="宋体"/>
                <w:color w:val="auto"/>
                <w:spacing w:val="9"/>
                <w:sz w:val="23"/>
                <w:szCs w:val="23"/>
              </w:rPr>
              <w:t>理方案和措施</w:t>
            </w:r>
            <w:r>
              <w:rPr>
                <w:rFonts w:hint="eastAsia" w:ascii="宋体" w:hAnsi="宋体" w:eastAsia="宋体" w:cs="宋体"/>
                <w:color w:val="auto"/>
                <w:spacing w:val="9"/>
                <w:sz w:val="23"/>
                <w:szCs w:val="23"/>
                <w:lang w:eastAsia="zh-CN"/>
              </w:rPr>
              <w:tab/>
            </w:r>
          </w:p>
        </w:tc>
        <w:tc>
          <w:tcPr>
            <w:tcW w:w="837" w:type="dxa"/>
            <w:vAlign w:val="top"/>
          </w:tcPr>
          <w:p w14:paraId="77C104B0">
            <w:pPr>
              <w:spacing w:before="75" w:line="229" w:lineRule="auto"/>
              <w:ind w:left="191"/>
              <w:rPr>
                <w:rFonts w:ascii="宋体" w:hAnsi="宋体" w:eastAsia="宋体" w:cs="宋体"/>
                <w:color w:val="auto"/>
                <w:spacing w:val="9"/>
                <w:sz w:val="23"/>
                <w:szCs w:val="23"/>
              </w:rPr>
            </w:pPr>
          </w:p>
          <w:p w14:paraId="0B67A038">
            <w:pPr>
              <w:spacing w:before="75" w:line="229" w:lineRule="auto"/>
              <w:ind w:left="191"/>
              <w:rPr>
                <w:rFonts w:ascii="宋体" w:hAnsi="宋体" w:eastAsia="宋体" w:cs="宋体"/>
                <w:color w:val="auto"/>
                <w:spacing w:val="9"/>
                <w:sz w:val="23"/>
                <w:szCs w:val="23"/>
              </w:rPr>
            </w:pPr>
          </w:p>
          <w:p w14:paraId="2E602944">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175279F6">
            <w:pPr>
              <w:spacing w:before="75" w:line="229" w:lineRule="auto"/>
              <w:ind w:left="191"/>
              <w:rPr>
                <w:rFonts w:ascii="宋体" w:hAnsi="宋体" w:eastAsia="宋体" w:cs="宋体"/>
                <w:color w:val="auto"/>
                <w:spacing w:val="9"/>
                <w:sz w:val="23"/>
                <w:szCs w:val="23"/>
              </w:rPr>
            </w:pPr>
          </w:p>
          <w:p w14:paraId="20EF62E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1512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5E20289C">
            <w:pPr>
              <w:spacing w:before="75" w:line="229" w:lineRule="auto"/>
              <w:ind w:left="191"/>
              <w:rPr>
                <w:rFonts w:ascii="宋体" w:hAnsi="宋体" w:eastAsia="宋体" w:cs="宋体"/>
                <w:color w:val="auto"/>
                <w:spacing w:val="9"/>
                <w:sz w:val="23"/>
                <w:szCs w:val="23"/>
              </w:rPr>
            </w:pPr>
          </w:p>
        </w:tc>
        <w:tc>
          <w:tcPr>
            <w:tcW w:w="1788" w:type="dxa"/>
            <w:vAlign w:val="top"/>
          </w:tcPr>
          <w:p w14:paraId="568383F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完工后的维护和维修等措施及相关承诺</w:t>
            </w:r>
          </w:p>
        </w:tc>
        <w:tc>
          <w:tcPr>
            <w:tcW w:w="837" w:type="dxa"/>
            <w:vAlign w:val="top"/>
          </w:tcPr>
          <w:p w14:paraId="002E8FB5">
            <w:pPr>
              <w:spacing w:before="75" w:line="229" w:lineRule="auto"/>
              <w:ind w:left="191"/>
              <w:rPr>
                <w:rFonts w:hint="default"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5分</w:t>
            </w:r>
          </w:p>
        </w:tc>
        <w:tc>
          <w:tcPr>
            <w:tcW w:w="6280" w:type="dxa"/>
            <w:vAlign w:val="top"/>
          </w:tcPr>
          <w:p w14:paraId="4C094221">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bl>
    <w:p w14:paraId="4EE0003D">
      <w:pPr>
        <w:rPr>
          <w:rFonts w:ascii="Arial"/>
          <w:color w:val="auto"/>
          <w:sz w:val="21"/>
        </w:rPr>
      </w:pPr>
    </w:p>
    <w:p w14:paraId="6B4A09F7">
      <w:pPr>
        <w:tabs>
          <w:tab w:val="left" w:pos="773"/>
        </w:tabs>
        <w:spacing w:before="65" w:line="229" w:lineRule="auto"/>
        <w:ind w:firstLine="880" w:firstLineChars="400"/>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66D6C573">
      <w:pPr>
        <w:spacing w:before="152" w:line="369" w:lineRule="auto"/>
        <w:ind w:left="858" w:right="851" w:firstLine="439"/>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.6.1 除第二章“投标人须知”前附表授权直接确定中标人外，磋商小组通过评标办法以</w:t>
      </w:r>
      <w:r>
        <w:rPr>
          <w:rFonts w:ascii="宋体" w:hAnsi="宋体" w:eastAsia="宋体" w:cs="宋体"/>
          <w:color w:val="auto"/>
          <w:sz w:val="20"/>
          <w:szCs w:val="20"/>
        </w:rPr>
        <w:t xml:space="preserve"> </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1E50A2A9">
      <w:pPr>
        <w:spacing w:line="369" w:lineRule="auto"/>
        <w:ind w:left="859" w:right="851" w:firstLine="435"/>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0D47CCE0">
      <w:pPr>
        <w:spacing w:before="2" w:line="368" w:lineRule="auto"/>
        <w:ind w:left="876" w:right="852" w:firstLine="417"/>
        <w:rPr>
          <w:rFonts w:ascii="宋体" w:hAnsi="宋体" w:eastAsia="宋体" w:cs="宋体"/>
          <w:color w:val="auto"/>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名第二的中标候选人因前款确定的同样原因不能签订合同的，招标人可以确定排名第三</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6"/>
          <w:sz w:val="20"/>
          <w:szCs w:val="20"/>
        </w:rPr>
        <w:t>中标候选人为中标人。</w:t>
      </w:r>
    </w:p>
    <w:p w14:paraId="5BB93640">
      <w:pPr>
        <w:spacing w:line="228" w:lineRule="auto"/>
        <w:ind w:left="1283"/>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8"/>
          <w:sz w:val="20"/>
          <w:szCs w:val="20"/>
        </w:rPr>
        <w:t>.6.2 磋商小组完成评标后，应当向招标人提交书面评标报告。</w:t>
      </w:r>
    </w:p>
    <w:p w14:paraId="3096ABDF">
      <w:pPr>
        <w:spacing w:before="46" w:line="229" w:lineRule="auto"/>
        <w:ind w:left="858"/>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下列情形属于串标围</w:t>
      </w:r>
      <w:r>
        <w:rPr>
          <w:rFonts w:ascii="宋体" w:hAnsi="宋体" w:eastAsia="宋体" w:cs="宋体"/>
          <w:color w:val="auto"/>
          <w:spacing w:val="8"/>
          <w:sz w:val="20"/>
          <w:szCs w:val="20"/>
          <w14:textOutline w14:w="3795" w14:cap="sq" w14:cmpd="sng">
            <w14:solidFill>
              <w14:srgbClr w14:val="000000"/>
            </w14:solidFill>
            <w14:prstDash w14:val="solid"/>
            <w14:bevel/>
          </w14:textOutline>
        </w:rPr>
        <w:t>标</w:t>
      </w:r>
    </w:p>
    <w:p w14:paraId="2B404E2C">
      <w:pPr>
        <w:spacing w:before="64" w:line="227" w:lineRule="auto"/>
        <w:ind w:left="1299"/>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62DA6877">
      <w:pPr>
        <w:spacing w:before="68" w:line="227" w:lineRule="auto"/>
        <w:ind w:left="2015"/>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585D2C35">
      <w:pPr>
        <w:spacing w:before="66" w:line="312" w:lineRule="exact"/>
        <w:ind w:left="2015"/>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7A1B5FD8">
      <w:pPr>
        <w:spacing w:before="1" w:line="226" w:lineRule="auto"/>
        <w:ind w:left="2015"/>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6BE567D5">
      <w:pPr>
        <w:spacing w:before="69" w:line="314" w:lineRule="exact"/>
        <w:ind w:left="2015"/>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25539A67">
      <w:pPr>
        <w:spacing w:line="229" w:lineRule="auto"/>
        <w:ind w:left="1299"/>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0B339B98">
      <w:pPr>
        <w:spacing w:before="64" w:line="289" w:lineRule="auto"/>
        <w:ind w:left="860" w:right="849"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074A8A56">
      <w:pPr>
        <w:spacing w:before="1" w:line="226" w:lineRule="auto"/>
        <w:ind w:left="1435"/>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27200872">
      <w:pPr>
        <w:spacing w:before="67" w:line="290" w:lineRule="auto"/>
        <w:ind w:left="858" w:right="852" w:firstLine="43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E820E49">
      <w:pPr>
        <w:spacing w:line="228" w:lineRule="auto"/>
        <w:ind w:left="1289"/>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6900A005">
      <w:pPr>
        <w:spacing w:before="65" w:line="226" w:lineRule="auto"/>
        <w:ind w:left="1289"/>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1791D7F7">
      <w:pPr>
        <w:pStyle w:val="13"/>
        <w:sectPr>
          <w:footerReference r:id="rId16" w:type="default"/>
          <w:pgSz w:w="11906" w:h="16839"/>
          <w:pgMar w:top="1431" w:right="681" w:bottom="1156" w:left="769" w:header="0" w:footer="996" w:gutter="0"/>
          <w:pgNumType w:fmt="decimal"/>
          <w:cols w:space="720" w:num="1"/>
        </w:sectPr>
      </w:pPr>
    </w:p>
    <w:p w14:paraId="007808E7">
      <w:pPr>
        <w:spacing w:line="500" w:lineRule="exact"/>
        <w:jc w:val="center"/>
        <w:rPr>
          <w:rFonts w:hint="eastAsia" w:ascii="仿宋" w:hAnsi="仿宋" w:eastAsia="仿宋" w:cs="仿宋"/>
          <w:color w:val="auto"/>
          <w:sz w:val="24"/>
          <w:szCs w:val="24"/>
          <w:highlight w:val="none"/>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合同</w:t>
      </w:r>
    </w:p>
    <w:p w14:paraId="6507E1E4">
      <w:pPr>
        <w:spacing w:line="246" w:lineRule="auto"/>
        <w:rPr>
          <w:rFonts w:ascii="Arial"/>
          <w:color w:val="auto"/>
          <w:sz w:val="21"/>
        </w:rPr>
      </w:pPr>
    </w:p>
    <w:p w14:paraId="41E45AE1">
      <w:pPr>
        <w:spacing w:line="247" w:lineRule="auto"/>
        <w:rPr>
          <w:rFonts w:ascii="Arial"/>
          <w:color w:val="auto"/>
          <w:sz w:val="21"/>
        </w:rPr>
      </w:pPr>
    </w:p>
    <w:p w14:paraId="7E284F39">
      <w:pPr>
        <w:spacing w:line="247" w:lineRule="auto"/>
        <w:rPr>
          <w:rFonts w:ascii="Arial"/>
          <w:color w:val="auto"/>
          <w:sz w:val="21"/>
        </w:rPr>
      </w:pPr>
    </w:p>
    <w:p w14:paraId="37B579C1">
      <w:pPr>
        <w:spacing w:line="440" w:lineRule="exact"/>
        <w:jc w:val="left"/>
        <w:rPr>
          <w:rFonts w:ascii="宋体" w:hAnsi="宋体" w:cs="宋体"/>
          <w:bCs/>
          <w:color w:val="000000"/>
          <w:sz w:val="32"/>
          <w:szCs w:val="32"/>
        </w:rPr>
      </w:pPr>
      <w:r>
        <w:rPr>
          <w:rFonts w:hint="eastAsia" w:ascii="宋体" w:hAnsi="宋体" w:cs="宋体"/>
          <w:bCs/>
          <w:color w:val="000000"/>
          <w:sz w:val="32"/>
          <w:szCs w:val="32"/>
        </w:rPr>
        <w:t>（GF—2017—0201）</w:t>
      </w:r>
    </w:p>
    <w:p w14:paraId="6111566E">
      <w:pPr>
        <w:spacing w:line="440" w:lineRule="exact"/>
        <w:ind w:firstLine="643"/>
        <w:jc w:val="center"/>
        <w:rPr>
          <w:rFonts w:ascii="宋体" w:hAnsi="宋体" w:cs="宋体"/>
          <w:b/>
          <w:color w:val="000000"/>
          <w:sz w:val="32"/>
          <w:szCs w:val="32"/>
        </w:rPr>
      </w:pPr>
    </w:p>
    <w:p w14:paraId="16EB7A95">
      <w:pPr>
        <w:spacing w:line="440" w:lineRule="exact"/>
        <w:ind w:firstLine="643"/>
        <w:jc w:val="center"/>
        <w:rPr>
          <w:rFonts w:ascii="宋体" w:hAnsi="宋体" w:cs="宋体"/>
          <w:b/>
          <w:color w:val="000000"/>
          <w:sz w:val="32"/>
          <w:szCs w:val="32"/>
        </w:rPr>
      </w:pPr>
    </w:p>
    <w:p w14:paraId="541A002A">
      <w:pPr>
        <w:spacing w:line="440" w:lineRule="exact"/>
        <w:ind w:firstLine="643"/>
        <w:jc w:val="center"/>
        <w:rPr>
          <w:rFonts w:ascii="宋体" w:hAnsi="宋体" w:cs="宋体"/>
          <w:b/>
          <w:color w:val="000000"/>
          <w:sz w:val="32"/>
          <w:szCs w:val="32"/>
        </w:rPr>
      </w:pPr>
    </w:p>
    <w:p w14:paraId="0B37CB6E">
      <w:pPr>
        <w:spacing w:line="440" w:lineRule="exact"/>
        <w:ind w:firstLine="643"/>
        <w:jc w:val="center"/>
        <w:rPr>
          <w:rFonts w:ascii="宋体" w:hAnsi="宋体" w:cs="宋体"/>
          <w:b/>
          <w:color w:val="000000"/>
          <w:sz w:val="32"/>
          <w:szCs w:val="32"/>
        </w:rPr>
      </w:pPr>
    </w:p>
    <w:p w14:paraId="633C577D">
      <w:pPr>
        <w:spacing w:line="440" w:lineRule="exact"/>
        <w:ind w:firstLine="643"/>
        <w:jc w:val="center"/>
        <w:rPr>
          <w:rFonts w:ascii="宋体" w:hAnsi="宋体" w:cs="宋体"/>
          <w:b/>
          <w:color w:val="000000"/>
          <w:sz w:val="32"/>
          <w:szCs w:val="32"/>
        </w:rPr>
      </w:pPr>
    </w:p>
    <w:p w14:paraId="147BBF3B">
      <w:pPr>
        <w:spacing w:line="440" w:lineRule="exact"/>
        <w:ind w:firstLine="643"/>
        <w:jc w:val="center"/>
        <w:rPr>
          <w:rFonts w:ascii="宋体" w:hAnsi="宋体" w:cs="宋体"/>
          <w:b/>
          <w:color w:val="000000"/>
          <w:sz w:val="32"/>
          <w:szCs w:val="32"/>
        </w:rPr>
      </w:pPr>
    </w:p>
    <w:p w14:paraId="7592C6D2">
      <w:pPr>
        <w:spacing w:line="440" w:lineRule="exact"/>
        <w:ind w:firstLine="643"/>
        <w:jc w:val="center"/>
        <w:rPr>
          <w:rFonts w:ascii="宋体" w:hAnsi="宋体" w:cs="宋体"/>
          <w:b/>
          <w:color w:val="000000"/>
          <w:sz w:val="32"/>
          <w:szCs w:val="32"/>
        </w:rPr>
      </w:pPr>
      <w:r>
        <w:rPr>
          <w:rFonts w:hint="eastAsia" w:ascii="宋体" w:hAnsi="宋体" w:cs="宋体"/>
          <w:b/>
          <w:color w:val="000000"/>
          <w:sz w:val="32"/>
          <w:szCs w:val="32"/>
        </w:rPr>
        <w:t>建设工程施工合同</w:t>
      </w:r>
    </w:p>
    <w:p w14:paraId="3D968C3B">
      <w:pPr>
        <w:spacing w:line="440" w:lineRule="exact"/>
        <w:ind w:firstLine="643"/>
        <w:jc w:val="center"/>
        <w:rPr>
          <w:rFonts w:ascii="宋体" w:hAnsi="宋体" w:cs="宋体"/>
          <w:b/>
          <w:color w:val="000000"/>
          <w:sz w:val="32"/>
          <w:szCs w:val="32"/>
        </w:rPr>
      </w:pPr>
      <w:r>
        <w:rPr>
          <w:rFonts w:hint="eastAsia" w:ascii="宋体" w:hAnsi="宋体" w:cs="宋体"/>
          <w:b/>
          <w:color w:val="000000"/>
          <w:sz w:val="32"/>
          <w:szCs w:val="32"/>
        </w:rPr>
        <w:t>（示范文本）</w:t>
      </w:r>
    </w:p>
    <w:p w14:paraId="37E46B54">
      <w:pPr>
        <w:spacing w:line="440" w:lineRule="exact"/>
        <w:ind w:firstLine="643"/>
        <w:rPr>
          <w:rFonts w:ascii="宋体" w:hAnsi="宋体" w:cs="宋体"/>
          <w:b/>
          <w:color w:val="000000"/>
          <w:sz w:val="32"/>
          <w:szCs w:val="32"/>
        </w:rPr>
      </w:pPr>
    </w:p>
    <w:p w14:paraId="5AFA3232">
      <w:pPr>
        <w:spacing w:line="440" w:lineRule="exact"/>
        <w:ind w:firstLine="643"/>
        <w:rPr>
          <w:rFonts w:ascii="宋体" w:hAnsi="宋体" w:cs="宋体"/>
          <w:b/>
          <w:color w:val="000000"/>
          <w:sz w:val="32"/>
          <w:szCs w:val="32"/>
        </w:rPr>
      </w:pPr>
    </w:p>
    <w:p w14:paraId="715001A6">
      <w:pPr>
        <w:spacing w:line="440" w:lineRule="exact"/>
        <w:ind w:firstLine="643"/>
        <w:rPr>
          <w:rFonts w:ascii="宋体" w:hAnsi="宋体" w:cs="宋体"/>
          <w:b/>
          <w:color w:val="000000"/>
          <w:sz w:val="32"/>
          <w:szCs w:val="32"/>
        </w:rPr>
      </w:pPr>
    </w:p>
    <w:p w14:paraId="1D9304CB">
      <w:pPr>
        <w:spacing w:line="440" w:lineRule="exact"/>
        <w:ind w:firstLine="643"/>
        <w:rPr>
          <w:rFonts w:ascii="宋体" w:hAnsi="宋体" w:cs="宋体"/>
          <w:b/>
          <w:color w:val="000000"/>
          <w:sz w:val="32"/>
          <w:szCs w:val="32"/>
        </w:rPr>
      </w:pPr>
    </w:p>
    <w:p w14:paraId="375D9B50">
      <w:pPr>
        <w:spacing w:line="440" w:lineRule="exact"/>
        <w:ind w:firstLine="643"/>
        <w:rPr>
          <w:rFonts w:ascii="宋体" w:hAnsi="宋体" w:cs="宋体"/>
          <w:b/>
          <w:color w:val="000000"/>
          <w:sz w:val="32"/>
          <w:szCs w:val="32"/>
        </w:rPr>
      </w:pPr>
    </w:p>
    <w:p w14:paraId="692E9A94">
      <w:pPr>
        <w:spacing w:line="440" w:lineRule="exact"/>
        <w:ind w:right="2719" w:rightChars="1295" w:firstLine="643"/>
        <w:jc w:val="distribute"/>
        <w:rPr>
          <w:rFonts w:ascii="宋体" w:hAnsi="宋体" w:cs="宋体"/>
          <w:b/>
          <w:color w:val="000000"/>
          <w:sz w:val="32"/>
          <w:szCs w:val="32"/>
        </w:rPr>
      </w:pPr>
    </w:p>
    <w:p w14:paraId="3B9A8611">
      <w:pPr>
        <w:spacing w:before="240" w:line="440" w:lineRule="exact"/>
        <w:rPr>
          <w:rFonts w:ascii="宋体" w:hAnsi="宋体" w:cs="宋体"/>
          <w:b/>
          <w:color w:val="000000"/>
          <w:sz w:val="32"/>
          <w:szCs w:val="32"/>
        </w:rPr>
      </w:pPr>
    </w:p>
    <w:p w14:paraId="603F4136">
      <w:pPr>
        <w:spacing w:before="240" w:line="440" w:lineRule="exact"/>
        <w:rPr>
          <w:rFonts w:ascii="宋体" w:hAnsi="宋体" w:cs="宋体"/>
          <w:b/>
          <w:color w:val="000000"/>
          <w:sz w:val="32"/>
          <w:szCs w:val="32"/>
        </w:rPr>
      </w:pPr>
    </w:p>
    <w:p w14:paraId="4D577371">
      <w:pPr>
        <w:spacing w:before="240" w:line="440" w:lineRule="exact"/>
        <w:rPr>
          <w:rFonts w:ascii="宋体" w:hAnsi="宋体" w:cs="宋体"/>
          <w:b/>
          <w:color w:val="000000"/>
          <w:sz w:val="32"/>
          <w:szCs w:val="32"/>
        </w:rPr>
      </w:pPr>
    </w:p>
    <w:p w14:paraId="315F82BC">
      <w:pPr>
        <w:spacing w:before="240" w:line="440" w:lineRule="exact"/>
        <w:rPr>
          <w:rFonts w:ascii="宋体" w:hAnsi="宋体" w:cs="宋体"/>
          <w:b/>
          <w:color w:val="000000"/>
          <w:sz w:val="32"/>
          <w:szCs w:val="32"/>
        </w:rPr>
      </w:pPr>
    </w:p>
    <w:p w14:paraId="2D2031B2">
      <w:pPr>
        <w:spacing w:before="240" w:line="440" w:lineRule="exact"/>
        <w:rPr>
          <w:rFonts w:ascii="宋体" w:hAnsi="宋体" w:cs="宋体"/>
          <w:b/>
          <w:color w:val="000000"/>
          <w:sz w:val="32"/>
          <w:szCs w:val="32"/>
        </w:rPr>
      </w:pPr>
    </w:p>
    <w:p w14:paraId="22316673">
      <w:pPr>
        <w:spacing w:line="440" w:lineRule="exact"/>
        <w:ind w:right="2719" w:rightChars="1295" w:firstLine="643"/>
        <w:jc w:val="distribute"/>
        <w:rPr>
          <w:rFonts w:ascii="宋体" w:hAnsi="宋体" w:cs="宋体"/>
          <w:b/>
          <w:color w:val="000000"/>
          <w:sz w:val="32"/>
          <w:szCs w:val="32"/>
        </w:rPr>
      </w:pPr>
    </w:p>
    <w:p w14:paraId="59550A92">
      <w:pPr>
        <w:spacing w:line="440" w:lineRule="exact"/>
        <w:ind w:right="2719" w:rightChars="1295" w:firstLine="420"/>
        <w:jc w:val="center"/>
        <w:rPr>
          <w:rFonts w:ascii="宋体" w:hAnsi="宋体" w:cs="宋体"/>
          <w:b/>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3945890</wp:posOffset>
                </wp:positionH>
                <wp:positionV relativeFrom="paragraph">
                  <wp:posOffset>71120</wp:posOffset>
                </wp:positionV>
                <wp:extent cx="675005" cy="457200"/>
                <wp:effectExtent l="4445" t="4445" r="6350" b="14605"/>
                <wp:wrapNone/>
                <wp:docPr id="40" name="文本框 40"/>
                <wp:cNvGraphicFramePr/>
                <a:graphic xmlns:a="http://schemas.openxmlformats.org/drawingml/2006/main">
                  <a:graphicData uri="http://schemas.microsoft.com/office/word/2010/wordprocessingShape">
                    <wps:wsp>
                      <wps:cNvSpPr txBox="1"/>
                      <wps:spPr>
                        <a:xfrm>
                          <a:off x="0" y="0"/>
                          <a:ext cx="675005" cy="457200"/>
                        </a:xfrm>
                        <a:prstGeom prst="rect">
                          <a:avLst/>
                        </a:prstGeom>
                        <a:noFill/>
                        <a:ln w="9525" cap="flat" cmpd="sng">
                          <a:solidFill>
                            <a:srgbClr val="FFFFFF"/>
                          </a:solidFill>
                          <a:prstDash val="solid"/>
                          <a:miter/>
                          <a:headEnd type="none" w="med" len="med"/>
                          <a:tailEnd type="none" w="med" len="med"/>
                        </a:ln>
                      </wps:spPr>
                      <wps:txbx>
                        <w:txbxContent>
                          <w:p w14:paraId="477F49A2">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0.7pt;margin-top:5.6pt;height:36pt;width:53.15pt;z-index:251661312;mso-width-relative:page;mso-height-relative:page;" filled="f" stroked="t" coordsize="21600,21600" o:gfxdata="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Z1d2NgAAAAJAQAADwAAAAAAAAABACAAAAAiAAAAZHJz&#10;L2Rvd25yZXYueG1sUEsBAhQAFAAAAAgAh07iQOwrx5gEAgAADgQAAA4AAAAAAAAAAQAgAAAAJwEA&#10;AGRycy9lMm9Eb2MueG1sUEsFBgAAAAAGAAYAWQEAAJ0FAAAAAA==&#10;">
                <v:fill on="f" focussize="0,0"/>
                <v:stroke color="#FFFFFF" joinstyle="miter"/>
                <v:imagedata o:title=""/>
                <o:lock v:ext="edit" aspectratio="f"/>
                <v:textbox>
                  <w:txbxContent>
                    <w:p w14:paraId="477F49A2">
                      <w:pPr>
                        <w:rPr>
                          <w:b/>
                          <w:bCs/>
                          <w:sz w:val="32"/>
                        </w:rPr>
                      </w:pPr>
                      <w:r>
                        <w:rPr>
                          <w:rFonts w:hint="eastAsia"/>
                          <w:b/>
                          <w:bCs/>
                          <w:sz w:val="32"/>
                        </w:rPr>
                        <w:t>制定</w:t>
                      </w:r>
                    </w:p>
                  </w:txbxContent>
                </v:textbox>
              </v:shape>
            </w:pict>
          </mc:Fallback>
        </mc:AlternateContent>
      </w:r>
      <w:r>
        <w:rPr>
          <w:rFonts w:hint="eastAsia" w:ascii="宋体" w:hAnsi="宋体" w:cs="宋体"/>
          <w:b/>
          <w:color w:val="000000"/>
          <w:sz w:val="32"/>
          <w:szCs w:val="32"/>
        </w:rPr>
        <w:t>住房城乡建设部</w:t>
      </w:r>
    </w:p>
    <w:p w14:paraId="56160FE7">
      <w:pPr>
        <w:spacing w:line="440" w:lineRule="exact"/>
        <w:ind w:right="2719" w:rightChars="1295" w:firstLine="643"/>
        <w:jc w:val="center"/>
        <w:rPr>
          <w:rFonts w:ascii="宋体" w:hAnsi="宋体" w:cs="宋体"/>
          <w:b/>
          <w:color w:val="000000"/>
          <w:sz w:val="32"/>
          <w:szCs w:val="32"/>
        </w:rPr>
      </w:pPr>
      <w:r>
        <w:rPr>
          <w:rFonts w:hint="eastAsia" w:ascii="宋体" w:hAnsi="宋体" w:cs="宋体"/>
          <w:b/>
          <w:color w:val="000000"/>
          <w:sz w:val="32"/>
          <w:szCs w:val="32"/>
        </w:rPr>
        <w:t>国家工商行政管理总局</w:t>
      </w:r>
    </w:p>
    <w:p w14:paraId="7C42D821">
      <w:pPr>
        <w:widowControl/>
        <w:spacing w:line="440" w:lineRule="exact"/>
        <w:jc w:val="center"/>
        <w:rPr>
          <w:rFonts w:ascii="宋体" w:hAnsi="宋体" w:cs="宋体"/>
          <w:color w:val="000000"/>
          <w:kern w:val="0"/>
          <w:sz w:val="32"/>
          <w:szCs w:val="32"/>
        </w:rPr>
      </w:pPr>
    </w:p>
    <w:p w14:paraId="6CB830A5">
      <w:pPr>
        <w:spacing w:line="440" w:lineRule="exact"/>
        <w:rPr>
          <w:rFonts w:ascii="宋体" w:hAnsi="宋体" w:cs="宋体"/>
          <w:sz w:val="32"/>
          <w:szCs w:val="32"/>
          <w:lang w:val="zh-CN"/>
        </w:rPr>
      </w:pPr>
      <w:r>
        <w:rPr>
          <w:rFonts w:hint="eastAsia" w:ascii="宋体" w:hAnsi="宋体" w:cs="宋体"/>
          <w:sz w:val="32"/>
          <w:szCs w:val="32"/>
          <w:lang w:val="zh-CN"/>
        </w:rPr>
        <w:br w:type="page"/>
      </w:r>
    </w:p>
    <w:p w14:paraId="6A8E1668">
      <w:pPr>
        <w:pStyle w:val="34"/>
        <w:spacing w:line="440" w:lineRule="exact"/>
        <w:ind w:firstLine="643"/>
        <w:jc w:val="center"/>
        <w:rPr>
          <w:rFonts w:ascii="宋体" w:hAnsi="宋体" w:eastAsia="宋体" w:cs="宋体"/>
          <w:szCs w:val="32"/>
          <w:lang w:val="zh-CN"/>
        </w:rPr>
      </w:pPr>
      <w:r>
        <w:rPr>
          <w:rFonts w:hint="eastAsia" w:ascii="宋体" w:hAnsi="宋体" w:eastAsia="宋体" w:cs="宋体"/>
          <w:szCs w:val="32"/>
          <w:lang w:val="zh-CN"/>
        </w:rPr>
        <w:t>说  明</w:t>
      </w:r>
    </w:p>
    <w:p w14:paraId="2C36D7FC">
      <w:pPr>
        <w:spacing w:line="440" w:lineRule="exact"/>
        <w:ind w:firstLine="640" w:firstLineChars="200"/>
        <w:rPr>
          <w:rFonts w:ascii="宋体" w:hAnsi="宋体" w:cs="宋体"/>
          <w:sz w:val="32"/>
          <w:szCs w:val="32"/>
        </w:rPr>
      </w:pPr>
      <w:r>
        <w:rPr>
          <w:rFonts w:hint="eastAsia" w:ascii="宋体" w:hAnsi="宋体" w:cs="宋体"/>
          <w:sz w:val="32"/>
          <w:szCs w:val="32"/>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47064EA">
      <w:pPr>
        <w:spacing w:line="440" w:lineRule="exact"/>
        <w:ind w:firstLine="643"/>
        <w:rPr>
          <w:rFonts w:ascii="宋体" w:hAnsi="宋体" w:cs="宋体"/>
          <w:b/>
          <w:sz w:val="32"/>
          <w:szCs w:val="32"/>
        </w:rPr>
      </w:pPr>
      <w:r>
        <w:rPr>
          <w:rFonts w:hint="eastAsia" w:ascii="宋体" w:hAnsi="宋体" w:cs="宋体"/>
          <w:b/>
          <w:sz w:val="32"/>
          <w:szCs w:val="32"/>
        </w:rPr>
        <w:t>一、《示范文本》的组成</w:t>
      </w:r>
    </w:p>
    <w:p w14:paraId="6FE58A81">
      <w:pPr>
        <w:spacing w:line="440" w:lineRule="exact"/>
        <w:ind w:firstLine="640" w:firstLineChars="200"/>
        <w:rPr>
          <w:rFonts w:ascii="宋体" w:hAnsi="宋体" w:cs="宋体"/>
          <w:sz w:val="32"/>
          <w:szCs w:val="32"/>
        </w:rPr>
      </w:pPr>
      <w:r>
        <w:rPr>
          <w:rFonts w:hint="eastAsia" w:ascii="宋体" w:hAnsi="宋体" w:cs="宋体"/>
          <w:sz w:val="32"/>
          <w:szCs w:val="32"/>
        </w:rPr>
        <w:t>《示范文本》由合同协议书、通用合同条款和专用合同条款三部分组成。</w:t>
      </w:r>
    </w:p>
    <w:p w14:paraId="64AA1433">
      <w:pPr>
        <w:spacing w:line="440" w:lineRule="exact"/>
        <w:ind w:firstLine="640" w:firstLineChars="200"/>
        <w:rPr>
          <w:rFonts w:ascii="宋体" w:hAnsi="宋体" w:cs="宋体"/>
          <w:sz w:val="32"/>
          <w:szCs w:val="32"/>
        </w:rPr>
      </w:pPr>
      <w:r>
        <w:rPr>
          <w:rFonts w:hint="eastAsia" w:ascii="宋体" w:hAnsi="宋体" w:cs="宋体"/>
          <w:sz w:val="32"/>
          <w:szCs w:val="32"/>
        </w:rPr>
        <w:t>（一）合同协议书</w:t>
      </w:r>
    </w:p>
    <w:p w14:paraId="68FD0CB1">
      <w:pPr>
        <w:spacing w:line="440" w:lineRule="exact"/>
        <w:ind w:firstLine="640" w:firstLineChars="200"/>
        <w:rPr>
          <w:rFonts w:ascii="宋体" w:hAnsi="宋体" w:cs="宋体"/>
          <w:sz w:val="32"/>
          <w:szCs w:val="32"/>
        </w:rPr>
      </w:pPr>
      <w:r>
        <w:rPr>
          <w:rFonts w:hint="eastAsia" w:ascii="宋体" w:hAnsi="宋体" w:cs="宋体"/>
          <w:sz w:val="32"/>
          <w:szCs w:val="32"/>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1448E67">
      <w:pPr>
        <w:spacing w:line="440" w:lineRule="exact"/>
        <w:ind w:firstLine="640" w:firstLineChars="200"/>
        <w:rPr>
          <w:rFonts w:ascii="宋体" w:hAnsi="宋体" w:cs="宋体"/>
          <w:sz w:val="32"/>
          <w:szCs w:val="32"/>
        </w:rPr>
      </w:pPr>
      <w:r>
        <w:rPr>
          <w:rFonts w:hint="eastAsia" w:ascii="宋体" w:hAnsi="宋体" w:cs="宋体"/>
          <w:sz w:val="32"/>
          <w:szCs w:val="32"/>
        </w:rPr>
        <w:t>（二）通用合同条款</w:t>
      </w:r>
    </w:p>
    <w:p w14:paraId="435CD703">
      <w:pPr>
        <w:spacing w:line="440" w:lineRule="exact"/>
        <w:ind w:firstLine="640" w:firstLineChars="200"/>
        <w:rPr>
          <w:rFonts w:ascii="宋体" w:hAnsi="宋体" w:cs="宋体"/>
          <w:sz w:val="32"/>
          <w:szCs w:val="32"/>
        </w:rPr>
      </w:pPr>
      <w:r>
        <w:rPr>
          <w:rFonts w:hint="eastAsia" w:ascii="宋体" w:hAnsi="宋体" w:cs="宋体"/>
          <w:sz w:val="32"/>
          <w:szCs w:val="32"/>
        </w:rPr>
        <w:t>通用合同条款是合同当事人根据《中华人民共和国建筑法》、《中华人民共和国民法典》等法律法规的规定，就工程建设的实施及相关事项，对合同当事人的权利义务作出的原则性约定。</w:t>
      </w:r>
    </w:p>
    <w:p w14:paraId="36032F26">
      <w:pPr>
        <w:spacing w:line="440" w:lineRule="exact"/>
        <w:ind w:firstLine="640" w:firstLineChars="200"/>
        <w:rPr>
          <w:rFonts w:ascii="宋体" w:hAnsi="宋体" w:cs="宋体"/>
          <w:sz w:val="32"/>
          <w:szCs w:val="32"/>
        </w:rPr>
      </w:pPr>
      <w:r>
        <w:rPr>
          <w:rFonts w:hint="eastAsia" w:ascii="宋体" w:hAnsi="宋体" w:cs="宋体"/>
          <w:sz w:val="32"/>
          <w:szCs w:val="32"/>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E81C498">
      <w:pPr>
        <w:spacing w:line="440" w:lineRule="exact"/>
        <w:ind w:firstLine="640" w:firstLineChars="200"/>
        <w:rPr>
          <w:rFonts w:ascii="宋体" w:hAnsi="宋体" w:cs="宋体"/>
          <w:sz w:val="32"/>
          <w:szCs w:val="32"/>
        </w:rPr>
      </w:pPr>
      <w:r>
        <w:rPr>
          <w:rFonts w:hint="eastAsia" w:ascii="宋体" w:hAnsi="宋体" w:cs="宋体"/>
          <w:sz w:val="32"/>
          <w:szCs w:val="32"/>
        </w:rPr>
        <w:t>（三）专用合同条款</w:t>
      </w:r>
    </w:p>
    <w:p w14:paraId="2906714C">
      <w:pPr>
        <w:spacing w:line="440" w:lineRule="exact"/>
        <w:ind w:firstLine="640" w:firstLineChars="200"/>
        <w:rPr>
          <w:rFonts w:ascii="宋体" w:hAnsi="宋体" w:cs="宋体"/>
          <w:sz w:val="32"/>
          <w:szCs w:val="32"/>
        </w:rPr>
      </w:pPr>
      <w:r>
        <w:rPr>
          <w:rFonts w:hint="eastAsia" w:ascii="宋体" w:hAnsi="宋体" w:cs="宋体"/>
          <w:sz w:val="32"/>
          <w:szCs w:val="32"/>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034F497">
      <w:pPr>
        <w:spacing w:line="440" w:lineRule="exact"/>
        <w:ind w:right="25" w:rightChars="12" w:firstLine="640" w:firstLineChars="200"/>
        <w:rPr>
          <w:rFonts w:ascii="宋体" w:hAnsi="宋体" w:cs="宋体"/>
          <w:sz w:val="32"/>
          <w:szCs w:val="32"/>
        </w:rPr>
      </w:pPr>
      <w:r>
        <w:rPr>
          <w:rFonts w:hint="eastAsia" w:ascii="宋体" w:hAnsi="宋体" w:cs="宋体"/>
          <w:sz w:val="32"/>
          <w:szCs w:val="32"/>
        </w:rPr>
        <w:t>1.专用合同条款的编号应与相应的通用合同条款的编号一致；</w:t>
      </w:r>
    </w:p>
    <w:p w14:paraId="6C4E6BF1">
      <w:pPr>
        <w:spacing w:line="440" w:lineRule="exact"/>
        <w:ind w:firstLine="640" w:firstLineChars="200"/>
        <w:rPr>
          <w:rFonts w:ascii="宋体" w:hAnsi="宋体" w:cs="宋体"/>
          <w:sz w:val="32"/>
          <w:szCs w:val="32"/>
        </w:rPr>
      </w:pPr>
      <w:r>
        <w:rPr>
          <w:rFonts w:hint="eastAsia" w:ascii="宋体" w:hAnsi="宋体" w:cs="宋体"/>
          <w:sz w:val="32"/>
          <w:szCs w:val="32"/>
        </w:rPr>
        <w:t>2.合同当事人可以通过对专用合同条款的修改，满足具体建设工程的特殊要求，避免直接修改通用合同条款；</w:t>
      </w:r>
    </w:p>
    <w:p w14:paraId="39C7A216">
      <w:pPr>
        <w:spacing w:line="440" w:lineRule="exact"/>
        <w:ind w:firstLine="640" w:firstLineChars="200"/>
        <w:rPr>
          <w:rFonts w:ascii="宋体" w:hAnsi="宋体" w:cs="宋体"/>
          <w:sz w:val="32"/>
          <w:szCs w:val="32"/>
        </w:rPr>
      </w:pPr>
      <w:r>
        <w:rPr>
          <w:rFonts w:hint="eastAsia" w:ascii="宋体" w:hAnsi="宋体" w:cs="宋体"/>
          <w:sz w:val="32"/>
          <w:szCs w:val="32"/>
        </w:rPr>
        <w:t>3.在专用合同条款中有横道线的地方，合同当事人可针对相应的通用合同条款进行细化、完善、补充、修改或另行约定；如无细化、完善、补充、修改或另行约定，则填写“无”或划“/”。</w:t>
      </w:r>
    </w:p>
    <w:p w14:paraId="02A2DDDB">
      <w:pPr>
        <w:spacing w:line="440" w:lineRule="exact"/>
        <w:ind w:firstLine="643"/>
        <w:rPr>
          <w:rFonts w:ascii="宋体" w:hAnsi="宋体" w:cs="宋体"/>
          <w:b/>
          <w:sz w:val="32"/>
          <w:szCs w:val="32"/>
        </w:rPr>
      </w:pPr>
      <w:r>
        <w:rPr>
          <w:rFonts w:hint="eastAsia" w:ascii="宋体" w:hAnsi="宋体" w:cs="宋体"/>
          <w:b/>
          <w:sz w:val="32"/>
          <w:szCs w:val="32"/>
        </w:rPr>
        <w:t>二、《示范文本》的性质和适用范围</w:t>
      </w:r>
    </w:p>
    <w:p w14:paraId="1D7BB2B8">
      <w:pPr>
        <w:spacing w:line="440" w:lineRule="exact"/>
        <w:ind w:firstLine="640" w:firstLineChars="200"/>
        <w:rPr>
          <w:rFonts w:hint="eastAsia" w:ascii="宋体" w:hAnsi="宋体" w:cs="宋体"/>
          <w:sz w:val="32"/>
          <w:szCs w:val="24"/>
        </w:rPr>
      </w:pPr>
      <w:r>
        <w:rPr>
          <w:rFonts w:hint="eastAsia" w:ascii="宋体" w:hAnsi="宋体" w:cs="宋体"/>
          <w:sz w:val="32"/>
          <w:szCs w:val="32"/>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2403845">
      <w:pPr>
        <w:keepNext/>
        <w:keepLines/>
        <w:pageBreakBefore/>
        <w:spacing w:before="60" w:after="60" w:line="440" w:lineRule="exact"/>
        <w:ind w:firstLine="422"/>
        <w:jc w:val="center"/>
        <w:outlineLvl w:val="1"/>
        <w:rPr>
          <w:rFonts w:hint="eastAsia" w:ascii="Arial" w:hAnsi="Arial" w:eastAsia="黑体"/>
          <w:b/>
          <w:bCs/>
          <w:szCs w:val="32"/>
        </w:rPr>
      </w:pPr>
      <w:bookmarkStart w:id="40" w:name="_Toc256000199"/>
      <w:r>
        <w:rPr>
          <w:rFonts w:hint="eastAsia" w:ascii="Arial" w:hAnsi="Arial" w:eastAsia="黑体"/>
          <w:b/>
          <w:bCs/>
          <w:szCs w:val="32"/>
        </w:rPr>
        <w:t>第一部分 合同协议书</w:t>
      </w:r>
      <w:bookmarkEnd w:id="40"/>
    </w:p>
    <w:p w14:paraId="366ED6B5">
      <w:pPr>
        <w:spacing w:line="440" w:lineRule="exact"/>
        <w:ind w:firstLine="643"/>
        <w:rPr>
          <w:rFonts w:ascii="宋体" w:hAnsi="宋体" w:cs="宋体"/>
          <w:b/>
          <w:color w:val="000000"/>
          <w:sz w:val="32"/>
          <w:szCs w:val="32"/>
          <w:u w:val="single"/>
        </w:rPr>
      </w:pPr>
      <w:r>
        <w:rPr>
          <w:rFonts w:hint="eastAsia" w:ascii="宋体" w:hAnsi="宋体" w:cs="宋体"/>
          <w:b/>
          <w:color w:val="000000"/>
          <w:sz w:val="32"/>
          <w:szCs w:val="32"/>
        </w:rPr>
        <w:t>发包人（全称）：</w:t>
      </w:r>
      <w:r>
        <w:rPr>
          <w:rFonts w:hint="eastAsia" w:ascii="宋体" w:hAnsi="宋体" w:cs="宋体"/>
          <w:b/>
          <w:color w:val="000000"/>
          <w:sz w:val="32"/>
          <w:szCs w:val="32"/>
          <w:u w:val="single"/>
        </w:rPr>
        <w:t>                  </w:t>
      </w:r>
    </w:p>
    <w:p w14:paraId="05AF21F4">
      <w:pPr>
        <w:spacing w:line="440" w:lineRule="exact"/>
        <w:ind w:firstLine="643"/>
        <w:rPr>
          <w:rFonts w:ascii="宋体" w:hAnsi="宋体" w:cs="宋体"/>
          <w:b/>
          <w:color w:val="000000"/>
          <w:sz w:val="32"/>
          <w:szCs w:val="32"/>
          <w:u w:val="single"/>
        </w:rPr>
      </w:pPr>
      <w:r>
        <w:rPr>
          <w:rFonts w:hint="eastAsia" w:ascii="宋体" w:hAnsi="宋体" w:cs="宋体"/>
          <w:b/>
          <w:color w:val="000000"/>
          <w:sz w:val="32"/>
          <w:szCs w:val="32"/>
        </w:rPr>
        <w:t>承包人（全称）：</w:t>
      </w:r>
      <w:r>
        <w:rPr>
          <w:rFonts w:hint="eastAsia" w:ascii="宋体" w:hAnsi="宋体" w:cs="宋体"/>
          <w:b/>
          <w:color w:val="000000"/>
          <w:sz w:val="32"/>
          <w:szCs w:val="32"/>
          <w:u w:val="single"/>
        </w:rPr>
        <w:t>                </w:t>
      </w:r>
    </w:p>
    <w:p w14:paraId="6387D7B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根据《中华人民共和国民法典》、《中华人民共和国建筑法》及有关法律规定，遵循平等、自愿、公平和诚实信用的原则，双方就</w:t>
      </w:r>
      <w:r>
        <w:rPr>
          <w:rFonts w:hint="eastAsia" w:ascii="宋体" w:hAnsi="宋体" w:cs="宋体"/>
          <w:color w:val="000000"/>
          <w:sz w:val="32"/>
          <w:szCs w:val="32"/>
          <w:u w:val="single"/>
        </w:rPr>
        <w:t xml:space="preserve">                 </w:t>
      </w:r>
      <w:r>
        <w:rPr>
          <w:rFonts w:hint="eastAsia" w:ascii="宋体" w:hAnsi="宋体" w:cs="宋体"/>
          <w:color w:val="000000"/>
          <w:sz w:val="32"/>
          <w:szCs w:val="32"/>
        </w:rPr>
        <w:t>工程施工及有关事项协商一致，共同达成如下协议：</w:t>
      </w:r>
    </w:p>
    <w:p w14:paraId="1A26C8D0">
      <w:pPr>
        <w:keepNext/>
        <w:keepLines/>
        <w:spacing w:before="120" w:after="120" w:line="440" w:lineRule="exact"/>
        <w:ind w:firstLine="640" w:firstLineChars="200"/>
        <w:outlineLvl w:val="2"/>
        <w:rPr>
          <w:rFonts w:ascii="宋体" w:hAnsi="宋体" w:cs="宋体"/>
          <w:b/>
          <w:color w:val="000000"/>
          <w:sz w:val="32"/>
          <w:szCs w:val="32"/>
        </w:rPr>
      </w:pPr>
      <w:bookmarkStart w:id="41" w:name="_Toc256000200"/>
      <w:r>
        <w:rPr>
          <w:rFonts w:hint="eastAsia" w:ascii="宋体" w:hAnsi="宋体" w:cs="宋体"/>
          <w:b/>
          <w:color w:val="000000"/>
          <w:sz w:val="32"/>
          <w:szCs w:val="32"/>
        </w:rPr>
        <w:t>一、工程概况</w:t>
      </w:r>
      <w:bookmarkEnd w:id="41"/>
    </w:p>
    <w:p w14:paraId="1DD99671">
      <w:pPr>
        <w:spacing w:line="440" w:lineRule="exact"/>
        <w:ind w:firstLine="640" w:firstLineChars="200"/>
        <w:rPr>
          <w:rFonts w:ascii="宋体" w:hAnsi="宋体" w:cs="宋体"/>
          <w:color w:val="000000"/>
          <w:sz w:val="32"/>
          <w:szCs w:val="32"/>
          <w:u w:val="single"/>
        </w:rPr>
      </w:pPr>
      <w:r>
        <w:rPr>
          <w:rFonts w:hint="eastAsia" w:ascii="宋体" w:hAnsi="宋体" w:cs="宋体"/>
          <w:bCs/>
          <w:color w:val="000000"/>
          <w:sz w:val="32"/>
          <w:szCs w:val="32"/>
        </w:rPr>
        <w:t>1.工程名称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 </w:t>
      </w:r>
      <w:r>
        <w:rPr>
          <w:rFonts w:hint="eastAsia" w:ascii="宋体" w:hAnsi="宋体" w:cs="宋体"/>
          <w:color w:val="000000"/>
          <w:sz w:val="32"/>
          <w:szCs w:val="32"/>
        </w:rPr>
        <w:t>。</w:t>
      </w:r>
    </w:p>
    <w:p w14:paraId="314B8AD2">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2.工程地点：</w:t>
      </w:r>
      <w:r>
        <w:rPr>
          <w:rFonts w:hint="eastAsia" w:ascii="宋体" w:hAnsi="宋体" w:cs="宋体"/>
          <w:color w:val="000000"/>
          <w:sz w:val="32"/>
          <w:szCs w:val="32"/>
          <w:u w:val="single"/>
        </w:rPr>
        <w:t xml:space="preserve">       </w:t>
      </w:r>
      <w:r>
        <w:rPr>
          <w:rFonts w:hint="eastAsia" w:ascii="宋体" w:hAnsi="宋体" w:cs="宋体"/>
          <w:color w:val="000000"/>
          <w:sz w:val="32"/>
          <w:szCs w:val="32"/>
        </w:rPr>
        <w:t>。</w:t>
      </w:r>
    </w:p>
    <w:p w14:paraId="49C6E1AE">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3.工程立项批准文号：</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749AEDC4">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4.资金来源：</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281A0D3D">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5.工程内容：</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64F05F97">
      <w:pPr>
        <w:spacing w:line="440" w:lineRule="exact"/>
        <w:ind w:firstLine="640" w:firstLineChars="200"/>
        <w:rPr>
          <w:rFonts w:ascii="宋体" w:hAnsi="宋体" w:cs="宋体"/>
          <w:bCs/>
          <w:color w:val="000000"/>
          <w:sz w:val="32"/>
          <w:szCs w:val="32"/>
        </w:rPr>
      </w:pPr>
      <w:r>
        <w:rPr>
          <w:rFonts w:hint="eastAsia" w:ascii="宋体" w:hAnsi="宋体" w:cs="宋体"/>
          <w:color w:val="000000"/>
          <w:sz w:val="32"/>
          <w:szCs w:val="32"/>
        </w:rPr>
        <w:t>群体工程应附《承包人承揽工程项目一览表》（附件1）。</w:t>
      </w:r>
    </w:p>
    <w:p w14:paraId="2E7C75D7">
      <w:pPr>
        <w:spacing w:line="440" w:lineRule="exact"/>
        <w:ind w:firstLine="640" w:firstLineChars="200"/>
        <w:rPr>
          <w:rFonts w:ascii="宋体" w:hAnsi="宋体" w:cs="宋体"/>
          <w:color w:val="000000"/>
          <w:sz w:val="32"/>
          <w:szCs w:val="32"/>
        </w:rPr>
      </w:pPr>
      <w:r>
        <w:rPr>
          <w:rFonts w:hint="eastAsia" w:ascii="宋体" w:hAnsi="宋体" w:cs="宋体"/>
          <w:bCs/>
          <w:color w:val="000000"/>
          <w:sz w:val="32"/>
          <w:szCs w:val="32"/>
        </w:rPr>
        <w:t>6.工程承包范围：</w:t>
      </w:r>
      <w:r>
        <w:rPr>
          <w:rFonts w:hint="eastAsia" w:ascii="宋体" w:hAnsi="宋体" w:cs="宋体"/>
          <w:color w:val="000000"/>
          <w:sz w:val="32"/>
          <w:szCs w:val="32"/>
          <w:u w:val="single"/>
        </w:rPr>
        <w:t> </w:t>
      </w:r>
      <w:r>
        <w:rPr>
          <w:rFonts w:hint="eastAsia" w:ascii="宋体" w:hAnsi="宋体" w:cs="宋体"/>
          <w:color w:val="000000"/>
          <w:sz w:val="32"/>
          <w:szCs w:val="32"/>
        </w:rPr>
        <w:t>。</w:t>
      </w:r>
    </w:p>
    <w:p w14:paraId="0875F211">
      <w:pPr>
        <w:keepNext/>
        <w:keepLines/>
        <w:spacing w:before="120" w:after="120" w:line="440" w:lineRule="exact"/>
        <w:ind w:firstLine="640" w:firstLineChars="200"/>
        <w:outlineLvl w:val="2"/>
        <w:rPr>
          <w:rFonts w:ascii="宋体" w:hAnsi="宋体" w:cs="宋体"/>
          <w:b/>
          <w:color w:val="000000"/>
          <w:sz w:val="32"/>
          <w:szCs w:val="32"/>
        </w:rPr>
      </w:pPr>
      <w:bookmarkStart w:id="42" w:name="_Toc256000201"/>
      <w:r>
        <w:rPr>
          <w:rFonts w:hint="eastAsia" w:ascii="宋体" w:hAnsi="宋体" w:cs="宋体"/>
          <w:b/>
          <w:color w:val="000000"/>
          <w:sz w:val="32"/>
          <w:szCs w:val="32"/>
        </w:rPr>
        <w:t>二、合同工期</w:t>
      </w:r>
      <w:bookmarkEnd w:id="42"/>
    </w:p>
    <w:p w14:paraId="27B81E4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计划开工日期：</w:t>
      </w:r>
      <w:r>
        <w:rPr>
          <w:rFonts w:hint="eastAsia" w:ascii="宋体" w:hAnsi="宋体" w:cs="宋体"/>
          <w:color w:val="000000"/>
          <w:sz w:val="32"/>
          <w:szCs w:val="32"/>
          <w:u w:val="single"/>
        </w:rPr>
        <w:t></w:t>
      </w:r>
      <w:r>
        <w:rPr>
          <w:rFonts w:hint="eastAsia" w:ascii="宋体" w:hAnsi="宋体" w:cs="宋体"/>
          <w:color w:val="000000"/>
          <w:sz w:val="32"/>
          <w:szCs w:val="32"/>
        </w:rPr>
        <w:t>年</w:t>
      </w:r>
      <w:r>
        <w:rPr>
          <w:rFonts w:hint="eastAsia" w:ascii="宋体" w:hAnsi="宋体" w:cs="宋体"/>
          <w:color w:val="000000"/>
          <w:sz w:val="32"/>
          <w:szCs w:val="32"/>
          <w:u w:val="single"/>
        </w:rPr>
        <w:t></w:t>
      </w:r>
      <w:r>
        <w:rPr>
          <w:rFonts w:hint="eastAsia" w:ascii="宋体" w:hAnsi="宋体" w:cs="宋体"/>
          <w:color w:val="000000"/>
          <w:sz w:val="32"/>
          <w:szCs w:val="32"/>
        </w:rPr>
        <w:t>月</w:t>
      </w:r>
      <w:r>
        <w:rPr>
          <w:rFonts w:hint="eastAsia" w:ascii="宋体" w:hAnsi="宋体" w:cs="宋体"/>
          <w:color w:val="000000"/>
          <w:sz w:val="32"/>
          <w:szCs w:val="32"/>
          <w:u w:val="single"/>
        </w:rPr>
        <w:t></w:t>
      </w:r>
      <w:r>
        <w:rPr>
          <w:rFonts w:hint="eastAsia" w:ascii="宋体" w:hAnsi="宋体" w:cs="宋体"/>
          <w:color w:val="000000"/>
          <w:sz w:val="32"/>
          <w:szCs w:val="32"/>
        </w:rPr>
        <w:t>日。</w:t>
      </w:r>
    </w:p>
    <w:p w14:paraId="685F73A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计划竣工日期：</w:t>
      </w:r>
      <w:r>
        <w:rPr>
          <w:rFonts w:hint="eastAsia" w:ascii="宋体" w:hAnsi="宋体" w:cs="宋体"/>
          <w:color w:val="000000"/>
          <w:sz w:val="32"/>
          <w:szCs w:val="32"/>
          <w:u w:val="single"/>
        </w:rPr>
        <w:t></w:t>
      </w:r>
      <w:r>
        <w:rPr>
          <w:rFonts w:hint="eastAsia" w:ascii="宋体" w:hAnsi="宋体" w:cs="宋体"/>
          <w:color w:val="000000"/>
          <w:sz w:val="32"/>
          <w:szCs w:val="32"/>
        </w:rPr>
        <w:t>年</w:t>
      </w:r>
      <w:r>
        <w:rPr>
          <w:rFonts w:hint="eastAsia" w:ascii="宋体" w:hAnsi="宋体" w:cs="宋体"/>
          <w:color w:val="000000"/>
          <w:sz w:val="32"/>
          <w:szCs w:val="32"/>
          <w:u w:val="single"/>
        </w:rPr>
        <w:t></w:t>
      </w:r>
      <w:r>
        <w:rPr>
          <w:rFonts w:hint="eastAsia" w:ascii="宋体" w:hAnsi="宋体" w:cs="宋体"/>
          <w:color w:val="000000"/>
          <w:sz w:val="32"/>
          <w:szCs w:val="32"/>
        </w:rPr>
        <w:t>月</w:t>
      </w:r>
      <w:r>
        <w:rPr>
          <w:rFonts w:hint="eastAsia" w:ascii="宋体" w:hAnsi="宋体" w:cs="宋体"/>
          <w:color w:val="000000"/>
          <w:sz w:val="32"/>
          <w:szCs w:val="32"/>
          <w:u w:val="single"/>
        </w:rPr>
        <w:t></w:t>
      </w:r>
      <w:r>
        <w:rPr>
          <w:rFonts w:hint="eastAsia" w:ascii="宋体" w:hAnsi="宋体" w:cs="宋体"/>
          <w:color w:val="000000"/>
          <w:sz w:val="32"/>
          <w:szCs w:val="32"/>
        </w:rPr>
        <w:t>日。</w:t>
      </w:r>
    </w:p>
    <w:p w14:paraId="1763AE3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工期总日历天数：</w:t>
      </w:r>
      <w:r>
        <w:rPr>
          <w:rFonts w:hint="eastAsia" w:ascii="宋体" w:hAnsi="宋体" w:cs="宋体"/>
          <w:color w:val="000000"/>
          <w:sz w:val="32"/>
          <w:szCs w:val="32"/>
          <w:u w:val="single"/>
        </w:rPr>
        <w:t></w:t>
      </w:r>
      <w:r>
        <w:rPr>
          <w:rFonts w:hint="eastAsia" w:ascii="宋体" w:hAnsi="宋体" w:cs="宋体"/>
          <w:color w:val="000000"/>
          <w:sz w:val="32"/>
          <w:szCs w:val="32"/>
        </w:rPr>
        <w:t>天。工期总日历天数与根据前述计划开竣工日期计算的工期天数不一致的，以工期总日历天数为准。</w:t>
      </w:r>
    </w:p>
    <w:p w14:paraId="37C81A52">
      <w:pPr>
        <w:keepNext/>
        <w:keepLines/>
        <w:spacing w:before="120" w:after="120" w:line="440" w:lineRule="exact"/>
        <w:ind w:firstLine="640" w:firstLineChars="200"/>
        <w:outlineLvl w:val="2"/>
        <w:rPr>
          <w:rFonts w:ascii="宋体" w:hAnsi="宋体" w:cs="宋体"/>
          <w:b/>
          <w:color w:val="000000"/>
          <w:sz w:val="32"/>
          <w:szCs w:val="32"/>
        </w:rPr>
      </w:pPr>
      <w:bookmarkStart w:id="43" w:name="_Toc256000202"/>
      <w:r>
        <w:rPr>
          <w:rFonts w:hint="eastAsia" w:ascii="宋体" w:hAnsi="宋体" w:cs="宋体"/>
          <w:b/>
          <w:color w:val="000000"/>
          <w:sz w:val="32"/>
          <w:szCs w:val="32"/>
        </w:rPr>
        <w:t>三、质量标准</w:t>
      </w:r>
      <w:bookmarkEnd w:id="43"/>
    </w:p>
    <w:p w14:paraId="0852C00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工程质量符合</w:t>
      </w:r>
      <w:r>
        <w:rPr>
          <w:rFonts w:hint="eastAsia" w:ascii="宋体" w:hAnsi="宋体" w:cs="宋体"/>
          <w:color w:val="000000"/>
          <w:sz w:val="32"/>
          <w:szCs w:val="32"/>
          <w:u w:val="single"/>
        </w:rPr>
        <w:t></w:t>
      </w:r>
      <w:r>
        <w:rPr>
          <w:rFonts w:hint="eastAsia" w:ascii="宋体" w:hAnsi="宋体" w:cs="宋体"/>
          <w:color w:val="000000"/>
          <w:sz w:val="32"/>
          <w:szCs w:val="32"/>
        </w:rPr>
        <w:t>标准。</w:t>
      </w:r>
    </w:p>
    <w:p w14:paraId="20B260E1">
      <w:pPr>
        <w:keepNext/>
        <w:keepLines/>
        <w:spacing w:before="120" w:after="120" w:line="440" w:lineRule="exact"/>
        <w:ind w:firstLine="640" w:firstLineChars="200"/>
        <w:outlineLvl w:val="2"/>
        <w:rPr>
          <w:rFonts w:ascii="宋体" w:hAnsi="宋体" w:cs="宋体"/>
          <w:b/>
          <w:color w:val="000000"/>
          <w:sz w:val="32"/>
          <w:szCs w:val="32"/>
        </w:rPr>
      </w:pPr>
      <w:bookmarkStart w:id="44" w:name="_Toc256000203"/>
      <w:r>
        <w:rPr>
          <w:rFonts w:hint="eastAsia" w:ascii="宋体" w:hAnsi="宋体" w:cs="宋体"/>
          <w:b/>
          <w:color w:val="000000"/>
          <w:sz w:val="32"/>
          <w:szCs w:val="32"/>
        </w:rPr>
        <w:t>四、签约合同价与合同价格形式</w:t>
      </w:r>
      <w:bookmarkEnd w:id="44"/>
      <w:r>
        <w:rPr>
          <w:rFonts w:hint="eastAsia" w:ascii="宋体" w:hAnsi="宋体" w:cs="宋体"/>
          <w:bCs/>
          <w:color w:val="000000"/>
          <w:sz w:val="32"/>
          <w:szCs w:val="32"/>
        </w:rPr>
        <w:tab/>
      </w:r>
    </w:p>
    <w:p w14:paraId="0264647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1.签约合同价为：</w:t>
      </w:r>
    </w:p>
    <w:p w14:paraId="0BB067B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648BAEE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其中：</w:t>
      </w:r>
    </w:p>
    <w:p w14:paraId="735527B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（1）安全文明施工费：</w:t>
      </w:r>
    </w:p>
    <w:p w14:paraId="0AD7BA0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3A863E3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（2）材料和工程设备暂估价金额：</w:t>
      </w:r>
    </w:p>
    <w:p w14:paraId="58CAF1D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51B893E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（3）专业工程暂估价金额：</w:t>
      </w:r>
    </w:p>
    <w:p w14:paraId="144D67C9">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16DD47E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（4）暂列金额：</w:t>
      </w:r>
    </w:p>
    <w:p w14:paraId="0A440FF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713262D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2.合同价格形式：</w:t>
      </w:r>
      <w:r>
        <w:rPr>
          <w:rFonts w:hint="eastAsia" w:ascii="宋体" w:hAnsi="宋体" w:cs="宋体"/>
          <w:color w:val="000000"/>
          <w:sz w:val="32"/>
          <w:szCs w:val="32"/>
          <w:u w:val="single"/>
        </w:rPr>
        <w:t>                     </w:t>
      </w:r>
      <w:r>
        <w:rPr>
          <w:rFonts w:hint="eastAsia" w:ascii="宋体" w:hAnsi="宋体" w:cs="宋体"/>
          <w:color w:val="000000"/>
          <w:sz w:val="32"/>
          <w:szCs w:val="32"/>
        </w:rPr>
        <w:t>。</w:t>
      </w:r>
    </w:p>
    <w:p w14:paraId="6A1CEC09">
      <w:pPr>
        <w:keepNext/>
        <w:keepLines/>
        <w:spacing w:before="120" w:after="120" w:line="440" w:lineRule="exact"/>
        <w:ind w:firstLine="640" w:firstLineChars="200"/>
        <w:outlineLvl w:val="2"/>
        <w:rPr>
          <w:rFonts w:ascii="宋体" w:hAnsi="宋体" w:cs="宋体"/>
          <w:b/>
          <w:color w:val="000000"/>
          <w:sz w:val="32"/>
          <w:szCs w:val="32"/>
        </w:rPr>
      </w:pPr>
      <w:bookmarkStart w:id="45" w:name="_Toc256000204"/>
      <w:r>
        <w:rPr>
          <w:rFonts w:hint="eastAsia" w:ascii="宋体" w:hAnsi="宋体" w:cs="宋体"/>
          <w:b/>
          <w:color w:val="000000"/>
          <w:sz w:val="32"/>
          <w:szCs w:val="32"/>
        </w:rPr>
        <w:t>五、项目经理</w:t>
      </w:r>
      <w:bookmarkEnd w:id="45"/>
    </w:p>
    <w:p w14:paraId="55A07484">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承包人项目经理：</w:t>
      </w:r>
      <w:r>
        <w:rPr>
          <w:rFonts w:hint="eastAsia" w:ascii="宋体" w:hAnsi="宋体" w:cs="宋体"/>
          <w:color w:val="000000"/>
          <w:sz w:val="32"/>
          <w:szCs w:val="32"/>
          <w:u w:val="single"/>
        </w:rPr>
        <w:t>                     </w:t>
      </w:r>
      <w:r>
        <w:rPr>
          <w:rFonts w:hint="eastAsia" w:ascii="宋体" w:hAnsi="宋体" w:cs="宋体"/>
          <w:color w:val="000000"/>
          <w:sz w:val="32"/>
          <w:szCs w:val="32"/>
        </w:rPr>
        <w:t>。</w:t>
      </w:r>
    </w:p>
    <w:p w14:paraId="0935E664">
      <w:pPr>
        <w:keepNext/>
        <w:keepLines/>
        <w:spacing w:before="120" w:after="120" w:line="440" w:lineRule="exact"/>
        <w:ind w:firstLine="640" w:firstLineChars="200"/>
        <w:outlineLvl w:val="2"/>
        <w:rPr>
          <w:rFonts w:ascii="宋体" w:hAnsi="宋体" w:cs="宋体"/>
          <w:b/>
          <w:color w:val="000000"/>
          <w:sz w:val="32"/>
          <w:szCs w:val="32"/>
        </w:rPr>
      </w:pPr>
      <w:bookmarkStart w:id="46" w:name="_Toc256000205"/>
      <w:r>
        <w:rPr>
          <w:rFonts w:hint="eastAsia" w:ascii="宋体" w:hAnsi="宋体" w:cs="宋体"/>
          <w:b/>
          <w:color w:val="000000"/>
          <w:sz w:val="32"/>
          <w:szCs w:val="32"/>
        </w:rPr>
        <w:t>六、合同文件构成</w:t>
      </w:r>
      <w:bookmarkEnd w:id="46"/>
    </w:p>
    <w:p w14:paraId="6C8B28AB">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本协议书与下列文件一起构成合同文件：</w:t>
      </w:r>
    </w:p>
    <w:p w14:paraId="78C7D460">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（1）中标通知书（如果有）；</w:t>
      </w:r>
    </w:p>
    <w:p w14:paraId="669A46D8">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 xml:space="preserve">（2）投标函及其附录（如果有）； </w:t>
      </w:r>
    </w:p>
    <w:p w14:paraId="09EDD31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（3）专用合同条款及其附件；</w:t>
      </w:r>
    </w:p>
    <w:p w14:paraId="4803138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（4）通用合同条款；</w:t>
      </w:r>
    </w:p>
    <w:p w14:paraId="2053547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（5）技术标准和要求；</w:t>
      </w:r>
    </w:p>
    <w:p w14:paraId="4FAA2667">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（6）图纸；</w:t>
      </w:r>
    </w:p>
    <w:p w14:paraId="3CC0964C">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（7）已标价工程量清单或预算书；</w:t>
      </w:r>
    </w:p>
    <w:p w14:paraId="0157B254">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（8）其他合同文件。</w:t>
      </w:r>
    </w:p>
    <w:p w14:paraId="68D0C721">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在合同订立及履行过程中形成的与合同有关的文件均构成合同文件组成部分。</w:t>
      </w:r>
    </w:p>
    <w:p w14:paraId="3C48601B">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上述各项合同文件包括合同当事人就该项合同文件所作出的补充和修改，属于同一类内容的文件，应以最新签署的为准。专用合同条款及其附件须经合同当事人签字或盖章。</w:t>
      </w:r>
    </w:p>
    <w:p w14:paraId="4CD7838D">
      <w:pPr>
        <w:keepNext/>
        <w:keepLines/>
        <w:spacing w:before="120" w:after="120" w:line="440" w:lineRule="exact"/>
        <w:ind w:firstLine="640" w:firstLineChars="200"/>
        <w:outlineLvl w:val="2"/>
        <w:rPr>
          <w:rFonts w:ascii="宋体" w:hAnsi="宋体" w:cs="宋体"/>
          <w:b/>
          <w:color w:val="000000"/>
          <w:sz w:val="32"/>
          <w:szCs w:val="32"/>
        </w:rPr>
      </w:pPr>
      <w:bookmarkStart w:id="47" w:name="_Toc256000206"/>
      <w:r>
        <w:rPr>
          <w:rFonts w:hint="eastAsia" w:ascii="宋体" w:hAnsi="宋体" w:cs="宋体"/>
          <w:b/>
          <w:color w:val="000000"/>
          <w:sz w:val="32"/>
          <w:szCs w:val="32"/>
        </w:rPr>
        <w:t>七、承诺</w:t>
      </w:r>
      <w:bookmarkEnd w:id="47"/>
    </w:p>
    <w:p w14:paraId="552F4B2B">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1.发包人承诺按照法律规定履行项目审批手续、筹集工程建设资金并按照合同约定的期限和方式支付合同价款。</w:t>
      </w:r>
    </w:p>
    <w:p w14:paraId="2BF2223A">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2.承包人承诺按照法律规定及合同约定组织完成工程施工，确保工程质量和安全，不进行转包及违法分包，并在缺陷责任期及保修期内承担相应的工程维修责任。</w:t>
      </w:r>
    </w:p>
    <w:p w14:paraId="1F9E5CF0">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3.发包人和承包人通过招投标形式签订合同的，双方理解并承诺不再就同一工程另行签订与合同实质性内容相背离的协议。</w:t>
      </w:r>
    </w:p>
    <w:p w14:paraId="6CC2FEEF">
      <w:pPr>
        <w:spacing w:line="440" w:lineRule="exact"/>
        <w:ind w:firstLine="640" w:firstLineChars="200"/>
        <w:outlineLvl w:val="2"/>
        <w:rPr>
          <w:rFonts w:ascii="宋体" w:hAnsi="宋体" w:cs="宋体"/>
          <w:bCs/>
          <w:color w:val="000000"/>
          <w:sz w:val="32"/>
          <w:szCs w:val="32"/>
        </w:rPr>
      </w:pPr>
      <w:bookmarkStart w:id="48" w:name="_Toc256000207"/>
      <w:r>
        <w:rPr>
          <w:rFonts w:hint="eastAsia" w:ascii="宋体" w:hAnsi="宋体" w:cs="宋体"/>
          <w:b/>
          <w:color w:val="000000"/>
          <w:sz w:val="32"/>
          <w:szCs w:val="32"/>
        </w:rPr>
        <w:t>八、词语含义</w:t>
      </w:r>
      <w:bookmarkEnd w:id="48"/>
    </w:p>
    <w:p w14:paraId="0F88C081">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本协议书中词语含义与第二部分通用合同条款中赋予的含义相同。</w:t>
      </w:r>
    </w:p>
    <w:p w14:paraId="450C912F">
      <w:pPr>
        <w:keepNext/>
        <w:keepLines/>
        <w:spacing w:before="120" w:after="120" w:line="440" w:lineRule="exact"/>
        <w:ind w:firstLine="640" w:firstLineChars="200"/>
        <w:outlineLvl w:val="2"/>
        <w:rPr>
          <w:rFonts w:ascii="宋体" w:hAnsi="宋体" w:cs="宋体"/>
          <w:b/>
          <w:color w:val="000000"/>
          <w:sz w:val="32"/>
          <w:szCs w:val="32"/>
        </w:rPr>
      </w:pPr>
      <w:bookmarkStart w:id="49" w:name="_Toc256000208"/>
      <w:r>
        <w:rPr>
          <w:rFonts w:hint="eastAsia" w:ascii="宋体" w:hAnsi="宋体" w:cs="宋体"/>
          <w:b/>
          <w:color w:val="000000"/>
          <w:sz w:val="32"/>
          <w:szCs w:val="32"/>
        </w:rPr>
        <w:t>九、签订时间</w:t>
      </w:r>
      <w:bookmarkEnd w:id="49"/>
    </w:p>
    <w:p w14:paraId="49733A9D">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本合同于</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年</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月</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日签订。</w:t>
      </w:r>
    </w:p>
    <w:p w14:paraId="6C229249">
      <w:pPr>
        <w:keepNext/>
        <w:keepLines/>
        <w:spacing w:before="120" w:after="120" w:line="440" w:lineRule="exact"/>
        <w:ind w:firstLine="640" w:firstLineChars="200"/>
        <w:outlineLvl w:val="2"/>
        <w:rPr>
          <w:rFonts w:ascii="宋体" w:hAnsi="宋体" w:cs="宋体"/>
          <w:b/>
          <w:color w:val="000000"/>
          <w:sz w:val="32"/>
          <w:szCs w:val="32"/>
        </w:rPr>
      </w:pPr>
      <w:bookmarkStart w:id="50" w:name="_Toc256000209"/>
      <w:r>
        <w:rPr>
          <w:rFonts w:hint="eastAsia" w:ascii="宋体" w:hAnsi="宋体" w:cs="宋体"/>
          <w:b/>
          <w:color w:val="000000"/>
          <w:sz w:val="32"/>
          <w:szCs w:val="32"/>
        </w:rPr>
        <w:t>十、签订地点</w:t>
      </w:r>
      <w:bookmarkEnd w:id="50"/>
    </w:p>
    <w:p w14:paraId="0BA1422F">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本合同在</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签订。</w:t>
      </w:r>
    </w:p>
    <w:p w14:paraId="14327DA5">
      <w:pPr>
        <w:keepNext/>
        <w:keepLines/>
        <w:spacing w:before="120" w:after="120" w:line="440" w:lineRule="exact"/>
        <w:ind w:firstLine="640" w:firstLineChars="200"/>
        <w:outlineLvl w:val="2"/>
        <w:rPr>
          <w:rFonts w:ascii="宋体" w:hAnsi="宋体" w:cs="宋体"/>
          <w:b/>
          <w:color w:val="000000"/>
          <w:sz w:val="32"/>
          <w:szCs w:val="32"/>
        </w:rPr>
      </w:pPr>
      <w:bookmarkStart w:id="51" w:name="_Toc256000210"/>
      <w:r>
        <w:rPr>
          <w:rFonts w:hint="eastAsia" w:ascii="宋体" w:hAnsi="宋体" w:cs="宋体"/>
          <w:b/>
          <w:color w:val="000000"/>
          <w:sz w:val="32"/>
          <w:szCs w:val="32"/>
        </w:rPr>
        <w:t>十一、补充协议</w:t>
      </w:r>
      <w:bookmarkEnd w:id="51"/>
    </w:p>
    <w:p w14:paraId="0B941F3B">
      <w:pPr>
        <w:spacing w:line="440" w:lineRule="exact"/>
        <w:ind w:firstLine="640" w:firstLineChars="200"/>
        <w:rPr>
          <w:rFonts w:ascii="宋体" w:hAnsi="宋体" w:cs="宋体"/>
          <w:b/>
          <w:bCs/>
          <w:color w:val="000000"/>
          <w:sz w:val="32"/>
          <w:szCs w:val="32"/>
        </w:rPr>
      </w:pPr>
      <w:r>
        <w:rPr>
          <w:rFonts w:hint="eastAsia" w:ascii="宋体" w:hAnsi="宋体" w:cs="宋体"/>
          <w:bCs/>
          <w:color w:val="000000"/>
          <w:sz w:val="32"/>
          <w:szCs w:val="32"/>
        </w:rPr>
        <w:t>合同未尽事宜，合同当事人另行签订补充协议，补充协议是合同的组成部分。</w:t>
      </w:r>
    </w:p>
    <w:p w14:paraId="78AEB212">
      <w:pPr>
        <w:keepNext/>
        <w:keepLines/>
        <w:spacing w:before="120" w:after="120" w:line="440" w:lineRule="exact"/>
        <w:ind w:firstLine="640" w:firstLineChars="200"/>
        <w:outlineLvl w:val="2"/>
        <w:rPr>
          <w:rFonts w:ascii="宋体" w:hAnsi="宋体" w:cs="宋体"/>
          <w:b/>
          <w:color w:val="000000"/>
          <w:sz w:val="32"/>
          <w:szCs w:val="32"/>
        </w:rPr>
      </w:pPr>
      <w:bookmarkStart w:id="52" w:name="_Toc256000211"/>
      <w:r>
        <w:rPr>
          <w:rFonts w:hint="eastAsia" w:ascii="宋体" w:hAnsi="宋体" w:cs="宋体"/>
          <w:b/>
          <w:color w:val="000000"/>
          <w:sz w:val="32"/>
          <w:szCs w:val="32"/>
        </w:rPr>
        <w:t>十二、合同生效</w:t>
      </w:r>
      <w:bookmarkEnd w:id="52"/>
    </w:p>
    <w:p w14:paraId="3590ACF1">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本合同自</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生效。</w:t>
      </w:r>
    </w:p>
    <w:p w14:paraId="2F62CA37">
      <w:pPr>
        <w:keepNext/>
        <w:keepLines/>
        <w:spacing w:before="120" w:after="120" w:line="440" w:lineRule="exact"/>
        <w:ind w:firstLine="640" w:firstLineChars="200"/>
        <w:outlineLvl w:val="2"/>
        <w:rPr>
          <w:rFonts w:ascii="宋体" w:hAnsi="宋体" w:cs="宋体"/>
          <w:b/>
          <w:color w:val="000000"/>
          <w:sz w:val="32"/>
          <w:szCs w:val="32"/>
        </w:rPr>
      </w:pPr>
      <w:bookmarkStart w:id="53" w:name="_Toc256000212"/>
      <w:r>
        <w:rPr>
          <w:rFonts w:hint="eastAsia" w:ascii="宋体" w:hAnsi="宋体" w:cs="宋体"/>
          <w:b/>
          <w:color w:val="000000"/>
          <w:sz w:val="32"/>
          <w:szCs w:val="32"/>
        </w:rPr>
        <w:t>十三、合同份数</w:t>
      </w:r>
      <w:bookmarkEnd w:id="53"/>
    </w:p>
    <w:p w14:paraId="22EB7198">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本合同一式</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份，均具有同等法律效力，发包人执</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份，承包人执</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w:t>
      </w:r>
    </w:p>
    <w:p w14:paraId="0E9BD85F">
      <w:pPr>
        <w:spacing w:line="440" w:lineRule="exact"/>
        <w:ind w:firstLine="640" w:firstLineChars="200"/>
        <w:rPr>
          <w:rFonts w:ascii="宋体" w:hAnsi="宋体" w:cs="宋体"/>
          <w:bCs/>
          <w:color w:val="000000"/>
          <w:sz w:val="32"/>
          <w:szCs w:val="32"/>
        </w:rPr>
      </w:pPr>
    </w:p>
    <w:p w14:paraId="0B8DE1BA">
      <w:pPr>
        <w:spacing w:line="440" w:lineRule="exact"/>
        <w:rPr>
          <w:rFonts w:ascii="宋体" w:hAnsi="宋体" w:cs="宋体"/>
          <w:bCs/>
          <w:color w:val="000000"/>
          <w:sz w:val="32"/>
          <w:szCs w:val="32"/>
        </w:rPr>
      </w:pPr>
    </w:p>
    <w:p w14:paraId="27CEC952">
      <w:pPr>
        <w:spacing w:line="440" w:lineRule="exact"/>
        <w:rPr>
          <w:rFonts w:ascii="宋体" w:hAnsi="宋体" w:cs="宋体"/>
          <w:bCs/>
          <w:color w:val="000000"/>
          <w:sz w:val="32"/>
          <w:szCs w:val="32"/>
        </w:rPr>
      </w:pPr>
    </w:p>
    <w:p w14:paraId="5AB8F1E3">
      <w:pPr>
        <w:spacing w:line="440" w:lineRule="exact"/>
        <w:rPr>
          <w:rFonts w:ascii="宋体" w:hAnsi="宋体" w:cs="宋体"/>
          <w:bCs/>
          <w:color w:val="000000"/>
          <w:sz w:val="32"/>
          <w:szCs w:val="32"/>
        </w:rPr>
      </w:pPr>
    </w:p>
    <w:tbl>
      <w:tblPr>
        <w:tblStyle w:val="16"/>
        <w:tblW w:w="0" w:type="auto"/>
        <w:tblInd w:w="0" w:type="dxa"/>
        <w:tblLayout w:type="fixed"/>
        <w:tblCellMar>
          <w:top w:w="0" w:type="dxa"/>
          <w:left w:w="108" w:type="dxa"/>
          <w:bottom w:w="0" w:type="dxa"/>
          <w:right w:w="108" w:type="dxa"/>
        </w:tblCellMar>
      </w:tblPr>
      <w:tblGrid>
        <w:gridCol w:w="4518"/>
        <w:gridCol w:w="4518"/>
      </w:tblGrid>
      <w:tr w14:paraId="5C7FA2D0">
        <w:tblPrEx>
          <w:tblCellMar>
            <w:top w:w="0" w:type="dxa"/>
            <w:left w:w="108" w:type="dxa"/>
            <w:bottom w:w="0" w:type="dxa"/>
            <w:right w:w="108" w:type="dxa"/>
          </w:tblCellMar>
        </w:tblPrEx>
        <w:tc>
          <w:tcPr>
            <w:tcW w:w="4518" w:type="dxa"/>
            <w:noWrap w:val="0"/>
            <w:vAlign w:val="top"/>
          </w:tcPr>
          <w:p w14:paraId="0A10F06D">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发包人：  (公章)</w:t>
            </w:r>
          </w:p>
        </w:tc>
        <w:tc>
          <w:tcPr>
            <w:tcW w:w="4518" w:type="dxa"/>
            <w:noWrap w:val="0"/>
            <w:vAlign w:val="top"/>
          </w:tcPr>
          <w:p w14:paraId="31F199E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 xml:space="preserve"> 承包人：  (公章)</w:t>
            </w:r>
          </w:p>
        </w:tc>
      </w:tr>
      <w:tr w14:paraId="72EF3B3E">
        <w:tblPrEx>
          <w:tblCellMar>
            <w:top w:w="0" w:type="dxa"/>
            <w:left w:w="108" w:type="dxa"/>
            <w:bottom w:w="0" w:type="dxa"/>
            <w:right w:w="108" w:type="dxa"/>
          </w:tblCellMar>
        </w:tblPrEx>
        <w:tc>
          <w:tcPr>
            <w:tcW w:w="4518" w:type="dxa"/>
            <w:noWrap w:val="0"/>
            <w:vAlign w:val="top"/>
          </w:tcPr>
          <w:p w14:paraId="740239A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法定代表人或其委托代理人：（签字）</w:t>
            </w:r>
          </w:p>
        </w:tc>
        <w:tc>
          <w:tcPr>
            <w:tcW w:w="4518" w:type="dxa"/>
            <w:noWrap w:val="0"/>
            <w:vAlign w:val="top"/>
          </w:tcPr>
          <w:p w14:paraId="3C62D42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法定代表人或其委托代理人：（签字）</w:t>
            </w:r>
          </w:p>
        </w:tc>
      </w:tr>
      <w:tr w14:paraId="11E16B2A">
        <w:tblPrEx>
          <w:tblCellMar>
            <w:top w:w="0" w:type="dxa"/>
            <w:left w:w="108" w:type="dxa"/>
            <w:bottom w:w="0" w:type="dxa"/>
            <w:right w:w="108" w:type="dxa"/>
          </w:tblCellMar>
        </w:tblPrEx>
        <w:tc>
          <w:tcPr>
            <w:tcW w:w="4518" w:type="dxa"/>
            <w:noWrap w:val="0"/>
            <w:vAlign w:val="top"/>
          </w:tcPr>
          <w:p w14:paraId="01F27F00">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组织机构代码：</w:t>
            </w:r>
          </w:p>
        </w:tc>
        <w:tc>
          <w:tcPr>
            <w:tcW w:w="4518" w:type="dxa"/>
            <w:noWrap w:val="0"/>
            <w:vAlign w:val="top"/>
          </w:tcPr>
          <w:p w14:paraId="14248ED7">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组织机构代码：</w:t>
            </w:r>
          </w:p>
        </w:tc>
      </w:tr>
      <w:tr w14:paraId="28DE0D10">
        <w:tblPrEx>
          <w:tblCellMar>
            <w:top w:w="0" w:type="dxa"/>
            <w:left w:w="108" w:type="dxa"/>
            <w:bottom w:w="0" w:type="dxa"/>
            <w:right w:w="108" w:type="dxa"/>
          </w:tblCellMar>
        </w:tblPrEx>
        <w:tc>
          <w:tcPr>
            <w:tcW w:w="4518" w:type="dxa"/>
            <w:noWrap w:val="0"/>
            <w:vAlign w:val="top"/>
          </w:tcPr>
          <w:p w14:paraId="321B36B7">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地  址：</w:t>
            </w:r>
          </w:p>
        </w:tc>
        <w:tc>
          <w:tcPr>
            <w:tcW w:w="4518" w:type="dxa"/>
            <w:noWrap w:val="0"/>
            <w:vAlign w:val="top"/>
          </w:tcPr>
          <w:p w14:paraId="1007FBF9">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地  址：</w:t>
            </w:r>
          </w:p>
        </w:tc>
      </w:tr>
      <w:tr w14:paraId="668890E3">
        <w:tblPrEx>
          <w:tblCellMar>
            <w:top w:w="0" w:type="dxa"/>
            <w:left w:w="108" w:type="dxa"/>
            <w:bottom w:w="0" w:type="dxa"/>
            <w:right w:w="108" w:type="dxa"/>
          </w:tblCellMar>
        </w:tblPrEx>
        <w:tc>
          <w:tcPr>
            <w:tcW w:w="4518" w:type="dxa"/>
            <w:noWrap w:val="0"/>
            <w:vAlign w:val="top"/>
          </w:tcPr>
          <w:p w14:paraId="4D1DA355">
            <w:pPr>
              <w:spacing w:line="440" w:lineRule="exact"/>
              <w:rPr>
                <w:rFonts w:ascii="宋体" w:hAnsi="宋体" w:cs="宋体"/>
                <w:color w:val="000000"/>
                <w:kern w:val="0"/>
                <w:sz w:val="32"/>
                <w:szCs w:val="32"/>
              </w:rPr>
            </w:pPr>
            <w:r>
              <w:rPr>
                <w:rFonts w:hint="eastAsia" w:ascii="宋体" w:hAnsi="宋体" w:cs="宋体"/>
                <w:color w:val="000000"/>
                <w:kern w:val="0"/>
                <w:sz w:val="32"/>
                <w:szCs w:val="32"/>
              </w:rPr>
              <w:t>邮政编码：</w:t>
            </w:r>
          </w:p>
        </w:tc>
        <w:tc>
          <w:tcPr>
            <w:tcW w:w="4518" w:type="dxa"/>
            <w:noWrap w:val="0"/>
            <w:vAlign w:val="top"/>
          </w:tcPr>
          <w:p w14:paraId="0DDC2682">
            <w:pPr>
              <w:spacing w:line="440" w:lineRule="exact"/>
              <w:rPr>
                <w:rFonts w:ascii="宋体" w:hAnsi="宋体" w:cs="宋体"/>
                <w:color w:val="000000"/>
                <w:kern w:val="0"/>
                <w:sz w:val="32"/>
                <w:szCs w:val="32"/>
              </w:rPr>
            </w:pPr>
            <w:r>
              <w:rPr>
                <w:rFonts w:hint="eastAsia" w:ascii="宋体" w:hAnsi="宋体" w:cs="宋体"/>
                <w:color w:val="000000"/>
                <w:kern w:val="0"/>
                <w:sz w:val="32"/>
                <w:szCs w:val="32"/>
              </w:rPr>
              <w:t>邮政编码：</w:t>
            </w:r>
          </w:p>
        </w:tc>
      </w:tr>
      <w:tr w14:paraId="3DE4F55A">
        <w:tblPrEx>
          <w:tblCellMar>
            <w:top w:w="0" w:type="dxa"/>
            <w:left w:w="108" w:type="dxa"/>
            <w:bottom w:w="0" w:type="dxa"/>
            <w:right w:w="108" w:type="dxa"/>
          </w:tblCellMar>
        </w:tblPrEx>
        <w:tc>
          <w:tcPr>
            <w:tcW w:w="4518" w:type="dxa"/>
            <w:noWrap w:val="0"/>
            <w:vAlign w:val="top"/>
          </w:tcPr>
          <w:p w14:paraId="05666CA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w:t>
            </w:r>
          </w:p>
        </w:tc>
        <w:tc>
          <w:tcPr>
            <w:tcW w:w="4518" w:type="dxa"/>
            <w:noWrap w:val="0"/>
            <w:vAlign w:val="top"/>
          </w:tcPr>
          <w:p w14:paraId="18DCE6C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w:t>
            </w:r>
          </w:p>
        </w:tc>
      </w:tr>
      <w:tr w14:paraId="52FEB82F">
        <w:tblPrEx>
          <w:tblCellMar>
            <w:top w:w="0" w:type="dxa"/>
            <w:left w:w="108" w:type="dxa"/>
            <w:bottom w:w="0" w:type="dxa"/>
            <w:right w:w="108" w:type="dxa"/>
          </w:tblCellMar>
        </w:tblPrEx>
        <w:tc>
          <w:tcPr>
            <w:tcW w:w="4518" w:type="dxa"/>
            <w:noWrap w:val="0"/>
            <w:vAlign w:val="top"/>
          </w:tcPr>
          <w:p w14:paraId="09BF688C">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委托代理人：</w:t>
            </w:r>
          </w:p>
        </w:tc>
        <w:tc>
          <w:tcPr>
            <w:tcW w:w="4518" w:type="dxa"/>
            <w:noWrap w:val="0"/>
            <w:vAlign w:val="top"/>
          </w:tcPr>
          <w:p w14:paraId="3CE3918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委托代理人：</w:t>
            </w:r>
          </w:p>
        </w:tc>
      </w:tr>
      <w:tr w14:paraId="58BB6CDC">
        <w:tblPrEx>
          <w:tblCellMar>
            <w:top w:w="0" w:type="dxa"/>
            <w:left w:w="108" w:type="dxa"/>
            <w:bottom w:w="0" w:type="dxa"/>
            <w:right w:w="108" w:type="dxa"/>
          </w:tblCellMar>
        </w:tblPrEx>
        <w:tc>
          <w:tcPr>
            <w:tcW w:w="4518" w:type="dxa"/>
            <w:noWrap w:val="0"/>
            <w:vAlign w:val="top"/>
          </w:tcPr>
          <w:p w14:paraId="0A0A44C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  话：</w:t>
            </w:r>
          </w:p>
        </w:tc>
        <w:tc>
          <w:tcPr>
            <w:tcW w:w="4518" w:type="dxa"/>
            <w:noWrap w:val="0"/>
            <w:vAlign w:val="top"/>
          </w:tcPr>
          <w:p w14:paraId="4C7085E3">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  话：</w:t>
            </w:r>
          </w:p>
        </w:tc>
      </w:tr>
      <w:tr w14:paraId="26C400B5">
        <w:tblPrEx>
          <w:tblCellMar>
            <w:top w:w="0" w:type="dxa"/>
            <w:left w:w="108" w:type="dxa"/>
            <w:bottom w:w="0" w:type="dxa"/>
            <w:right w:w="108" w:type="dxa"/>
          </w:tblCellMar>
        </w:tblPrEx>
        <w:tc>
          <w:tcPr>
            <w:tcW w:w="4518" w:type="dxa"/>
            <w:noWrap w:val="0"/>
            <w:vAlign w:val="top"/>
          </w:tcPr>
          <w:p w14:paraId="46A32522">
            <w:pPr>
              <w:spacing w:line="440" w:lineRule="exact"/>
              <w:rPr>
                <w:rFonts w:ascii="宋体" w:hAnsi="宋体" w:cs="宋体"/>
                <w:color w:val="000000"/>
                <w:kern w:val="0"/>
                <w:sz w:val="32"/>
                <w:szCs w:val="32"/>
              </w:rPr>
            </w:pPr>
            <w:r>
              <w:rPr>
                <w:rFonts w:hint="eastAsia" w:ascii="宋体" w:hAnsi="宋体" w:cs="宋体"/>
                <w:color w:val="000000"/>
                <w:kern w:val="0"/>
                <w:sz w:val="32"/>
                <w:szCs w:val="32"/>
              </w:rPr>
              <w:t>传  真：</w:t>
            </w:r>
          </w:p>
        </w:tc>
        <w:tc>
          <w:tcPr>
            <w:tcW w:w="4518" w:type="dxa"/>
            <w:noWrap w:val="0"/>
            <w:vAlign w:val="top"/>
          </w:tcPr>
          <w:p w14:paraId="77F4D5C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传  真：</w:t>
            </w:r>
          </w:p>
        </w:tc>
      </w:tr>
      <w:tr w14:paraId="388FBA0A">
        <w:tblPrEx>
          <w:tblCellMar>
            <w:top w:w="0" w:type="dxa"/>
            <w:left w:w="108" w:type="dxa"/>
            <w:bottom w:w="0" w:type="dxa"/>
            <w:right w:w="108" w:type="dxa"/>
          </w:tblCellMar>
        </w:tblPrEx>
        <w:tc>
          <w:tcPr>
            <w:tcW w:w="4518" w:type="dxa"/>
            <w:noWrap w:val="0"/>
            <w:vAlign w:val="top"/>
          </w:tcPr>
          <w:p w14:paraId="2A9A47F5">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电子信箱：</w:t>
            </w:r>
          </w:p>
        </w:tc>
        <w:tc>
          <w:tcPr>
            <w:tcW w:w="4518" w:type="dxa"/>
            <w:noWrap w:val="0"/>
            <w:vAlign w:val="top"/>
          </w:tcPr>
          <w:p w14:paraId="57513A09">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电子信箱：</w:t>
            </w:r>
          </w:p>
        </w:tc>
      </w:tr>
      <w:tr w14:paraId="79870CB4">
        <w:tblPrEx>
          <w:tblCellMar>
            <w:top w:w="0" w:type="dxa"/>
            <w:left w:w="108" w:type="dxa"/>
            <w:bottom w:w="0" w:type="dxa"/>
            <w:right w:w="108" w:type="dxa"/>
          </w:tblCellMar>
        </w:tblPrEx>
        <w:tc>
          <w:tcPr>
            <w:tcW w:w="4518" w:type="dxa"/>
            <w:noWrap w:val="0"/>
            <w:vAlign w:val="top"/>
          </w:tcPr>
          <w:p w14:paraId="5220E02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开户银行：</w:t>
            </w:r>
          </w:p>
        </w:tc>
        <w:tc>
          <w:tcPr>
            <w:tcW w:w="4518" w:type="dxa"/>
            <w:noWrap w:val="0"/>
            <w:vAlign w:val="top"/>
          </w:tcPr>
          <w:p w14:paraId="6EC010CA">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开户银行：</w:t>
            </w:r>
          </w:p>
        </w:tc>
      </w:tr>
      <w:tr w14:paraId="731507CD">
        <w:tblPrEx>
          <w:tblCellMar>
            <w:top w:w="0" w:type="dxa"/>
            <w:left w:w="108" w:type="dxa"/>
            <w:bottom w:w="0" w:type="dxa"/>
            <w:right w:w="108" w:type="dxa"/>
          </w:tblCellMar>
        </w:tblPrEx>
        <w:tc>
          <w:tcPr>
            <w:tcW w:w="4518" w:type="dxa"/>
            <w:noWrap w:val="0"/>
            <w:vAlign w:val="top"/>
          </w:tcPr>
          <w:p w14:paraId="7539A224">
            <w:pPr>
              <w:spacing w:line="440" w:lineRule="exact"/>
              <w:rPr>
                <w:rFonts w:ascii="宋体" w:hAnsi="宋体" w:cs="宋体"/>
                <w:color w:val="000000"/>
                <w:kern w:val="0"/>
                <w:sz w:val="32"/>
                <w:szCs w:val="32"/>
              </w:rPr>
            </w:pPr>
            <w:r>
              <w:rPr>
                <w:rFonts w:hint="eastAsia" w:ascii="宋体" w:hAnsi="宋体" w:cs="宋体"/>
                <w:color w:val="000000"/>
                <w:kern w:val="0"/>
                <w:sz w:val="32"/>
                <w:szCs w:val="32"/>
              </w:rPr>
              <w:t>账  号：</w:t>
            </w:r>
          </w:p>
        </w:tc>
        <w:tc>
          <w:tcPr>
            <w:tcW w:w="4518" w:type="dxa"/>
            <w:noWrap w:val="0"/>
            <w:vAlign w:val="top"/>
          </w:tcPr>
          <w:p w14:paraId="172C4BF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账  号：</w:t>
            </w:r>
          </w:p>
        </w:tc>
      </w:tr>
    </w:tbl>
    <w:p w14:paraId="212DEC76">
      <w:pPr>
        <w:keepNext/>
        <w:keepLines/>
        <w:pageBreakBefore/>
        <w:spacing w:before="60" w:after="60" w:line="440" w:lineRule="exact"/>
        <w:jc w:val="center"/>
        <w:outlineLvl w:val="1"/>
        <w:rPr>
          <w:rFonts w:ascii="Arial" w:hAnsi="Arial" w:eastAsia="黑体"/>
          <w:b/>
          <w:bCs/>
          <w:szCs w:val="32"/>
        </w:rPr>
      </w:pPr>
      <w:bookmarkStart w:id="54" w:name="_Toc256000213"/>
      <w:r>
        <w:rPr>
          <w:rFonts w:hint="eastAsia" w:ascii="Arial" w:hAnsi="Arial" w:eastAsia="黑体"/>
          <w:b/>
          <w:bCs/>
          <w:szCs w:val="32"/>
        </w:rPr>
        <w:t>第二部分 通用合同条款</w:t>
      </w:r>
      <w:bookmarkEnd w:id="54"/>
    </w:p>
    <w:p w14:paraId="7B49BEDE">
      <w:pPr>
        <w:keepNext/>
        <w:keepLines/>
        <w:spacing w:before="120" w:after="120" w:line="440" w:lineRule="exact"/>
        <w:ind w:firstLine="640" w:firstLineChars="200"/>
        <w:outlineLvl w:val="2"/>
        <w:rPr>
          <w:rFonts w:ascii="宋体" w:hAnsi="宋体" w:cs="宋体"/>
          <w:bCs/>
          <w:color w:val="000000"/>
          <w:sz w:val="32"/>
          <w:szCs w:val="32"/>
        </w:rPr>
      </w:pPr>
      <w:bookmarkStart w:id="55" w:name="_Toc256000214"/>
      <w:r>
        <w:rPr>
          <w:rFonts w:hint="eastAsia" w:ascii="宋体" w:hAnsi="宋体" w:cs="宋体"/>
          <w:bCs/>
          <w:color w:val="000000"/>
          <w:sz w:val="32"/>
          <w:szCs w:val="32"/>
        </w:rPr>
        <w:t>1. 一般约定</w:t>
      </w:r>
      <w:bookmarkEnd w:id="55"/>
    </w:p>
    <w:p w14:paraId="2BC720E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1.1词语定义与解释</w:t>
      </w:r>
    </w:p>
    <w:p w14:paraId="17A2911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合同协议书、通用合同条款、专用合同条款中的下列词语具有本款所赋予的含义：</w:t>
      </w:r>
    </w:p>
    <w:p w14:paraId="481900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 合同</w:t>
      </w:r>
    </w:p>
    <w:p w14:paraId="09F04EA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000000"/>
          <w:sz w:val="32"/>
          <w:szCs w:val="32"/>
        </w:rPr>
        <w:t>及其附件</w:t>
      </w:r>
      <w:r>
        <w:rPr>
          <w:rFonts w:hint="eastAsia" w:ascii="宋体" w:hAnsi="宋体" w:cs="宋体"/>
          <w:color w:val="000000"/>
          <w:kern w:val="0"/>
          <w:sz w:val="32"/>
          <w:szCs w:val="32"/>
        </w:rPr>
        <w:t>、通用合同条款、技术标准和要求、图纸、已标价工程量清单或预算书以及其他合同文件。</w:t>
      </w:r>
    </w:p>
    <w:p w14:paraId="46D5FD7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1.1.1.2 合同协议书：是指构成合同的由发包人和承包人共同签署的称为“合同协议书”的书面文件。</w:t>
      </w:r>
    </w:p>
    <w:p w14:paraId="1C92400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1.1.1.3 中标通知书：是指构成合同的由发包人通知承包人中标的书面文件。</w:t>
      </w:r>
    </w:p>
    <w:p w14:paraId="1A87583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1.1.1.4 投标函：是指构成合同的由承包人填写并签署的用于投标的称为“投标函”的文件。</w:t>
      </w:r>
    </w:p>
    <w:p w14:paraId="23763D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1.1.1.5 投标函附录：是指构成合同的附在投标函后的称为“投标函附录”的文件。</w:t>
      </w:r>
    </w:p>
    <w:p w14:paraId="0E87A4E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1.1.1.6 技术标准和要求：是指构成合同的施工应当遵守的或指导施工的国家、行业或地方的技术标准和要求，以及合同约定的技术标准和要求。</w:t>
      </w:r>
    </w:p>
    <w:p w14:paraId="673F7F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1.1.1.7 图纸：是指构成合同的图纸，包括由发包人按照合同约定提供或经发包人批准的设计文件、施工图、鸟瞰图及模型等，以及在合同履行过程中形成的图纸文件。图纸应当按照法律规定审查合格。</w:t>
      </w:r>
    </w:p>
    <w:p w14:paraId="17580B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1.1.1.8 已标价工程量清单：是指构成合同的由承包人按照规定的格式和要求填写并标明价格的工程量清单，包括说明和表格。</w:t>
      </w:r>
    </w:p>
    <w:p w14:paraId="41F99B0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1.1.1.9 预算书：是指构成合同的由承包人按照发包人规定的格式和要求编制的工程预算文件。</w:t>
      </w:r>
    </w:p>
    <w:p w14:paraId="1585E8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1.1.1.10 其他合同文件：是指经合同当事人约定的与工程施工有关的具有合同约束力的文件或书面协议。合同当事人可以在专用合同条款中进行约定。</w:t>
      </w:r>
    </w:p>
    <w:p w14:paraId="35E166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 合同当事人及其他相关方</w:t>
      </w:r>
    </w:p>
    <w:p w14:paraId="514B59A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1.1.2.1 合同当事人：是指发包人和（或）承包人。</w:t>
      </w:r>
    </w:p>
    <w:p w14:paraId="7CAF75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1.1.2.2 发包人：是指与承包人签订合同协议书的当事人及取得该当事人资格的合法继承人。</w:t>
      </w:r>
    </w:p>
    <w:p w14:paraId="3C3BF3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1.1.2.3 承包人：是指与发包人签订合同协议书的，具有相应工程施工承包资质的当事人及取得该当事人资格的合法继承人。</w:t>
      </w:r>
    </w:p>
    <w:p w14:paraId="4FF62F1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1.1.2.4 监理人：是指在专用合同条款中指明的，受发包人委托按照法律规定进行工程监督管理的法人或其他组织。</w:t>
      </w:r>
    </w:p>
    <w:p w14:paraId="67CAB10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1.1.2.5 设计人：是指在专用合同条款中指明的，受发包人委托负责工程设计并具备相应工程设计资质的法人或其他组织。</w:t>
      </w:r>
    </w:p>
    <w:p w14:paraId="72A0129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1.1.2.6 分包人：是指按照法律规定和合同约定，分包部分工程或工作，并与承包人签订分包合同的具有相应资质的法人。</w:t>
      </w:r>
    </w:p>
    <w:p w14:paraId="3D6A42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1.1.2.7 发包人代表：是指由发包人任命并派驻施工现场在发包人授权范围内行使发包人权利的人。</w:t>
      </w:r>
    </w:p>
    <w:p w14:paraId="1AE189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1.1.2.8 项目经理：是指由承包人任命并派驻施工现场，在承包人授权范围内负责合同履行，且按照法律规定具有相应资格的项目负责人。</w:t>
      </w:r>
    </w:p>
    <w:p w14:paraId="7DBEE7D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1.1.2.9 总监理工程师：是指由监理人任命并派驻施工现场进行工程监理的总负责人。</w:t>
      </w:r>
    </w:p>
    <w:p w14:paraId="208F89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 工程和设备</w:t>
      </w:r>
    </w:p>
    <w:p w14:paraId="384FCBC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1.1.3.1 工程：是指与合同协议书中工程承包范围对应的永久工程和（或）临时工程。</w:t>
      </w:r>
    </w:p>
    <w:p w14:paraId="7C5FB29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1.1.3.2 永久工程：是指按合同约定建造并移交给发包人的工程，包括工程设备。</w:t>
      </w:r>
    </w:p>
    <w:p w14:paraId="032D0F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1.1.3.3 临时工程：是指为完成合同约定的永久工程所修建的各类临时性工程，不包括施工设备。</w:t>
      </w:r>
    </w:p>
    <w:p w14:paraId="1B8291A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1.1.3.4 单位工程：是指在合同协议书中指明的，具备独立施工条件并能形成独立使用功能的永久工程。</w:t>
      </w:r>
    </w:p>
    <w:p w14:paraId="2B282C6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1.1.3.5 工程设备：是指构成永久工程的机电设备、金属结构设备、仪器及其他类似的设备和装置。</w:t>
      </w:r>
    </w:p>
    <w:p w14:paraId="2B586D6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1.1.3.6 施工设备：是指为完成合同约定的各项工作所需的设备、器具和其他物品，但不包括工程设备、临时工程和材料。</w:t>
      </w:r>
    </w:p>
    <w:p w14:paraId="0364BE8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1.1.3.7 施工现场：是指用于工程施工的场所，以及在专用合同条款中指明作为施工场所组成部分的其他场所，包括永久占地和临时占地。</w:t>
      </w:r>
    </w:p>
    <w:p w14:paraId="5D9014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1.1.3.8临时设施：是指为完成合同约定的各项工作所服务的临时性生产和生活设施。</w:t>
      </w:r>
    </w:p>
    <w:p w14:paraId="5BAC12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1.1.3.9 永久占地：是指专用合同条款中指明为实施工程需永久占用的土地。</w:t>
      </w:r>
    </w:p>
    <w:p w14:paraId="1880EF8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1.1.3.10 临时占地：是指专用合同条款中指明为实施工程需要临时占用的土地。</w:t>
      </w:r>
    </w:p>
    <w:p w14:paraId="2C2D5F7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 日期和期限</w:t>
      </w:r>
    </w:p>
    <w:p w14:paraId="3C7D896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1BFB4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1.1.4.2 竣工日期：包括计划竣工日期和实际竣工日期。计划竣工日期是指合同协议书约定的竣工日期；实际竣工日期按照第13.2.3项〔竣工日期〕的约定确定。 </w:t>
      </w:r>
    </w:p>
    <w:p w14:paraId="38029D09">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1.1.4.3 工期：是指在合同协议书约定的承包人完成工程所需的期限，包括按照合同约定所作的期限变更。</w:t>
      </w:r>
    </w:p>
    <w:p w14:paraId="521D539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1.1.4.4 缺陷责任期：是指承包人按照合同约定承担缺陷修复义务，且发包人预留质量保证金（已缴纳履约保证金的除外）的期限，自工程实际竣工日期起计算。</w:t>
      </w:r>
    </w:p>
    <w:p w14:paraId="792F2F5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1.1.4.5 保修期：是指承包人按照合同约定对工程承担保修责任的期限，从工程竣工验收合格之日起计算。</w:t>
      </w:r>
    </w:p>
    <w:p w14:paraId="6A9CB8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1.1.4.6 基准日期：招标发包的工程以投标截止日前28天的日期为基准日期，直接发包的工程以合同签订日前28天的日期为基准日期。</w:t>
      </w:r>
    </w:p>
    <w:p w14:paraId="6DCBE9C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1.1.4.7 天：除特别指明外，均指日历天。合同中按天计算时间的，开始当天不计入，从次日开始计算，期限最后一天的截止时间为当天24:00时。</w:t>
      </w:r>
    </w:p>
    <w:p w14:paraId="6E1AE72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 合同价格和费用</w:t>
      </w:r>
    </w:p>
    <w:p w14:paraId="2B592893">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1.1.5.1 签约合同价：是指</w:t>
      </w:r>
      <w:r>
        <w:rPr>
          <w:rFonts w:hint="eastAsia" w:ascii="宋体" w:hAnsi="宋体" w:cs="宋体"/>
          <w:color w:val="000000"/>
          <w:sz w:val="32"/>
          <w:szCs w:val="32"/>
        </w:rPr>
        <w:t>发包人和承包人在合同协议书中确定的总金额，包括安全文明施工费、暂估价及暂列金额等。</w:t>
      </w:r>
    </w:p>
    <w:p w14:paraId="35C5639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1.1.5.2 合同价格：是指发包人用于支付承包人按照合同约定完成承包范围内全部工作的金额，包括合同履行过程中按合同约定发生的价格变化。</w:t>
      </w:r>
    </w:p>
    <w:p w14:paraId="187C2BE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1.1.5.3 费用：是指为履行合同所发生的或将要发生的所有必需的开支，包括管理费和应分摊的其他费用，但不包括利润。</w:t>
      </w:r>
    </w:p>
    <w:p w14:paraId="29AF45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1.1.5.4 暂估价：是指发包人在工程量清单或预算书中提供的用于支付必然发生但暂时不能确定价格的材料、工程设备的单价、专业工程以及服务工作的金额。</w:t>
      </w:r>
    </w:p>
    <w:p w14:paraId="6E92502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B5EBB1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1.1.5.6 计日工：是指合同履行过程中，承包人完成发包人提出的零星工作或需要采用计日工计价的变更工作时，按合同中约定的单价计价的一种方式。</w:t>
      </w:r>
    </w:p>
    <w:p w14:paraId="4F338953">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1.1.5.7 质量保证金：是指按照第15.3款〔质量保证金〕约定承包人用于保证其在缺陷责任期内履行缺陷修补义务的担保</w:t>
      </w:r>
      <w:r>
        <w:rPr>
          <w:rFonts w:hint="eastAsia" w:ascii="宋体" w:hAnsi="宋体" w:cs="宋体"/>
          <w:color w:val="000000"/>
          <w:sz w:val="32"/>
          <w:szCs w:val="32"/>
        </w:rPr>
        <w:t>。</w:t>
      </w:r>
    </w:p>
    <w:p w14:paraId="39EA77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1.1.5.8 总价项目：是指在现行国家、行业以及地方的计量规则中无工程量计算规则，在已标价工程量清单或预算书中以总价或以费率形式计算的项目。</w:t>
      </w:r>
    </w:p>
    <w:p w14:paraId="5294A609">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1.1.6 其他</w:t>
      </w:r>
    </w:p>
    <w:p w14:paraId="4CD1B91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1.1.6.1 书面形式：是指合同文件、信函、电报、传真等可以有形地表现所载内容的形式。</w:t>
      </w:r>
    </w:p>
    <w:p w14:paraId="085CE950">
      <w:pPr>
        <w:keepNext/>
        <w:keepLines/>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1.2语言文字</w:t>
      </w:r>
    </w:p>
    <w:p w14:paraId="7E5876D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合同以中国的汉语简体文字编写、解释和说明。合同当事人在专用合同条款中约定使用两种以上语言时，汉语为优先解释和说明合同的语言。</w:t>
      </w:r>
    </w:p>
    <w:p w14:paraId="75FA03E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1.3法律</w:t>
      </w:r>
    </w:p>
    <w:p w14:paraId="62E67EE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合同所称法律是指中华人民共和国法律、行政法规、部门规章，以及工程所在地的地方性法规、自治条例、单行条例和地方政府规章等。</w:t>
      </w:r>
    </w:p>
    <w:p w14:paraId="339620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合同当事人可以在专用合同条款中约定合同适用的其他规范性文件。</w:t>
      </w:r>
    </w:p>
    <w:p w14:paraId="6C8C2F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 标准和规范</w:t>
      </w:r>
    </w:p>
    <w:p w14:paraId="5D1192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1.4.1 适用于工程的国家标准、行业标准、工程所在地的地方性标准，以及相应的规范、规程等，合同当事人有特别要求的，应在专用合同条款中约定。</w:t>
      </w:r>
    </w:p>
    <w:p w14:paraId="3A42C53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1.4.2 发包人要求使用国外标准、规范的，发包人负责提供原文版本和中文译本，并在专用合同条款中约定提供标准规范的名称、份数和时间。</w:t>
      </w:r>
    </w:p>
    <w:p w14:paraId="45F0EC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3A12FB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 合同文件的优先顺序</w:t>
      </w:r>
    </w:p>
    <w:p w14:paraId="59D668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组成合同的各项文件应互相解释，互为说明。除专用合同条款另有约定外，解释合同文件的优先顺序如下：</w:t>
      </w:r>
    </w:p>
    <w:p w14:paraId="478043D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（1）合同协议书；</w:t>
      </w:r>
    </w:p>
    <w:p w14:paraId="71CB4B8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（2）中标通知书（如果有）；</w:t>
      </w:r>
    </w:p>
    <w:p w14:paraId="6228428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（3）投标函及其附录（如果有）；</w:t>
      </w:r>
    </w:p>
    <w:p w14:paraId="61A8B98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（4）专用合同条款</w:t>
      </w:r>
      <w:r>
        <w:rPr>
          <w:rFonts w:hint="eastAsia" w:ascii="宋体" w:hAnsi="宋体" w:cs="宋体"/>
          <w:color w:val="000000"/>
          <w:sz w:val="32"/>
          <w:szCs w:val="32"/>
        </w:rPr>
        <w:t>及其附件</w:t>
      </w:r>
      <w:r>
        <w:rPr>
          <w:rFonts w:hint="eastAsia" w:ascii="宋体" w:hAnsi="宋体" w:cs="宋体"/>
          <w:color w:val="000000"/>
          <w:kern w:val="0"/>
          <w:sz w:val="32"/>
          <w:szCs w:val="32"/>
        </w:rPr>
        <w:t>；</w:t>
      </w:r>
    </w:p>
    <w:p w14:paraId="1F69D3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（5）通用合同条款；</w:t>
      </w:r>
    </w:p>
    <w:p w14:paraId="720541C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（6）技术标准和要求；</w:t>
      </w:r>
    </w:p>
    <w:p w14:paraId="16E836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（7）图纸；</w:t>
      </w:r>
    </w:p>
    <w:p w14:paraId="3BE960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（8）已标价工程量清单或预算书；</w:t>
      </w:r>
    </w:p>
    <w:p w14:paraId="01C2E861">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（9）其他合同文件。</w:t>
      </w:r>
    </w:p>
    <w:p w14:paraId="21CBAD7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上述各项合同文件包括合同当事人就该项合同文件所作出的补充和修改，属于同一类内容的文件，应以最新签署的为准。</w:t>
      </w:r>
    </w:p>
    <w:p w14:paraId="44A7C04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在合同订立及履行过程中形成的与合同有关的文件均构成合同文件组成部分，并根据其性质确定优先解释顺序。</w:t>
      </w:r>
    </w:p>
    <w:p w14:paraId="49F2087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1.6图纸和承包人文件</w:t>
      </w:r>
    </w:p>
    <w:p w14:paraId="749862B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 图纸的提供和交底</w:t>
      </w:r>
    </w:p>
    <w:p w14:paraId="68C45C4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136F6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因发包人未按合同约定提供图纸导致承包人费用增加和（或）工期延误的，按照第7.5.1项〔因发包人原因导致工期延误〕约定办理。</w:t>
      </w:r>
    </w:p>
    <w:p w14:paraId="1A2CB66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 图纸的错误</w:t>
      </w:r>
    </w:p>
    <w:p w14:paraId="6FB5ABC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081DDB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1.6.3 图纸的修改和补充</w:t>
      </w:r>
    </w:p>
    <w:p w14:paraId="5FC1E96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图纸需要修改和补充的，应经图纸原设计人及审批部门同意，并由监理人在工程或工程相应部位施工前将修改后的图纸或补充图纸提交给承包人，承包人应按修改或补充后的图纸施工。</w:t>
      </w:r>
    </w:p>
    <w:p w14:paraId="293975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1.6.4 承包人文件</w:t>
      </w:r>
    </w:p>
    <w:p w14:paraId="4DA600A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承包人应按照专用合同条款的约定提供应当由其编制的与工程施工有关的文件，并按照专用合同条款约定的期限、数量和形式提交监理人，并由监理人报送发包人。</w:t>
      </w:r>
    </w:p>
    <w:p w14:paraId="4300FAE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787522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1.6.5 图纸和承包人文件的保管</w:t>
      </w:r>
    </w:p>
    <w:p w14:paraId="5BC4D16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除专用合同条款另有约定外，承包人应在施工现场另外保存一套完整的图纸和承包人文件，供发包人、监理人及有关人员进行工程检查时使用。</w:t>
      </w:r>
    </w:p>
    <w:p w14:paraId="64F33BD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1.7联络</w:t>
      </w:r>
    </w:p>
    <w:p w14:paraId="5DDC5A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1.7.1 与合同有关的通知、批准、证明、证书、指示、指令、要求、请求、同意、意见、确定和决定等，均应采用书面形式，并应在合同约定的期限内送达接收人和送达地点。</w:t>
      </w:r>
    </w:p>
    <w:p w14:paraId="15D1ED6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1.7.2 发包人和承包人应在专用合同条款中约定各自的送达接收人和送达地点。任何一方合同当事人指定的接收人或送达地点发生变动的，应提前3天以书面形式通知对方。</w:t>
      </w:r>
    </w:p>
    <w:p w14:paraId="6B1AF2D4">
      <w:pPr>
        <w:autoSpaceDE w:val="0"/>
        <w:autoSpaceDN w:val="0"/>
        <w:adjustRightInd w:val="0"/>
        <w:spacing w:line="440" w:lineRule="exact"/>
        <w:ind w:firstLine="640" w:firstLineChars="200"/>
        <w:jc w:val="left"/>
        <w:rPr>
          <w:rFonts w:ascii="宋体" w:hAnsi="宋体" w:cs="宋体"/>
          <w:color w:val="FF0000"/>
          <w:kern w:val="0"/>
          <w:sz w:val="32"/>
          <w:szCs w:val="32"/>
        </w:rPr>
      </w:pPr>
      <w:r>
        <w:rPr>
          <w:rFonts w:hint="eastAsia" w:ascii="宋体" w:hAnsi="宋体" w:cs="宋体"/>
          <w:color w:val="000000"/>
          <w:kern w:val="0"/>
          <w:sz w:val="32"/>
          <w:szCs w:val="32"/>
        </w:rPr>
        <w:t>1.7.3 发包人和承包人应当及时签收另一方送达至送达地点和指定接收人的来往信函。拒不签收的，由此增加的费用和（或）延误的工期由拒绝接收一方承担。</w:t>
      </w:r>
    </w:p>
    <w:p w14:paraId="12F47263">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1.8严禁贿赂</w:t>
      </w:r>
    </w:p>
    <w:p w14:paraId="1CD78B5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合同当事人不得以贿赂或变相贿赂的方式，谋取非法利益或损害对方权益。因一方合同当事人的贿赂造成对方损失的，应赔偿损失，并承担相应的法律责任。</w:t>
      </w:r>
    </w:p>
    <w:p w14:paraId="264CF9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4B8F60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1.9化石、文物</w:t>
      </w:r>
    </w:p>
    <w:p w14:paraId="502C85F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F1C75C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发包人、监理人和承包人应按有关政府行政管理部门要求采取妥善的保护措施，由此增加的费用和（或）延误的工期由发包人承担。</w:t>
      </w:r>
    </w:p>
    <w:p w14:paraId="5CFBF8F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承包人发现文物后不及时报告或隐瞒不报，致使文物丢失或损坏的，应赔偿损失，并承担相应的法律责任。</w:t>
      </w:r>
    </w:p>
    <w:p w14:paraId="40886FD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1.10交通运输</w:t>
      </w:r>
    </w:p>
    <w:p w14:paraId="08D414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1.10.1 出入现场的权利</w:t>
      </w:r>
    </w:p>
    <w:p w14:paraId="2ABF08D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0CCE4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2DF8F7E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1.10.2 场外交通</w:t>
      </w:r>
    </w:p>
    <w:p w14:paraId="45CC47B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0BA20D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1.10.3场内交通</w:t>
      </w:r>
    </w:p>
    <w:p w14:paraId="4B8699B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ABD66D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79A1CF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场外交通和场内交通的边界由合同当事人在专用合同条款中约定。</w:t>
      </w:r>
    </w:p>
    <w:p w14:paraId="1CB3CAC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1.10.4 超大件和超重件的运输</w:t>
      </w:r>
    </w:p>
    <w:p w14:paraId="3B0305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F5A11E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1.10.5 道路和桥梁的损坏责任</w:t>
      </w:r>
    </w:p>
    <w:p w14:paraId="76FB187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因承包人运输造成施工场地内外公共道路和桥梁损坏的，由承包人承担修复损坏的全部费用和可能引起的赔偿。</w:t>
      </w:r>
    </w:p>
    <w:p w14:paraId="2FE2C14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1.10.6 水路和航空运输</w:t>
      </w:r>
    </w:p>
    <w:p w14:paraId="15BA7BA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本款前述各项的内容适用于水路运输和航空运输，其中“道路”一词的涵义包括河道、航线、船闸、机场、码头、堤防以及水路或航空运输中其他相似结构物；“车辆”一词的涵义包括船舶和飞机等。</w:t>
      </w:r>
    </w:p>
    <w:p w14:paraId="082DFA1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1.11知识产权 </w:t>
      </w:r>
    </w:p>
    <w:p w14:paraId="71AE4B8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D8546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9F104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43AAC1C">
      <w:pPr>
        <w:spacing w:line="440" w:lineRule="exact"/>
        <w:ind w:firstLine="640" w:firstLineChars="200"/>
        <w:rPr>
          <w:rFonts w:ascii="宋体" w:hAnsi="宋体" w:cs="宋体"/>
          <w:sz w:val="32"/>
          <w:szCs w:val="32"/>
        </w:rPr>
      </w:pPr>
      <w:r>
        <w:rPr>
          <w:rFonts w:hint="eastAsia" w:ascii="宋体" w:hAnsi="宋体" w:cs="宋体"/>
          <w:color w:val="000000"/>
          <w:sz w:val="32"/>
          <w:szCs w:val="32"/>
        </w:rPr>
        <w:t>1.11.4 除专用合同条款另有约定外，承包人在合同签订前和签订时已确定采用的专利、专有技术、技术秘密的使用费已包含在签约合同价中。</w:t>
      </w:r>
    </w:p>
    <w:p w14:paraId="2E7D11D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1.12保密</w:t>
      </w:r>
    </w:p>
    <w:p w14:paraId="69EC8E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除法律规定或合同另有约定外，未经发包人同意，承包人不得将发包人提供的图纸、文件以及声明需要保密的资料信息等商业秘密泄露给第三方。</w:t>
      </w:r>
    </w:p>
    <w:p w14:paraId="03D253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除法律规定或合同另有约定外，未经承包人同意，发包人不得将承包人提供的技术秘密及声明需要保密的资料信息等商业秘密泄露给第三方。</w:t>
      </w:r>
    </w:p>
    <w:p w14:paraId="45F8960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1.13工程量清单错误的修正</w:t>
      </w:r>
    </w:p>
    <w:p w14:paraId="350ED94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除专用合同条款另有约定外，发包人提供的工程量清单，应被认为是准确的和完整的。出现下列情形之一时，发包人应予以修正，并相应调整合同价格：</w:t>
      </w:r>
    </w:p>
    <w:p w14:paraId="207768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（1）工程量清单存在缺项、漏项的；</w:t>
      </w:r>
    </w:p>
    <w:p w14:paraId="2AB2CCA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（2）工程量清单偏差超出专用合同条款约定的工程量偏差范围的；</w:t>
      </w:r>
    </w:p>
    <w:p w14:paraId="44678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（3）未按照国家现行计量规范强制性规定计量的。</w:t>
      </w:r>
    </w:p>
    <w:p w14:paraId="07DEAF6C">
      <w:pPr>
        <w:keepNext/>
        <w:keepLines/>
        <w:spacing w:before="120" w:after="120" w:line="440" w:lineRule="exact"/>
        <w:ind w:firstLine="640" w:firstLineChars="200"/>
        <w:outlineLvl w:val="2"/>
        <w:rPr>
          <w:rFonts w:ascii="宋体" w:hAnsi="宋体" w:cs="宋体"/>
          <w:bCs/>
          <w:color w:val="000000"/>
          <w:sz w:val="32"/>
          <w:szCs w:val="32"/>
        </w:rPr>
      </w:pPr>
      <w:bookmarkStart w:id="56" w:name="_Toc256000215"/>
      <w:r>
        <w:rPr>
          <w:rFonts w:hint="eastAsia" w:ascii="宋体" w:hAnsi="宋体" w:cs="宋体"/>
          <w:bCs/>
          <w:color w:val="000000"/>
          <w:sz w:val="32"/>
          <w:szCs w:val="32"/>
        </w:rPr>
        <w:t>2. 发包人</w:t>
      </w:r>
      <w:bookmarkEnd w:id="56"/>
    </w:p>
    <w:p w14:paraId="6D19B02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2.1 许可或批准</w:t>
      </w:r>
    </w:p>
    <w:p w14:paraId="02010E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8B1FD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因发包人原因未能及时办理完毕前述许可、批准或备案，由发包人承担由此增加的费用和（或）延误的工期，并支付承包人合理的利润。</w:t>
      </w:r>
    </w:p>
    <w:p w14:paraId="347DB64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2.2 发包人代表</w:t>
      </w:r>
    </w:p>
    <w:p w14:paraId="61CE88B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4A211D1">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发包人代表不能按照合同约定履行其职责及义务，并导致合同无法继续正常履行的，承包人可以要求发包人撤换发包人代表。</w:t>
      </w:r>
    </w:p>
    <w:p w14:paraId="03363D78">
      <w:pPr>
        <w:spacing w:line="440" w:lineRule="exact"/>
        <w:ind w:firstLine="640" w:firstLineChars="200"/>
        <w:rPr>
          <w:rFonts w:ascii="宋体" w:hAnsi="宋体" w:cs="宋体"/>
          <w:sz w:val="32"/>
          <w:szCs w:val="32"/>
        </w:rPr>
      </w:pPr>
      <w:r>
        <w:rPr>
          <w:rFonts w:hint="eastAsia" w:ascii="宋体" w:hAnsi="宋体" w:cs="宋体"/>
          <w:color w:val="000000"/>
          <w:kern w:val="0"/>
          <w:sz w:val="32"/>
          <w:szCs w:val="32"/>
        </w:rPr>
        <w:t>不属于法定必须监理的工程，监理人的职权可以由发包人代表或发包人指定的其他人员行使。</w:t>
      </w:r>
    </w:p>
    <w:p w14:paraId="3D2A096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2.3 发包人人员</w:t>
      </w:r>
    </w:p>
    <w:p w14:paraId="730AD3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发包人应要求在施工现场的发包人人员遵守法律及有关安全、质量、环境保护、文明施工等规定，并保障承包人免于承受因发包人人员未遵守上述要求给承包人造成的损失和责任。</w:t>
      </w:r>
    </w:p>
    <w:p w14:paraId="6BA0D60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发包人人员包括发包人代表及其他由发包人派驻施工现场的人员。</w:t>
      </w:r>
    </w:p>
    <w:p w14:paraId="5BD3682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2.4 施工现场、施工条件和基础资料的提供  </w:t>
      </w:r>
    </w:p>
    <w:p w14:paraId="163F1C6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2.4.1 提供施工现场</w:t>
      </w:r>
    </w:p>
    <w:p w14:paraId="110B1F6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除专用合同条款另有约定外，发包人应最迟于开工日期7天前向承包人移交施工现场。</w:t>
      </w:r>
    </w:p>
    <w:p w14:paraId="704656F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2.4.2 提供施工条件</w:t>
      </w:r>
    </w:p>
    <w:p w14:paraId="37CF88E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除专用合同条款另有约定外，发包人应负责提供施工所需要的条件，包括：</w:t>
      </w:r>
    </w:p>
    <w:p w14:paraId="30F3379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（1）将施工用水、电力、通讯线路等施工所必需的条件接至施工现场内；</w:t>
      </w:r>
    </w:p>
    <w:p w14:paraId="2386A9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（2）保证向承包人提供正常施工所需要的进入施工现场的交通条件；</w:t>
      </w:r>
    </w:p>
    <w:p w14:paraId="64A600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（3）协调处理施工现场周围地下管线和邻近建筑物、构筑物、古树名木的保护工作，并承担相关费用；</w:t>
      </w:r>
    </w:p>
    <w:p w14:paraId="045EA1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（4）按照专用合同条款约定应提供的其他设施和条件。</w:t>
      </w:r>
    </w:p>
    <w:p w14:paraId="7CAD37D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2.4.3 提供基础资料</w:t>
      </w:r>
    </w:p>
    <w:p w14:paraId="2499BE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DCD06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按照法律规定确需在开工后方能提供的基础资料，发包人应尽其努力及时地在相应工程施工前的合理期限内提供，合理期限应以不影响承包人的正常施工为限。</w:t>
      </w:r>
    </w:p>
    <w:p w14:paraId="547D0EF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2.4.4 逾期提供的责任</w:t>
      </w:r>
    </w:p>
    <w:p w14:paraId="1ECDEA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因发包人原因未能按合同约定及时向承包人提供施工现场、施工条件、基础资料的，由发包人承担由此增加的费用和（或）延误的工期。</w:t>
      </w:r>
    </w:p>
    <w:p w14:paraId="176263C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2.5 资金来源证明及支付担保</w:t>
      </w:r>
    </w:p>
    <w:p w14:paraId="01247D3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除专用合同条款另有约定外，发包人应在收到承包人要求提供资金来源证明的书面通知后28天内，向承包人提供能够按照合同约定支付合同价款的相应资金来源证明。</w:t>
      </w:r>
    </w:p>
    <w:p w14:paraId="190B86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4C2F10A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2.6 支付合同价款</w:t>
      </w:r>
    </w:p>
    <w:p w14:paraId="02213B2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发包人应按合同约定向承包人及时支付合同价款。</w:t>
      </w:r>
    </w:p>
    <w:p w14:paraId="266061F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2.7 组织竣工验收</w:t>
      </w:r>
    </w:p>
    <w:p w14:paraId="72C0D5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发包人应按合同约定及时组织竣工验收。</w:t>
      </w:r>
    </w:p>
    <w:p w14:paraId="257BD72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2.8 现场统一管理协议</w:t>
      </w:r>
    </w:p>
    <w:p w14:paraId="021FF2D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发包人应与承包人、由发包人直接发包的专业工程的承包人签订施工现场统一管理协议，明确各方的权利义务。施工现场统一管理协议作为专用合同条款的附件。</w:t>
      </w:r>
    </w:p>
    <w:p w14:paraId="59A33571">
      <w:pPr>
        <w:keepNext/>
        <w:keepLines/>
        <w:spacing w:before="120" w:after="120" w:line="440" w:lineRule="exact"/>
        <w:ind w:firstLine="640" w:firstLineChars="200"/>
        <w:outlineLvl w:val="2"/>
        <w:rPr>
          <w:rFonts w:ascii="宋体" w:hAnsi="宋体" w:cs="宋体"/>
          <w:bCs/>
          <w:color w:val="000000"/>
          <w:sz w:val="32"/>
          <w:szCs w:val="32"/>
        </w:rPr>
      </w:pPr>
      <w:bookmarkStart w:id="57" w:name="_Toc256000216"/>
      <w:r>
        <w:rPr>
          <w:rFonts w:hint="eastAsia" w:ascii="宋体" w:hAnsi="宋体" w:cs="宋体"/>
          <w:bCs/>
          <w:color w:val="000000"/>
          <w:sz w:val="32"/>
          <w:szCs w:val="32"/>
        </w:rPr>
        <w:t>3. 承包人</w:t>
      </w:r>
      <w:bookmarkEnd w:id="57"/>
    </w:p>
    <w:p w14:paraId="2EC39F2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3.1 承包人的一般义务</w:t>
      </w:r>
    </w:p>
    <w:p w14:paraId="6CD101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承包人在履行合同过程中应遵守法律和工程建设标准规范，并履行以下义务：</w:t>
      </w:r>
    </w:p>
    <w:p w14:paraId="69AD9298">
      <w:pPr>
        <w:numPr>
          <w:ilvl w:val="0"/>
          <w:numId w:val="3"/>
        </w:num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办理法律规定应由承包人办理的许可和批准，并将办理结果书面报送发包人留存；</w:t>
      </w:r>
    </w:p>
    <w:p w14:paraId="36E9AA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（2）按法律规定和合同约定完成工程，并在保修期内承担保修义务；</w:t>
      </w:r>
    </w:p>
    <w:p w14:paraId="0592895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（3）按法律规定和合同约定采取施工安全和环境保护措施，办理工伤保险，确保工程及人员、材料、设备和设施的安全；</w:t>
      </w:r>
    </w:p>
    <w:p w14:paraId="1544526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（4）按合同约定的工作内容和施工进度要求，编制施工组织设计和施工措施计划，并对所有施工作业和施工方法的完备性和安全可靠性负责；</w:t>
      </w:r>
    </w:p>
    <w:p w14:paraId="552B821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056E63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（6）按照第6.3款〔环境保护〕约定负责施工场地及其周边环境与生态的保护工作；</w:t>
      </w:r>
    </w:p>
    <w:p w14:paraId="2F651C3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（7）按第6.1款〔安全文明施工〕约定采取施工安全措施，确保工程及其人员、材料、设备和设施的安全，防止因工程施工造成的人身伤害和财产损失；</w:t>
      </w:r>
    </w:p>
    <w:p w14:paraId="5C973DC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（8）将发包人按合同约定支付的各项价款专用于合同工程，且应及时支付其雇用人员工资，并及时向分包人支付合同价款；</w:t>
      </w:r>
    </w:p>
    <w:p w14:paraId="06B51F3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（9）按照法律规定和合同约定编制竣工资料，完成竣工资料立卷及归档，并按专用合同条款约定的竣工资料的套数、内容、时间等要求移交发包人；</w:t>
      </w:r>
    </w:p>
    <w:p w14:paraId="3EF09BD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（10）应履行的其他义务。</w:t>
      </w:r>
    </w:p>
    <w:p w14:paraId="2735D9F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3.2 项目经理</w:t>
      </w:r>
    </w:p>
    <w:p w14:paraId="3E84100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16C09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536E4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承包人违反上述约定的，应按照专用合同条款的约定，承担违约责任。</w:t>
      </w:r>
    </w:p>
    <w:p w14:paraId="47553A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F6723D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834F68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B0BEF2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6078F2D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3.3 承包人人员</w:t>
      </w:r>
    </w:p>
    <w:p w14:paraId="0F27584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DA5662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2D3401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特殊工种作业人员均应持有相应的资格证明，监理人可以随时检查。</w:t>
      </w:r>
    </w:p>
    <w:p w14:paraId="0EEB9F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4E3EFE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BC2F1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3.3.5 承包人擅自更换主要施工管理人员，或前述人员未经监理人或发包人同意擅自离开施工现场的，应按照专用合同条款约定承担违约责任。</w:t>
      </w:r>
    </w:p>
    <w:p w14:paraId="65C769C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3.4 承包人现场查勘</w:t>
      </w:r>
    </w:p>
    <w:p w14:paraId="2D04CCCF">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承包人应对基于发包人按照第2.4.3项〔提供基础资料〕提交的基础资料所做出的解释和推断负责，但因基础资料存在错误、遗漏导致承包人解释或推断失实的，由发包人承担责任。</w:t>
      </w:r>
    </w:p>
    <w:p w14:paraId="692F69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A54C8B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3.5 分包</w:t>
      </w:r>
    </w:p>
    <w:p w14:paraId="7D231E5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3.5.1 分包的一般约定</w:t>
      </w:r>
    </w:p>
    <w:p w14:paraId="20F172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3EC73F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承包人不得以劳务分包的名义转包或违法分包工程。</w:t>
      </w:r>
    </w:p>
    <w:p w14:paraId="257D061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3.5.2 分包的确定</w:t>
      </w:r>
    </w:p>
    <w:p w14:paraId="19D8BB7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72FF1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3.5.3 分包管理</w:t>
      </w:r>
    </w:p>
    <w:p w14:paraId="0E54667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承包人应向监理人提交分包人的主要施工管理人员表，并对分包人的施工人员进行实名制管理，包括但不限于进出场管理、登记造册以及各种证照的办理。</w:t>
      </w:r>
    </w:p>
    <w:p w14:paraId="3E311BB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3.5.4 分包合同价款</w:t>
      </w:r>
    </w:p>
    <w:p w14:paraId="5564CF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（1）除本项第（2）目约定的情况或专用合同条款另有约定外，分包合同价款由承包人与分包人结算，未经承包人同意，发包人不得向分包人支付分包工程价款；</w:t>
      </w:r>
    </w:p>
    <w:p w14:paraId="3D8288F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（2）生效法律文书要求发包人向分包人支付分包合同价款的，发包人有权从应付承包人工程款中扣除该部分款项。</w:t>
      </w:r>
    </w:p>
    <w:p w14:paraId="2DAC78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3.5.5 分包合同权益的转让</w:t>
      </w:r>
    </w:p>
    <w:p w14:paraId="0CDFBD7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797E9B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3.6 工程照管与成品、半成品保护</w:t>
      </w:r>
    </w:p>
    <w:p w14:paraId="5D576B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（1）除专用合同条款另有约定外，自发包人向承包人移交施工现场之日起，承包人应负责照管工程及工程相关的材料、工程设备，直到颁发工程接收证书之日止。</w:t>
      </w:r>
    </w:p>
    <w:p w14:paraId="0172AC6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（2）在承包人负责照管期间，因承包人原因造成工程、材料、工程设备损坏的，由承包人负责修复或更换，并承担由此增加的费用和（或）延误的工期。</w:t>
      </w:r>
    </w:p>
    <w:p w14:paraId="3CF35B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（3）对合同内分期完成的成品和半成品，在工程接收证书颁发前，由承包人承担保护责任。因承包人原因造成成品或半成品损坏的，由承包人负责修复或更换，并承担由此增加的费用和（或）延误的工期。</w:t>
      </w:r>
    </w:p>
    <w:p w14:paraId="136775F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3.7 履约担保</w:t>
      </w:r>
    </w:p>
    <w:p w14:paraId="4005F2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DAE11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因承包人原因导致工期延长的，继续提供履约担保所增加的费用由承包人承担；非因承包人原因导致工期延长的，继续提供履约担保所增加的费用由发包人承担。</w:t>
      </w:r>
    </w:p>
    <w:p w14:paraId="3B4A2DF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3.8 联合体</w:t>
      </w:r>
    </w:p>
    <w:p w14:paraId="7CC9AE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3.8.1 联合体各方应共同与发包人签订合同协议书。联合体各方应为履行合同向发包人承担连带责任。</w:t>
      </w:r>
    </w:p>
    <w:p w14:paraId="58D328E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3.8.2 联合体协议经发包人确认后作为合同附件。在履行合同过程中，未经发包人同意，不得修改联合体协议。</w:t>
      </w:r>
    </w:p>
    <w:p w14:paraId="65B7C2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3.8.3 联合体牵头人负责与发包人和监理人联系，并接受指示，负责组织联合体各成员全面履行合同。</w:t>
      </w:r>
    </w:p>
    <w:p w14:paraId="7467B74C">
      <w:pPr>
        <w:keepNext/>
        <w:keepLines/>
        <w:spacing w:before="120" w:after="120" w:line="440" w:lineRule="exact"/>
        <w:ind w:firstLine="640" w:firstLineChars="200"/>
        <w:outlineLvl w:val="2"/>
        <w:rPr>
          <w:rFonts w:ascii="宋体" w:hAnsi="宋体" w:cs="宋体"/>
          <w:bCs/>
          <w:color w:val="000000"/>
          <w:sz w:val="32"/>
          <w:szCs w:val="32"/>
        </w:rPr>
      </w:pPr>
      <w:bookmarkStart w:id="58" w:name="_Toc256000217"/>
      <w:r>
        <w:rPr>
          <w:rFonts w:hint="eastAsia" w:ascii="宋体" w:hAnsi="宋体" w:cs="宋体"/>
          <w:bCs/>
          <w:color w:val="000000"/>
          <w:sz w:val="32"/>
          <w:szCs w:val="32"/>
        </w:rPr>
        <w:t>4. 监理人</w:t>
      </w:r>
      <w:bookmarkEnd w:id="58"/>
    </w:p>
    <w:p w14:paraId="41ECD86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4.1监理人的一般规定</w:t>
      </w:r>
    </w:p>
    <w:p w14:paraId="33CB55F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8D11C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除专用合同条款另有约定外，监理人在施工现场的办公场所、生活场所由承包人提供，所发生的费用由发包人承担。</w:t>
      </w:r>
    </w:p>
    <w:p w14:paraId="5B8EBE0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4.2监理人员</w:t>
      </w:r>
    </w:p>
    <w:p w14:paraId="18FC30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C0F439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4.3监理人的指示</w:t>
      </w:r>
    </w:p>
    <w:p w14:paraId="1B3EA7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28115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DAA63F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承包人对监理人发出的指示有疑问的，应向监理人提出书面异议，监理人应在48小时内对该指示予以确认、更改或撤销，监理人逾期未回复的，承包人有权拒绝执行上述指示。</w:t>
      </w:r>
    </w:p>
    <w:p w14:paraId="63C44FC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监理人对承包人的任何工作、工程或其采用的材料和工程设备未在约定的或合理期限内提出意见的，视为批准，但不免除或减轻承包人对该工作、工程、材料、工程设备等应承担的责任和义务。</w:t>
      </w:r>
    </w:p>
    <w:p w14:paraId="3CFD1B9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4.4 商定或确定</w:t>
      </w:r>
    </w:p>
    <w:p w14:paraId="33885E3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合同当事人进行商定或确定时，总监理工程师应当会同合同当事人尽量通过协商达成一致，不能达成一致的，由总监理工程师按照合同约定审慎做出公正的确定。</w:t>
      </w:r>
    </w:p>
    <w:p w14:paraId="6F767AA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BC96669">
      <w:pPr>
        <w:keepNext/>
        <w:keepLines/>
        <w:spacing w:before="120" w:after="120" w:line="440" w:lineRule="exact"/>
        <w:ind w:firstLine="640" w:firstLineChars="200"/>
        <w:outlineLvl w:val="2"/>
        <w:rPr>
          <w:rFonts w:ascii="宋体" w:hAnsi="宋体" w:cs="宋体"/>
          <w:bCs/>
          <w:color w:val="000000"/>
          <w:sz w:val="32"/>
          <w:szCs w:val="32"/>
        </w:rPr>
      </w:pPr>
      <w:bookmarkStart w:id="59" w:name="_Toc256000218"/>
      <w:r>
        <w:rPr>
          <w:rFonts w:hint="eastAsia" w:ascii="宋体" w:hAnsi="宋体" w:cs="宋体"/>
          <w:bCs/>
          <w:color w:val="000000"/>
          <w:sz w:val="32"/>
          <w:szCs w:val="32"/>
        </w:rPr>
        <w:t>5. 工程质量</w:t>
      </w:r>
      <w:bookmarkEnd w:id="59"/>
    </w:p>
    <w:p w14:paraId="7BFD4B8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5.1质量要求</w:t>
      </w:r>
    </w:p>
    <w:p w14:paraId="6610A63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5.1.1 工程质量标准必须符合现行国家有关工程施工质量验收规范和标准的要求。有关工程质量的特殊标准或要求由合同当事人在专用合同条款中约定。</w:t>
      </w:r>
    </w:p>
    <w:p w14:paraId="7412EC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5.1.2 因发包人原因造成工程质量未达到合同约定标准的，由发包人承担由此增加的费用和（或）延误的工期，并支付承包人合理的利润。</w:t>
      </w:r>
    </w:p>
    <w:p w14:paraId="6D6A742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5.1.3 因承包人原因造成工程质量未达到合同约定标准的，发包人有权要求承包人返工直至工程质量达到合同约定的标准为止，并由承包人承担由此增加的费用和（或）延误的工期。</w:t>
      </w:r>
    </w:p>
    <w:p w14:paraId="573B651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5.2质量保证措施</w:t>
      </w:r>
    </w:p>
    <w:p w14:paraId="5AB87B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5.2.1 发包人的质量管理</w:t>
      </w:r>
    </w:p>
    <w:p w14:paraId="451F82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发包人应按照法律规定及合同约定完成与工程质量有关的各项工作。</w:t>
      </w:r>
    </w:p>
    <w:p w14:paraId="578E7E7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5.2.2 承包人的质量管理</w:t>
      </w:r>
    </w:p>
    <w:p w14:paraId="5C74AA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B0C82D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承包人应对施工人员进行质量教育和技术培训，定期考核施工人员的劳动技能，严格执行施工规范和操作规程。</w:t>
      </w:r>
    </w:p>
    <w:p w14:paraId="58A75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363F3C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5.2.3 监理人的质量检查和检验</w:t>
      </w:r>
    </w:p>
    <w:p w14:paraId="725BADB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38ED49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30518C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5.3 隐蔽工程检查</w:t>
      </w:r>
    </w:p>
    <w:p w14:paraId="4607B7A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5.3.1承包人自检</w:t>
      </w:r>
    </w:p>
    <w:p w14:paraId="6D413A5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承包人应当对工程隐蔽部位进行自检，并经自检确认是否具备覆盖条件。</w:t>
      </w:r>
    </w:p>
    <w:p w14:paraId="4545E08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5.3.2检查程序</w:t>
      </w:r>
    </w:p>
    <w:p w14:paraId="725C4FA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2554D9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E2BC34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D78940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5.3.3 重新检查</w:t>
      </w:r>
    </w:p>
    <w:p w14:paraId="3A52618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56A44F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5.3.4 承包人私自覆盖</w:t>
      </w:r>
    </w:p>
    <w:p w14:paraId="4483911C">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承包人未通知监理人到场检查，私自将工程隐蔽部位覆盖的，监理人有权指示承包人钻孔探测或揭开检查，无论工程隐蔽部位质量是否合格，由此增加的费用和（或）延误的工期均由承包人承担。</w:t>
      </w:r>
    </w:p>
    <w:p w14:paraId="370E708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5.4不合格工程的处理</w:t>
      </w:r>
    </w:p>
    <w:p w14:paraId="2E629C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22777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5.4.2 因发包人原因造成工程不合格的，由此增加的费用和（或）延误的工期由发包人承担，并支付承包人合理的利润。</w:t>
      </w:r>
    </w:p>
    <w:p w14:paraId="47CA0C2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5.5 质量争议检测</w:t>
      </w:r>
    </w:p>
    <w:p w14:paraId="7E2A4D9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合同当事人对工程质量有争议的，由双方协商确定的工程质量检测机构鉴定，由此产生的费用及因此造成的损失，由责任方承担。</w:t>
      </w:r>
    </w:p>
    <w:p w14:paraId="565A002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合同当事人均有责任的，由双方根据其责任分别承担。合同当事人无法达成一致的，按照第4.4款〔商定或确定〕执行。</w:t>
      </w:r>
    </w:p>
    <w:p w14:paraId="08E99ED9">
      <w:pPr>
        <w:keepNext/>
        <w:keepLines/>
        <w:spacing w:before="120" w:after="120" w:line="440" w:lineRule="exact"/>
        <w:ind w:firstLine="640" w:firstLineChars="200"/>
        <w:outlineLvl w:val="2"/>
        <w:rPr>
          <w:rFonts w:ascii="宋体" w:hAnsi="宋体" w:cs="宋体"/>
          <w:bCs/>
          <w:color w:val="000000"/>
          <w:sz w:val="32"/>
          <w:szCs w:val="32"/>
        </w:rPr>
      </w:pPr>
      <w:bookmarkStart w:id="60" w:name="_Toc256000219"/>
      <w:r>
        <w:rPr>
          <w:rFonts w:hint="eastAsia" w:ascii="宋体" w:hAnsi="宋体" w:cs="宋体"/>
          <w:bCs/>
          <w:color w:val="000000"/>
          <w:sz w:val="32"/>
          <w:szCs w:val="32"/>
        </w:rPr>
        <w:t>6. 安全文明施工与环境保护</w:t>
      </w:r>
      <w:bookmarkEnd w:id="60"/>
    </w:p>
    <w:p w14:paraId="0DF8C41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6.1安全文明施工</w:t>
      </w:r>
    </w:p>
    <w:p w14:paraId="3088513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6.1.1安全生产要求</w:t>
      </w:r>
    </w:p>
    <w:p w14:paraId="2E926CD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96FDD7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000000"/>
          <w:kern w:val="0"/>
          <w:sz w:val="32"/>
          <w:szCs w:val="32"/>
        </w:rPr>
        <w:t>政府有关行政管理部门</w:t>
      </w:r>
      <w:r>
        <w:rPr>
          <w:rFonts w:hint="eastAsia" w:ascii="宋体" w:hAnsi="宋体" w:cs="宋体"/>
          <w:color w:val="000000"/>
          <w:sz w:val="32"/>
          <w:szCs w:val="32"/>
        </w:rPr>
        <w:t>采取应急措施。</w:t>
      </w:r>
    </w:p>
    <w:p w14:paraId="760D421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因安全生产需要暂停施工的，按照第7.8款〔暂停施工〕的约定执行。</w:t>
      </w:r>
    </w:p>
    <w:p w14:paraId="543D051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6.1.2 安全生产保证措施</w:t>
      </w:r>
    </w:p>
    <w:p w14:paraId="52DE841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承包人应当按照有关</w:t>
      </w:r>
      <w:r>
        <w:rPr>
          <w:rFonts w:hint="eastAsia" w:ascii="宋体" w:hAnsi="宋体" w:cs="宋体"/>
          <w:color w:val="000000"/>
          <w:kern w:val="0"/>
          <w:sz w:val="32"/>
          <w:szCs w:val="32"/>
        </w:rPr>
        <w:t>规定编制安全技术措施或者专项施工方案，</w:t>
      </w:r>
      <w:r>
        <w:rPr>
          <w:rFonts w:hint="eastAsia" w:ascii="宋体" w:hAnsi="宋体" w:cs="宋体"/>
          <w:color w:val="000000"/>
          <w:sz w:val="32"/>
          <w:szCs w:val="32"/>
        </w:rPr>
        <w:t>建立安全生产责任制度、治安保卫制度及安全生产教育培训制度，并</w:t>
      </w:r>
      <w:r>
        <w:rPr>
          <w:rFonts w:hint="eastAsia" w:ascii="宋体" w:hAnsi="宋体" w:cs="宋体"/>
          <w:color w:val="000000"/>
          <w:kern w:val="0"/>
          <w:sz w:val="32"/>
          <w:szCs w:val="32"/>
        </w:rPr>
        <w:t>按安全生产法律规定及合同约定履行安全职责，如实</w:t>
      </w:r>
      <w:r>
        <w:rPr>
          <w:rFonts w:hint="eastAsia" w:ascii="宋体" w:hAnsi="宋体" w:cs="宋体"/>
          <w:color w:val="000000"/>
          <w:sz w:val="32"/>
          <w:szCs w:val="32"/>
        </w:rPr>
        <w:t>编制工程安全生产的有关记录，</w:t>
      </w:r>
      <w:r>
        <w:rPr>
          <w:rFonts w:hint="eastAsia" w:ascii="宋体" w:hAnsi="宋体" w:cs="宋体"/>
          <w:color w:val="000000"/>
          <w:kern w:val="0"/>
          <w:sz w:val="32"/>
          <w:szCs w:val="32"/>
        </w:rPr>
        <w:t>接受发包人、监理人及政府安全监督部门的检查与监督。</w:t>
      </w:r>
    </w:p>
    <w:p w14:paraId="0F0828C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6.1.3特别安全生产事项</w:t>
      </w:r>
    </w:p>
    <w:p w14:paraId="366E1A3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721170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承包人在动力设备、输电线路、地下管道、密封防震车间、易燃易爆地段以及临街交通要道附近施工时，施工开始前应向发包人和监理人提出安全防护措施，经发包人认可后实施。 </w:t>
      </w:r>
    </w:p>
    <w:p w14:paraId="612554E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18999FC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需单独编制危险性较大分部分项专项工程施工方案的，及要求进行专家论证的超过一定规模的危险性较大的分部分项工程，承包人应及时编制和组织论证。</w:t>
      </w:r>
    </w:p>
    <w:p w14:paraId="4A18B865">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6.1.4 治安保卫</w:t>
      </w:r>
    </w:p>
    <w:p w14:paraId="4F6E9E2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除专用合同条款另有约定外，发包人应与当地公安部门协商，在现场建立治安管理机构或联防组织，统一管理施工场地的治安保卫事项，履行合同工程的治安保卫职责。</w:t>
      </w:r>
    </w:p>
    <w:p w14:paraId="34007B6E">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发包人和承包人除应协助现场治安管理机构或联防组织维护施工场地的社会治安外，还应做好包括生活区在内的各自管辖区的治安保卫工作。</w:t>
      </w:r>
    </w:p>
    <w:p w14:paraId="355DDDF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39C7CE0">
      <w:pPr>
        <w:spacing w:line="440" w:lineRule="exact"/>
        <w:ind w:firstLine="640" w:firstLineChars="200"/>
        <w:rPr>
          <w:rFonts w:ascii="宋体" w:hAnsi="宋体" w:cs="宋体"/>
          <w:color w:val="000000"/>
          <w:kern w:val="0"/>
          <w:sz w:val="32"/>
          <w:szCs w:val="32"/>
        </w:rPr>
      </w:pPr>
      <w:r>
        <w:rPr>
          <w:rFonts w:hint="eastAsia" w:ascii="宋体" w:hAnsi="宋体" w:cs="宋体"/>
          <w:color w:val="000000"/>
          <w:sz w:val="32"/>
          <w:szCs w:val="32"/>
        </w:rPr>
        <w:t>6.1.5 文明施工</w:t>
      </w:r>
    </w:p>
    <w:p w14:paraId="26925F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759EA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E442E9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6.1.6 安全文明施工费</w:t>
      </w:r>
    </w:p>
    <w:p w14:paraId="3F5A8F4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安全文明施工费由发包人承担，发包人不得以任何形式扣减该部分费用。因基准日期后合同所适用的法律或政府有关规定发生变化，增加的安全文明施工费由发包人承担。</w:t>
      </w:r>
    </w:p>
    <w:p w14:paraId="36EE42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065B84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B3C36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9A7F39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6.1.7 紧急情况处理</w:t>
      </w:r>
    </w:p>
    <w:p w14:paraId="3AFF92E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8E3CA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6.1.8 事故处理</w:t>
      </w:r>
    </w:p>
    <w:p w14:paraId="4039859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CCFB7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 安全生产责任</w:t>
      </w:r>
    </w:p>
    <w:p w14:paraId="204D789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6.1.9.1 发包人的安全责任</w:t>
      </w:r>
    </w:p>
    <w:p w14:paraId="471AED6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发包人应负责赔偿以下各种情况造成的损失：</w:t>
      </w:r>
    </w:p>
    <w:p w14:paraId="52D6C6D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（1）工程或工程的任何部分对土地的占用所造成的第三者财产损失；</w:t>
      </w:r>
    </w:p>
    <w:p w14:paraId="2682D34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（2）由于发包人原因在施工场地及其毗邻地带造成的第三者人身伤亡和财产损失；</w:t>
      </w:r>
    </w:p>
    <w:p w14:paraId="14E2C6D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（3）由于发包人原因对承包人、监理人造成的人员人身伤亡和财产损失；</w:t>
      </w:r>
    </w:p>
    <w:p w14:paraId="5DE746AB">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（4）由于发包人原因造成的发包人自身人员的人身伤害以及财产损失。</w:t>
      </w:r>
    </w:p>
    <w:p w14:paraId="59FEB50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6.1.9.2 承包人的安全责任</w:t>
      </w:r>
    </w:p>
    <w:p w14:paraId="155F9BAF">
      <w:pPr>
        <w:spacing w:line="440" w:lineRule="exact"/>
        <w:ind w:firstLine="640" w:firstLineChars="200"/>
        <w:rPr>
          <w:rFonts w:ascii="宋体" w:hAnsi="宋体" w:cs="宋体"/>
          <w:color w:val="000000"/>
          <w:kern w:val="0"/>
          <w:sz w:val="32"/>
          <w:szCs w:val="32"/>
        </w:rPr>
      </w:pPr>
      <w:r>
        <w:rPr>
          <w:rFonts w:hint="eastAsia" w:ascii="宋体" w:hAnsi="宋体" w:cs="宋体"/>
          <w:color w:val="000000"/>
          <w:sz w:val="32"/>
          <w:szCs w:val="32"/>
        </w:rPr>
        <w:t>由于承包人原因在施工场地内及其毗邻地带造成的发包人、监理人以及第三者人员伤亡和财产损失，由承包人负责赔偿。</w:t>
      </w:r>
    </w:p>
    <w:p w14:paraId="34BF9E1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6.2 职业健康</w:t>
      </w:r>
    </w:p>
    <w:p w14:paraId="39F562F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6.2.1 劳动保护</w:t>
      </w:r>
    </w:p>
    <w:p w14:paraId="7B9E86D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1BEE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A95013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承包人应按法律规定安排工作时间，保证其雇佣人员享有休息和休假的权利。因工程施工的特殊需要占用休假日或延长工作时间的，应不超过法律规定的限度，并按法律规定给予补休或付酬。</w:t>
      </w:r>
    </w:p>
    <w:p w14:paraId="07C29CE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6.2.2 生活条件</w:t>
      </w:r>
    </w:p>
    <w:p w14:paraId="7695ECB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967B45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6.3 环境保护</w:t>
      </w:r>
    </w:p>
    <w:p w14:paraId="1D233C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6A663F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承包人应当承担因其原因引起的环境污染侵权损害赔偿责任，因上述环境污染引起纠纷而导致暂停施工的，由此增加的费用和（或）延误的工期由承包人承担。</w:t>
      </w:r>
    </w:p>
    <w:p w14:paraId="31F71A83">
      <w:pPr>
        <w:keepNext/>
        <w:keepLines/>
        <w:spacing w:before="120" w:after="120" w:line="440" w:lineRule="exact"/>
        <w:ind w:firstLine="640" w:firstLineChars="200"/>
        <w:outlineLvl w:val="2"/>
        <w:rPr>
          <w:rFonts w:ascii="宋体" w:hAnsi="宋体" w:cs="宋体"/>
          <w:bCs/>
          <w:color w:val="000000"/>
          <w:sz w:val="32"/>
          <w:szCs w:val="32"/>
        </w:rPr>
      </w:pPr>
      <w:bookmarkStart w:id="61" w:name="_Toc256000220"/>
      <w:r>
        <w:rPr>
          <w:rFonts w:hint="eastAsia" w:ascii="宋体" w:hAnsi="宋体" w:cs="宋体"/>
          <w:bCs/>
          <w:color w:val="000000"/>
          <w:sz w:val="32"/>
          <w:szCs w:val="32"/>
        </w:rPr>
        <w:t>7. 工期和进度</w:t>
      </w:r>
      <w:bookmarkEnd w:id="61"/>
    </w:p>
    <w:p w14:paraId="059D711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7.1施工组织设计</w:t>
      </w:r>
    </w:p>
    <w:p w14:paraId="061BB7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7.1.1</w:t>
      </w:r>
      <w:r>
        <w:rPr>
          <w:rFonts w:hint="eastAsia" w:ascii="宋体" w:hAnsi="宋体" w:cs="宋体"/>
          <w:color w:val="000000"/>
          <w:sz w:val="32"/>
          <w:szCs w:val="32"/>
        </w:rPr>
        <w:t xml:space="preserve"> </w:t>
      </w:r>
      <w:r>
        <w:rPr>
          <w:rFonts w:hint="eastAsia" w:ascii="宋体" w:hAnsi="宋体" w:cs="宋体"/>
          <w:color w:val="000000"/>
          <w:kern w:val="0"/>
          <w:sz w:val="32"/>
          <w:szCs w:val="32"/>
        </w:rPr>
        <w:t>施工组织设计的内容</w:t>
      </w:r>
    </w:p>
    <w:p w14:paraId="5CB17DA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施工组织设计应包含以下内容：</w:t>
      </w:r>
    </w:p>
    <w:p w14:paraId="1CAD1CE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（1）施工方案； </w:t>
      </w:r>
    </w:p>
    <w:p w14:paraId="783E64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（2）施工现场平面布置图；</w:t>
      </w:r>
    </w:p>
    <w:p w14:paraId="16D4C0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（3）施工进度计划和保证措施； </w:t>
      </w:r>
    </w:p>
    <w:p w14:paraId="040239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（4）劳动力及材料供应计划；</w:t>
      </w:r>
    </w:p>
    <w:p w14:paraId="49CEBAE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（5）施工机械设备的选用；</w:t>
      </w:r>
    </w:p>
    <w:p w14:paraId="155D53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（6）质量保证体系及措施；</w:t>
      </w:r>
    </w:p>
    <w:p w14:paraId="028A596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（7）安全生产、文明施工措施；</w:t>
      </w:r>
    </w:p>
    <w:p w14:paraId="6B85205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（8）环境保护、成本控制措施；</w:t>
      </w:r>
    </w:p>
    <w:p w14:paraId="4AEF308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（9）合同当事人约定的其他内容。</w:t>
      </w:r>
    </w:p>
    <w:p w14:paraId="5837B3A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7.1.2</w:t>
      </w:r>
      <w:r>
        <w:rPr>
          <w:rFonts w:hint="eastAsia" w:ascii="宋体" w:hAnsi="宋体" w:cs="宋体"/>
          <w:color w:val="000000"/>
          <w:sz w:val="32"/>
          <w:szCs w:val="32"/>
        </w:rPr>
        <w:t xml:space="preserve"> </w:t>
      </w:r>
      <w:r>
        <w:rPr>
          <w:rFonts w:hint="eastAsia" w:ascii="宋体" w:hAnsi="宋体" w:cs="宋体"/>
          <w:color w:val="000000"/>
          <w:kern w:val="0"/>
          <w:sz w:val="32"/>
          <w:szCs w:val="32"/>
        </w:rPr>
        <w:t>施工组织设计的提交和修改</w:t>
      </w:r>
    </w:p>
    <w:p w14:paraId="35974F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D0C10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施工进度计划的编制和修改按照第7.2款〔施工进度计划〕执行。</w:t>
      </w:r>
    </w:p>
    <w:p w14:paraId="7AE5D04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7.2 施工进度计划</w:t>
      </w:r>
    </w:p>
    <w:p w14:paraId="749F95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7.2.1 施工进度计划的编制</w:t>
      </w:r>
    </w:p>
    <w:p w14:paraId="5A085B9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9F8C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7.2.2 施工进度计划的修订</w:t>
      </w:r>
    </w:p>
    <w:p w14:paraId="59DBD3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9BD880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7.3 开工</w:t>
      </w:r>
    </w:p>
    <w:p w14:paraId="52A9E775">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7.3.1 开工准备</w:t>
      </w:r>
    </w:p>
    <w:p w14:paraId="297BBF5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E06DC3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除专用合同条款另有约定外，合同当事人应按约定完成开工准备工作。</w:t>
      </w:r>
    </w:p>
    <w:p w14:paraId="5B71EEF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7.3.2 开工通知</w:t>
      </w:r>
    </w:p>
    <w:p w14:paraId="71B963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E8CCEB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B3D3B6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7.4测量放线</w:t>
      </w:r>
    </w:p>
    <w:p w14:paraId="3F65F44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7776B8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65880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44DBB3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施工过程中对施工现场内水准点等测量标志物的保护工作由承包人负责。</w:t>
      </w:r>
    </w:p>
    <w:p w14:paraId="49603C8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7.5 工期延误</w:t>
      </w:r>
    </w:p>
    <w:p w14:paraId="665A494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7.5.1 因发包人原因导致工期延误</w:t>
      </w:r>
    </w:p>
    <w:p w14:paraId="6677A86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在合同履行过程中，因下列情况导致工期延误和（或）费用增加的，由发包人承担由此延误的工期和（或）增加的费用，且发包人应支付承包人合理的利润： </w:t>
      </w:r>
    </w:p>
    <w:p w14:paraId="29A46F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（1）发包人未能按合同约定提供图纸或所提供图纸不符合合同约定的；</w:t>
      </w:r>
    </w:p>
    <w:p w14:paraId="345D467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（2）发包人未能按合同约定提供施工现场、施工条件、基础资料、许可、批准等开工条件的；</w:t>
      </w:r>
    </w:p>
    <w:p w14:paraId="64B777B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（3）发包人提供的测量基准点、基准线和水准点及其书面资料存在错误或疏漏的；</w:t>
      </w:r>
    </w:p>
    <w:p w14:paraId="042AD90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（4）发包人未能在计划开工日期之日起7天内同意下达开工通知的；</w:t>
      </w:r>
    </w:p>
    <w:p w14:paraId="41D3DF5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（5）发包人未能按合同约定日期支付工程预付款、进度款或竣工结算款的；</w:t>
      </w:r>
    </w:p>
    <w:p w14:paraId="5F0DDA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（6）监理人未按合同约定发出指示、批准等文件的；</w:t>
      </w:r>
    </w:p>
    <w:p w14:paraId="3E7A0A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（7）专用合同条款中约定的其他情形。</w:t>
      </w:r>
    </w:p>
    <w:p w14:paraId="01A6A8A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46F44D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7.5.2 因承包人原因导致工期延误</w:t>
      </w:r>
    </w:p>
    <w:p w14:paraId="67203F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因承包人原因造成工期延误的，可以在专用合同条款中约定逾期竣工违约金的计算方法和逾期竣工违约金的上限。承包人支付逾期竣工违约金后，不免除承包人继续完成工程及修补缺陷的义务。</w:t>
      </w:r>
    </w:p>
    <w:p w14:paraId="5F45531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7.6 不利物质条件</w:t>
      </w:r>
    </w:p>
    <w:p w14:paraId="47ED4C6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5932B3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F403E7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7.7 异常恶劣的气候条件</w:t>
      </w:r>
    </w:p>
    <w:p w14:paraId="6000868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2449E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A6482D4">
      <w:pPr>
        <w:autoSpaceDE w:val="0"/>
        <w:autoSpaceDN w:val="0"/>
        <w:adjustRightInd w:val="0"/>
        <w:spacing w:line="440" w:lineRule="exact"/>
        <w:ind w:firstLine="640" w:firstLineChars="200"/>
        <w:jc w:val="left"/>
        <w:rPr>
          <w:rFonts w:ascii="宋体" w:hAnsi="宋体" w:cs="宋体"/>
          <w:bCs/>
          <w:color w:val="000000"/>
          <w:sz w:val="32"/>
          <w:szCs w:val="32"/>
        </w:rPr>
      </w:pPr>
      <w:r>
        <w:rPr>
          <w:rFonts w:hint="eastAsia" w:ascii="宋体" w:hAnsi="宋体" w:cs="宋体"/>
          <w:bCs/>
          <w:color w:val="000000"/>
          <w:sz w:val="32"/>
          <w:szCs w:val="32"/>
        </w:rPr>
        <w:t>7.8 暂停施工</w:t>
      </w:r>
    </w:p>
    <w:p w14:paraId="6C3D19C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7.8.1发包人原因引起的暂停施工</w:t>
      </w:r>
    </w:p>
    <w:p w14:paraId="51BDE52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因发包人原因引起暂停施工的，监理人经发包人同意后，应及时下达暂停施工指示。情况紧急且监理人未及时下达暂停施工指示的，按照第7.8.4项〔紧急情况下的暂停施工〕执行。</w:t>
      </w:r>
    </w:p>
    <w:p w14:paraId="1C9E138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因发包人原因引起的暂停施工，发包人应承担由此增加的费用和（或）延误的工期，</w:t>
      </w:r>
      <w:r>
        <w:rPr>
          <w:rFonts w:hint="eastAsia" w:ascii="宋体" w:hAnsi="宋体" w:cs="宋体"/>
          <w:kern w:val="0"/>
          <w:sz w:val="32"/>
          <w:szCs w:val="32"/>
        </w:rPr>
        <w:t>并支付承包人</w:t>
      </w:r>
      <w:r>
        <w:rPr>
          <w:rFonts w:hint="eastAsia" w:ascii="宋体" w:hAnsi="宋体" w:cs="宋体"/>
          <w:color w:val="000000"/>
          <w:kern w:val="0"/>
          <w:sz w:val="32"/>
          <w:szCs w:val="32"/>
        </w:rPr>
        <w:t>合理的利润。</w:t>
      </w:r>
    </w:p>
    <w:p w14:paraId="76A586E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7.8.2 承包人原因引起的暂停施工</w:t>
      </w:r>
    </w:p>
    <w:p w14:paraId="5157F7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4CF52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7.8.3 指示暂停施工</w:t>
      </w:r>
    </w:p>
    <w:p w14:paraId="75AFE5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监理人认为有必要时，并经发包人批准后，可向承包人作出暂停施工的指示，承包人应按监理人指示暂停施工。</w:t>
      </w:r>
    </w:p>
    <w:p w14:paraId="3D191C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7.8.4 紧急情况下的暂停施工</w:t>
      </w:r>
    </w:p>
    <w:p w14:paraId="142998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8816C8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7.8.5 暂停施工后的复工</w:t>
      </w:r>
    </w:p>
    <w:p w14:paraId="7754CFC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D87E6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承包人无故拖延和拒绝复工的，承包人承担由此增加的费用和（或）延误的工期；因发包人原因无法按时复工的，按照第7.5.1项〔因发包人原因导致工期延误〕约定办理。</w:t>
      </w:r>
    </w:p>
    <w:p w14:paraId="42CC8E3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7.8.6 暂停施工持续56天以上</w:t>
      </w:r>
    </w:p>
    <w:p w14:paraId="17F2370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F671CE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CC26F1B">
      <w:pPr>
        <w:spacing w:line="440" w:lineRule="exact"/>
        <w:ind w:left="16"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7.8.7 暂停施工期间的工程照管</w:t>
      </w:r>
    </w:p>
    <w:p w14:paraId="134674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暂停施工期间，承包人应负责妥善照管工程并提供安全保障，由此增加的费用由责任方承担。</w:t>
      </w:r>
    </w:p>
    <w:p w14:paraId="3A177FF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7.8.8 暂停施工的措施</w:t>
      </w:r>
    </w:p>
    <w:p w14:paraId="4EA4C7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暂停施工期间，发包人和承包人均应采取必要的措施确保工程质量及安全，防止因暂停施工扩大损失。</w:t>
      </w:r>
    </w:p>
    <w:p w14:paraId="63837B4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7.9提前竣工</w:t>
      </w:r>
    </w:p>
    <w:p w14:paraId="1F28E8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872381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7.9.2 发包人要求承包人提前竣工，或承包人提出提前竣工的建议能够给发包人带来效益的，合同当事人可以在专用合同条款中约定提前竣工的奖励。</w:t>
      </w:r>
    </w:p>
    <w:p w14:paraId="3BA95BC2">
      <w:pPr>
        <w:keepNext/>
        <w:keepLines/>
        <w:spacing w:before="120" w:after="120" w:line="440" w:lineRule="exact"/>
        <w:ind w:firstLine="640" w:firstLineChars="200"/>
        <w:outlineLvl w:val="2"/>
        <w:rPr>
          <w:rFonts w:ascii="宋体" w:hAnsi="宋体" w:cs="宋体"/>
          <w:bCs/>
          <w:color w:val="000000"/>
          <w:sz w:val="32"/>
          <w:szCs w:val="32"/>
        </w:rPr>
      </w:pPr>
      <w:bookmarkStart w:id="62" w:name="_Toc256000221"/>
      <w:r>
        <w:rPr>
          <w:rFonts w:hint="eastAsia" w:ascii="宋体" w:hAnsi="宋体" w:cs="宋体"/>
          <w:bCs/>
          <w:color w:val="000000"/>
          <w:sz w:val="32"/>
          <w:szCs w:val="32"/>
        </w:rPr>
        <w:t>8. 材料与设备</w:t>
      </w:r>
      <w:bookmarkEnd w:id="62"/>
    </w:p>
    <w:p w14:paraId="2D4E656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8.1发包人供应材料与工程设备</w:t>
      </w:r>
    </w:p>
    <w:p w14:paraId="0312B48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发包人自行供应材料、工程设备的，应在签订合同时在专用合同条款的附件《发包人供应材料设备一览表》中明确材料、工程设备的品种、规格、型号、数量、单价、质量等级和送达地点。</w:t>
      </w:r>
    </w:p>
    <w:p w14:paraId="22F1C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18B6B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8.2承包人采购材料与工程设备</w:t>
      </w:r>
    </w:p>
    <w:p w14:paraId="59AA5BC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DC60D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8.3材料与工程设备的接收与拒收</w:t>
      </w:r>
    </w:p>
    <w:p w14:paraId="2B885E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924AEC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发包人提供的材料和工程设备的规格、数量或质量不符合合同约定的，或因发包人原因导致交货日期延误或交货地点变更等情况的，按照第16.1款〔发包人违约〕约定办理。</w:t>
      </w:r>
    </w:p>
    <w:p w14:paraId="1158DFF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D7A851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C0DCD1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8.4材料与工程设备的保管与使用</w:t>
      </w:r>
    </w:p>
    <w:p w14:paraId="19F1C7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8.4.1 发包人供应</w:t>
      </w:r>
      <w:r>
        <w:rPr>
          <w:rFonts w:hint="eastAsia" w:ascii="宋体" w:hAnsi="宋体" w:cs="宋体"/>
          <w:color w:val="000000"/>
          <w:sz w:val="32"/>
          <w:szCs w:val="32"/>
        </w:rPr>
        <w:t>材料与</w:t>
      </w:r>
      <w:r>
        <w:rPr>
          <w:rFonts w:hint="eastAsia" w:ascii="宋体" w:hAnsi="宋体" w:cs="宋体"/>
          <w:color w:val="000000"/>
          <w:kern w:val="0"/>
          <w:sz w:val="32"/>
          <w:szCs w:val="32"/>
        </w:rPr>
        <w:t>工程</w:t>
      </w:r>
      <w:r>
        <w:rPr>
          <w:rFonts w:hint="eastAsia" w:ascii="宋体" w:hAnsi="宋体" w:cs="宋体"/>
          <w:color w:val="000000"/>
          <w:sz w:val="32"/>
          <w:szCs w:val="32"/>
        </w:rPr>
        <w:t>设备的保管与使用</w:t>
      </w:r>
    </w:p>
    <w:p w14:paraId="7E0CAA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80FE2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发包人供应的材料和工程设备使用前，由承包人负责检验，检验费用由发包人承担，不合格的不得使用。</w:t>
      </w:r>
    </w:p>
    <w:p w14:paraId="075805A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8.4.2 承包人采购</w:t>
      </w:r>
      <w:r>
        <w:rPr>
          <w:rFonts w:hint="eastAsia" w:ascii="宋体" w:hAnsi="宋体" w:cs="宋体"/>
          <w:color w:val="000000"/>
          <w:sz w:val="32"/>
          <w:szCs w:val="32"/>
        </w:rPr>
        <w:t>材料与</w:t>
      </w:r>
      <w:r>
        <w:rPr>
          <w:rFonts w:hint="eastAsia" w:ascii="宋体" w:hAnsi="宋体" w:cs="宋体"/>
          <w:color w:val="000000"/>
          <w:kern w:val="0"/>
          <w:sz w:val="32"/>
          <w:szCs w:val="32"/>
        </w:rPr>
        <w:t>工程</w:t>
      </w:r>
      <w:r>
        <w:rPr>
          <w:rFonts w:hint="eastAsia" w:ascii="宋体" w:hAnsi="宋体" w:cs="宋体"/>
          <w:color w:val="000000"/>
          <w:sz w:val="32"/>
          <w:szCs w:val="32"/>
        </w:rPr>
        <w:t>设备的保管与使用</w:t>
      </w:r>
    </w:p>
    <w:p w14:paraId="5E9A86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A0ED9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发包人或监理人发现承包人使用不符合设计或有关标准要求的材料和工程设备时，有权要求承包人进行修复、拆除或重新采购，由此增加的费用和（或）延误的工期，由承包人承担。</w:t>
      </w:r>
    </w:p>
    <w:p w14:paraId="711C524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8.5禁止使用不合格的材料和工程设备</w:t>
      </w:r>
    </w:p>
    <w:p w14:paraId="323AE88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8.5.1 监理人有权拒绝承包人提供的不合格材料或工程设备，并要求承包人立即进行更换。监理人应在更换后再次进行检查和检验，由此增加的费用和（或）延误的工期由承包人承担。</w:t>
      </w:r>
    </w:p>
    <w:p w14:paraId="4A4194E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8.5.2 监理人发现承包人使用了不合格的材料和工程设备，承包人应按照监理人的指示立即改正，并禁止在工程中继续使用不合格的材料和工程设备。</w:t>
      </w:r>
    </w:p>
    <w:p w14:paraId="7C8E07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8.5.3 发包人提供的材料或工程设备不符合合同要求的，承包人有权拒绝，并可要求发包人更换，由此增加的费用和（或）延误的工期由发包人承担，并支付承包人合理的利润。</w:t>
      </w:r>
    </w:p>
    <w:p w14:paraId="21FDA35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8.6 样品</w:t>
      </w:r>
    </w:p>
    <w:p w14:paraId="059F3FD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8.6.1</w:t>
      </w:r>
      <w:r>
        <w:rPr>
          <w:rFonts w:hint="eastAsia" w:ascii="宋体" w:hAnsi="宋体" w:cs="宋体"/>
          <w:color w:val="000000"/>
          <w:kern w:val="0"/>
          <w:sz w:val="32"/>
          <w:szCs w:val="32"/>
        </w:rPr>
        <w:tab/>
      </w:r>
      <w:r>
        <w:rPr>
          <w:rFonts w:hint="eastAsia" w:ascii="宋体" w:hAnsi="宋体" w:cs="宋体"/>
          <w:color w:val="000000"/>
          <w:kern w:val="0"/>
          <w:sz w:val="32"/>
          <w:szCs w:val="32"/>
        </w:rPr>
        <w:t>样品的报送与封存</w:t>
      </w:r>
    </w:p>
    <w:p w14:paraId="720625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需要承包人报送样品的材料或工程设备，样品的种类、名称、规格、数量等要求均应在专用合同条款中约定。样品的报送程序如下：</w:t>
      </w:r>
    </w:p>
    <w:p w14:paraId="702D2DB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F2649B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4DFC76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（3）经发包人和监理人审批确认的样品应按约定的方法封样，封存的样品作为检验工程相关部分的标准之一。承包人在施工过程中不得使用与样品不符的材料或工程设备。</w:t>
      </w:r>
    </w:p>
    <w:p w14:paraId="124F57F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C07ED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8.6.2 样品的保管</w:t>
      </w:r>
    </w:p>
    <w:p w14:paraId="79AFB3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经批准的样品应由监理人负责封存于现场，承包人应在现场为保存样品提供适当和固定的场所并保持适当和良好的存储环境条件。</w:t>
      </w:r>
    </w:p>
    <w:p w14:paraId="5BAEB05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8.7材料与工程设备的替代</w:t>
      </w:r>
    </w:p>
    <w:p w14:paraId="670F753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8.7.1 出现下列情况需要使用替代材料和工程设备的，承包人应按照第8.7.2项约定的程序执行：</w:t>
      </w:r>
    </w:p>
    <w:p w14:paraId="2072DD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（1）基准日期后生效的法律规定禁止使用的；</w:t>
      </w:r>
    </w:p>
    <w:p w14:paraId="100874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（2）发包人要求使用替代品的；</w:t>
      </w:r>
    </w:p>
    <w:p w14:paraId="085C036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（3）因其他原因必须使用替代品的。</w:t>
      </w:r>
    </w:p>
    <w:p w14:paraId="2AB8EC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8.7.2 承包人应在使用替代材料和工程设备28天前书面通知监理人，并附下列文件：</w:t>
      </w:r>
    </w:p>
    <w:p w14:paraId="6BE21E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（1）被替代的材料和工程设备的名称、数量、规格、型号、品牌、性能、价格及其他相关资料；</w:t>
      </w:r>
    </w:p>
    <w:p w14:paraId="241AEA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（2）替代品的名称、数量、规格、型号、品牌、性能、价格及其他相关资料；</w:t>
      </w:r>
    </w:p>
    <w:p w14:paraId="33E209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（3）替代品与被替代产品之间的差异以及使用替代品可能对工程产生的影响；</w:t>
      </w:r>
    </w:p>
    <w:p w14:paraId="1D2566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（4）替代品与被替代产品的价格差异；</w:t>
      </w:r>
    </w:p>
    <w:p w14:paraId="0D7F68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（5）使用替代品的理由和原因说明；</w:t>
      </w:r>
    </w:p>
    <w:p w14:paraId="5B92DB6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（6）监理人要求的其他文件。</w:t>
      </w:r>
    </w:p>
    <w:p w14:paraId="2ABC48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监理人应在收到通知后14天内向承包人发出经发包人签认的书面指示；监理人逾期发出书面指示的，视为发包人和监理人同意使用替代品。</w:t>
      </w:r>
    </w:p>
    <w:p w14:paraId="46C3EE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DC9AF1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8.8施工设备和临时设施</w:t>
      </w:r>
    </w:p>
    <w:p w14:paraId="1AD394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8.8.1 承包人提供的施工设备和临时设施</w:t>
      </w:r>
    </w:p>
    <w:p w14:paraId="237CBFB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承包人应按合同进度计划的要求，及时配置施工设备和修建临时设施。进入施工场地的承包人设备需经监理人核查后才能投入使用。承包人更换合同约定的承包人设备的，应报监理人批准。</w:t>
      </w:r>
    </w:p>
    <w:p w14:paraId="405487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除专用合同条款另有约定外，承包人应自行承担修建临时设施的费用，需要临时占地的，应由发包人办理申请手续并承担相应费用。</w:t>
      </w:r>
    </w:p>
    <w:p w14:paraId="3DDC4D9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8.8.2发包人提供的施工设备和临时设施</w:t>
      </w:r>
    </w:p>
    <w:p w14:paraId="557B30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发包人提供的施工设备或临时设施在专用合同条款中约定。</w:t>
      </w:r>
    </w:p>
    <w:p w14:paraId="590C6F1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8.8.3要求承包人增加或更换施工设备</w:t>
      </w:r>
    </w:p>
    <w:p w14:paraId="045497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承包人使用的施工设备不能满足合同进度计划和（或）质量要求时，监理人有权要求承包人增加或更换施工设备，承包人应及时增加或更换，由此增加的费用和（或）延误的工期由承包人承担。</w:t>
      </w:r>
    </w:p>
    <w:p w14:paraId="61AD3C2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8.9材料与设备专用要求</w:t>
      </w:r>
    </w:p>
    <w:p w14:paraId="3B0B700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7D8BC888">
      <w:pPr>
        <w:keepNext/>
        <w:keepLines/>
        <w:spacing w:before="120" w:after="120" w:line="440" w:lineRule="exact"/>
        <w:ind w:firstLine="640" w:firstLineChars="200"/>
        <w:outlineLvl w:val="2"/>
        <w:rPr>
          <w:rFonts w:ascii="宋体" w:hAnsi="宋体" w:cs="宋体"/>
          <w:bCs/>
          <w:color w:val="000000"/>
          <w:sz w:val="32"/>
          <w:szCs w:val="32"/>
        </w:rPr>
      </w:pPr>
      <w:bookmarkStart w:id="63" w:name="_Toc256000222"/>
      <w:r>
        <w:rPr>
          <w:rFonts w:hint="eastAsia" w:ascii="宋体" w:hAnsi="宋体" w:cs="宋体"/>
          <w:bCs/>
          <w:color w:val="000000"/>
          <w:sz w:val="32"/>
          <w:szCs w:val="32"/>
        </w:rPr>
        <w:t>9. 试验与检验</w:t>
      </w:r>
      <w:bookmarkEnd w:id="63"/>
    </w:p>
    <w:p w14:paraId="75AFA89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9.1试验设备与试验人员</w:t>
      </w:r>
    </w:p>
    <w:p w14:paraId="7F66283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A8589F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9.1.2 承包人应按专用合同条款的约定提供试验设备、取样装置、试验场所和试验条件，并向监理人提交相应进场计划表。</w:t>
      </w:r>
    </w:p>
    <w:p w14:paraId="2538DF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承包人配置的试验设备要符合相应试验规程的要求并经过具有资质的检测单位检测，且在正式使用该试验设备前，需要经过监理人与承包人共同校定。</w:t>
      </w:r>
    </w:p>
    <w:p w14:paraId="68B2258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9.1.3 承包人应向监理人提交试验人员的名单及其岗位、资格等证明资料，试验人员必须能够熟练进行相应的检测试验，承包人对试验人员的试验程序和试验结果的正确性负责。</w:t>
      </w:r>
    </w:p>
    <w:p w14:paraId="248249E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9.2取样</w:t>
      </w:r>
    </w:p>
    <w:p w14:paraId="7448B15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试验属于自检性质的，承包人可以单独取样。试验属于监理人抽检性质的，可由监理人取样，也可由承包人的试验人员在监理人的监督下取样。</w:t>
      </w:r>
    </w:p>
    <w:p w14:paraId="2572E31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9.3材料、工程设备和工程的试验和检验</w:t>
      </w:r>
    </w:p>
    <w:p w14:paraId="5C28D19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D406CC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4D200F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00C618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9.4现场工艺试验</w:t>
      </w:r>
    </w:p>
    <w:p w14:paraId="3F96411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承包人应按合同约定或监理人指示进行现场工艺试验。对大型的现场工艺试验，监理人认为必要时，承包人应根据监理人提出的工艺试验要求，编制工艺试验措施计划，报送监理人审查。</w:t>
      </w:r>
    </w:p>
    <w:p w14:paraId="21C64D80">
      <w:pPr>
        <w:keepNext/>
        <w:keepLines/>
        <w:spacing w:before="120" w:after="120" w:line="440" w:lineRule="exact"/>
        <w:ind w:firstLine="640" w:firstLineChars="200"/>
        <w:outlineLvl w:val="2"/>
        <w:rPr>
          <w:rFonts w:ascii="宋体" w:hAnsi="宋体" w:cs="宋体"/>
          <w:bCs/>
          <w:color w:val="000000"/>
          <w:sz w:val="32"/>
          <w:szCs w:val="32"/>
        </w:rPr>
      </w:pPr>
      <w:bookmarkStart w:id="64" w:name="_Toc256000223"/>
      <w:r>
        <w:rPr>
          <w:rFonts w:hint="eastAsia" w:ascii="宋体" w:hAnsi="宋体" w:cs="宋体"/>
          <w:bCs/>
          <w:color w:val="000000"/>
          <w:sz w:val="32"/>
          <w:szCs w:val="32"/>
        </w:rPr>
        <w:t>10. 变更</w:t>
      </w:r>
      <w:bookmarkEnd w:id="64"/>
    </w:p>
    <w:p w14:paraId="637235F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10.1变更的范围</w:t>
      </w:r>
    </w:p>
    <w:p w14:paraId="6B35678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除专用合同条款另有约定外，合同履行过程中发生以下情形的，应按照本条约定进行变更：</w:t>
      </w:r>
    </w:p>
    <w:p w14:paraId="4BA8DC2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（1）增加或减少合同中任何工作，或追加额外的工作；</w:t>
      </w:r>
    </w:p>
    <w:p w14:paraId="36012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（2）取消合同中任何工作，但转由他人实施的工作除外；</w:t>
      </w:r>
    </w:p>
    <w:p w14:paraId="3B1969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（3）改变合同中任何工作的质量标准或其他特性；</w:t>
      </w:r>
    </w:p>
    <w:p w14:paraId="1193CD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（4）改变工程的基线、标高、位置和尺寸；</w:t>
      </w:r>
    </w:p>
    <w:p w14:paraId="684CD7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（5）改变工程的时间安排或实施顺序。</w:t>
      </w:r>
    </w:p>
    <w:p w14:paraId="246A982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10.2变更权</w:t>
      </w:r>
    </w:p>
    <w:p w14:paraId="38424B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C573D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涉及设计变更的，应由设计人提供变更后的图纸和说明。如变更超过原设计标准或批准的建设规模时，发包人应及时办理规划、设计变更等审批手续。</w:t>
      </w:r>
    </w:p>
    <w:p w14:paraId="48FBC56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10.3变更程序</w:t>
      </w:r>
    </w:p>
    <w:p w14:paraId="1D7A2A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w:t>
      </w:r>
      <w:r>
        <w:rPr>
          <w:rFonts w:hint="eastAsia" w:ascii="宋体" w:hAnsi="宋体" w:cs="宋体"/>
          <w:color w:val="000000"/>
          <w:kern w:val="0"/>
          <w:sz w:val="32"/>
          <w:szCs w:val="32"/>
        </w:rPr>
        <w:t>.3.1 发包人提出变更</w:t>
      </w:r>
    </w:p>
    <w:p w14:paraId="76CE66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发包人提出变更的，应通过监理人向承包人发出变更指示，变更指示应说明计划变更的工程范围和变更的内容。</w:t>
      </w:r>
    </w:p>
    <w:p w14:paraId="3065F95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w:t>
      </w:r>
      <w:r>
        <w:rPr>
          <w:rFonts w:hint="eastAsia" w:ascii="宋体" w:hAnsi="宋体" w:cs="宋体"/>
          <w:color w:val="000000"/>
          <w:kern w:val="0"/>
          <w:sz w:val="32"/>
          <w:szCs w:val="32"/>
        </w:rPr>
        <w:t>.3.2 监理人提出变更建议</w:t>
      </w:r>
    </w:p>
    <w:p w14:paraId="2923A48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B7866D">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10.3.3 变更执行</w:t>
      </w:r>
    </w:p>
    <w:p w14:paraId="1EBD3D4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4625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10.4变更估价</w:t>
      </w:r>
    </w:p>
    <w:p w14:paraId="6DAA4B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10.4.1 变更估价原则</w:t>
      </w:r>
    </w:p>
    <w:p w14:paraId="374FC6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除专用合同条款另有约定外，变更估价按照本款约定处理：</w:t>
      </w:r>
    </w:p>
    <w:p w14:paraId="0C177D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（1）已标价工程量清单或预算书有相同项目的，按照相同项目单价认定；</w:t>
      </w:r>
    </w:p>
    <w:p w14:paraId="5E025B2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（2）已标价工程量清单或预算书中无相同项目，但有类似项目的，参照类似项目的单价认定；</w:t>
      </w:r>
    </w:p>
    <w:p w14:paraId="7F18A1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E19BA3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10.4.2 变更估价程序</w:t>
      </w:r>
    </w:p>
    <w:p w14:paraId="17F3DA0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38FE24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因变更引起的价格调整应计入最近一期的进度款中支付。</w:t>
      </w:r>
    </w:p>
    <w:p w14:paraId="1054B0D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10.5承包人的合理化建议</w:t>
      </w:r>
    </w:p>
    <w:p w14:paraId="24796B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承包人提出合理化建议的，应向监理人提交合理化建议说明，说明建议的内容和理由，以及实施该建议对合同价格和工期的影响。</w:t>
      </w:r>
    </w:p>
    <w:p w14:paraId="112EEF0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86B9E0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合理化建议降低了合同价格或者提高了工程经济效益的，发包人可对承包人给予奖励，奖励的方法和金额在专用合同条款中约定。</w:t>
      </w:r>
    </w:p>
    <w:p w14:paraId="3955E07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10.6变更引起的工期调整   </w:t>
      </w:r>
    </w:p>
    <w:p w14:paraId="0E64B0B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因变更引起工期变化的，合同当事人均可要求调整合同工期，由合同当事人按照第4.4款〔商定或确定〕并参考工程所在地的工期定额标准确定增减工期天数。</w:t>
      </w:r>
    </w:p>
    <w:p w14:paraId="1F845A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10.7暂估价</w:t>
      </w:r>
    </w:p>
    <w:p w14:paraId="1884B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暂估价专业分包工程、服务、材料和工程设备的明细由合同当事人在专用合同条款中约定。</w:t>
      </w:r>
    </w:p>
    <w:p w14:paraId="5DBCF48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10.7.1</w:t>
      </w:r>
      <w:r>
        <w:rPr>
          <w:rFonts w:hint="eastAsia" w:ascii="宋体" w:hAnsi="宋体" w:cs="宋体"/>
          <w:color w:val="000000"/>
          <w:kern w:val="0"/>
          <w:sz w:val="32"/>
          <w:szCs w:val="32"/>
        </w:rPr>
        <w:t xml:space="preserve"> 依法必须招标的暂估价项目</w:t>
      </w:r>
    </w:p>
    <w:p w14:paraId="4B26A4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对于依法必须招标的暂估价项目，采取以下第1种方式确定。合同当事人也可以在专用合同条款中选择其他招标方式。</w:t>
      </w:r>
    </w:p>
    <w:p w14:paraId="5A2468B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第1种方式：对于依法必须招标的暂估价项目，由承包人招标，对该暂估价项目的确认和批准按照以下约定执行：</w:t>
      </w:r>
    </w:p>
    <w:p w14:paraId="771489B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65079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2F6ED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7F30C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33FBC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10.7.2</w:t>
      </w:r>
      <w:r>
        <w:rPr>
          <w:rFonts w:hint="eastAsia" w:ascii="宋体" w:hAnsi="宋体" w:cs="宋体"/>
          <w:color w:val="000000"/>
          <w:kern w:val="0"/>
          <w:sz w:val="32"/>
          <w:szCs w:val="32"/>
        </w:rPr>
        <w:t>不属于依法必须招标的暂估价项目</w:t>
      </w:r>
    </w:p>
    <w:p w14:paraId="2914E1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除专用合同条款另有约定外，对于不属于依法必须招标的暂估价项目，采取以下第1种方式确定： </w:t>
      </w:r>
    </w:p>
    <w:p w14:paraId="5BDE53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第1种方式：对于不属于依法必须招标的暂估价项目，按本项约定确认和批准：</w:t>
      </w:r>
    </w:p>
    <w:p w14:paraId="6D9B0A4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40CC4E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（2）发包人认为承包人确定的供应商、分包人无法满足工程质量或合同要求的，发包人可以要求承包人重新确定暂估价项目的供应商、分包人;</w:t>
      </w:r>
    </w:p>
    <w:p w14:paraId="2895E0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（3）承包人应当在签订暂估价合同后7天内，将暂估价合同副本报送发包人留存。</w:t>
      </w:r>
    </w:p>
    <w:p w14:paraId="56C24D0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第2种方式：承包人按照第10.7.1项〔依法必须招标的暂估价项目〕约定的第1种方式确定暂估价项目。</w:t>
      </w:r>
    </w:p>
    <w:p w14:paraId="523C01B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第3种方式：</w:t>
      </w:r>
      <w:r>
        <w:rPr>
          <w:rFonts w:hint="eastAsia" w:ascii="宋体" w:hAnsi="宋体" w:cs="宋体"/>
          <w:color w:val="000000"/>
          <w:kern w:val="0"/>
          <w:sz w:val="32"/>
          <w:szCs w:val="32"/>
        </w:rPr>
        <w:t>承包人直接实施的暂估价项目</w:t>
      </w:r>
    </w:p>
    <w:p w14:paraId="151D2F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承包人具备实施暂估价项目的资格和条件的，经发包人和承包人协商一致后，可由承包人自行实施暂估价项目，合同当事人可以在专用合同条款约定具体事项。</w:t>
      </w:r>
    </w:p>
    <w:p w14:paraId="6ABAA87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605270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10.8暂列金额</w:t>
      </w:r>
    </w:p>
    <w:p w14:paraId="0AF8345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暂列金额应按照发包人的要求使用，发包人的要求应通过监理人发出。合同当事人可以在专用合同条款中协商确定有关事项。</w:t>
      </w:r>
    </w:p>
    <w:p w14:paraId="739BFF5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10.9计日工 </w:t>
      </w:r>
    </w:p>
    <w:p w14:paraId="04631F6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ABD48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采用计日工计价的任何一项工作，承包人应在该项工作实施过程中，每天提交以下报表和有关凭证报送监理人审查：</w:t>
      </w:r>
    </w:p>
    <w:p w14:paraId="67BD7E3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（1）工作名称、内容和数量；</w:t>
      </w:r>
    </w:p>
    <w:p w14:paraId="7210E90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（2）投入该工作的所有人员的姓名、专业、工种、级别和耗用工时；</w:t>
      </w:r>
    </w:p>
    <w:p w14:paraId="666A66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（3）投入该工作的材料类别和数量；</w:t>
      </w:r>
    </w:p>
    <w:p w14:paraId="4CDF5F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（4）投入该工作的施工设备型号、台数和耗用台时；</w:t>
      </w:r>
    </w:p>
    <w:p w14:paraId="1BE09BC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（5）其他有关资料和凭证。</w:t>
      </w:r>
    </w:p>
    <w:p w14:paraId="2EBE00F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计日工由承包人汇总后，列入最近一期进度付款申请单，由监理人审查并经发包人批准后列入进度付款。</w:t>
      </w:r>
    </w:p>
    <w:p w14:paraId="69C1B3B2">
      <w:pPr>
        <w:keepNext/>
        <w:keepLines/>
        <w:spacing w:before="120" w:after="120" w:line="440" w:lineRule="exact"/>
        <w:ind w:firstLine="640" w:firstLineChars="200"/>
        <w:outlineLvl w:val="2"/>
        <w:rPr>
          <w:rFonts w:ascii="宋体" w:hAnsi="宋体" w:cs="宋体"/>
          <w:bCs/>
          <w:color w:val="000000"/>
          <w:sz w:val="32"/>
          <w:szCs w:val="32"/>
        </w:rPr>
      </w:pPr>
      <w:bookmarkStart w:id="65" w:name="_Toc256000224"/>
      <w:r>
        <w:rPr>
          <w:rFonts w:hint="eastAsia" w:ascii="宋体" w:hAnsi="宋体" w:cs="宋体"/>
          <w:bCs/>
          <w:color w:val="000000"/>
          <w:sz w:val="32"/>
          <w:szCs w:val="32"/>
        </w:rPr>
        <w:t>11. 价格调整</w:t>
      </w:r>
      <w:bookmarkEnd w:id="65"/>
    </w:p>
    <w:p w14:paraId="1BFEF03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11.1市场价格波动引起的调整</w:t>
      </w:r>
    </w:p>
    <w:p w14:paraId="51428B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除专用合同条款另有约定外，市场价格波动超过合同当事人约定的范围，合同价格应当调整。合同当事人可以在专用合同条款中约定选择以下一种方式对合同价格进行调整：</w:t>
      </w:r>
    </w:p>
    <w:p w14:paraId="2FA49B2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第1种方式：采用价格指数进行价格调整。</w:t>
      </w:r>
    </w:p>
    <w:p w14:paraId="2B5DE7A8">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（1）价格调整公式</w:t>
      </w:r>
    </w:p>
    <w:p w14:paraId="69067DCA">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因人工、材料和设备等价格波动影响合同价格时，根据专用合同条款中约定的数据，按以下公式计算差额并调整合同价格：</w:t>
      </w:r>
    </w:p>
    <w:p w14:paraId="7FBCC6E3">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30"/>
          <w:sz w:val="32"/>
          <w:szCs w:val="32"/>
        </w:rPr>
        <w:object>
          <v:shape id="_x0000_i1025" o:spt="75" type="#_x0000_t75" style="height:44.3pt;width:360pt;" o:ole="t" filled="f" o:preferrelative="t" stroked="f" coordsize="21600,21600">
            <v:path/>
            <v:fill on="f" focussize="0,0"/>
            <v:stroke on="f"/>
            <v:imagedata r:id="rId45" o:title=""/>
            <o:lock v:ext="edit" aspectratio="t"/>
            <w10:wrap type="none"/>
            <w10:anchorlock/>
          </v:shape>
          <o:OLEObject Type="Embed" ProgID="Equation.KSEE3" ShapeID="_x0000_i1025" DrawAspect="Content" ObjectID="_1468075725" r:id="rId44">
            <o:LockedField>false</o:LockedField>
          </o:OLEObject>
        </w:object>
      </w:r>
    </w:p>
    <w:p w14:paraId="20A1E063">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公式中：ΔP——需调整的价格差额；</w:t>
      </w:r>
    </w:p>
    <w:p w14:paraId="3E8BF8B4">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6"/>
          <w:sz w:val="32"/>
          <w:szCs w:val="32"/>
        </w:rPr>
        <w:object>
          <v:shape id="_x0000_i1026" o:spt="75" type="#_x0000_t75" style="height:18pt;width:18pt;" o:ole="t" filled="f" o:preferrelative="t" stroked="f" coordsize="21600,21600">
            <v:path/>
            <v:fill on="f" focussize="0,0"/>
            <v:stroke on="f"/>
            <v:imagedata r:id="rId47" o:title=""/>
            <o:lock v:ext="edit" aspectratio="t"/>
            <w10:wrap type="none"/>
            <w10:anchorlock/>
          </v:shape>
          <o:OLEObject Type="Embed" ProgID="Equation.KSEE3" ShapeID="_x0000_i1026" DrawAspect="Content" ObjectID="_1468075726" r:id="rId46">
            <o:LockedField>false</o:LockedField>
          </o:OLEObject>
        </w:object>
      </w:r>
      <w:r>
        <w:rPr>
          <w:rFonts w:hint="eastAsia" w:ascii="宋体" w:hAnsi="宋体" w:cs="宋体"/>
          <w:color w:val="000000"/>
          <w:sz w:val="32"/>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27392C5E">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A——定值权重（即不调部分的权重）；</w:t>
      </w:r>
    </w:p>
    <w:p w14:paraId="39A114F5">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7" o:spt="75" type="#_x0000_t75" style="height:21pt;width:101.25pt;" o:ole="t" filled="f" o:preferrelative="t" stroked="f" coordsize="21600,21600">
            <v:path/>
            <v:fill on="f" focussize="0,0"/>
            <v:stroke on="f"/>
            <v:imagedata r:id="rId49" o:title=""/>
            <o:lock v:ext="edit" aspectratio="t"/>
            <w10:wrap type="none"/>
            <w10:anchorlock/>
          </v:shape>
          <o:OLEObject Type="Embed" ProgID="Equation.KSEE3" ShapeID="_x0000_i1027" DrawAspect="Content" ObjectID="_1468075727" r:id="rId48">
            <o:LockedField>false</o:LockedField>
          </o:OLEObject>
        </w:object>
      </w:r>
      <w:r>
        <w:rPr>
          <w:rFonts w:hint="eastAsia" w:ascii="宋体" w:hAnsi="宋体" w:cs="宋体"/>
          <w:color w:val="000000"/>
          <w:sz w:val="32"/>
          <w:szCs w:val="32"/>
        </w:rPr>
        <w:t>——各可调因子的变值权重（即可调部分的权重），为各可调因子在签约合同价中所占的比例；</w:t>
      </w:r>
    </w:p>
    <w:p w14:paraId="24B414BB">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8" o:spt="75" type="#_x0000_t75" style="height:20.25pt;width:102.05pt;" o:ole="t" filled="f" o:preferrelative="t" stroked="f" coordsize="21600,21600">
            <v:path/>
            <v:fill on="f" focussize="0,0"/>
            <v:stroke on="f"/>
            <v:imagedata r:id="rId51" o:title=""/>
            <o:lock v:ext="edit" aspectratio="t"/>
            <w10:wrap type="none"/>
            <w10:anchorlock/>
          </v:shape>
          <o:OLEObject Type="Embed" ProgID="Equation.KSEE3" ShapeID="_x0000_i1028" DrawAspect="Content" ObjectID="_1468075728" r:id="rId50">
            <o:LockedField>false</o:LockedField>
          </o:OLEObject>
        </w:object>
      </w:r>
      <w:r>
        <w:rPr>
          <w:rFonts w:hint="eastAsia" w:ascii="宋体" w:hAnsi="宋体" w:cs="宋体"/>
          <w:color w:val="000000"/>
          <w:sz w:val="32"/>
          <w:szCs w:val="32"/>
        </w:rPr>
        <w:t>——各可调因子的现行价格指数，指约定的付款证书相关周期最后一天的前42天的各可调因子的价格指数；</w:t>
      </w:r>
    </w:p>
    <w:p w14:paraId="096AA986">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9" o:spt="75" type="#_x0000_t75" style="height:20.25pt;width:108pt;" o:ole="t" filled="f" o:preferrelative="t" stroked="f" coordsize="21600,21600">
            <v:path/>
            <v:fill on="f" focussize="0,0"/>
            <v:stroke on="f"/>
            <v:imagedata r:id="rId53" o:title=""/>
            <o:lock v:ext="edit" aspectratio="t"/>
            <w10:wrap type="none"/>
            <w10:anchorlock/>
          </v:shape>
          <o:OLEObject Type="Embed" ProgID="Equation.KSEE3" ShapeID="_x0000_i1029" DrawAspect="Content" ObjectID="_1468075729" r:id="rId52">
            <o:LockedField>false</o:LockedField>
          </o:OLEObject>
        </w:object>
      </w:r>
      <w:r>
        <w:rPr>
          <w:rFonts w:hint="eastAsia" w:ascii="宋体" w:hAnsi="宋体" w:cs="宋体"/>
          <w:color w:val="000000"/>
          <w:sz w:val="32"/>
          <w:szCs w:val="32"/>
        </w:rPr>
        <w:t>——各可调因子的基本价格指数，指基准日期的各可调因子的价格指数。</w:t>
      </w:r>
    </w:p>
    <w:p w14:paraId="4BE80650">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CA1CBA4">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（2）暂时确定调整差额</w:t>
      </w:r>
    </w:p>
    <w:p w14:paraId="1668A670">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在计算调整差额时无现行价格指数的，合同当事人同意暂用前次价格指数计算。实际价格指数有调整的，合同当事人进行相应调整。</w:t>
      </w:r>
    </w:p>
    <w:p w14:paraId="084E36E5">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（3）权重的调整</w:t>
      </w:r>
    </w:p>
    <w:p w14:paraId="094FF917">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因变更导致合同约定的权重不合理时，按照第4.4款〔商定或确定〕执行。</w:t>
      </w:r>
    </w:p>
    <w:p w14:paraId="76AF005B">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（4）因承包人原因工期延误后的价格调整</w:t>
      </w:r>
    </w:p>
    <w:p w14:paraId="14CE1F18">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因承包人原因未按期竣工的，对合同约定的竣工日期后继续施工的工程，在使用价格调整公式时，应采用计划竣工日期与实际竣工日期的两个价格指数中较低的一个作为现行价格指数。</w:t>
      </w:r>
    </w:p>
    <w:p w14:paraId="248B5F2B">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第2种方式：采用造价信息进行价格调整。</w:t>
      </w:r>
    </w:p>
    <w:p w14:paraId="43C56FB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F5A1E2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C0E61B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（2）材料、工程设备价格变化的价款调整按照发包人提供的基准价格，按以下风险范围规定执行:</w:t>
      </w:r>
    </w:p>
    <w:p w14:paraId="4FBAFEC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2B3BFA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8F7D25">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③承包人在已标价工程量清单或预算书中载明材料单价等于基准价格的：除专用合同条款另有约定外，合同履行期间材料单价涨跌幅以基准价格为基础超过±5%时，其超过部分据实调整。</w:t>
      </w:r>
    </w:p>
    <w:p w14:paraId="5CFE723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3DECBD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前述基准价格是指由发包人在招标文件或专用合同条款中给定的材料、工程设备的价格，该价格原则上应当按照省级或行业建设主管部门或其授权的工程造价管理机构发布的信息价编制。</w:t>
      </w:r>
    </w:p>
    <w:p w14:paraId="4AC80DE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（3）施工机械台班单价或施工机械使用费发生变化超过省级或行业建设主管部门或其授权的工程造价管理机构规定的范围时，按规定调整合同价格。</w:t>
      </w:r>
    </w:p>
    <w:p w14:paraId="4795AC1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第3种方式：专用合同条款约定的其他方式。</w:t>
      </w:r>
    </w:p>
    <w:p w14:paraId="2BBD6DB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11.2法律变化引起的调整</w:t>
      </w:r>
    </w:p>
    <w:p w14:paraId="6CF08E4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8C4CAA4">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因法律变化引起的合同价格和工期调整，合同当事人无法达成一致的，由总监理工程师按第4.4款〔商定或确定〕的约定处理。</w:t>
      </w:r>
    </w:p>
    <w:p w14:paraId="12312653">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因承包人原因造成工期延误，在工期延误期间出现法律变化的，由此增加的费用和（或）延误的工期由承包人承担。</w:t>
      </w:r>
    </w:p>
    <w:p w14:paraId="6AB80744">
      <w:pPr>
        <w:keepNext/>
        <w:keepLines/>
        <w:spacing w:before="120" w:after="120" w:line="440" w:lineRule="exact"/>
        <w:ind w:firstLine="640" w:firstLineChars="200"/>
        <w:outlineLvl w:val="2"/>
        <w:rPr>
          <w:rFonts w:ascii="宋体" w:hAnsi="宋体" w:cs="宋体"/>
          <w:bCs/>
          <w:color w:val="000000"/>
          <w:sz w:val="32"/>
          <w:szCs w:val="32"/>
        </w:rPr>
      </w:pPr>
      <w:bookmarkStart w:id="66" w:name="_Toc256000225"/>
      <w:r>
        <w:rPr>
          <w:rFonts w:hint="eastAsia" w:ascii="宋体" w:hAnsi="宋体" w:cs="宋体"/>
          <w:bCs/>
          <w:color w:val="000000"/>
          <w:sz w:val="32"/>
          <w:szCs w:val="32"/>
        </w:rPr>
        <w:t>12. 合同价格、计量与支付</w:t>
      </w:r>
      <w:bookmarkEnd w:id="66"/>
    </w:p>
    <w:p w14:paraId="50CEE83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12.1 合同价格形式</w:t>
      </w:r>
    </w:p>
    <w:p w14:paraId="1A8A602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发包人和承包人应在合同协议书中选择下列一种合同价格形式： </w:t>
      </w:r>
    </w:p>
    <w:p w14:paraId="1419A29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1.单价合同</w:t>
      </w:r>
    </w:p>
    <w:p w14:paraId="77F638D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单价合同是指合同当事人约定以工程量清单及其综合单价进行合同价格计算、调整和确认的建设工程施工合同，</w:t>
      </w:r>
      <w:r>
        <w:rPr>
          <w:rFonts w:hint="eastAsia" w:ascii="宋体" w:hAnsi="宋体" w:cs="宋体"/>
          <w:sz w:val="32"/>
          <w:szCs w:val="32"/>
        </w:rPr>
        <w:t>在约定的范围内合同单价不作调整</w:t>
      </w:r>
      <w:r>
        <w:rPr>
          <w:rFonts w:hint="eastAsia" w:ascii="宋体" w:hAnsi="宋体" w:cs="宋体"/>
          <w:color w:val="000000"/>
          <w:kern w:val="0"/>
          <w:sz w:val="32"/>
          <w:szCs w:val="32"/>
        </w:rPr>
        <w:t>。合同当事人应在专用合同条款中约定综合单价包含的风险范围和风险费用的计算方法</w:t>
      </w:r>
      <w:r>
        <w:rPr>
          <w:rFonts w:hint="eastAsia" w:ascii="宋体" w:hAnsi="宋体" w:cs="宋体"/>
          <w:sz w:val="32"/>
          <w:szCs w:val="32"/>
        </w:rPr>
        <w:t>，</w:t>
      </w:r>
      <w:r>
        <w:rPr>
          <w:rFonts w:hint="eastAsia" w:ascii="宋体" w:hAnsi="宋体" w:cs="宋体"/>
          <w:color w:val="000000"/>
          <w:kern w:val="0"/>
          <w:sz w:val="32"/>
          <w:szCs w:val="32"/>
        </w:rPr>
        <w:t>并约定风险范围以外的合同价格的调整方法，其中因市场价格波动引起的调整按第11.1款〔市场价格波动引起的调整〕约定执行。</w:t>
      </w:r>
    </w:p>
    <w:p w14:paraId="53CC1E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w:t>
      </w:r>
    </w:p>
    <w:p w14:paraId="1AF845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总价合同是指合同当事人约定以施工图、已标价工程量清单或预算书及有关条件进行合同价格计算、调整和确认的建设工程施工合同，</w:t>
      </w:r>
      <w:r>
        <w:rPr>
          <w:rFonts w:hint="eastAsia" w:ascii="宋体" w:hAnsi="宋体" w:cs="宋体"/>
          <w:sz w:val="32"/>
          <w:szCs w:val="32"/>
        </w:rPr>
        <w:t>在约定的范围内合同总价不作调整</w:t>
      </w:r>
      <w:r>
        <w:rPr>
          <w:rFonts w:hint="eastAsia" w:ascii="宋体" w:hAnsi="宋体" w:cs="宋体"/>
          <w:color w:val="000000"/>
          <w:kern w:val="0"/>
          <w:sz w:val="32"/>
          <w:szCs w:val="32"/>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E2B25D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3.其它价格形式</w:t>
      </w:r>
    </w:p>
    <w:p w14:paraId="5C14FE2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合同当事人可在专用合同条款中约定其他合同价格形式。</w:t>
      </w:r>
    </w:p>
    <w:p w14:paraId="640F51B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12.2预付款</w:t>
      </w:r>
    </w:p>
    <w:p w14:paraId="0ACFE7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12.2.</w:t>
      </w:r>
      <w:r>
        <w:rPr>
          <w:rFonts w:hint="eastAsia" w:ascii="宋体" w:hAnsi="宋体" w:cs="宋体"/>
          <w:color w:val="000000"/>
          <w:kern w:val="0"/>
          <w:sz w:val="32"/>
          <w:szCs w:val="32"/>
        </w:rPr>
        <w:t>1预付款的支付</w:t>
      </w:r>
    </w:p>
    <w:p w14:paraId="45276D3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预付款的支付按照专用合同条款约定执行，但至迟应在开工通知载明的开工日期7天前支付。预付款应当用于材料、工程设备、施工设备的采购及修建临时工程、组织施工队伍进场等。</w:t>
      </w:r>
    </w:p>
    <w:p w14:paraId="799753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除专用合同条款另有约定外，预付款在进度付款中同比例扣回。在颁发工程接收证书前，提前解除合同的，尚未扣完的预付款应与合同价款一并结算。</w:t>
      </w:r>
    </w:p>
    <w:p w14:paraId="67C1514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发包人逾期支付预付款超过7天的，承包人有权向发包人发出要求预付的催告通知，发包人收到通知后7天内仍未支付的，承包人有权暂停施工，并按第16.1.1项〔发包人违约的情形〕执行。</w:t>
      </w:r>
    </w:p>
    <w:p w14:paraId="790FF428">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12.2.2 预付款担保</w:t>
      </w:r>
    </w:p>
    <w:p w14:paraId="7DE3C30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84298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发包人在工程款中逐期扣回预付款后，预付款担保额度应相应减少，但剩余的预付款担保金额不得低于未被扣回的预付款金额。</w:t>
      </w:r>
    </w:p>
    <w:p w14:paraId="6D5D6F5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12.3计量</w:t>
      </w:r>
    </w:p>
    <w:p w14:paraId="517528E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12.3.1 计量原则</w:t>
      </w:r>
    </w:p>
    <w:p w14:paraId="3998629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工程量计量按照合同约定的工程量计算规则、图纸及变更指示等进行计量。工程量计算规则应以相关的国家标准、行业标准等为依据，由合同当事人在专用合同条款中约定。</w:t>
      </w:r>
    </w:p>
    <w:p w14:paraId="1C67AB4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12.3.2 计量周期</w:t>
      </w:r>
    </w:p>
    <w:p w14:paraId="5DA62B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除专用合同条款另有约定外，工程量的计量按月进行。</w:t>
      </w:r>
    </w:p>
    <w:p w14:paraId="410F949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12.3.3 单价合同的计量</w:t>
      </w:r>
    </w:p>
    <w:p w14:paraId="6D6D3C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除专用合同条款另有约定外，单价合同的计量按照本项约定执行：</w:t>
      </w:r>
    </w:p>
    <w:p w14:paraId="398E1C1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（1）承包人应于每月25日向监理人报送上月20日至当月19日已完成的工程量报告，并附具进度付款申请单、已完成工程量报表和有关资料。</w:t>
      </w:r>
    </w:p>
    <w:p w14:paraId="360FD3A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BF164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（3）监理人未在收到承包人提交的工程量报表后的7天内完成审核的，承包人报送的工程量报告中的工程量视为承包人实际完成的工程量，据此计算工程价款。</w:t>
      </w:r>
    </w:p>
    <w:p w14:paraId="426E8A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12.3.4 总价合同的计量</w:t>
      </w:r>
    </w:p>
    <w:p w14:paraId="6DC5479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除专用合同条款另有约定外，按月计量支付的总价合同，按照本项约定执行：</w:t>
      </w:r>
    </w:p>
    <w:p w14:paraId="30077A6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（1）承包人应于每月25日向监理人报送上月20日至当月19日已完成的工程量报告，并附具进度付款申请单、已完成工程量报表和有关资料。</w:t>
      </w:r>
    </w:p>
    <w:p w14:paraId="1B24765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9140C9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（3）监理人未在收到承包人提交的工程量报表后的7天内完成复核的，承包人提交的工程量报告中的工程量视为承包人实际完成的工程量。</w:t>
      </w:r>
    </w:p>
    <w:p w14:paraId="7FCD0F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12.3.5 总价合同采用支付分解表计量支付的，可以按照第12.3.4项〔总价合同的计量〕约定进行计量，但合同价款按照支付分解表进行支付。</w:t>
      </w:r>
    </w:p>
    <w:p w14:paraId="0D61582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12.3.6 其他价格形式合同的计量</w:t>
      </w:r>
    </w:p>
    <w:p w14:paraId="2739B4E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合同当事人可在专用合同条款中约定其他价格形式合同的计量方式和程序。</w:t>
      </w:r>
    </w:p>
    <w:p w14:paraId="07B283C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12.4工程进度款支付</w:t>
      </w:r>
    </w:p>
    <w:p w14:paraId="2C7733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.1 付款周期</w:t>
      </w:r>
    </w:p>
    <w:p w14:paraId="75286DC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除专用合同条款另有约定外，付款周期应按照第12.3.2项〔计量周期〕的约定与计量周期保持一致。</w:t>
      </w:r>
    </w:p>
    <w:p w14:paraId="14A22DF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.2 进度付款申请单的编制</w:t>
      </w:r>
    </w:p>
    <w:p w14:paraId="76CF31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除专用合同条款另有约定外，进度付款申请单应包括下列内容：</w:t>
      </w:r>
    </w:p>
    <w:p w14:paraId="50596DB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（1）截至本次付款周期已完成工作对应的金额；</w:t>
      </w:r>
    </w:p>
    <w:p w14:paraId="288424B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（2）根据第10条〔变更〕应增加和扣减的变更金额；</w:t>
      </w:r>
    </w:p>
    <w:p w14:paraId="479489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（3）根据第12.2款〔预付款〕约定应支付的预付款和扣减的返还预付款；</w:t>
      </w:r>
    </w:p>
    <w:p w14:paraId="7794808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（4）根据第15.3款〔质量保证金〕约定应扣减的质量保证金；</w:t>
      </w:r>
    </w:p>
    <w:p w14:paraId="602445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（5）根据第19条〔索赔〕应增加和扣减的索赔金额；</w:t>
      </w:r>
    </w:p>
    <w:p w14:paraId="6D0F1D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（6）对已签发的进度款支付证书中出现错误的修正，应在本次进度付款中支付或扣除的金额；</w:t>
      </w:r>
    </w:p>
    <w:p w14:paraId="6A860C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（7）根据合同约定应增加和扣减的其他金额。</w:t>
      </w:r>
    </w:p>
    <w:p w14:paraId="09547C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12.4.3 进度付款申请单的提交</w:t>
      </w:r>
    </w:p>
    <w:p w14:paraId="2B4DEB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（1）单价合同进度付款申请单的提交</w:t>
      </w:r>
    </w:p>
    <w:p w14:paraId="3779AD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C159F2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（2）总价合同进度付款申请单的提交</w:t>
      </w:r>
    </w:p>
    <w:p w14:paraId="0CDF5F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总价合同按月计量支付的，承包人按照第12.3.4项〔总价合同的计量〕约定的时间按月向监理人提交进度付款申请单，并附上已完成工程量报表和有关资料。</w:t>
      </w:r>
    </w:p>
    <w:p w14:paraId="054E566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总价合同按支付分解表支付的，承包人应按照第12.4.6项〔支付分解表〕及第12.4.2项〔进度付款申请单的编制〕的约定向监理人提交进度付款申请单。</w:t>
      </w:r>
    </w:p>
    <w:p w14:paraId="2EB8EE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（3）其他价格形式合同的进度付款申请单的提交</w:t>
      </w:r>
    </w:p>
    <w:p w14:paraId="798814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合同当事人可在专用合同条款中约定其他价格形式合同的进度付款申请单的编制和提交程序。</w:t>
      </w:r>
    </w:p>
    <w:p w14:paraId="4C1920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.4 进度款审核和支付</w:t>
      </w:r>
    </w:p>
    <w:p w14:paraId="7CDEB5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46E9B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E7C1F3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609C53C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（3）发包人签发进度款支付证书或临时进度款支付证书，不表明发包人已同意、批准或接受了承包人完成的相应部分的工作。</w:t>
      </w:r>
    </w:p>
    <w:p w14:paraId="7AE912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12.4.5 进度付款的修正</w:t>
      </w:r>
    </w:p>
    <w:p w14:paraId="6837E22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在对已签发的进度款支付证书进行阶段汇总和复核中发现错误、遗漏或重复的，发包人和承包人均有权提出修正申请。经发包人和承包人同意的修正，应在下期进度付款中支付或扣除。</w:t>
      </w:r>
    </w:p>
    <w:p w14:paraId="26A401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12.4.6 支付分解表</w:t>
      </w:r>
    </w:p>
    <w:p w14:paraId="1F54806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1.支付分解表的编制要求</w:t>
      </w:r>
    </w:p>
    <w:p w14:paraId="16E4BBA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（1）支付分解表中所列的每期付款金额，应为第12.4.2项〔进度付款申请单的编制〕第（1）目的估算金额；</w:t>
      </w:r>
    </w:p>
    <w:p w14:paraId="663C1E4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（2）实际进度与施工进度计划不一致的，合同当事人可按照第4.4款〔商定或确定〕修改支付分解表；</w:t>
      </w:r>
    </w:p>
    <w:p w14:paraId="6E2DA88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（3）不采用支付分解表的，承包人应向发包人和监理人提交按季度编制的支付估算分解表，用于支付参考。</w:t>
      </w:r>
    </w:p>
    <w:p w14:paraId="7ABD30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2.总价合同支付分解表的编制与审批</w:t>
      </w:r>
    </w:p>
    <w:p w14:paraId="2E6A008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542E05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（2）监理人应在收到支付分解表后7天内完成审核并报送发包人。发包人应在收到经监理人审核的支付分解表后7天内完成审批，经发包人批准的支付分解表为有约束力的支付分解表。</w:t>
      </w:r>
    </w:p>
    <w:p w14:paraId="1C63F8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（3）发包人逾期未完成支付分解表审批的，也未及时要求承包人进行修正和提供补充资料的，则承包人提交的支付分解表视为已经获得发包人批准。</w:t>
      </w:r>
    </w:p>
    <w:p w14:paraId="75A34B9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3.单价合同的总价项目支付分解表的编制与审批</w:t>
      </w:r>
    </w:p>
    <w:p w14:paraId="46BEAC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8BACEA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12.5支付账户</w:t>
      </w:r>
    </w:p>
    <w:p w14:paraId="7D6ABBB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发包人应将合同价款支付至合同协议书中约定的承包人账户。</w:t>
      </w:r>
    </w:p>
    <w:p w14:paraId="5B8ED0D7">
      <w:pPr>
        <w:keepNext/>
        <w:keepLines/>
        <w:spacing w:before="120" w:after="120" w:line="440" w:lineRule="exact"/>
        <w:ind w:firstLine="640" w:firstLineChars="200"/>
        <w:outlineLvl w:val="2"/>
        <w:rPr>
          <w:rFonts w:ascii="宋体" w:hAnsi="宋体" w:cs="宋体"/>
          <w:bCs/>
          <w:color w:val="000000"/>
          <w:sz w:val="32"/>
          <w:szCs w:val="32"/>
        </w:rPr>
      </w:pPr>
      <w:bookmarkStart w:id="67" w:name="_Toc256000226"/>
      <w:r>
        <w:rPr>
          <w:rFonts w:hint="eastAsia" w:ascii="宋体" w:hAnsi="宋体" w:cs="宋体"/>
          <w:bCs/>
          <w:color w:val="000000"/>
          <w:sz w:val="32"/>
          <w:szCs w:val="32"/>
        </w:rPr>
        <w:t>13. 验收和工程试车</w:t>
      </w:r>
      <w:bookmarkEnd w:id="67"/>
    </w:p>
    <w:p w14:paraId="47DCA93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13.1分部分项工程验收</w:t>
      </w:r>
    </w:p>
    <w:p w14:paraId="39CE120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13.1.1 分部分项工程质量应符合国家有关工程施工验收规范、标准及合同约定，承包人应按照施工组织设计的要求完成分部分项工程施工。</w:t>
      </w:r>
    </w:p>
    <w:p w14:paraId="663B4B2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13.1.2 除专用合同条款另有约定外，分部分项工程经承包人自检合格并具备验收条件的，承包人应提前48小时通知监理人进行验收。</w:t>
      </w:r>
      <w:r>
        <w:rPr>
          <w:rFonts w:hint="eastAsia" w:ascii="宋体" w:hAnsi="宋体" w:cs="宋体"/>
          <w:color w:val="000000"/>
          <w:kern w:val="0"/>
          <w:sz w:val="32"/>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000000"/>
          <w:sz w:val="32"/>
          <w:szCs w:val="32"/>
        </w:rPr>
        <w:t>分部分项工程未经验收的，不得进入下一道工序施工。</w:t>
      </w:r>
    </w:p>
    <w:p w14:paraId="5AEC4E9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分部分项工程的验收资料应当作为竣工资料的组成部分。</w:t>
      </w:r>
    </w:p>
    <w:p w14:paraId="3CD4BDD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13.2竣工验收</w:t>
      </w:r>
    </w:p>
    <w:p w14:paraId="64FB9C8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13.2.1竣工验收条件</w:t>
      </w:r>
    </w:p>
    <w:p w14:paraId="5A2A64A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工程具备以下条件的，承包人可以申请竣工验收：</w:t>
      </w:r>
    </w:p>
    <w:p w14:paraId="67A36BF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（1）除发包人同意的甩项工作和缺陷修补工作外，合同范围内的全部工程以及有关工作，包括合同要求的试验、试运行以及检验均已完成，并符合合同要求；</w:t>
      </w:r>
    </w:p>
    <w:p w14:paraId="2F144FA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（2）已按合同约定编制了甩项工作和缺陷修补工作清单以及相应的施工计划；</w:t>
      </w:r>
    </w:p>
    <w:p w14:paraId="3271ECC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（3）已按合同约定的内容和份数备齐竣工资料。</w:t>
      </w:r>
    </w:p>
    <w:p w14:paraId="4534ADF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13.2.2竣工验收程序</w:t>
      </w:r>
    </w:p>
    <w:p w14:paraId="3947C40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除专用合同条款另有约定外，承包人申请竣工验收的，应当按照以下程序进行：</w:t>
      </w:r>
    </w:p>
    <w:p w14:paraId="62DE95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F145C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816215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（3）竣工验收合格的，发包人应在验收合格后14天内向承包人签发工程接收证书。发包人无正当理由逾期不颁发工程接收证书的，自验收合格后第15天起视为已颁发工程接收证书。</w:t>
      </w:r>
    </w:p>
    <w:p w14:paraId="726EB2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505FF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9814C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除专用合同条款另有约定外，发包人不按照本项约定组织竣工验收、颁发工程接收证书的，每逾期一天，应以签约合同价为基数，按照中国人民银行发布的同期同类贷款基准利率支付违约金。</w:t>
      </w:r>
    </w:p>
    <w:p w14:paraId="764F9A9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13.2.3竣工日期</w:t>
      </w:r>
    </w:p>
    <w:p w14:paraId="78C5315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78D261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13.2.4 拒绝接收全部或部分工程</w:t>
      </w:r>
    </w:p>
    <w:p w14:paraId="7BB3DA0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DDDA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13.2.5 移交、接收全部与部分工程</w:t>
      </w:r>
    </w:p>
    <w:p w14:paraId="795FDB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除专用合同条款另有约定外，合同当事人应当在颁发工程接收证书后7天内完成工程的移交。</w:t>
      </w:r>
    </w:p>
    <w:p w14:paraId="005F0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发包人无正当理由不接收工程的，发包人自应当接收工程之日起，承担工程照管、成品保护、保管等与工程有关的各项费用，合同当事人可以在专用合同条款中另行约定发包人逾期接收工程的违约责任。</w:t>
      </w:r>
    </w:p>
    <w:p w14:paraId="031FF8C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承包人无正当理由不移交工程的，承包人应承担工程照管、成品保护、保管等与工程有关的各项费用，合同当事人可以在专用合同条款中另行约定承包人无正当理由不移交工程的违约责任。</w:t>
      </w:r>
    </w:p>
    <w:p w14:paraId="1E07427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13.3工程试车</w:t>
      </w:r>
    </w:p>
    <w:p w14:paraId="13936D5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13.3.1试车程序</w:t>
      </w:r>
    </w:p>
    <w:p w14:paraId="69E5E10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工程需要试车的，除专用合同条款另有约定外，试车内容应与承包人承包范围相一致，试车费用由承包人承担。工程试车应按如下程序进行：</w:t>
      </w:r>
    </w:p>
    <w:p w14:paraId="1509050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BE7603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E662BD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7A7995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13.3.2 试车中的责任</w:t>
      </w:r>
    </w:p>
    <w:p w14:paraId="03E69FB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99D0B4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2FE958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13.3.3 投料试车</w:t>
      </w:r>
    </w:p>
    <w:p w14:paraId="04DFE09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如需进行投料试车的，发包人应在工程竣工验收后组织投料试车。发包人要求在工程竣工验收前进行或需要承包人配合时，应征得承包人同意，并在专用合同条款中约定有关事项。</w:t>
      </w:r>
    </w:p>
    <w:p w14:paraId="24F77E6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47E17D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13.4提前交付单位工程的验收</w:t>
      </w:r>
    </w:p>
    <w:p w14:paraId="1FA2EDF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13.4.1 发包人需要在工程竣工前使用单位工程的，或承包人提出提前交付已经竣工的单位工程且经发包人同意的，可进行单位工程验收，验收的程序按照第13.2款〔竣工验收〕的约定进行。</w:t>
      </w:r>
    </w:p>
    <w:p w14:paraId="28F6DB4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41F2533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13.4.2 发包人要求在工程竣工前交付单位工程，由此导致承包人费用增加和（或）工期延误的，由发包人承担由此增加的费用和（或）延误的工期，并支付承包人合理的利润。</w:t>
      </w:r>
    </w:p>
    <w:p w14:paraId="464358C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13.5 施工期运行</w:t>
      </w:r>
    </w:p>
    <w:p w14:paraId="325B91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6F576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13.5.2 在施工期运行中发现工程或工程设备损坏或存在缺陷的，由承包人按第15.2款〔缺陷责任期〕约定进行修复。</w:t>
      </w:r>
    </w:p>
    <w:p w14:paraId="20FE098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13.6 竣工退场</w:t>
      </w:r>
    </w:p>
    <w:p w14:paraId="776A68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13.6.1 竣工退场</w:t>
      </w:r>
    </w:p>
    <w:p w14:paraId="4348990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颁发工程接收证书后，承包人应按以下要求对施工现场进行清理：</w:t>
      </w:r>
    </w:p>
    <w:p w14:paraId="6C7E357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（1）施工现场内残留的垃圾已全部清除出场；</w:t>
      </w:r>
    </w:p>
    <w:p w14:paraId="74DAF0E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（2）临时工程已拆除，场地已进行清理、平整或复原；</w:t>
      </w:r>
    </w:p>
    <w:p w14:paraId="03898BE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（3）按合同约定应撤离的人员、承包人施工设备和剩余的材料，包括废弃的施工设备和材料，已按计划撤离施工现场；</w:t>
      </w:r>
    </w:p>
    <w:p w14:paraId="4AC840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（4）施工现场周边及其附近道路、河道的施工堆积物，已全部清理；</w:t>
      </w:r>
    </w:p>
    <w:p w14:paraId="210586B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（5）施工现场其他场地清理工作已全部完成。</w:t>
      </w:r>
    </w:p>
    <w:p w14:paraId="5C14EF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3E457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13.6.2 地表还原</w:t>
      </w:r>
    </w:p>
    <w:p w14:paraId="38CD1F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4A2755ED">
      <w:pPr>
        <w:keepNext/>
        <w:keepLines/>
        <w:spacing w:before="120" w:after="120" w:line="440" w:lineRule="exact"/>
        <w:ind w:firstLine="640" w:firstLineChars="200"/>
        <w:outlineLvl w:val="2"/>
        <w:rPr>
          <w:rFonts w:ascii="宋体" w:hAnsi="宋体" w:cs="宋体"/>
          <w:bCs/>
          <w:color w:val="000000"/>
          <w:sz w:val="32"/>
          <w:szCs w:val="32"/>
        </w:rPr>
      </w:pPr>
      <w:bookmarkStart w:id="68" w:name="_Toc256000227"/>
      <w:r>
        <w:rPr>
          <w:rFonts w:hint="eastAsia" w:ascii="宋体" w:hAnsi="宋体" w:cs="宋体"/>
          <w:bCs/>
          <w:color w:val="000000"/>
          <w:sz w:val="32"/>
          <w:szCs w:val="32"/>
        </w:rPr>
        <w:t>14. 竣工结算</w:t>
      </w:r>
      <w:bookmarkEnd w:id="68"/>
    </w:p>
    <w:p w14:paraId="4787B46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14.1 竣工结算申请</w:t>
      </w:r>
    </w:p>
    <w:p w14:paraId="7A9495D9">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除专用合同条款另有约定外，</w:t>
      </w:r>
      <w:r>
        <w:rPr>
          <w:rFonts w:hint="eastAsia" w:ascii="宋体" w:hAnsi="宋体" w:cs="宋体"/>
          <w:color w:val="000000"/>
          <w:sz w:val="32"/>
          <w:szCs w:val="32"/>
        </w:rPr>
        <w:t>承包人应在工程竣工验收合格后28天内向发包人和监理人提交竣工结算申请单，并提交完整的结算资料，有关竣工结算申请单的资料清单和份数等要求由合同当事人在专用合同条款中约定。</w:t>
      </w:r>
    </w:p>
    <w:p w14:paraId="41CB5C6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除专用合同条款另有约定外，竣工结算申请单应包括以下内容：</w:t>
      </w:r>
    </w:p>
    <w:p w14:paraId="33A4F37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（1）竣工结算合同价格；</w:t>
      </w:r>
    </w:p>
    <w:p w14:paraId="16AECD9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（2）发包人已支付承包人的款项；</w:t>
      </w:r>
    </w:p>
    <w:p w14:paraId="134737DA">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 xml:space="preserve">（3）应扣留的质量保证金。已缴纳履约保证金的或提供其他工程质量担保方式的除外； </w:t>
      </w:r>
    </w:p>
    <w:p w14:paraId="20C239C7">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（4）发包人应支付承包人的合同价款。</w:t>
      </w:r>
    </w:p>
    <w:p w14:paraId="2148D7B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14.2 竣工结算审核</w:t>
      </w:r>
    </w:p>
    <w:p w14:paraId="35B19BF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000000"/>
          <w:sz w:val="32"/>
          <w:szCs w:val="32"/>
        </w:rPr>
        <w:t>发包人对竣工</w:t>
      </w:r>
      <w:r>
        <w:rPr>
          <w:rFonts w:hint="eastAsia" w:ascii="宋体" w:hAnsi="宋体" w:cs="宋体"/>
          <w:color w:val="000000"/>
          <w:kern w:val="0"/>
          <w:sz w:val="32"/>
          <w:szCs w:val="32"/>
        </w:rPr>
        <w:t>结算</w:t>
      </w:r>
      <w:r>
        <w:rPr>
          <w:rFonts w:hint="eastAsia" w:ascii="宋体" w:hAnsi="宋体" w:cs="宋体"/>
          <w:color w:val="000000"/>
          <w:sz w:val="32"/>
          <w:szCs w:val="32"/>
        </w:rPr>
        <w:t>申请单有异议的，有权要求承包人进行修正和提供补充资料，承包人应提交修正后的竣工</w:t>
      </w:r>
      <w:r>
        <w:rPr>
          <w:rFonts w:hint="eastAsia" w:ascii="宋体" w:hAnsi="宋体" w:cs="宋体"/>
          <w:color w:val="000000"/>
          <w:kern w:val="0"/>
          <w:sz w:val="32"/>
          <w:szCs w:val="32"/>
        </w:rPr>
        <w:t>结算</w:t>
      </w:r>
      <w:r>
        <w:rPr>
          <w:rFonts w:hint="eastAsia" w:ascii="宋体" w:hAnsi="宋体" w:cs="宋体"/>
          <w:color w:val="000000"/>
          <w:sz w:val="32"/>
          <w:szCs w:val="32"/>
        </w:rPr>
        <w:t>申请单。</w:t>
      </w:r>
    </w:p>
    <w:p w14:paraId="2CDB31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EB248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6E86F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53C036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14.3 甩项竣工协议</w:t>
      </w:r>
    </w:p>
    <w:p w14:paraId="139997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8CFC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14.4 最终结清</w:t>
      </w:r>
    </w:p>
    <w:p w14:paraId="53E0AB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14.4.1 最终结清申请单</w:t>
      </w:r>
    </w:p>
    <w:p w14:paraId="58F904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（1）除专用合同条款另有约定外，承包人应在缺陷责任期终止证书颁发后7天内，按专用合同条款约定的份数向发包人提交最终结清申请单，并提供相关证明材料。</w:t>
      </w:r>
    </w:p>
    <w:p w14:paraId="4654912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w:t>
      </w:r>
      <w:r>
        <w:rPr>
          <w:rFonts w:hint="eastAsia" w:ascii="宋体" w:hAnsi="宋体" w:cs="宋体"/>
          <w:color w:val="000000"/>
          <w:kern w:val="0"/>
          <w:sz w:val="32"/>
          <w:szCs w:val="32"/>
        </w:rPr>
        <w:t>最终结清申请单</w:t>
      </w:r>
      <w:r>
        <w:rPr>
          <w:rFonts w:hint="eastAsia" w:ascii="宋体" w:hAnsi="宋体" w:cs="宋体"/>
          <w:color w:val="000000"/>
          <w:sz w:val="32"/>
          <w:szCs w:val="32"/>
        </w:rPr>
        <w:t>应列明质量保证金、应扣除的质量保证金、缺陷责任期内发生的增减费用。</w:t>
      </w:r>
    </w:p>
    <w:p w14:paraId="4DA62D0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（2）发包人对最终结清申请单内容有异议的，有权要求承包人进行修正和提供补充资料，承包人应向发包人提交修正后的最终结清申请单。</w:t>
      </w:r>
    </w:p>
    <w:p w14:paraId="0AA267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14.4.2 最终结清证书和支付</w:t>
      </w:r>
    </w:p>
    <w:p w14:paraId="145495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7759C9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6921BF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（3）承包人对发包人颁发的最终结清证书有异议的，按第20条〔争议解决〕的约定办理。</w:t>
      </w:r>
    </w:p>
    <w:p w14:paraId="36F4AE48">
      <w:pPr>
        <w:keepNext/>
        <w:keepLines/>
        <w:spacing w:before="120" w:after="120" w:line="440" w:lineRule="exact"/>
        <w:ind w:firstLine="640" w:firstLineChars="200"/>
        <w:outlineLvl w:val="2"/>
        <w:rPr>
          <w:rFonts w:ascii="宋体" w:hAnsi="宋体" w:cs="宋体"/>
          <w:bCs/>
          <w:color w:val="000000"/>
          <w:sz w:val="32"/>
          <w:szCs w:val="32"/>
        </w:rPr>
      </w:pPr>
      <w:bookmarkStart w:id="69" w:name="_Toc256000228"/>
      <w:r>
        <w:rPr>
          <w:rFonts w:hint="eastAsia" w:ascii="宋体" w:hAnsi="宋体" w:cs="宋体"/>
          <w:bCs/>
          <w:color w:val="000000"/>
          <w:sz w:val="32"/>
          <w:szCs w:val="32"/>
        </w:rPr>
        <w:t>15. 缺陷责任与保修</w:t>
      </w:r>
      <w:bookmarkEnd w:id="69"/>
    </w:p>
    <w:p w14:paraId="428500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15.1 工程保修的原则</w:t>
      </w:r>
    </w:p>
    <w:p w14:paraId="7816B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在工程移交发包人后，因承包人原因产生的质量缺陷，承包人应承担质量缺陷责任和保修义务。缺陷责任期届满，承包人仍应按合同约定的工程各部位保修年限承担保修义务。</w:t>
      </w:r>
    </w:p>
    <w:p w14:paraId="36B1068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15.2 缺陷责任期</w:t>
      </w:r>
    </w:p>
    <w:p w14:paraId="50E6FAD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15.2.1 缺陷责任期从工程通过竣工验收之日起计算，合同当事人应在专用合同条款约定缺陷责任期的具体期限，但该期限最长不超过24个月。</w:t>
      </w:r>
    </w:p>
    <w:p w14:paraId="5B3AC7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660687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000000"/>
          <w:sz w:val="32"/>
          <w:szCs w:val="32"/>
        </w:rPr>
        <w:t>包人延长缺陷责任期，</w:t>
      </w:r>
      <w:r>
        <w:rPr>
          <w:rFonts w:hint="eastAsia" w:ascii="宋体" w:hAnsi="宋体" w:cs="宋体"/>
          <w:color w:val="000000"/>
          <w:kern w:val="0"/>
          <w:sz w:val="32"/>
          <w:szCs w:val="32"/>
        </w:rPr>
        <w:t>并应在原缺陷责任期届满前发出延长通知。</w:t>
      </w:r>
      <w:r>
        <w:rPr>
          <w:rFonts w:hint="eastAsia" w:ascii="宋体" w:hAnsi="宋体" w:cs="宋体"/>
          <w:bCs/>
          <w:color w:val="000000"/>
          <w:sz w:val="32"/>
          <w:szCs w:val="32"/>
        </w:rPr>
        <w:t>但缺陷责任期（含延长部分）最长</w:t>
      </w:r>
      <w:r>
        <w:rPr>
          <w:rFonts w:hint="eastAsia" w:ascii="宋体" w:hAnsi="宋体" w:cs="宋体"/>
          <w:color w:val="000000"/>
          <w:kern w:val="0"/>
          <w:sz w:val="32"/>
          <w:szCs w:val="32"/>
        </w:rPr>
        <w:t>不能超过24个月。</w:t>
      </w:r>
    </w:p>
    <w:p w14:paraId="1078FB4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由他人原因造成的缺陷，发包人负责组织维修，承包人不承担费用，且发包人不得从保证金中扣除费用。</w:t>
      </w:r>
    </w:p>
    <w:p w14:paraId="792E4C0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15.2.3 任何一项缺陷或损坏修复后，经检查证明其影响了工程或工程设备的使用性能，承包人应重新进行合同约定的试验和试运行，试验和试运行的全部费用应由责任方承担。</w:t>
      </w:r>
    </w:p>
    <w:p w14:paraId="7010C26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5FA0EC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15.3 质量保证金</w:t>
      </w:r>
    </w:p>
    <w:p w14:paraId="6023B98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经合同当事人协商一致扣留质量保证金的，应在专用合同条款中予以明确。</w:t>
      </w:r>
    </w:p>
    <w:p w14:paraId="369F587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在工程项目竣工前，承包人已经提供履约担保的，发包人不得同时预留工程质量保证金。</w:t>
      </w:r>
    </w:p>
    <w:p w14:paraId="646BA0A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15.3.1 承包人提供质量保证金的方式</w:t>
      </w:r>
    </w:p>
    <w:p w14:paraId="7D2D7B2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承包人提供质量保证金有以下三种方式：</w:t>
      </w:r>
    </w:p>
    <w:p w14:paraId="1AC3D1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（1）质量保证金保函； </w:t>
      </w:r>
    </w:p>
    <w:p w14:paraId="6EE6509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（2）相应比例的工程款；</w:t>
      </w:r>
    </w:p>
    <w:p w14:paraId="6ADEDE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（3）双方约定的其他方式。</w:t>
      </w:r>
    </w:p>
    <w:p w14:paraId="1D3811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除专用合同条款另有约定外，质量保证金原则上采用上述第（1）种方式。</w:t>
      </w:r>
    </w:p>
    <w:p w14:paraId="13D94E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15.3.2 质量保证金的扣留</w:t>
      </w:r>
    </w:p>
    <w:p w14:paraId="4475E17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质量保证金的扣留有以下三种方式：</w:t>
      </w:r>
    </w:p>
    <w:p w14:paraId="7E36D8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（1）在支付工程进度款时逐次扣留，在此情形下，质量保证金的计算基数不包括预付款的支付、扣回以及价格调整的金额；</w:t>
      </w:r>
    </w:p>
    <w:p w14:paraId="76A858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（2）工程竣工结算时一次性扣留质量保证金；</w:t>
      </w:r>
    </w:p>
    <w:p w14:paraId="6670410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（3）双方约定的其他扣留方式。</w:t>
      </w:r>
    </w:p>
    <w:p w14:paraId="6751299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除专用合同条款另有约定外，质量保证金的扣留原则上采用上述第（1）种方式。</w:t>
      </w:r>
    </w:p>
    <w:p w14:paraId="5F56341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A19D2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发包人在退还质量保证金的同时按照中国人民银行发布的同期同类贷款基准利率支付利息。</w:t>
      </w:r>
    </w:p>
    <w:p w14:paraId="61B4E88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15.3.3 </w:t>
      </w:r>
      <w:r>
        <w:rPr>
          <w:rFonts w:hint="eastAsia" w:ascii="宋体" w:hAnsi="宋体" w:cs="宋体"/>
          <w:color w:val="000000"/>
          <w:sz w:val="32"/>
          <w:szCs w:val="32"/>
        </w:rPr>
        <w:t>质量保证金</w:t>
      </w:r>
      <w:r>
        <w:rPr>
          <w:rFonts w:hint="eastAsia" w:ascii="宋体" w:hAnsi="宋体" w:cs="宋体"/>
          <w:color w:val="000000"/>
          <w:kern w:val="0"/>
          <w:sz w:val="32"/>
          <w:szCs w:val="32"/>
        </w:rPr>
        <w:t>的退还</w:t>
      </w:r>
    </w:p>
    <w:p w14:paraId="644627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缺陷责任期内，承包人认真履行合同约定的责任，到期后，承包人可向发包人申请返还保证金。</w:t>
      </w:r>
    </w:p>
    <w:p w14:paraId="7CFC265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E7A1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发包人和承包人对保证金预留、返还以及工程维修质量、费用有争议的，按本合同第20条约定的争议和纠纷解决程序处理。</w:t>
      </w:r>
    </w:p>
    <w:p w14:paraId="285EB1F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15.4 保修</w:t>
      </w:r>
    </w:p>
    <w:p w14:paraId="0CC4E44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15.4.1保修责任</w:t>
      </w:r>
    </w:p>
    <w:p w14:paraId="2921CFF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4413A5C">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发包人未经竣工验收擅自使用工程的，保修期自</w:t>
      </w:r>
      <w:r>
        <w:rPr>
          <w:rFonts w:hint="eastAsia" w:ascii="宋体" w:hAnsi="宋体" w:cs="宋体"/>
          <w:color w:val="000000"/>
          <w:kern w:val="0"/>
          <w:sz w:val="32"/>
          <w:szCs w:val="32"/>
        </w:rPr>
        <w:t>转移占有之日起算</w:t>
      </w:r>
      <w:r>
        <w:rPr>
          <w:rFonts w:hint="eastAsia" w:ascii="宋体" w:hAnsi="宋体" w:cs="宋体"/>
          <w:color w:val="000000"/>
          <w:sz w:val="32"/>
          <w:szCs w:val="32"/>
        </w:rPr>
        <w:t>。</w:t>
      </w:r>
    </w:p>
    <w:p w14:paraId="33F87B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15.4.2 修复费用</w:t>
      </w:r>
    </w:p>
    <w:p w14:paraId="0FA3DF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保修期内，修复的费用按照以下约定处理：</w:t>
      </w:r>
    </w:p>
    <w:p w14:paraId="195666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（1）保修期内，因承包人原因造成工程的缺陷、损坏，承包人应负责修复，并承担修复的费用以及因工程的缺陷、损坏造成的人身伤害和财产损失；</w:t>
      </w:r>
    </w:p>
    <w:p w14:paraId="099CFB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（2）保修期内，因发包人使用不当造成工程的缺陷、损坏，可以委托承包人修复，但发包人应承担修复的费用，并支付承包人合理利润；</w:t>
      </w:r>
    </w:p>
    <w:p w14:paraId="1BA55F3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（3）因其他原因造成工程的缺陷、损坏，可以委托承包人修复，发包人应承担修复的费用，并支付承包人合理的利润，因工程的缺陷、损坏造成的人身伤害和财产损失由责任方承担。</w:t>
      </w:r>
    </w:p>
    <w:p w14:paraId="2C421F8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15.4.3 修复通知</w:t>
      </w:r>
    </w:p>
    <w:p w14:paraId="43224C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8DDB58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15.4.4 未能修复</w:t>
      </w:r>
    </w:p>
    <w:p w14:paraId="1FF9350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5AAC76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15.4.5 承包人出入权</w:t>
      </w:r>
    </w:p>
    <w:p w14:paraId="176BE3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9E33B1C">
      <w:pPr>
        <w:keepNext/>
        <w:keepLines/>
        <w:spacing w:before="120" w:after="120" w:line="440" w:lineRule="exact"/>
        <w:ind w:firstLine="640" w:firstLineChars="200"/>
        <w:outlineLvl w:val="2"/>
        <w:rPr>
          <w:rFonts w:ascii="宋体" w:hAnsi="宋体" w:cs="宋体"/>
          <w:bCs/>
          <w:color w:val="000000"/>
          <w:sz w:val="32"/>
          <w:szCs w:val="32"/>
        </w:rPr>
      </w:pPr>
      <w:bookmarkStart w:id="70" w:name="_Toc256000229"/>
      <w:r>
        <w:rPr>
          <w:rFonts w:hint="eastAsia" w:ascii="宋体" w:hAnsi="宋体" w:cs="宋体"/>
          <w:bCs/>
          <w:color w:val="000000"/>
          <w:sz w:val="32"/>
          <w:szCs w:val="32"/>
        </w:rPr>
        <w:t>16. 违约</w:t>
      </w:r>
      <w:bookmarkEnd w:id="70"/>
    </w:p>
    <w:p w14:paraId="6F2BB1A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16.1 发包人违约</w:t>
      </w:r>
    </w:p>
    <w:p w14:paraId="31ED2AB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16.1.1 发包人违约的情形</w:t>
      </w:r>
    </w:p>
    <w:p w14:paraId="3C88C9B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在合同履行过程中发生的下列情形，属于发包人违约：</w:t>
      </w:r>
    </w:p>
    <w:p w14:paraId="35B42C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（1）因发包人原因未能在计划开工日期前7天内下达开工通知的；</w:t>
      </w:r>
    </w:p>
    <w:p w14:paraId="10E7BA2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（2）因发包人原因未能按合同约定支付合同价款的；</w:t>
      </w:r>
    </w:p>
    <w:p w14:paraId="0D824A4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（3）发包人违反第10.1款〔变更的范围〕第（2）项约定，自行实施被取消的工作或转由他人实施的；</w:t>
      </w:r>
    </w:p>
    <w:p w14:paraId="58DD002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（4）发包人提供的材料、工程设备的规格、数量或质量不符合合同约定，或因发包人原因导致交货日期延误或交货地点变更等情况的；</w:t>
      </w:r>
    </w:p>
    <w:p w14:paraId="7A6BC17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（5）因发包人违反合同约定造成暂停施工的；</w:t>
      </w:r>
    </w:p>
    <w:p w14:paraId="724785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（6）发包人无正当理由没有在约定期限内发出复工指示，导致承包人无法复工的；</w:t>
      </w:r>
    </w:p>
    <w:p w14:paraId="6BA98F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（7）发包人明确表示或者以其行为表明不履行合同主要义务的；</w:t>
      </w:r>
    </w:p>
    <w:p w14:paraId="0AE3BE5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（8）发包人未能按照合同约定履行其他义务的。</w:t>
      </w:r>
    </w:p>
    <w:p w14:paraId="1B036B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57432E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16.1.2 发包人违约的责任</w:t>
      </w:r>
    </w:p>
    <w:p w14:paraId="2CA1913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发包人应承担因其违约给承包人增加的费用和（或）延误的工期，并支付承包人合理的利润。此外，合同当事人可在专用合同条款中另行约定发包人违约责任的承担方式和计算方法。</w:t>
      </w:r>
    </w:p>
    <w:p w14:paraId="1FC9988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16.1.3 因发包人违约解除合同</w:t>
      </w:r>
    </w:p>
    <w:p w14:paraId="77F1515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1F39FCA">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16.1.4 因发包人违约解除合同后的付款</w:t>
      </w:r>
    </w:p>
    <w:p w14:paraId="136C929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承包人按照本款约定解除合同的，发包人应在解除合同后28天内支付下列款项，并解除履约担保：</w:t>
      </w:r>
    </w:p>
    <w:p w14:paraId="3015AED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（1）合同解除前所完成工作的价款；</w:t>
      </w:r>
    </w:p>
    <w:p w14:paraId="4510961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（2）承包人为工程施工订购并已付款的材料、工程设备和其他物品的价款；</w:t>
      </w:r>
    </w:p>
    <w:p w14:paraId="1A766A4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（3）承包人撤离施工现场以及遣散承包人人员的款项；</w:t>
      </w:r>
    </w:p>
    <w:p w14:paraId="7CCA37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（4）按照合同约定在合同解除前应支付的违约金；</w:t>
      </w:r>
    </w:p>
    <w:p w14:paraId="2090842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（5）按照合同约定应当支付给承包人的其他款项；</w:t>
      </w:r>
    </w:p>
    <w:p w14:paraId="01D36E8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（6）按照合同约定应退还的质量保证金；</w:t>
      </w:r>
    </w:p>
    <w:p w14:paraId="460526C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（7）因解除合同给承包人造成的损失。</w:t>
      </w:r>
    </w:p>
    <w:p w14:paraId="1C1145F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合同当事人未能就解除合同后的结清达成一致的，按照第20条〔争议解决〕的约定处理。</w:t>
      </w:r>
    </w:p>
    <w:p w14:paraId="06282C4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承包人应妥善做好已完工程和与工程有关的已购材料、工程设备的保护和移交工作，并将施工设备和人员撤出施工现场，发包人应为承包人撤出提供必要条件。</w:t>
      </w:r>
    </w:p>
    <w:p w14:paraId="4BD2177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16.2 承包人违约</w:t>
      </w:r>
    </w:p>
    <w:p w14:paraId="171031D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16.2.1 承包人违约的情形</w:t>
      </w:r>
    </w:p>
    <w:p w14:paraId="24A980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在合同履行过程中发生的下列情形，属于承包人违约：</w:t>
      </w:r>
    </w:p>
    <w:p w14:paraId="7A01320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（1）承包人违反合同约定进行转包或违法分包的；</w:t>
      </w:r>
    </w:p>
    <w:p w14:paraId="25526D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（2）承包人违反合同约定采购和使用不合格的材料和工程设备的；</w:t>
      </w:r>
    </w:p>
    <w:p w14:paraId="2FF118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（3）因承包人原因导致工程质量不符合合同要求的； </w:t>
      </w:r>
    </w:p>
    <w:p w14:paraId="0D7F9B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（4）承包人违反第8.9款〔材料与设备专用要求〕的约定，未经批准，私自将已按照合同约定进入施工现场的材料或设备撤离施工现场的；</w:t>
      </w:r>
    </w:p>
    <w:p w14:paraId="7F0CDD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（5）承包人未能按施工进度计划及时完成合同约定的工作，造成工期延误的；</w:t>
      </w:r>
    </w:p>
    <w:p w14:paraId="2AF888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（6）承包人在缺陷责任期及保修期内，未能在合理期限对工程缺陷进行修复，或拒绝按发包人要求进行修复的；</w:t>
      </w:r>
    </w:p>
    <w:p w14:paraId="5A1C79E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（7）承包人明确表示或者以其行为表明不履行合同主要义务的；</w:t>
      </w:r>
    </w:p>
    <w:p w14:paraId="585E86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（8）承包人未能按照合同约定履行其他义务的。</w:t>
      </w:r>
    </w:p>
    <w:p w14:paraId="16B6545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承包人发生除本项第（7）目约定以外的其他违约情况时，监理人可向承包人发出整改通知，要求其在指定的期限内改正。</w:t>
      </w:r>
    </w:p>
    <w:p w14:paraId="614568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16.2.2 承包人违约的责任</w:t>
      </w:r>
    </w:p>
    <w:p w14:paraId="62C40A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承包人应承担因其违约行为而增加的费用和（或）延误的工期。此外，合同当事人可在专用合同条款中另行约定承包人违约责任的承担方式和计算方法。</w:t>
      </w:r>
    </w:p>
    <w:p w14:paraId="450ADB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16.2.3 因承包人违约解除合同</w:t>
      </w:r>
    </w:p>
    <w:p w14:paraId="5C75AD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885BC7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16.2.4因承包人违约解除合同后的处理</w:t>
      </w:r>
    </w:p>
    <w:p w14:paraId="3D304F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因承包人原因导致合同解除的，则合同当事人应在合同解除后28天内完成估价、付款和清算，并按以下约定执行：</w:t>
      </w:r>
    </w:p>
    <w:p w14:paraId="22085D7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（1）合同解除后，按第4.4款〔商定或确定〕商定或确定承包人实际完成工作对应的合同价款，以及承包人已提供的材料、工程设备、施工设备和临时工程等的价值；</w:t>
      </w:r>
    </w:p>
    <w:p w14:paraId="5B5B0E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（2）合同解除后，承包人应支付的违约金；</w:t>
      </w:r>
    </w:p>
    <w:p w14:paraId="547ECA8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（3）合同解除后，因解除合同给发包人造成的损失；</w:t>
      </w:r>
    </w:p>
    <w:p w14:paraId="5E72E90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（4）合同解除后，承包人应按照发包人要求和监理人的指示完成现场的清理和撤离；</w:t>
      </w:r>
    </w:p>
    <w:p w14:paraId="24E3BE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（5）发包人和承包人应在合同解除后进行清算，出具最终结清付款证书，结清全部款项。</w:t>
      </w:r>
    </w:p>
    <w:p w14:paraId="5A9A229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因承包人违约解除合同的，发包人有权暂停对承包人的付款，查清各项付款和已扣款项。发包人和承包人未能就合同解除后的清算和款项支付达成一致的，按照第20条〔争议解决〕的约定处理。</w:t>
      </w:r>
    </w:p>
    <w:p w14:paraId="0BB304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16.2.5采购合同权益转让</w:t>
      </w:r>
    </w:p>
    <w:p w14:paraId="5A1F792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22AD41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16.3 第三人造成的违约</w:t>
      </w:r>
    </w:p>
    <w:p w14:paraId="24B291A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在履行合同过程中，一方当事人因第三人的原因造成违约的，应当向对方当事人承担违约责任。一方当事人和第三人之间的纠纷，依照法律规定或者按照约定解决。</w:t>
      </w:r>
    </w:p>
    <w:p w14:paraId="010AB97F">
      <w:pPr>
        <w:keepNext/>
        <w:keepLines/>
        <w:spacing w:before="120" w:after="120" w:line="440" w:lineRule="exact"/>
        <w:ind w:firstLine="640" w:firstLineChars="200"/>
        <w:outlineLvl w:val="2"/>
        <w:rPr>
          <w:rFonts w:ascii="宋体" w:hAnsi="宋体" w:cs="宋体"/>
          <w:bCs/>
          <w:color w:val="000000"/>
          <w:sz w:val="32"/>
          <w:szCs w:val="32"/>
        </w:rPr>
      </w:pPr>
      <w:bookmarkStart w:id="71" w:name="_Toc256000230"/>
      <w:r>
        <w:rPr>
          <w:rFonts w:hint="eastAsia" w:ascii="宋体" w:hAnsi="宋体" w:cs="宋体"/>
          <w:bCs/>
          <w:color w:val="000000"/>
          <w:sz w:val="32"/>
          <w:szCs w:val="32"/>
        </w:rPr>
        <w:t>17. 不可抗力</w:t>
      </w:r>
      <w:bookmarkEnd w:id="71"/>
      <w:r>
        <w:rPr>
          <w:rFonts w:hint="eastAsia" w:ascii="宋体" w:hAnsi="宋体" w:cs="宋体"/>
          <w:bCs/>
          <w:color w:val="000000"/>
          <w:sz w:val="32"/>
          <w:szCs w:val="32"/>
        </w:rPr>
        <w:t xml:space="preserve"> </w:t>
      </w:r>
    </w:p>
    <w:p w14:paraId="6AE6835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17.1 不可抗力的确认</w:t>
      </w:r>
    </w:p>
    <w:p w14:paraId="20F001B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2997D0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DC823B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17.2 不可抗力的通知</w:t>
      </w:r>
    </w:p>
    <w:p w14:paraId="2FF8C95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合同一方当事人遇到不可抗力事件，使其履行合同义务受到阻碍时，应立即通知合同另一方当事人和监理人，书面说明不可抗力和受阻碍的详细情况，并提供必要的证明。</w:t>
      </w:r>
    </w:p>
    <w:p w14:paraId="565F7AE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不可抗力持续发生的，合同一方当事人应及时向合同另一方当事人和监理人提交中间报告，说明不可抗力和履行合同受阻的情况，并于不可抗力事件结束后28天内提交最终报告及有关资料。</w:t>
      </w:r>
    </w:p>
    <w:p w14:paraId="0D395D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17.3 不可抗力后果的承担</w:t>
      </w:r>
    </w:p>
    <w:p w14:paraId="0D12AA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17.3.1 不可抗力引起的后果及造成的损失由合同当事人按照法律规定及合同约定各自承担。不可抗力发生前已完成的工程应当按照合同约定进行计量支付。</w:t>
      </w:r>
    </w:p>
    <w:p w14:paraId="0739B72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17.3.2 不可抗力导致的人员伤亡、财产损失、费用增加和（或）工期延误等后果，由合同当事人按以下原则承担：</w:t>
      </w:r>
    </w:p>
    <w:p w14:paraId="098702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（1）永久工程、已运至施工现场的材料和工程设备的损坏，以及因工程损坏造成的第三人人员伤亡和财产损失由发包人承担；</w:t>
      </w:r>
    </w:p>
    <w:p w14:paraId="30CC839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（2）承包人施工设备的损坏由承包人承担；</w:t>
      </w:r>
    </w:p>
    <w:p w14:paraId="74F8529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（3）发包人和承包人承担各自人员伤亡和财产的损失；</w:t>
      </w:r>
    </w:p>
    <w:p w14:paraId="3EB3E5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18E52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（5）因不可抗力引起或将引起工期延误，发包人要求赶工的，由此增加的赶工费用由发包人承担；</w:t>
      </w:r>
    </w:p>
    <w:p w14:paraId="652E0AC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（6）承包人在停工期间按照发包人要求照管、清理和修复工程的费用由发包人承担。</w:t>
      </w:r>
    </w:p>
    <w:p w14:paraId="279C1A1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不可抗力发生后，合同当事人均应采取措施尽量避免和减少损失的扩大，任何一方当事人没有采取有效措施导致损失扩大的，应对扩大的损失承担责任。</w:t>
      </w:r>
    </w:p>
    <w:p w14:paraId="77C4DF8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因合同一方迟延履行合同义务，在迟延履行期间遭遇不可抗力的，不免除其违约责任。</w:t>
      </w:r>
    </w:p>
    <w:p w14:paraId="323C268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17.4 因不可抗力解除合同</w:t>
      </w:r>
    </w:p>
    <w:p w14:paraId="019ABCB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因不可抗力导致合同无法履行连续超过84天或累计超过140天的，发包人和承包人均有权解除合同。合同解除后，由双方当事人按照第4.4款〔商定或确定〕商定或确定发包人应支付的款项，该款项包括：</w:t>
      </w:r>
    </w:p>
    <w:p w14:paraId="2853F1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（1）合同解除前承包人已完成工作的价款；</w:t>
      </w:r>
    </w:p>
    <w:p w14:paraId="3ECC87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（2）承包人为工程订购的并已交付给承包人，或承包人有责任接受交付的材料、工程设备和其他物品的价款；</w:t>
      </w:r>
    </w:p>
    <w:p w14:paraId="7F9280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（3）发包人要求承包人退货或解除订货合同而产生的费用，或因不能退货或解除合同而产生的损失；</w:t>
      </w:r>
    </w:p>
    <w:p w14:paraId="714416F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（4）承包人撤离施工现场以及遣散承包人人员的费用；</w:t>
      </w:r>
    </w:p>
    <w:p w14:paraId="34AAA17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（5）按照合同约定在合同解除前应支付给承包人的其他款项；</w:t>
      </w:r>
    </w:p>
    <w:p w14:paraId="39DBCD9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（6）扣减承包人按照合同约定应向发包人支付的款项；</w:t>
      </w:r>
    </w:p>
    <w:p w14:paraId="5924A1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（7）双方商定或确定的其他款项。</w:t>
      </w:r>
    </w:p>
    <w:p w14:paraId="5F7AE26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除专用合同条款另有约定外，合同解除后，发包人应在商定或确定上述款项后28天内完成上述款项的支付。</w:t>
      </w:r>
    </w:p>
    <w:p w14:paraId="4C4D97C7">
      <w:pPr>
        <w:keepNext/>
        <w:keepLines/>
        <w:spacing w:before="120" w:after="120" w:line="440" w:lineRule="exact"/>
        <w:ind w:firstLine="640" w:firstLineChars="200"/>
        <w:outlineLvl w:val="2"/>
        <w:rPr>
          <w:rFonts w:ascii="宋体" w:hAnsi="宋体" w:cs="宋体"/>
          <w:bCs/>
          <w:color w:val="000000"/>
          <w:sz w:val="32"/>
          <w:szCs w:val="32"/>
        </w:rPr>
      </w:pPr>
      <w:bookmarkStart w:id="72" w:name="_Toc256000231"/>
      <w:r>
        <w:rPr>
          <w:rFonts w:hint="eastAsia" w:ascii="宋体" w:hAnsi="宋体" w:cs="宋体"/>
          <w:bCs/>
          <w:color w:val="000000"/>
          <w:sz w:val="32"/>
          <w:szCs w:val="32"/>
        </w:rPr>
        <w:t>18. 保险</w:t>
      </w:r>
      <w:bookmarkEnd w:id="72"/>
    </w:p>
    <w:p w14:paraId="178EF45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18.1 工程保险</w:t>
      </w:r>
    </w:p>
    <w:p w14:paraId="11603E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除专用合同条款另有约定外，发包人应投保建筑工程一切险或安装工程一切险；发包人委托承包人投保的，因投保产生的保险费和其他相关费用由发包人承担。</w:t>
      </w:r>
    </w:p>
    <w:p w14:paraId="631C230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18.2 工伤保险</w:t>
      </w:r>
    </w:p>
    <w:p w14:paraId="148BE4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18.2.1 发包人应依照法律规定参加工伤保险，并为在施工现场的全部员工办理工伤保险，缴纳工伤保险费，并要求监理人及由发包人为履行合同聘请的第三方依法参加工伤保险。</w:t>
      </w:r>
    </w:p>
    <w:p w14:paraId="05AF8CA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18.2.2 承包人应依照法律规定参加工伤保险，并为其履行合同的全部员工办理工伤保险，缴纳工伤保险费，并要求分包人及由承包人为履行合同聘请的第三方依法参加工伤保险。</w:t>
      </w:r>
    </w:p>
    <w:p w14:paraId="608B41C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18.3其他保险</w:t>
      </w:r>
    </w:p>
    <w:p w14:paraId="4DECE1C4">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发包人和承包人可以为其施工现场的全部人员办理意外伤害保险并支付保险费，包括其员工及为履行合同聘请的第三方的人员，具体事项由合同当事人在专用合同条款约定。</w:t>
      </w:r>
    </w:p>
    <w:p w14:paraId="4F1F2723">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除专用合同条款另有约定外，承包人应为其施工设备等办理财产保险。</w:t>
      </w:r>
    </w:p>
    <w:p w14:paraId="229CBDF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18.4持续保险</w:t>
      </w:r>
    </w:p>
    <w:p w14:paraId="14277849">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合同当事人应与保险人保持联系，使保险人能够随时了解工程实施中的变动，并确保按保险合同条款要求持续保险。</w:t>
      </w:r>
    </w:p>
    <w:p w14:paraId="22DE6CB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18.5 保险凭证</w:t>
      </w:r>
    </w:p>
    <w:p w14:paraId="6E57F336">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合同当事人应及时向另一方当事人提交其已投保的各项保险的凭证和保险单复印件。</w:t>
      </w:r>
    </w:p>
    <w:p w14:paraId="46AC141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18.6 未按约定投保的补救</w:t>
      </w:r>
    </w:p>
    <w:p w14:paraId="2FC19528">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18.6.1发包人未按合同约定办理保险，或未能使保险持续有效的，则承包人可代为办理，所需费用由发包人承担。发包人未按合同约定办理保险，导致未能得到足额赔偿的，由发包人负责补足。</w:t>
      </w:r>
    </w:p>
    <w:p w14:paraId="57DC687E">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18.6.2承包人未按合同约定办理保险，或未能使保险持续有效的，则发包人可代为办理，所需费用由承包人承担。承包人未按合同约定办理保险，导致未能得到足额赔偿的，由承包人负责补足。</w:t>
      </w:r>
    </w:p>
    <w:p w14:paraId="7294E56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18.7 通知义务</w:t>
      </w:r>
    </w:p>
    <w:p w14:paraId="5B584576">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2915747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保险事故发生时，投保人应按照保险合同规定的条件和期限及时向保险人报告。发包人和承包人应当在知道保险事故发生后及时通知对方。</w:t>
      </w:r>
    </w:p>
    <w:p w14:paraId="0AD5005B">
      <w:pPr>
        <w:spacing w:line="440" w:lineRule="exact"/>
        <w:ind w:firstLine="640" w:firstLineChars="200"/>
        <w:jc w:val="left"/>
        <w:outlineLvl w:val="2"/>
        <w:rPr>
          <w:rFonts w:ascii="宋体" w:hAnsi="宋体" w:cs="宋体"/>
          <w:color w:val="000000"/>
          <w:sz w:val="32"/>
          <w:szCs w:val="32"/>
        </w:rPr>
      </w:pPr>
      <w:bookmarkStart w:id="73" w:name="_Toc256000232"/>
      <w:r>
        <w:rPr>
          <w:rFonts w:hint="eastAsia" w:ascii="宋体" w:hAnsi="宋体" w:cs="宋体"/>
          <w:color w:val="000000"/>
          <w:sz w:val="32"/>
          <w:szCs w:val="32"/>
        </w:rPr>
        <w:t>19. 索赔</w:t>
      </w:r>
      <w:bookmarkEnd w:id="73"/>
    </w:p>
    <w:p w14:paraId="4EFC337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19.1承包人的索赔</w:t>
      </w:r>
    </w:p>
    <w:p w14:paraId="4A6E7A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根据合同约定，承包人认为有权得到追加付款和（或）延长工期的，应按以下程序向发包人提出索赔：</w:t>
      </w:r>
    </w:p>
    <w:p w14:paraId="712ADAA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BA445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（2）承包人应在发出索赔意向通知书后28天内，向监理人正式递交索赔报告；索赔报告应详细说明索赔理由以及要求追加的付款金额和（或）延长的工期，并附必要的记录和证明材料；</w:t>
      </w:r>
    </w:p>
    <w:p w14:paraId="7FDC642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（3）索赔事件具有持续影响的，承包人应按合理时间间隔继续递交延续索赔通知，说明持续影响的实际情况和记录，列出累计的追加付款金额和（或）工期延长天数；</w:t>
      </w:r>
    </w:p>
    <w:p w14:paraId="0640F9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（4）在索赔事件影响结束后28天内，承包人应向监理人递交最终索赔报告，说明最终要求索赔的追加付款金额和（或）延长的工期，并附必要的记录和证明材料。</w:t>
      </w:r>
    </w:p>
    <w:p w14:paraId="561DDA0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19.2 对承包人索赔的处理</w:t>
      </w:r>
    </w:p>
    <w:p w14:paraId="0E8F84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对承包人索赔的处理如下：</w:t>
      </w:r>
    </w:p>
    <w:p w14:paraId="31383A8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（1）监理人应在收到索赔报告后14天内完成审查并报送发包人。监理人对索赔报告存在异议的，有权要求承包人提交全部原始记录副本；</w:t>
      </w:r>
    </w:p>
    <w:p w14:paraId="525126B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（2）发包人应在监理人收到索赔报告或有关索赔的进一步证明材料后的28天内，由监理人向承包人出具经发包人签认的索赔处理结果。发包人逾期答复的，则视为认可承包人的索赔要求；</w:t>
      </w:r>
    </w:p>
    <w:p w14:paraId="2EDCC2E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（3）承包人接受索赔处理结果的，索赔款项在当期进度款中进行支付；承包人不接受索赔处理结果的，按照第20条〔争议解决〕约定处理。</w:t>
      </w:r>
    </w:p>
    <w:p w14:paraId="5F41C43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19.3发包人的索赔</w:t>
      </w:r>
    </w:p>
    <w:p w14:paraId="78FE33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根据合同约定，发包人认为有权得到赔付金额和（或）延长缺陷责任期的，监理人应向承包人发出通知并附有详细的证明。</w:t>
      </w:r>
    </w:p>
    <w:p w14:paraId="2A5E8A5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1173F4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19.4 对发包人索赔的处理</w:t>
      </w:r>
    </w:p>
    <w:p w14:paraId="03DB97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对发包人索赔的处理如下：</w:t>
      </w:r>
    </w:p>
    <w:p w14:paraId="4C16F6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（1）承包人收到发包人提交的索赔报告后，应及时审查索赔报告的内容、查验发包人证明材料；</w:t>
      </w:r>
    </w:p>
    <w:p w14:paraId="30507A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（2）承包人应在收到索赔报告或有关索赔的进一步证明材料后28天内，将索赔处理结果答复发包人。如果承包人未在上述期限内作出答复的，则视为对发包人索赔要求的认可；</w:t>
      </w:r>
    </w:p>
    <w:p w14:paraId="6CA642C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（3）承包人接受索赔处理结果的，发包人可从应支付给承包人的合同价款中扣除赔付的金额或延长缺陷责任期；发包人不接受索赔处理结果的，按第20条〔争议解决〕约定处理。</w:t>
      </w:r>
    </w:p>
    <w:p w14:paraId="254E6E2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19.5 提出索赔的期限</w:t>
      </w:r>
    </w:p>
    <w:p w14:paraId="6E50E7FC">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（1）承包人按第14.2款〔竣工结算审核〕约定接收竣工付款证书后，应被视为已无权再提出在工程接收证书颁发前所发生的任何索赔。</w:t>
      </w:r>
    </w:p>
    <w:p w14:paraId="105883DE">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（2）承包人按第14.4款〔最终结清〕提交的最终结清申请单中，只限于提出工程接收证书颁发后发生的索赔。提出索赔的期限自接受最终结清证书时终止。</w:t>
      </w:r>
    </w:p>
    <w:p w14:paraId="693D3780">
      <w:pPr>
        <w:keepNext/>
        <w:keepLines/>
        <w:spacing w:before="120" w:after="120" w:line="440" w:lineRule="exact"/>
        <w:ind w:firstLine="640" w:firstLineChars="200"/>
        <w:outlineLvl w:val="2"/>
        <w:rPr>
          <w:rFonts w:ascii="宋体" w:hAnsi="宋体" w:cs="宋体"/>
          <w:bCs/>
          <w:color w:val="000000"/>
          <w:sz w:val="32"/>
          <w:szCs w:val="32"/>
        </w:rPr>
      </w:pPr>
      <w:bookmarkStart w:id="74" w:name="_Toc256000233"/>
      <w:r>
        <w:rPr>
          <w:rFonts w:hint="eastAsia" w:ascii="宋体" w:hAnsi="宋体" w:cs="宋体"/>
          <w:bCs/>
          <w:color w:val="000000"/>
          <w:sz w:val="32"/>
          <w:szCs w:val="32"/>
        </w:rPr>
        <w:t>20. 争议解决</w:t>
      </w:r>
      <w:bookmarkEnd w:id="74"/>
    </w:p>
    <w:p w14:paraId="15038B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20.1和解</w:t>
      </w:r>
    </w:p>
    <w:p w14:paraId="600C1D2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合同当事人可以就争议自行和解，自行和解达成协议的经双方签字并盖章后作为合同补充文件，双方均应遵照执行。</w:t>
      </w:r>
    </w:p>
    <w:p w14:paraId="749113E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20.2调解</w:t>
      </w:r>
    </w:p>
    <w:p w14:paraId="353204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合同当事人可以就争议请求建设行政主管部门、行业协会或其他第三方进行调解，调解达成协议的，经双方签字并盖章后作为合同补充文件，双方均应遵照执行。</w:t>
      </w:r>
    </w:p>
    <w:p w14:paraId="7739E38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20.3争议评审</w:t>
      </w:r>
    </w:p>
    <w:p w14:paraId="5BE4A9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合同当事人在专用合同条款中约定采取争议评审方式解决争议以及评审规则，并按下列约定执行： </w:t>
      </w:r>
    </w:p>
    <w:p w14:paraId="0AFA36A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20.3.1 争议评审小组的确定</w:t>
      </w:r>
    </w:p>
    <w:p w14:paraId="3C11AE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合同当事人可以共同选择一名或三名争议评审员，组成争议评审小组。除专用合同条款另有约定外，合同当事人应当自合同签订后28天内，或者争议发生后14天内，选定争议评审员。</w:t>
      </w:r>
    </w:p>
    <w:p w14:paraId="0CD9922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7E8AEF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除专用合同条款另有约定外，评审员报酬由发包人和承包人各承担一半。</w:t>
      </w:r>
    </w:p>
    <w:p w14:paraId="4D3DDF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20.3.2 争议评审小组的决定</w:t>
      </w:r>
    </w:p>
    <w:p w14:paraId="528CD36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9A9505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20.3.3 争议评审小组决定的效力</w:t>
      </w:r>
    </w:p>
    <w:p w14:paraId="3C3432D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争议评审小组作出的书面决定经合同当事人签字确认后，对双方具有约束力，双方应遵照执行。</w:t>
      </w:r>
    </w:p>
    <w:p w14:paraId="389CE924">
      <w:pPr>
        <w:keepNext/>
        <w:widowControl/>
        <w:autoSpaceDE w:val="0"/>
        <w:autoSpaceDN w:val="0"/>
        <w:adjustRightInd w:val="0"/>
        <w:spacing w:before="120" w:after="120" w:line="360" w:lineRule="auto"/>
        <w:ind w:firstLine="640" w:firstLineChars="200"/>
        <w:textAlignment w:val="baseline"/>
        <w:outlineLvl w:val="4"/>
        <w:rPr>
          <w:rFonts w:hint="eastAsia" w:ascii="宋体" w:hAnsi="宋体" w:cs="宋体"/>
          <w:kern w:val="0"/>
          <w:sz w:val="28"/>
          <w:szCs w:val="28"/>
        </w:rPr>
      </w:pPr>
      <w:r>
        <w:rPr>
          <w:rFonts w:hint="eastAsia" w:ascii="宋体" w:hAnsi="宋体" w:cs="宋体"/>
          <w:color w:val="000000"/>
          <w:kern w:val="0"/>
          <w:sz w:val="32"/>
          <w:szCs w:val="32"/>
        </w:rPr>
        <w:t>任何一</w:t>
      </w:r>
      <w:r>
        <w:rPr>
          <w:rFonts w:hint="eastAsia" w:ascii="宋体" w:hAnsi="宋体" w:cs="宋体"/>
          <w:kern w:val="0"/>
          <w:sz w:val="28"/>
          <w:szCs w:val="28"/>
        </w:rPr>
        <w:t>方当事人不接受争议评审小组决定或不履行争议评审小组决定的，双方可选择采用其他争议解决方式。</w:t>
      </w:r>
    </w:p>
    <w:p w14:paraId="052EB1B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20.4仲裁或诉讼</w:t>
      </w:r>
    </w:p>
    <w:p w14:paraId="4712426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因合同及合同有关事项产生的争议，合同当事人可以在专用合同条款中约定以下一种方式解决争议：</w:t>
      </w:r>
    </w:p>
    <w:p w14:paraId="37D9004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（1）向约定的仲裁委员会申请仲裁；</w:t>
      </w:r>
    </w:p>
    <w:p w14:paraId="08C2C9B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（2）向有管辖权的人民法院起诉。</w:t>
      </w:r>
    </w:p>
    <w:p w14:paraId="0A83DAE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20.5争议解决条款效力</w:t>
      </w:r>
    </w:p>
    <w:p w14:paraId="71BF6ED5">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合同有关争议解决的条款独立存在，合同的变更、解除、终止、无效或者被撤销均不影响其效力。 </w:t>
      </w:r>
    </w:p>
    <w:p w14:paraId="6324A61B">
      <w:pPr>
        <w:keepNext/>
        <w:keepLines/>
        <w:pageBreakBefore/>
        <w:spacing w:before="60" w:after="60" w:line="440" w:lineRule="exact"/>
        <w:jc w:val="center"/>
        <w:outlineLvl w:val="1"/>
        <w:rPr>
          <w:rFonts w:ascii="Arial" w:hAnsi="Arial" w:eastAsia="黑体"/>
          <w:b/>
          <w:bCs/>
          <w:szCs w:val="32"/>
        </w:rPr>
      </w:pPr>
      <w:bookmarkStart w:id="75" w:name="_Toc256000234"/>
      <w:r>
        <w:rPr>
          <w:rFonts w:hint="eastAsia" w:ascii="Arial" w:hAnsi="Arial" w:eastAsia="黑体"/>
          <w:b/>
          <w:bCs/>
          <w:szCs w:val="32"/>
        </w:rPr>
        <w:t>第三部分 专用合同条款</w:t>
      </w:r>
      <w:bookmarkEnd w:id="75"/>
    </w:p>
    <w:p w14:paraId="7F2480BA">
      <w:pPr>
        <w:pStyle w:val="26"/>
        <w:outlineLvl w:val="2"/>
        <w:rPr>
          <w:rFonts w:hint="eastAsia" w:ascii="宋体" w:hAnsi="宋体" w:eastAsia="宋体" w:cs="宋体"/>
          <w:b/>
          <w:sz w:val="28"/>
          <w:szCs w:val="28"/>
        </w:rPr>
      </w:pPr>
      <w:bookmarkStart w:id="76" w:name="_Toc256000105"/>
      <w:bookmarkStart w:id="77" w:name="_Toc256000151"/>
      <w:bookmarkStart w:id="78" w:name="_Toc256000176"/>
      <w:bookmarkStart w:id="79" w:name="_Toc256000120"/>
      <w:bookmarkStart w:id="80" w:name="_Toc256000235"/>
      <w:r>
        <w:rPr>
          <w:rFonts w:hint="eastAsia" w:ascii="宋体" w:hAnsi="宋体" w:eastAsia="宋体" w:cs="宋体"/>
          <w:b/>
          <w:sz w:val="28"/>
          <w:szCs w:val="28"/>
        </w:rPr>
        <w:t>1. 一般约定</w:t>
      </w:r>
      <w:bookmarkEnd w:id="76"/>
      <w:bookmarkEnd w:id="77"/>
      <w:bookmarkEnd w:id="78"/>
      <w:bookmarkEnd w:id="79"/>
      <w:bookmarkEnd w:id="80"/>
    </w:p>
    <w:p w14:paraId="0F91E4EA">
      <w:pPr>
        <w:pStyle w:val="25"/>
        <w:widowControl/>
        <w:spacing w:before="120" w:after="120" w:line="360" w:lineRule="auto"/>
        <w:ind w:firstLine="560" w:firstLineChars="200"/>
        <w:rPr>
          <w:rFonts w:hint="eastAsia" w:ascii="宋体" w:hAnsi="宋体" w:eastAsia="宋体" w:cs="宋体"/>
          <w:b w:val="0"/>
        </w:rPr>
      </w:pPr>
      <w:r>
        <w:rPr>
          <w:rFonts w:hint="eastAsia" w:ascii="宋体" w:hAnsi="宋体" w:eastAsia="宋体" w:cs="宋体"/>
          <w:b w:val="0"/>
        </w:rPr>
        <w:t>1.1 词语定义</w:t>
      </w:r>
    </w:p>
    <w:p w14:paraId="0FC27004">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1.1.1合同</w:t>
      </w:r>
    </w:p>
    <w:p w14:paraId="4DEF1C5C">
      <w:pPr>
        <w:spacing w:line="360" w:lineRule="auto"/>
        <w:ind w:left="1540" w:hanging="1540" w:hangingChars="550"/>
        <w:rPr>
          <w:rFonts w:hint="eastAsia" w:ascii="宋体" w:hAnsi="宋体" w:cs="宋体"/>
          <w:sz w:val="28"/>
          <w:szCs w:val="28"/>
          <w:u w:val="single"/>
        </w:rPr>
      </w:pPr>
      <w:r>
        <w:rPr>
          <w:rFonts w:hint="eastAsia" w:ascii="宋体" w:hAnsi="宋体" w:cs="宋体"/>
          <w:kern w:val="0"/>
          <w:sz w:val="28"/>
          <w:szCs w:val="28"/>
        </w:rPr>
        <w:t>1.1.1.10其他合同文件包括：</w:t>
      </w:r>
      <w:r>
        <w:rPr>
          <w:rFonts w:ascii="Times New Roman" w:hAnsi="Times New Roman" w:cs="宋体"/>
          <w:sz w:val="28"/>
          <w:szCs w:val="28"/>
          <w:u w:val="single"/>
        </w:rPr>
        <w:sym w:font="Times New Roman" w:char="E5E5"/>
      </w:r>
      <w:r>
        <w:rPr>
          <w:rFonts w:hint="eastAsia" w:ascii="宋体" w:hAnsi="宋体" w:cs="宋体"/>
          <w:sz w:val="28"/>
          <w:szCs w:val="28"/>
          <w:u w:val="single"/>
        </w:rPr>
        <w:t>招标文件、投标文件、中标通知书、</w:t>
      </w:r>
    </w:p>
    <w:p w14:paraId="6C3AE18E">
      <w:pPr>
        <w:spacing w:line="360" w:lineRule="auto"/>
        <w:ind w:left="1540" w:hanging="1540" w:hangingChars="550"/>
        <w:rPr>
          <w:rFonts w:hint="eastAsia" w:ascii="宋体" w:hAnsi="宋体" w:cs="宋体"/>
          <w:sz w:val="28"/>
          <w:szCs w:val="28"/>
          <w:u w:val="single"/>
        </w:rPr>
      </w:pPr>
      <w:r>
        <w:rPr>
          <w:rFonts w:hint="eastAsia" w:ascii="宋体" w:hAnsi="宋体" w:cs="宋体"/>
          <w:sz w:val="28"/>
          <w:szCs w:val="28"/>
          <w:u w:val="single"/>
        </w:rPr>
        <w:t>工程量清单控制价，投标价及履行合同过程中双方项目负责人（或双</w:t>
      </w:r>
    </w:p>
    <w:p w14:paraId="0544340B">
      <w:pPr>
        <w:spacing w:line="360" w:lineRule="auto"/>
        <w:ind w:left="1540" w:hanging="1540" w:hangingChars="550"/>
        <w:rPr>
          <w:rFonts w:hint="eastAsia" w:ascii="宋体" w:hAnsi="宋体" w:cs="宋体"/>
          <w:sz w:val="28"/>
          <w:szCs w:val="28"/>
          <w:u w:val="single"/>
        </w:rPr>
      </w:pPr>
      <w:r>
        <w:rPr>
          <w:rFonts w:hint="eastAsia" w:ascii="宋体" w:hAnsi="宋体" w:cs="宋体"/>
          <w:sz w:val="28"/>
          <w:szCs w:val="28"/>
          <w:u w:val="single"/>
        </w:rPr>
        <w:t>方工地代表人）书面确认的对合同内容有实质性影响的会议纪要、签</w:t>
      </w:r>
    </w:p>
    <w:p w14:paraId="435464E7">
      <w:pPr>
        <w:spacing w:line="360" w:lineRule="auto"/>
        <w:ind w:left="1540" w:hanging="1540" w:hangingChars="550"/>
        <w:rPr>
          <w:rFonts w:hint="eastAsia" w:ascii="宋体" w:hAnsi="宋体" w:cs="宋体"/>
          <w:kern w:val="0"/>
          <w:sz w:val="28"/>
          <w:szCs w:val="28"/>
        </w:rPr>
      </w:pPr>
      <w:r>
        <w:rPr>
          <w:rFonts w:hint="eastAsia" w:ascii="宋体" w:hAnsi="宋体" w:cs="宋体"/>
          <w:sz w:val="28"/>
          <w:szCs w:val="28"/>
          <w:u w:val="single"/>
        </w:rPr>
        <w:t xml:space="preserve">证、设计变更等资料    </w:t>
      </w:r>
      <w:r>
        <w:rPr>
          <w:rFonts w:hint="eastAsia" w:ascii="宋体" w:hAnsi="宋体" w:cs="宋体"/>
          <w:sz w:val="28"/>
          <w:szCs w:val="28"/>
        </w:rPr>
        <w:t>。</w:t>
      </w:r>
    </w:p>
    <w:p w14:paraId="7A644D79">
      <w:pPr>
        <w:spacing w:line="360" w:lineRule="auto"/>
        <w:ind w:firstLine="560" w:firstLineChars="200"/>
        <w:rPr>
          <w:rFonts w:hint="eastAsia" w:ascii="宋体" w:hAnsi="宋体" w:cs="宋体"/>
          <w:sz w:val="28"/>
          <w:szCs w:val="28"/>
        </w:rPr>
      </w:pPr>
      <w:r>
        <w:rPr>
          <w:rFonts w:hint="eastAsia" w:ascii="宋体" w:hAnsi="宋体" w:cs="宋体"/>
          <w:sz w:val="28"/>
          <w:szCs w:val="28"/>
        </w:rPr>
        <w:t>1.1.2 合同当事人及其他相关方</w:t>
      </w:r>
    </w:p>
    <w:p w14:paraId="1593C8CE">
      <w:pPr>
        <w:spacing w:line="360" w:lineRule="auto"/>
        <w:ind w:firstLine="560" w:firstLineChars="200"/>
        <w:rPr>
          <w:rFonts w:hint="eastAsia" w:ascii="宋体" w:hAnsi="宋体" w:cs="宋体"/>
          <w:sz w:val="28"/>
          <w:szCs w:val="28"/>
        </w:rPr>
      </w:pPr>
      <w:r>
        <w:rPr>
          <w:rFonts w:hint="eastAsia" w:ascii="宋体" w:hAnsi="宋体" w:cs="宋体"/>
          <w:sz w:val="28"/>
          <w:szCs w:val="28"/>
        </w:rPr>
        <w:t>1.1.2.4监理人：</w:t>
      </w:r>
    </w:p>
    <w:p w14:paraId="69D06141">
      <w:pPr>
        <w:spacing w:line="360" w:lineRule="auto"/>
        <w:ind w:firstLine="560" w:firstLineChars="200"/>
        <w:rPr>
          <w:rFonts w:hint="eastAsia" w:ascii="宋体" w:hAnsi="宋体" w:cs="宋体"/>
          <w:sz w:val="28"/>
          <w:szCs w:val="28"/>
        </w:rPr>
      </w:pPr>
      <w:r>
        <w:rPr>
          <w:rFonts w:hint="eastAsia" w:ascii="宋体" w:hAnsi="宋体" w:cs="宋体"/>
          <w:sz w:val="28"/>
          <w:szCs w:val="28"/>
        </w:rPr>
        <w:t>名    称：</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2823E19">
      <w:pPr>
        <w:spacing w:line="360" w:lineRule="auto"/>
        <w:ind w:firstLine="560" w:firstLineChars="200"/>
        <w:rPr>
          <w:rFonts w:hint="eastAsia" w:ascii="宋体" w:hAnsi="宋体" w:cs="宋体"/>
          <w:sz w:val="28"/>
          <w:szCs w:val="28"/>
        </w:rPr>
      </w:pPr>
      <w:r>
        <w:rPr>
          <w:rFonts w:hint="eastAsia" w:ascii="宋体" w:hAnsi="宋体" w:cs="宋体"/>
          <w:sz w:val="28"/>
          <w:szCs w:val="28"/>
        </w:rPr>
        <w:t>资质类别和等级：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             </w:t>
      </w:r>
      <w:r>
        <w:rPr>
          <w:rFonts w:hint="eastAsia" w:ascii="宋体" w:hAnsi="宋体" w:cs="宋体"/>
          <w:sz w:val="28"/>
          <w:szCs w:val="28"/>
        </w:rPr>
        <w:t>；</w:t>
      </w:r>
    </w:p>
    <w:p w14:paraId="01C068F5">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7E1168CC">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6933384A">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66B1E32B">
      <w:pPr>
        <w:spacing w:line="360" w:lineRule="auto"/>
        <w:ind w:firstLine="560" w:firstLineChars="200"/>
        <w:rPr>
          <w:rFonts w:hint="eastAsia" w:ascii="宋体" w:hAnsi="宋体" w:cs="宋体"/>
          <w:sz w:val="28"/>
          <w:szCs w:val="28"/>
        </w:rPr>
      </w:pPr>
      <w:r>
        <w:rPr>
          <w:rFonts w:hint="eastAsia" w:ascii="宋体" w:hAnsi="宋体" w:cs="宋体"/>
          <w:sz w:val="28"/>
          <w:szCs w:val="28"/>
        </w:rPr>
        <w:t>1.1.2.5 设计人：</w:t>
      </w:r>
    </w:p>
    <w:p w14:paraId="1892B783">
      <w:pPr>
        <w:spacing w:line="360" w:lineRule="auto"/>
        <w:ind w:firstLine="560" w:firstLineChars="200"/>
        <w:rPr>
          <w:rFonts w:hint="eastAsia" w:ascii="宋体" w:hAnsi="宋体" w:cs="宋体"/>
          <w:sz w:val="28"/>
          <w:szCs w:val="28"/>
        </w:rPr>
      </w:pPr>
      <w:r>
        <w:rPr>
          <w:rFonts w:hint="eastAsia" w:ascii="宋体" w:hAnsi="宋体" w:cs="宋体"/>
          <w:sz w:val="28"/>
          <w:szCs w:val="28"/>
        </w:rPr>
        <w:t>名    称：</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6B3C154F">
      <w:pPr>
        <w:spacing w:line="360" w:lineRule="auto"/>
        <w:ind w:firstLine="560" w:firstLineChars="200"/>
        <w:rPr>
          <w:rFonts w:hint="eastAsia" w:ascii="宋体" w:hAnsi="宋体" w:cs="宋体"/>
          <w:sz w:val="28"/>
          <w:szCs w:val="28"/>
        </w:rPr>
      </w:pPr>
      <w:r>
        <w:rPr>
          <w:rFonts w:hint="eastAsia" w:ascii="宋体" w:hAnsi="宋体" w:cs="宋体"/>
          <w:sz w:val="28"/>
          <w:szCs w:val="28"/>
        </w:rPr>
        <w:t>资质类别和等级：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330D3546">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103E5058">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2FDEA33C">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4F987B26">
      <w:pPr>
        <w:spacing w:line="360" w:lineRule="auto"/>
        <w:ind w:firstLine="560" w:firstLineChars="200"/>
        <w:rPr>
          <w:rFonts w:hint="eastAsia" w:ascii="宋体" w:hAnsi="宋体" w:cs="宋体"/>
          <w:sz w:val="28"/>
          <w:szCs w:val="28"/>
        </w:rPr>
      </w:pPr>
      <w:r>
        <w:rPr>
          <w:rFonts w:hint="eastAsia" w:ascii="宋体" w:hAnsi="宋体" w:cs="宋体"/>
          <w:sz w:val="28"/>
          <w:szCs w:val="28"/>
        </w:rPr>
        <w:t>1.1.3 工程和设备</w:t>
      </w:r>
    </w:p>
    <w:p w14:paraId="7591E0B2">
      <w:pPr>
        <w:spacing w:line="360" w:lineRule="auto"/>
        <w:rPr>
          <w:rFonts w:hint="eastAsia" w:ascii="宋体" w:hAnsi="宋体" w:cs="宋体"/>
          <w:sz w:val="28"/>
          <w:szCs w:val="28"/>
        </w:rPr>
      </w:pPr>
      <w:r>
        <w:rPr>
          <w:rFonts w:hint="eastAsia" w:ascii="宋体" w:hAnsi="宋体" w:cs="宋体"/>
          <w:sz w:val="28"/>
          <w:szCs w:val="28"/>
        </w:rPr>
        <w:t>1.1.3.7 作为施工现场组成部分的其他场所包括：</w:t>
      </w:r>
      <w:r>
        <w:rPr>
          <w:rFonts w:hint="eastAsia" w:ascii="宋体" w:hAnsi="宋体" w:cs="宋体"/>
          <w:sz w:val="28"/>
          <w:szCs w:val="28"/>
          <w:u w:val="single"/>
        </w:rPr>
        <w:t xml:space="preserve"> 符合通用条款规定的发包人提供的施工场地 </w:t>
      </w:r>
      <w:r>
        <w:rPr>
          <w:rFonts w:ascii="Times New Roman" w:hAnsi="Times New Roman" w:cs="宋体"/>
          <w:sz w:val="28"/>
          <w:szCs w:val="28"/>
          <w:u w:val="single"/>
        </w:rPr>
        <w:sym w:font="Times New Roman" w:char="E5E5"/>
      </w:r>
      <w:r>
        <w:rPr>
          <w:rFonts w:hint="eastAsia" w:ascii="宋体" w:hAnsi="宋体" w:cs="宋体"/>
          <w:sz w:val="28"/>
          <w:szCs w:val="28"/>
        </w:rPr>
        <w:t>。</w:t>
      </w:r>
    </w:p>
    <w:p w14:paraId="3540EE1D">
      <w:pPr>
        <w:spacing w:line="360" w:lineRule="auto"/>
        <w:ind w:firstLine="560" w:firstLineChars="200"/>
        <w:jc w:val="left"/>
        <w:rPr>
          <w:rFonts w:hint="eastAsia" w:ascii="宋体" w:hAnsi="宋体" w:cs="宋体"/>
          <w:kern w:val="0"/>
          <w:sz w:val="28"/>
          <w:szCs w:val="28"/>
          <w:u w:val="single"/>
        </w:rPr>
      </w:pPr>
      <w:r>
        <w:rPr>
          <w:rFonts w:hint="eastAsia" w:ascii="宋体" w:hAnsi="宋体" w:cs="宋体"/>
          <w:kern w:val="0"/>
          <w:sz w:val="28"/>
          <w:szCs w:val="28"/>
        </w:rPr>
        <w:t>1.1.3.9 永久占地包括：</w:t>
      </w:r>
      <w:r>
        <w:rPr>
          <w:rFonts w:hint="eastAsia" w:ascii="宋体" w:hAnsi="宋体" w:cs="宋体"/>
          <w:kern w:val="0"/>
          <w:sz w:val="28"/>
          <w:szCs w:val="28"/>
          <w:u w:val="single"/>
        </w:rPr>
        <w:t xml:space="preserve">依据发包人的用地规划许可范围     </w:t>
      </w:r>
      <w:r>
        <w:rPr>
          <w:rFonts w:hint="eastAsia" w:ascii="宋体" w:hAnsi="宋体" w:cs="宋体"/>
          <w:kern w:val="0"/>
          <w:sz w:val="28"/>
          <w:szCs w:val="28"/>
        </w:rPr>
        <w:t>。</w:t>
      </w:r>
    </w:p>
    <w:p w14:paraId="1A0DD687">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1.1.3.10 临时占地包括：</w:t>
      </w:r>
      <w:r>
        <w:rPr>
          <w:rFonts w:hint="eastAsia" w:ascii="宋体" w:hAnsi="宋体" w:cs="宋体"/>
          <w:sz w:val="28"/>
          <w:szCs w:val="28"/>
          <w:u w:val="single"/>
        </w:rPr>
        <w:t xml:space="preserve">    /    </w:t>
      </w:r>
      <w:r>
        <w:rPr>
          <w:rFonts w:hint="eastAsia" w:ascii="宋体" w:hAnsi="宋体" w:cs="宋体"/>
          <w:kern w:val="0"/>
          <w:sz w:val="28"/>
          <w:szCs w:val="28"/>
        </w:rPr>
        <w:t>。</w:t>
      </w:r>
    </w:p>
    <w:p w14:paraId="7271DB5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1.3法律 </w:t>
      </w:r>
    </w:p>
    <w:p w14:paraId="397811CB">
      <w:pPr>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适用于合同的其他规范性文件：</w:t>
      </w:r>
      <w:r>
        <w:rPr>
          <w:rFonts w:ascii="Times New Roman" w:hAnsi="Times New Roman" w:cs="宋体"/>
          <w:sz w:val="28"/>
          <w:szCs w:val="28"/>
          <w:u w:val="single"/>
        </w:rPr>
        <w:sym w:font="Times New Roman" w:char="E5E5"/>
      </w:r>
      <w:r>
        <w:rPr>
          <w:rFonts w:hint="eastAsia" w:ascii="宋体" w:hAnsi="宋体" w:cs="宋体"/>
          <w:sz w:val="28"/>
          <w:szCs w:val="28"/>
          <w:u w:val="single"/>
        </w:rPr>
        <w:t>《建筑法》、《中华人民共和国民法典》、《建设工程质量管理条例》等国家有关法 律、法规与自治区相关规定。</w:t>
      </w:r>
    </w:p>
    <w:p w14:paraId="1626C11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 标准和规范</w:t>
      </w:r>
    </w:p>
    <w:p w14:paraId="2F04D6AA">
      <w:pPr>
        <w:spacing w:line="360" w:lineRule="auto"/>
        <w:rPr>
          <w:rFonts w:hint="eastAsia" w:ascii="宋体" w:hAnsi="宋体" w:cs="宋体"/>
          <w:sz w:val="28"/>
          <w:szCs w:val="28"/>
          <w:u w:val="single"/>
        </w:rPr>
      </w:pPr>
      <w:r>
        <w:rPr>
          <w:rFonts w:hint="eastAsia" w:ascii="宋体" w:hAnsi="宋体" w:cs="宋体"/>
          <w:sz w:val="28"/>
          <w:szCs w:val="28"/>
        </w:rPr>
        <w:t>1.4.1适用于工程的标准规范包括：</w:t>
      </w:r>
      <w:r>
        <w:rPr>
          <w:rFonts w:hint="eastAsia" w:ascii="宋体" w:hAnsi="宋体" w:cs="宋体"/>
          <w:sz w:val="28"/>
          <w:szCs w:val="28"/>
          <w:u w:val="single"/>
        </w:rPr>
        <w:t>GB50500-2013《建设工程工程量清单计价规范》，并执行通用条款。</w:t>
      </w:r>
    </w:p>
    <w:p w14:paraId="5BCC6C67">
      <w:pPr>
        <w:rPr>
          <w:rFonts w:hint="eastAsia" w:ascii="宋体" w:hAnsi="宋体" w:cs="宋体"/>
          <w:sz w:val="28"/>
          <w:szCs w:val="28"/>
        </w:rPr>
      </w:pPr>
      <w:r>
        <w:rPr>
          <w:rFonts w:hint="eastAsia" w:ascii="宋体" w:hAnsi="宋体" w:cs="宋体"/>
          <w:sz w:val="28"/>
          <w:szCs w:val="28"/>
        </w:rPr>
        <w:t>1.4.2 发包人提供国外标准、规范的名称：</w:t>
      </w:r>
      <w:r>
        <w:rPr>
          <w:rFonts w:hint="eastAsia" w:ascii="宋体" w:hAnsi="宋体" w:cs="宋体"/>
          <w:sz w:val="28"/>
          <w:szCs w:val="28"/>
          <w:u w:val="single"/>
        </w:rPr>
        <w:t xml:space="preserve">      /              </w:t>
      </w:r>
      <w:r>
        <w:rPr>
          <w:rFonts w:hint="eastAsia" w:ascii="宋体" w:hAnsi="宋体" w:cs="宋体"/>
          <w:sz w:val="28"/>
          <w:szCs w:val="28"/>
        </w:rPr>
        <w:t>；</w:t>
      </w:r>
    </w:p>
    <w:p w14:paraId="5DE7EBD0">
      <w:pPr>
        <w:rPr>
          <w:rFonts w:hint="eastAsia" w:ascii="宋体" w:hAnsi="宋体" w:cs="宋体"/>
          <w:sz w:val="28"/>
          <w:szCs w:val="28"/>
        </w:rPr>
      </w:pPr>
      <w:r>
        <w:rPr>
          <w:rFonts w:hint="eastAsia" w:ascii="宋体" w:hAnsi="宋体" w:cs="宋体"/>
          <w:sz w:val="28"/>
          <w:szCs w:val="28"/>
        </w:rPr>
        <w:t>发包人提供国外标准、规范的份数：</w:t>
      </w:r>
      <w:r>
        <w:rPr>
          <w:rFonts w:hint="eastAsia" w:ascii="宋体" w:hAnsi="宋体" w:cs="宋体"/>
          <w:sz w:val="28"/>
          <w:szCs w:val="28"/>
          <w:u w:val="single"/>
        </w:rPr>
        <w:t xml:space="preserve">       /               </w:t>
      </w:r>
      <w:r>
        <w:rPr>
          <w:rFonts w:hint="eastAsia" w:ascii="宋体" w:hAnsi="宋体" w:cs="宋体"/>
          <w:sz w:val="28"/>
          <w:szCs w:val="28"/>
        </w:rPr>
        <w:t>；</w:t>
      </w:r>
    </w:p>
    <w:p w14:paraId="7619E963">
      <w:pPr>
        <w:rPr>
          <w:rFonts w:hint="eastAsia" w:ascii="宋体" w:hAnsi="宋体" w:cs="宋体"/>
          <w:sz w:val="28"/>
          <w:szCs w:val="28"/>
        </w:rPr>
      </w:pPr>
      <w:r>
        <w:rPr>
          <w:rFonts w:hint="eastAsia" w:ascii="宋体" w:hAnsi="宋体" w:cs="宋体"/>
          <w:sz w:val="28"/>
          <w:szCs w:val="28"/>
        </w:rPr>
        <w:t>发包人提供国外标准、规范的名称：</w:t>
      </w:r>
      <w:r>
        <w:rPr>
          <w:rFonts w:hint="eastAsia" w:ascii="宋体" w:hAnsi="宋体" w:cs="宋体"/>
          <w:sz w:val="28"/>
          <w:szCs w:val="28"/>
          <w:u w:val="single"/>
        </w:rPr>
        <w:t xml:space="preserve">         /             </w:t>
      </w:r>
      <w:r>
        <w:rPr>
          <w:rFonts w:hint="eastAsia" w:ascii="宋体" w:hAnsi="宋体" w:cs="宋体"/>
          <w:sz w:val="28"/>
          <w:szCs w:val="28"/>
        </w:rPr>
        <w:t>。</w:t>
      </w:r>
    </w:p>
    <w:p w14:paraId="451F24F7">
      <w:pPr>
        <w:spacing w:line="360" w:lineRule="auto"/>
        <w:ind w:firstLine="560" w:firstLineChars="200"/>
        <w:rPr>
          <w:rFonts w:hint="eastAsia" w:ascii="宋体" w:hAnsi="宋体" w:cs="宋体"/>
          <w:sz w:val="28"/>
          <w:szCs w:val="28"/>
        </w:rPr>
      </w:pPr>
      <w:r>
        <w:rPr>
          <w:rFonts w:hint="eastAsia" w:ascii="宋体" w:hAnsi="宋体" w:cs="宋体"/>
          <w:sz w:val="28"/>
          <w:szCs w:val="28"/>
        </w:rPr>
        <w:t>1.4.3发包人对工程的技术标准和功能要求的特殊要求：</w:t>
      </w:r>
      <w:r>
        <w:rPr>
          <w:rFonts w:hint="eastAsia" w:ascii="宋体" w:hAnsi="宋体" w:cs="宋体"/>
          <w:sz w:val="28"/>
          <w:szCs w:val="28"/>
          <w:u w:val="single"/>
        </w:rPr>
        <w:t>项目中的人防工程应该执行人防工程标准及规范</w:t>
      </w:r>
      <w:r>
        <w:rPr>
          <w:rFonts w:hint="eastAsia" w:ascii="宋体" w:hAnsi="宋体" w:cs="宋体"/>
          <w:sz w:val="28"/>
          <w:szCs w:val="28"/>
        </w:rPr>
        <w:t>。</w:t>
      </w:r>
    </w:p>
    <w:p w14:paraId="0134A2F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 合同文件的优先顺序</w:t>
      </w:r>
    </w:p>
    <w:p w14:paraId="15DE9F20">
      <w:pPr>
        <w:spacing w:line="360" w:lineRule="auto"/>
        <w:ind w:firstLine="560" w:firstLineChars="200"/>
        <w:rPr>
          <w:rFonts w:hint="eastAsia" w:ascii="宋体" w:hAnsi="宋体" w:cs="宋体"/>
          <w:sz w:val="28"/>
          <w:szCs w:val="28"/>
        </w:rPr>
      </w:pPr>
      <w:r>
        <w:rPr>
          <w:rFonts w:hint="eastAsia" w:ascii="宋体" w:hAnsi="宋体" w:cs="宋体"/>
          <w:sz w:val="28"/>
          <w:szCs w:val="28"/>
        </w:rPr>
        <w:t>合同文件组成及优先顺序为：</w:t>
      </w:r>
      <w:r>
        <w:rPr>
          <w:rFonts w:hint="eastAsia" w:ascii="宋体" w:hAnsi="宋体" w:cs="宋体"/>
          <w:sz w:val="28"/>
          <w:szCs w:val="28"/>
          <w:u w:val="single"/>
        </w:rPr>
        <w:t>执行通用条款第1.5款</w:t>
      </w:r>
      <w:r>
        <w:rPr>
          <w:rFonts w:hint="eastAsia" w:ascii="宋体" w:hAnsi="宋体" w:cs="宋体"/>
          <w:sz w:val="28"/>
          <w:szCs w:val="28"/>
        </w:rPr>
        <w:t>。</w:t>
      </w:r>
    </w:p>
    <w:p w14:paraId="47A6066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 图纸和承包人文件</w:t>
      </w:r>
      <w:r>
        <w:rPr>
          <w:rFonts w:hint="eastAsia" w:ascii="宋体" w:hAnsi="宋体" w:cs="宋体"/>
          <w:kern w:val="0"/>
          <w:sz w:val="28"/>
          <w:szCs w:val="28"/>
        </w:rPr>
        <w:tab/>
      </w:r>
    </w:p>
    <w:p w14:paraId="6F6DECB1">
      <w:pPr>
        <w:spacing w:line="360" w:lineRule="auto"/>
        <w:ind w:firstLine="560" w:firstLineChars="200"/>
        <w:rPr>
          <w:rFonts w:hint="eastAsia" w:ascii="宋体" w:hAnsi="宋体" w:cs="宋体"/>
          <w:sz w:val="28"/>
          <w:szCs w:val="28"/>
        </w:rPr>
      </w:pPr>
      <w:r>
        <w:rPr>
          <w:rFonts w:hint="eastAsia" w:ascii="宋体" w:hAnsi="宋体" w:cs="宋体"/>
          <w:sz w:val="28"/>
          <w:szCs w:val="28"/>
        </w:rPr>
        <w:t>1.6.1 图纸的提供</w:t>
      </w:r>
    </w:p>
    <w:p w14:paraId="42FA73E9">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发包人向承包人提供图纸的期限：</w:t>
      </w:r>
      <w:r>
        <w:rPr>
          <w:rFonts w:hint="eastAsia" w:ascii="宋体" w:hAnsi="宋体" w:cs="宋体"/>
          <w:sz w:val="28"/>
          <w:szCs w:val="28"/>
          <w:u w:val="single"/>
        </w:rPr>
        <w:t>工程中标公示时间结束后7天内</w:t>
      </w:r>
      <w:r>
        <w:rPr>
          <w:rFonts w:hint="eastAsia" w:ascii="宋体" w:hAnsi="宋体" w:cs="宋体"/>
          <w:sz w:val="28"/>
          <w:szCs w:val="28"/>
        </w:rPr>
        <w:t>；</w:t>
      </w:r>
    </w:p>
    <w:p w14:paraId="1779E2A7">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发包人向承包人提供图纸的数量：</w:t>
      </w:r>
      <w:r>
        <w:rPr>
          <w:rFonts w:ascii="Times New Roman" w:hAnsi="Times New Roman" w:cs="宋体"/>
          <w:sz w:val="28"/>
          <w:szCs w:val="28"/>
          <w:u w:val="single"/>
        </w:rPr>
        <w:sym w:font="Times New Roman" w:char="E5E5"/>
      </w:r>
      <w:r>
        <w:rPr>
          <w:rFonts w:ascii="Times New Roman" w:hAnsi="Times New Roman" w:cs="宋体"/>
          <w:sz w:val="28"/>
          <w:szCs w:val="28"/>
          <w:u w:val="single"/>
        </w:rPr>
        <w:t>3</w:t>
      </w:r>
      <w:r>
        <w:rPr>
          <w:rFonts w:hint="eastAsia" w:ascii="宋体" w:hAnsi="宋体" w:cs="宋体"/>
          <w:sz w:val="28"/>
          <w:szCs w:val="28"/>
          <w:u w:val="single"/>
        </w:rPr>
        <w:t>份</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79D2038B">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发包人向承包人提供图纸的内容：</w:t>
      </w:r>
      <w:r>
        <w:rPr>
          <w:rFonts w:hint="eastAsia" w:ascii="宋体" w:hAnsi="宋体" w:cs="宋体"/>
          <w:sz w:val="28"/>
          <w:szCs w:val="28"/>
          <w:u w:val="single"/>
        </w:rPr>
        <w:t>设计施工图中所包含的所有内容</w:t>
      </w:r>
      <w:r>
        <w:rPr>
          <w:rFonts w:hint="eastAsia" w:ascii="宋体" w:hAnsi="宋体" w:cs="宋体"/>
          <w:sz w:val="28"/>
          <w:szCs w:val="28"/>
        </w:rPr>
        <w:t>。</w:t>
      </w:r>
    </w:p>
    <w:p w14:paraId="0E72AF72">
      <w:pPr>
        <w:spacing w:line="360" w:lineRule="auto"/>
        <w:ind w:firstLine="560" w:firstLineChars="200"/>
        <w:rPr>
          <w:rFonts w:hint="eastAsia" w:ascii="宋体" w:hAnsi="宋体" w:cs="宋体"/>
          <w:sz w:val="28"/>
          <w:szCs w:val="28"/>
        </w:rPr>
      </w:pPr>
      <w:r>
        <w:rPr>
          <w:rFonts w:hint="eastAsia" w:ascii="宋体" w:hAnsi="宋体" w:cs="宋体"/>
          <w:sz w:val="28"/>
          <w:szCs w:val="28"/>
        </w:rPr>
        <w:t>1.6.4 承包人文件</w:t>
      </w:r>
    </w:p>
    <w:p w14:paraId="7306C7C3">
      <w:pPr>
        <w:spacing w:line="360" w:lineRule="auto"/>
        <w:ind w:left="596" w:leftChars="284"/>
        <w:jc w:val="left"/>
        <w:rPr>
          <w:rFonts w:hint="eastAsia" w:ascii="宋体" w:hAnsi="宋体" w:cs="宋体"/>
          <w:sz w:val="28"/>
          <w:szCs w:val="28"/>
        </w:rPr>
      </w:pPr>
      <w:r>
        <w:rPr>
          <w:rFonts w:hint="eastAsia" w:ascii="宋体" w:hAnsi="宋体" w:cs="宋体"/>
          <w:sz w:val="28"/>
          <w:szCs w:val="28"/>
        </w:rPr>
        <w:t>需要由承包人提供的文件，包括：</w:t>
      </w:r>
      <w:r>
        <w:rPr>
          <w:rFonts w:hint="eastAsia" w:ascii="宋体" w:hAnsi="宋体" w:cs="宋体"/>
          <w:sz w:val="28"/>
          <w:szCs w:val="28"/>
          <w:u w:val="single"/>
        </w:rPr>
        <w:t xml:space="preserve">施工组织设计、各项安全专项施工方案 及发包人要求提供的其他相关资料      </w:t>
      </w:r>
      <w:r>
        <w:rPr>
          <w:rFonts w:hint="eastAsia" w:ascii="宋体" w:hAnsi="宋体" w:cs="宋体"/>
          <w:sz w:val="28"/>
          <w:szCs w:val="28"/>
        </w:rPr>
        <w:t>；</w:t>
      </w:r>
    </w:p>
    <w:p w14:paraId="05E32C7F">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承包人提供的文件的期限为：</w:t>
      </w:r>
      <w:r>
        <w:rPr>
          <w:rFonts w:hint="eastAsia" w:ascii="宋体" w:hAnsi="宋体" w:cs="宋体"/>
          <w:sz w:val="28"/>
          <w:szCs w:val="28"/>
          <w:u w:val="single"/>
        </w:rPr>
        <w:t xml:space="preserve">接到全套施工图一周内  </w:t>
      </w:r>
      <w:r>
        <w:rPr>
          <w:rFonts w:hint="eastAsia" w:ascii="宋体" w:hAnsi="宋体" w:cs="宋体"/>
          <w:sz w:val="28"/>
          <w:szCs w:val="28"/>
        </w:rPr>
        <w:t>；</w:t>
      </w:r>
    </w:p>
    <w:p w14:paraId="5768C855">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承包人提供的文件的数量为：</w:t>
      </w:r>
      <w:r>
        <w:rPr>
          <w:rFonts w:hint="eastAsia" w:ascii="宋体" w:hAnsi="宋体" w:cs="宋体"/>
          <w:sz w:val="28"/>
          <w:szCs w:val="28"/>
          <w:u w:val="single"/>
        </w:rPr>
        <w:t xml:space="preserve">各两份        </w:t>
      </w:r>
      <w:r>
        <w:rPr>
          <w:rFonts w:hint="eastAsia" w:ascii="宋体" w:hAnsi="宋体" w:cs="宋体"/>
          <w:sz w:val="28"/>
          <w:szCs w:val="28"/>
        </w:rPr>
        <w:t>；</w:t>
      </w:r>
    </w:p>
    <w:p w14:paraId="6D68AF84">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承包人提供的文件的形式为：</w:t>
      </w:r>
      <w:r>
        <w:rPr>
          <w:rFonts w:hint="eastAsia" w:ascii="宋体" w:hAnsi="宋体" w:cs="宋体"/>
          <w:sz w:val="28"/>
          <w:szCs w:val="28"/>
          <w:u w:val="single"/>
        </w:rPr>
        <w:t xml:space="preserve">收后3天内予以确认    </w:t>
      </w:r>
      <w:r>
        <w:rPr>
          <w:rFonts w:hint="eastAsia" w:ascii="宋体" w:hAnsi="宋体" w:cs="宋体"/>
          <w:sz w:val="28"/>
          <w:szCs w:val="28"/>
        </w:rPr>
        <w:t>；</w:t>
      </w:r>
    </w:p>
    <w:p w14:paraId="77DB988A">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发包人审批承包人文件的期限：</w:t>
      </w:r>
      <w:r>
        <w:rPr>
          <w:rFonts w:hint="eastAsia" w:ascii="宋体" w:hAnsi="宋体" w:cs="宋体"/>
          <w:sz w:val="28"/>
          <w:szCs w:val="28"/>
          <w:u w:val="single"/>
        </w:rPr>
        <w:t>由发包方向承包方提供完整的施工图叁套</w:t>
      </w:r>
      <w:r>
        <w:rPr>
          <w:rFonts w:hint="eastAsia" w:ascii="宋体" w:hAnsi="宋体" w:cs="宋体"/>
          <w:sz w:val="28"/>
          <w:szCs w:val="28"/>
        </w:rPr>
        <w:t>。</w:t>
      </w:r>
    </w:p>
    <w:p w14:paraId="417ED227">
      <w:pPr>
        <w:spacing w:line="360" w:lineRule="auto"/>
        <w:ind w:firstLine="560" w:firstLineChars="200"/>
        <w:rPr>
          <w:rFonts w:hint="eastAsia" w:ascii="宋体" w:hAnsi="宋体" w:cs="宋体"/>
          <w:sz w:val="28"/>
          <w:szCs w:val="28"/>
        </w:rPr>
      </w:pPr>
      <w:r>
        <w:rPr>
          <w:rFonts w:hint="eastAsia" w:ascii="宋体" w:hAnsi="宋体" w:cs="宋体"/>
          <w:sz w:val="28"/>
          <w:szCs w:val="28"/>
        </w:rPr>
        <w:t>1.6.5 现场图纸准备</w:t>
      </w:r>
    </w:p>
    <w:p w14:paraId="7012C3D1">
      <w:pPr>
        <w:spacing w:line="360" w:lineRule="auto"/>
        <w:ind w:firstLine="560" w:firstLineChars="200"/>
        <w:rPr>
          <w:rFonts w:hint="eastAsia" w:ascii="宋体" w:hAnsi="宋体" w:cs="宋体"/>
          <w:sz w:val="28"/>
          <w:szCs w:val="28"/>
        </w:rPr>
      </w:pPr>
      <w:r>
        <w:rPr>
          <w:rFonts w:hint="eastAsia" w:ascii="宋体" w:hAnsi="宋体" w:cs="宋体"/>
          <w:sz w:val="28"/>
          <w:szCs w:val="28"/>
        </w:rPr>
        <w:t>关于现场图纸准备的约定：</w:t>
      </w:r>
      <w:r>
        <w:rPr>
          <w:rFonts w:hint="eastAsia" w:ascii="宋体" w:hAnsi="宋体" w:cs="宋体"/>
          <w:sz w:val="28"/>
          <w:szCs w:val="28"/>
          <w:u w:val="single"/>
        </w:rPr>
        <w:t>由发包方向承包方提供完整的施工图叁套</w:t>
      </w:r>
      <w:r>
        <w:rPr>
          <w:rFonts w:hint="eastAsia" w:ascii="宋体" w:hAnsi="宋体" w:cs="宋体"/>
          <w:sz w:val="28"/>
          <w:szCs w:val="28"/>
        </w:rPr>
        <w:t>。</w:t>
      </w:r>
    </w:p>
    <w:p w14:paraId="36F43E0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 联络</w:t>
      </w:r>
    </w:p>
    <w:p w14:paraId="4E903F4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1.7.1发包人和承包人应当在</w:t>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3  </w:t>
      </w:r>
      <w:r>
        <w:rPr>
          <w:rFonts w:hint="eastAsia" w:ascii="宋体" w:hAnsi="宋体" w:cs="宋体"/>
          <w:kern w:val="0"/>
          <w:sz w:val="28"/>
          <w:szCs w:val="28"/>
        </w:rPr>
        <w:t>天内将与合同有关的通知、批准、证明、证书、指示、指令、要求、请求、同意、意见、确定和决定等书面函件送达对方当事人。</w:t>
      </w:r>
    </w:p>
    <w:p w14:paraId="78B42109">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1.7.2 发包人接收文件的地点：</w:t>
      </w:r>
      <w:r>
        <w:rPr>
          <w:rFonts w:hint="eastAsia" w:ascii="宋体" w:hAnsi="宋体" w:cs="宋体"/>
          <w:kern w:val="0"/>
          <w:sz w:val="28"/>
          <w:szCs w:val="28"/>
          <w:u w:val="single"/>
        </w:rPr>
        <w:t xml:space="preserve">发包人施工现场办公室    </w:t>
      </w:r>
      <w:r>
        <w:rPr>
          <w:rFonts w:hint="eastAsia" w:ascii="宋体" w:hAnsi="宋体" w:cs="宋体"/>
          <w:kern w:val="0"/>
          <w:sz w:val="28"/>
          <w:szCs w:val="28"/>
        </w:rPr>
        <w:t>；</w:t>
      </w:r>
    </w:p>
    <w:p w14:paraId="52E3B31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发包人指定的接收人为：</w:t>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甲方代表人                 </w:t>
      </w:r>
      <w:r>
        <w:rPr>
          <w:rFonts w:hint="eastAsia" w:ascii="宋体" w:hAnsi="宋体" w:cs="宋体"/>
          <w:kern w:val="0"/>
          <w:sz w:val="28"/>
          <w:szCs w:val="28"/>
        </w:rPr>
        <w:t>。</w:t>
      </w:r>
    </w:p>
    <w:p w14:paraId="273A7924">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承包人接收文件的地点：</w:t>
      </w:r>
      <w:r>
        <w:rPr>
          <w:rFonts w:hint="eastAsia" w:ascii="宋体" w:hAnsi="宋体" w:cs="宋体"/>
          <w:kern w:val="0"/>
          <w:sz w:val="28"/>
          <w:szCs w:val="28"/>
          <w:u w:val="single"/>
        </w:rPr>
        <w:t xml:space="preserve">施工现场办公室               </w:t>
      </w:r>
      <w:r>
        <w:rPr>
          <w:rFonts w:hint="eastAsia" w:ascii="宋体" w:hAnsi="宋体" w:cs="宋体"/>
          <w:kern w:val="0"/>
          <w:sz w:val="28"/>
          <w:szCs w:val="28"/>
        </w:rPr>
        <w:t>；</w:t>
      </w:r>
    </w:p>
    <w:p w14:paraId="5F364A8D">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承包人指定的接收人为：</w:t>
      </w:r>
      <w:r>
        <w:rPr>
          <w:rFonts w:hint="eastAsia" w:ascii="宋体" w:hAnsi="宋体" w:cs="宋体"/>
          <w:kern w:val="0"/>
          <w:sz w:val="28"/>
          <w:szCs w:val="28"/>
          <w:u w:val="single"/>
        </w:rPr>
        <w:t xml:space="preserve">项目经理或技术负责人         </w:t>
      </w:r>
      <w:r>
        <w:rPr>
          <w:rFonts w:hint="eastAsia" w:ascii="宋体" w:hAnsi="宋体" w:cs="宋体"/>
          <w:kern w:val="0"/>
          <w:sz w:val="28"/>
          <w:szCs w:val="28"/>
        </w:rPr>
        <w:t>。</w:t>
      </w:r>
    </w:p>
    <w:p w14:paraId="5DA72B77">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监理人接收文件的地点：</w:t>
      </w:r>
      <w:r>
        <w:rPr>
          <w:rFonts w:hint="eastAsia" w:ascii="宋体" w:hAnsi="宋体" w:cs="宋体"/>
          <w:kern w:val="0"/>
          <w:sz w:val="28"/>
          <w:szCs w:val="28"/>
          <w:u w:val="single"/>
        </w:rPr>
        <w:t xml:space="preserve">施工现场办公室               </w:t>
      </w:r>
      <w:r>
        <w:rPr>
          <w:rFonts w:hint="eastAsia" w:ascii="宋体" w:hAnsi="宋体" w:cs="宋体"/>
          <w:kern w:val="0"/>
          <w:sz w:val="28"/>
          <w:szCs w:val="28"/>
        </w:rPr>
        <w:t>；</w:t>
      </w:r>
    </w:p>
    <w:p w14:paraId="3CB205C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监理人指定的接收人为：</w:t>
      </w:r>
      <w:r>
        <w:rPr>
          <w:rFonts w:hint="eastAsia" w:ascii="宋体" w:hAnsi="宋体" w:cs="宋体"/>
          <w:kern w:val="0"/>
          <w:sz w:val="28"/>
          <w:szCs w:val="28"/>
          <w:u w:val="single"/>
        </w:rPr>
        <w:t xml:space="preserve">监理                         </w:t>
      </w:r>
      <w:r>
        <w:rPr>
          <w:rFonts w:hint="eastAsia" w:ascii="宋体" w:hAnsi="宋体" w:cs="宋体"/>
          <w:kern w:val="0"/>
          <w:sz w:val="28"/>
          <w:szCs w:val="28"/>
        </w:rPr>
        <w:t>。</w:t>
      </w:r>
    </w:p>
    <w:p w14:paraId="46D5C95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1.10 交通运输</w:t>
      </w:r>
    </w:p>
    <w:p w14:paraId="115BB47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1.10.1 出入现场的权利</w:t>
      </w:r>
    </w:p>
    <w:p w14:paraId="03BA9395">
      <w:pPr>
        <w:spacing w:line="360" w:lineRule="auto"/>
        <w:ind w:left="596" w:leftChars="284"/>
        <w:rPr>
          <w:rFonts w:hint="eastAsia" w:ascii="宋体" w:hAnsi="宋体" w:cs="宋体"/>
          <w:sz w:val="28"/>
          <w:szCs w:val="28"/>
        </w:rPr>
      </w:pPr>
      <w:r>
        <w:rPr>
          <w:rFonts w:hint="eastAsia" w:ascii="宋体" w:hAnsi="宋体" w:cs="宋体"/>
          <w:sz w:val="28"/>
          <w:szCs w:val="28"/>
        </w:rPr>
        <w:t>关于出入现场的权利的约定：</w:t>
      </w:r>
    </w:p>
    <w:p w14:paraId="7875CF49">
      <w:pPr>
        <w:spacing w:line="360" w:lineRule="auto"/>
        <w:ind w:left="596" w:leftChars="284"/>
        <w:rPr>
          <w:rFonts w:hint="eastAsia" w:ascii="宋体" w:hAnsi="宋体" w:cs="宋体"/>
          <w:sz w:val="28"/>
          <w:szCs w:val="28"/>
        </w:rPr>
      </w:pPr>
      <w:r>
        <w:rPr>
          <w:rFonts w:hint="eastAsia" w:ascii="宋体" w:hAnsi="宋体" w:cs="宋体"/>
          <w:sz w:val="28"/>
          <w:szCs w:val="28"/>
          <w:u w:val="single"/>
        </w:rPr>
        <w:t xml:space="preserve"> 承包人应在订立合同前查勘施工现场，并根据工程规模及技术参数合理预见工程施工所需的 进出施工现场的方式、手段、路径等。</w:t>
      </w:r>
    </w:p>
    <w:p w14:paraId="41C4888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1.10.3 场内交通</w:t>
      </w:r>
    </w:p>
    <w:p w14:paraId="5A562F50">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u w:val="single"/>
        </w:rPr>
        <w:t>关于场外交通和场内交通的边界的约定：以施工现场发包人划定的边界为准</w:t>
      </w:r>
      <w:r>
        <w:rPr>
          <w:rFonts w:hint="eastAsia" w:ascii="宋体" w:hAnsi="宋体" w:cs="宋体"/>
          <w:kern w:val="0"/>
          <w:sz w:val="28"/>
          <w:szCs w:val="28"/>
        </w:rPr>
        <w:t>。</w:t>
      </w:r>
    </w:p>
    <w:p w14:paraId="5F5AF33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关于发包人向承包人免费提供满足工程施工需要的场内道路和交通设施的约定：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6399709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1.10.4超大件和超重件的运输</w:t>
      </w:r>
    </w:p>
    <w:p w14:paraId="67A9D86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运输超大件或超重件所需的道路和桥梁临时加固改造费用和其他有关费用由</w:t>
      </w:r>
      <w:r>
        <w:rPr>
          <w:rFonts w:hint="eastAsia" w:ascii="宋体" w:hAnsi="宋体" w:cs="宋体"/>
          <w:sz w:val="28"/>
          <w:szCs w:val="28"/>
          <w:u w:val="single"/>
        </w:rPr>
        <w:t xml:space="preserve"> / </w:t>
      </w:r>
      <w:r>
        <w:rPr>
          <w:rFonts w:hint="eastAsia" w:ascii="宋体" w:hAnsi="宋体" w:cs="宋体"/>
          <w:sz w:val="28"/>
          <w:szCs w:val="28"/>
        </w:rPr>
        <w:t>承担。</w:t>
      </w:r>
    </w:p>
    <w:p w14:paraId="25DC176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1.11 知识产权</w:t>
      </w:r>
    </w:p>
    <w:p w14:paraId="6D5372E7">
      <w:pPr>
        <w:spacing w:line="360" w:lineRule="auto"/>
        <w:ind w:firstLine="560" w:firstLineChars="200"/>
        <w:rPr>
          <w:rFonts w:hint="eastAsia" w:ascii="宋体" w:hAnsi="宋体" w:cs="宋体"/>
          <w:sz w:val="28"/>
          <w:szCs w:val="28"/>
        </w:rPr>
      </w:pPr>
      <w:r>
        <w:rPr>
          <w:rFonts w:hint="eastAsia" w:ascii="宋体" w:hAnsi="宋体" w:cs="宋体"/>
          <w:sz w:val="28"/>
          <w:szCs w:val="28"/>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8"/>
          <w:szCs w:val="28"/>
          <w:u w:val="single"/>
        </w:rPr>
        <w:t xml:space="preserve">按照通用条款第1.11.1项规定执行       </w:t>
      </w:r>
      <w:r>
        <w:rPr>
          <w:rFonts w:hint="eastAsia" w:ascii="宋体" w:hAnsi="宋体" w:cs="宋体"/>
          <w:sz w:val="28"/>
          <w:szCs w:val="28"/>
        </w:rPr>
        <w:t>。</w:t>
      </w:r>
    </w:p>
    <w:p w14:paraId="7179F5A0">
      <w:pPr>
        <w:spacing w:line="360" w:lineRule="auto"/>
        <w:ind w:left="876" w:leftChars="284" w:hanging="280" w:hangingChars="100"/>
        <w:rPr>
          <w:rFonts w:hint="eastAsia" w:ascii="宋体" w:hAnsi="宋体" w:cs="宋体"/>
          <w:sz w:val="28"/>
          <w:szCs w:val="28"/>
          <w:u w:val="single"/>
        </w:rPr>
      </w:pPr>
      <w:r>
        <w:rPr>
          <w:rFonts w:hint="eastAsia" w:ascii="宋体" w:hAnsi="宋体" w:cs="宋体"/>
          <w:sz w:val="28"/>
          <w:szCs w:val="28"/>
        </w:rPr>
        <w:t>关于发包人提供的上述文件的使用限制的要求：</w:t>
      </w:r>
      <w:r>
        <w:rPr>
          <w:rFonts w:hint="eastAsia" w:ascii="宋体" w:hAnsi="宋体" w:cs="宋体"/>
          <w:sz w:val="28"/>
          <w:szCs w:val="28"/>
          <w:u w:val="single"/>
        </w:rPr>
        <w:t>严禁承包人提供</w:t>
      </w:r>
    </w:p>
    <w:p w14:paraId="05E15922">
      <w:pPr>
        <w:spacing w:line="360" w:lineRule="auto"/>
        <w:rPr>
          <w:rFonts w:hint="eastAsia" w:ascii="宋体" w:hAnsi="宋体" w:cs="宋体"/>
          <w:sz w:val="28"/>
          <w:szCs w:val="28"/>
        </w:rPr>
      </w:pPr>
      <w:r>
        <w:rPr>
          <w:rFonts w:hint="eastAsia" w:ascii="宋体" w:hAnsi="宋体" w:cs="宋体"/>
          <w:sz w:val="28"/>
          <w:szCs w:val="28"/>
          <w:u w:val="single"/>
        </w:rPr>
        <w:t xml:space="preserve">给第三方 </w:t>
      </w:r>
      <w:r>
        <w:rPr>
          <w:rFonts w:hint="eastAsia" w:ascii="宋体" w:hAnsi="宋体" w:cs="宋体"/>
          <w:sz w:val="28"/>
          <w:szCs w:val="28"/>
        </w:rPr>
        <w:t>。</w:t>
      </w:r>
    </w:p>
    <w:p w14:paraId="6B4F109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1.11.2 关于承包人为实施工程所编制文件的著作权的归属：</w:t>
      </w:r>
      <w:r>
        <w:rPr>
          <w:rFonts w:hint="eastAsia" w:ascii="宋体" w:hAnsi="宋体" w:cs="宋体"/>
          <w:sz w:val="28"/>
          <w:szCs w:val="28"/>
          <w:u w:val="single"/>
        </w:rPr>
        <w:t>按照通用条款第1.11.2项规定执行</w:t>
      </w:r>
      <w:r>
        <w:rPr>
          <w:rFonts w:hint="eastAsia" w:ascii="宋体" w:hAnsi="宋体" w:cs="宋体"/>
          <w:sz w:val="28"/>
          <w:szCs w:val="28"/>
        </w:rPr>
        <w:t>。</w:t>
      </w:r>
    </w:p>
    <w:p w14:paraId="4B949558">
      <w:pPr>
        <w:spacing w:line="360" w:lineRule="auto"/>
        <w:ind w:firstLine="560" w:firstLineChars="200"/>
        <w:rPr>
          <w:rFonts w:hint="eastAsia" w:ascii="宋体" w:hAnsi="宋体" w:cs="宋体"/>
          <w:sz w:val="28"/>
          <w:szCs w:val="28"/>
        </w:rPr>
      </w:pPr>
      <w:r>
        <w:rPr>
          <w:rFonts w:hint="eastAsia" w:ascii="宋体" w:hAnsi="宋体" w:cs="宋体"/>
          <w:sz w:val="28"/>
          <w:szCs w:val="28"/>
        </w:rPr>
        <w:t>关于承包人提供的上述文件的使用限制的要求：</w:t>
      </w:r>
      <w:r>
        <w:rPr>
          <w:rFonts w:hint="eastAsia" w:ascii="宋体" w:hAnsi="宋体" w:cs="宋体"/>
          <w:sz w:val="28"/>
          <w:szCs w:val="28"/>
          <w:u w:val="single"/>
        </w:rPr>
        <w:t>按照通用条款第1.11.2项规定执行</w:t>
      </w:r>
      <w:r>
        <w:rPr>
          <w:rFonts w:hint="eastAsia" w:ascii="宋体" w:hAnsi="宋体" w:cs="宋体"/>
          <w:sz w:val="28"/>
          <w:szCs w:val="28"/>
        </w:rPr>
        <w:t>。</w:t>
      </w:r>
    </w:p>
    <w:p w14:paraId="3D0126D9">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1.11.4 承包人在施工过程中所采用的专利、专有技术、技术秘密的使用费的承担方式：</w:t>
      </w:r>
      <w:r>
        <w:rPr>
          <w:rFonts w:hint="eastAsia" w:ascii="宋体" w:hAnsi="宋体" w:cs="宋体"/>
          <w:sz w:val="28"/>
          <w:szCs w:val="28"/>
          <w:u w:val="single"/>
        </w:rPr>
        <w:t xml:space="preserve">按照通用条款第1.11.4项规定执行   </w:t>
      </w:r>
      <w:r>
        <w:rPr>
          <w:rFonts w:hint="eastAsia" w:ascii="宋体" w:hAnsi="宋体" w:cs="宋体"/>
          <w:kern w:val="0"/>
          <w:sz w:val="28"/>
          <w:szCs w:val="28"/>
        </w:rPr>
        <w:t>。</w:t>
      </w:r>
    </w:p>
    <w:p w14:paraId="464C37F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1.13工程量清单错误的修正</w:t>
      </w:r>
    </w:p>
    <w:p w14:paraId="63B9B74C">
      <w:pPr>
        <w:spacing w:line="360" w:lineRule="auto"/>
        <w:ind w:firstLine="560" w:firstLineChars="200"/>
        <w:rPr>
          <w:rFonts w:hint="eastAsia" w:ascii="宋体" w:hAnsi="宋体" w:cs="宋体"/>
          <w:sz w:val="28"/>
          <w:szCs w:val="28"/>
        </w:rPr>
      </w:pPr>
      <w:r>
        <w:rPr>
          <w:rFonts w:hint="eastAsia" w:ascii="宋体" w:hAnsi="宋体" w:cs="宋体"/>
          <w:sz w:val="28"/>
          <w:szCs w:val="28"/>
        </w:rPr>
        <w:t>出现工程量清单错误时，是否调整合同价格：</w:t>
      </w:r>
      <w:r>
        <w:rPr>
          <w:rFonts w:hint="eastAsia" w:ascii="宋体" w:hAnsi="宋体" w:cs="宋体"/>
          <w:sz w:val="28"/>
          <w:szCs w:val="28"/>
          <w:u w:val="single"/>
        </w:rPr>
        <w:t xml:space="preserve">  是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kern w:val="0"/>
          <w:sz w:val="28"/>
          <w:szCs w:val="28"/>
        </w:rPr>
        <w:t>。</w:t>
      </w:r>
    </w:p>
    <w:p w14:paraId="66CE09A5">
      <w:pPr>
        <w:spacing w:line="360" w:lineRule="auto"/>
        <w:ind w:firstLine="560" w:firstLineChars="200"/>
        <w:rPr>
          <w:rFonts w:hint="eastAsia" w:ascii="宋体" w:hAnsi="宋体" w:cs="宋体"/>
          <w:sz w:val="28"/>
          <w:szCs w:val="28"/>
        </w:rPr>
      </w:pPr>
      <w:r>
        <w:rPr>
          <w:rFonts w:hint="eastAsia" w:ascii="宋体" w:hAnsi="宋体" w:cs="宋体"/>
          <w:sz w:val="28"/>
          <w:szCs w:val="28"/>
        </w:rPr>
        <w:t>允许调整合同价格的工程量偏差范围：</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±3%</w:t>
      </w:r>
      <w:r>
        <w:rPr>
          <w:rFonts w:hint="eastAsia" w:ascii="宋体" w:hAnsi="宋体" w:cs="宋体"/>
          <w:sz w:val="28"/>
          <w:szCs w:val="28"/>
          <w:u w:val="single"/>
        </w:rPr>
        <w:t xml:space="preserve">          </w:t>
      </w:r>
      <w:r>
        <w:rPr>
          <w:rFonts w:hint="eastAsia" w:ascii="宋体" w:hAnsi="宋体" w:cs="宋体"/>
          <w:kern w:val="0"/>
          <w:sz w:val="28"/>
          <w:szCs w:val="28"/>
        </w:rPr>
        <w:t>。</w:t>
      </w:r>
    </w:p>
    <w:p w14:paraId="3291A8BD">
      <w:pPr>
        <w:outlineLvl w:val="2"/>
        <w:rPr>
          <w:rFonts w:hint="eastAsia" w:ascii="宋体" w:hAnsi="宋体" w:cs="宋体"/>
          <w:b/>
          <w:sz w:val="28"/>
          <w:szCs w:val="28"/>
        </w:rPr>
      </w:pPr>
      <w:bookmarkStart w:id="81" w:name="_Toc256000177"/>
      <w:bookmarkStart w:id="82" w:name="_Toc256000236"/>
      <w:bookmarkStart w:id="83" w:name="_Toc256000121"/>
      <w:bookmarkStart w:id="84" w:name="_Toc256000106"/>
      <w:bookmarkStart w:id="85" w:name="_Toc256000152"/>
      <w:r>
        <w:rPr>
          <w:rFonts w:hint="eastAsia" w:ascii="宋体" w:hAnsi="宋体" w:cs="宋体"/>
          <w:b/>
          <w:sz w:val="28"/>
          <w:szCs w:val="28"/>
        </w:rPr>
        <w:t>2. 发包人</w:t>
      </w:r>
      <w:bookmarkEnd w:id="81"/>
      <w:bookmarkEnd w:id="82"/>
      <w:bookmarkEnd w:id="83"/>
      <w:bookmarkEnd w:id="84"/>
      <w:bookmarkEnd w:id="85"/>
    </w:p>
    <w:p w14:paraId="279AC504">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2.2 发包人代表</w:t>
      </w:r>
    </w:p>
    <w:p w14:paraId="692A76E7">
      <w:pPr>
        <w:spacing w:line="360" w:lineRule="auto"/>
        <w:ind w:firstLine="560" w:firstLineChars="200"/>
        <w:rPr>
          <w:rFonts w:hint="eastAsia" w:ascii="宋体" w:hAnsi="宋体" w:cs="宋体"/>
          <w:sz w:val="28"/>
          <w:szCs w:val="28"/>
        </w:rPr>
      </w:pPr>
      <w:r>
        <w:rPr>
          <w:rFonts w:hint="eastAsia" w:ascii="宋体" w:hAnsi="宋体" w:cs="宋体"/>
          <w:sz w:val="28"/>
          <w:szCs w:val="28"/>
        </w:rPr>
        <w:t>发包人代表：</w:t>
      </w:r>
    </w:p>
    <w:p w14:paraId="4A41C8B5">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B2C3A35">
      <w:pPr>
        <w:spacing w:line="360" w:lineRule="auto"/>
        <w:ind w:firstLine="560" w:firstLineChars="200"/>
        <w:rPr>
          <w:rFonts w:hint="eastAsia" w:ascii="宋体" w:hAnsi="宋体" w:cs="宋体"/>
          <w:sz w:val="28"/>
          <w:szCs w:val="28"/>
        </w:rPr>
      </w:pPr>
      <w:r>
        <w:rPr>
          <w:rFonts w:hint="eastAsia" w:ascii="宋体" w:hAnsi="宋体" w:cs="宋体"/>
          <w:sz w:val="28"/>
          <w:szCs w:val="28"/>
        </w:rPr>
        <w:t>身份证号：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31BD6BB0">
      <w:pPr>
        <w:spacing w:line="360" w:lineRule="auto"/>
        <w:ind w:firstLine="560" w:firstLineChars="200"/>
        <w:rPr>
          <w:rFonts w:hint="eastAsia" w:ascii="宋体" w:hAnsi="宋体" w:cs="宋体"/>
          <w:sz w:val="28"/>
          <w:szCs w:val="28"/>
        </w:rPr>
      </w:pPr>
      <w:r>
        <w:rPr>
          <w:rFonts w:hint="eastAsia" w:ascii="宋体" w:hAnsi="宋体" w:cs="宋体"/>
          <w:sz w:val="28"/>
          <w:szCs w:val="28"/>
        </w:rPr>
        <w:t>职    务：</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254CF60">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71AC141">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84A2577">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36CE70F9">
      <w:pPr>
        <w:spacing w:line="360" w:lineRule="auto"/>
        <w:ind w:firstLine="560" w:firstLineChars="200"/>
        <w:rPr>
          <w:rFonts w:hint="eastAsia" w:ascii="宋体" w:hAnsi="宋体" w:cs="宋体"/>
          <w:b/>
          <w:sz w:val="28"/>
          <w:szCs w:val="28"/>
        </w:rPr>
      </w:pPr>
      <w:r>
        <w:rPr>
          <w:rFonts w:hint="eastAsia" w:ascii="宋体" w:hAnsi="宋体" w:cs="宋体"/>
          <w:sz w:val="28"/>
          <w:szCs w:val="28"/>
        </w:rPr>
        <w:t xml:space="preserve">发包人对发包人代表的授权范围如下： </w:t>
      </w:r>
      <w:r>
        <w:rPr>
          <w:rFonts w:hint="eastAsia" w:ascii="宋体" w:hAnsi="宋体" w:cs="宋体"/>
          <w:sz w:val="28"/>
          <w:szCs w:val="28"/>
          <w:u w:val="single"/>
        </w:rPr>
        <w:t xml:space="preserve">       </w:t>
      </w:r>
      <w:r>
        <w:rPr>
          <w:rFonts w:hint="eastAsia" w:ascii="宋体" w:hAnsi="宋体" w:cs="宋体"/>
          <w:sz w:val="28"/>
          <w:szCs w:val="28"/>
        </w:rPr>
        <w:t>。</w:t>
      </w:r>
    </w:p>
    <w:p w14:paraId="7E806630">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2.4 施工现场、施工条件和基础资料的提供</w:t>
      </w:r>
    </w:p>
    <w:p w14:paraId="237B841D">
      <w:pPr>
        <w:spacing w:line="360" w:lineRule="auto"/>
        <w:ind w:firstLine="560" w:firstLineChars="200"/>
        <w:rPr>
          <w:rFonts w:hint="eastAsia" w:ascii="宋体" w:hAnsi="宋体" w:cs="宋体"/>
          <w:sz w:val="28"/>
          <w:szCs w:val="28"/>
        </w:rPr>
      </w:pPr>
      <w:r>
        <w:rPr>
          <w:rFonts w:hint="eastAsia" w:ascii="宋体" w:hAnsi="宋体" w:cs="宋体"/>
          <w:sz w:val="28"/>
          <w:szCs w:val="28"/>
        </w:rPr>
        <w:t>2.4.1 提供施工现场</w:t>
      </w:r>
    </w:p>
    <w:p w14:paraId="39386EE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关于发包人移交施工现场的期限要求：</w:t>
      </w:r>
      <w:r>
        <w:rPr>
          <w:rFonts w:hint="eastAsia" w:ascii="宋体" w:hAnsi="宋体" w:cs="宋体"/>
          <w:sz w:val="28"/>
          <w:szCs w:val="28"/>
          <w:u w:val="single"/>
        </w:rPr>
        <w:t>开工日期7天前提交</w:t>
      </w:r>
      <w:r>
        <w:rPr>
          <w:rFonts w:hint="eastAsia" w:ascii="宋体" w:hAnsi="宋体" w:cs="宋体"/>
          <w:sz w:val="28"/>
          <w:szCs w:val="28"/>
        </w:rPr>
        <w:t>。</w:t>
      </w:r>
    </w:p>
    <w:p w14:paraId="1100EFEB">
      <w:pPr>
        <w:spacing w:line="360" w:lineRule="auto"/>
        <w:ind w:firstLine="560" w:firstLineChars="200"/>
        <w:rPr>
          <w:rFonts w:hint="eastAsia" w:ascii="宋体" w:hAnsi="宋体" w:cs="宋体"/>
          <w:sz w:val="28"/>
          <w:szCs w:val="28"/>
        </w:rPr>
      </w:pPr>
      <w:r>
        <w:rPr>
          <w:rFonts w:hint="eastAsia" w:ascii="宋体" w:hAnsi="宋体" w:cs="宋体"/>
          <w:sz w:val="28"/>
          <w:szCs w:val="28"/>
        </w:rPr>
        <w:t>2.4.2 提供施工条件</w:t>
      </w:r>
    </w:p>
    <w:p w14:paraId="502C4FA7">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关于发包人应负责提供施工所需要的条件，包括：</w:t>
      </w:r>
      <w:r>
        <w:rPr>
          <w:rFonts w:hint="eastAsia" w:ascii="宋体" w:hAnsi="宋体" w:cs="宋体"/>
          <w:sz w:val="28"/>
          <w:szCs w:val="28"/>
          <w:u w:val="single"/>
        </w:rPr>
        <w:t xml:space="preserve"> /    </w:t>
      </w:r>
    </w:p>
    <w:p w14:paraId="4DDEB2D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2.5 资金来源证明及支付担保</w:t>
      </w:r>
    </w:p>
    <w:p w14:paraId="55C9513F">
      <w:pPr>
        <w:spacing w:line="360" w:lineRule="auto"/>
        <w:ind w:firstLine="560" w:firstLineChars="200"/>
        <w:rPr>
          <w:rFonts w:hint="eastAsia" w:ascii="宋体" w:hAnsi="宋体" w:cs="宋体"/>
          <w:sz w:val="28"/>
          <w:szCs w:val="28"/>
        </w:rPr>
      </w:pPr>
      <w:r>
        <w:rPr>
          <w:rFonts w:hint="eastAsia" w:ascii="宋体" w:hAnsi="宋体" w:cs="宋体"/>
          <w:sz w:val="28"/>
          <w:szCs w:val="28"/>
        </w:rPr>
        <w:t>发包人提供资金来源证明的期限要求：</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50AC1CEC">
      <w:pPr>
        <w:spacing w:line="360" w:lineRule="auto"/>
        <w:ind w:firstLine="560" w:firstLineChars="200"/>
        <w:rPr>
          <w:rFonts w:hint="eastAsia" w:ascii="宋体" w:hAnsi="宋体" w:cs="宋体"/>
          <w:sz w:val="28"/>
          <w:szCs w:val="28"/>
        </w:rPr>
      </w:pPr>
      <w:r>
        <w:rPr>
          <w:rFonts w:hint="eastAsia" w:ascii="宋体" w:hAnsi="宋体" w:cs="宋体"/>
          <w:sz w:val="28"/>
          <w:szCs w:val="28"/>
        </w:rPr>
        <w:t>发包人是否提供支付担保：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77C69846">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发包人提供支付担保的形式：</w:t>
      </w:r>
      <w:r>
        <w:rPr>
          <w:rFonts w:hint="eastAsia" w:ascii="宋体" w:hAnsi="宋体" w:cs="宋体"/>
          <w:sz w:val="28"/>
          <w:szCs w:val="28"/>
          <w:u w:val="single"/>
        </w:rPr>
        <w:t xml:space="preserve">                       </w:t>
      </w:r>
      <w:r>
        <w:rPr>
          <w:rFonts w:hint="eastAsia" w:ascii="宋体" w:hAnsi="宋体" w:cs="宋体"/>
          <w:sz w:val="28"/>
          <w:szCs w:val="28"/>
        </w:rPr>
        <w:t>。</w:t>
      </w:r>
    </w:p>
    <w:p w14:paraId="26AC72CB">
      <w:pPr>
        <w:outlineLvl w:val="2"/>
        <w:rPr>
          <w:rFonts w:hint="eastAsia" w:ascii="宋体" w:hAnsi="宋体" w:cs="宋体"/>
          <w:b/>
          <w:sz w:val="28"/>
          <w:szCs w:val="28"/>
        </w:rPr>
      </w:pPr>
      <w:bookmarkStart w:id="86" w:name="_Toc256000107"/>
      <w:bookmarkStart w:id="87" w:name="_Toc256000237"/>
      <w:bookmarkStart w:id="88" w:name="_Toc256000122"/>
      <w:bookmarkStart w:id="89" w:name="_Toc256000153"/>
      <w:bookmarkStart w:id="90" w:name="_Toc256000178"/>
      <w:r>
        <w:rPr>
          <w:rFonts w:hint="eastAsia" w:ascii="宋体" w:hAnsi="宋体" w:cs="宋体"/>
          <w:b/>
          <w:sz w:val="28"/>
          <w:szCs w:val="28"/>
        </w:rPr>
        <w:t>3. 承包人</w:t>
      </w:r>
      <w:bookmarkEnd w:id="86"/>
      <w:bookmarkEnd w:id="87"/>
      <w:bookmarkEnd w:id="88"/>
      <w:bookmarkEnd w:id="89"/>
      <w:bookmarkEnd w:id="90"/>
    </w:p>
    <w:p w14:paraId="14704E1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3.1 承包人的一般义务</w:t>
      </w:r>
    </w:p>
    <w:p w14:paraId="0DBF1505">
      <w:pPr>
        <w:spacing w:line="360" w:lineRule="auto"/>
        <w:jc w:val="left"/>
        <w:rPr>
          <w:rFonts w:hint="eastAsia" w:ascii="宋体" w:hAnsi="宋体" w:cs="宋体"/>
          <w:sz w:val="28"/>
          <w:szCs w:val="28"/>
        </w:rPr>
      </w:pPr>
      <w:r>
        <w:rPr>
          <w:rFonts w:hint="eastAsia" w:ascii="宋体" w:hAnsi="宋体" w:cs="宋体"/>
          <w:kern w:val="0"/>
          <w:sz w:val="28"/>
          <w:szCs w:val="28"/>
        </w:rPr>
        <w:t>（9）</w:t>
      </w:r>
      <w:r>
        <w:rPr>
          <w:rFonts w:hint="eastAsia" w:ascii="宋体" w:hAnsi="宋体" w:cs="宋体"/>
          <w:sz w:val="28"/>
          <w:szCs w:val="28"/>
        </w:rPr>
        <w:t>承包人提交的竣工资料的内容：</w:t>
      </w:r>
      <w:r>
        <w:rPr>
          <w:rFonts w:hint="eastAsia" w:ascii="宋体" w:hAnsi="宋体" w:cs="宋体"/>
          <w:sz w:val="28"/>
          <w:szCs w:val="28"/>
          <w:u w:val="single"/>
        </w:rPr>
        <w:t>开工前期准备资料、企业管理资料、质量控制资料、竣工验收资料、竣工图、安全质 量保证体系及施工工艺操作方法， 所有竣工验收、备案资料等</w:t>
      </w:r>
      <w:r>
        <w:rPr>
          <w:rFonts w:hint="eastAsia" w:ascii="宋体" w:hAnsi="宋体" w:cs="宋体"/>
          <w:sz w:val="28"/>
          <w:szCs w:val="28"/>
        </w:rPr>
        <w:t>。</w:t>
      </w:r>
    </w:p>
    <w:p w14:paraId="3161869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承包人需要提交的竣工资料套数：</w:t>
      </w:r>
      <w:r>
        <w:rPr>
          <w:rFonts w:hint="eastAsia" w:ascii="宋体" w:hAnsi="宋体" w:cs="宋体"/>
          <w:sz w:val="28"/>
          <w:szCs w:val="28"/>
          <w:u w:val="single"/>
        </w:rPr>
        <w:t xml:space="preserve">    三套      </w:t>
      </w:r>
      <w:r>
        <w:rPr>
          <w:rFonts w:hint="eastAsia" w:ascii="宋体" w:hAnsi="宋体" w:cs="宋体"/>
          <w:sz w:val="28"/>
          <w:szCs w:val="28"/>
        </w:rPr>
        <w:t>。</w:t>
      </w:r>
    </w:p>
    <w:p w14:paraId="302EA5F9">
      <w:pPr>
        <w:spacing w:line="360" w:lineRule="auto"/>
        <w:ind w:left="638" w:leftChars="304"/>
        <w:jc w:val="left"/>
        <w:rPr>
          <w:rFonts w:hint="eastAsia" w:ascii="宋体" w:hAnsi="宋体" w:cs="宋体"/>
          <w:sz w:val="28"/>
          <w:szCs w:val="28"/>
        </w:rPr>
      </w:pPr>
      <w:r>
        <w:rPr>
          <w:rFonts w:hint="eastAsia" w:ascii="宋体" w:hAnsi="宋体" w:cs="宋体"/>
          <w:sz w:val="28"/>
          <w:szCs w:val="28"/>
        </w:rPr>
        <w:t>承包人提交的竣工资料的费用承担：</w:t>
      </w:r>
      <w:r>
        <w:rPr>
          <w:rFonts w:hint="eastAsia" w:ascii="宋体" w:hAnsi="宋体" w:cs="宋体"/>
          <w:sz w:val="28"/>
          <w:szCs w:val="28"/>
          <w:u w:val="single"/>
        </w:rPr>
        <w:t xml:space="preserve">由承包人承担   </w:t>
      </w:r>
      <w:r>
        <w:rPr>
          <w:rFonts w:hint="eastAsia" w:ascii="宋体" w:hAnsi="宋体" w:cs="宋体"/>
          <w:sz w:val="28"/>
          <w:szCs w:val="28"/>
        </w:rPr>
        <w:t>。</w:t>
      </w:r>
    </w:p>
    <w:p w14:paraId="2AB42BBD">
      <w:pPr>
        <w:adjustRightInd w:val="0"/>
        <w:spacing w:after="60" w:line="360" w:lineRule="atLeast"/>
        <w:ind w:left="63" w:leftChars="30" w:right="63" w:rightChars="30"/>
        <w:jc w:val="center"/>
        <w:textAlignment w:val="baseline"/>
        <w:rPr>
          <w:rFonts w:hint="eastAsia" w:ascii="宋体" w:hAnsi="宋体" w:cs="宋体"/>
          <w:kern w:val="0"/>
          <w:sz w:val="28"/>
          <w:szCs w:val="28"/>
        </w:rPr>
      </w:pPr>
      <w:r>
        <w:rPr>
          <w:rFonts w:hint="eastAsia" w:ascii="宋体" w:hAnsi="宋体" w:cs="宋体"/>
          <w:kern w:val="0"/>
          <w:sz w:val="28"/>
          <w:szCs w:val="28"/>
        </w:rPr>
        <w:t>承包人提交的竣工资料移交时间：</w:t>
      </w:r>
      <w:r>
        <w:rPr>
          <w:rFonts w:hint="eastAsia" w:ascii="宋体" w:hAnsi="宋体" w:cs="宋体"/>
          <w:kern w:val="0"/>
          <w:sz w:val="28"/>
          <w:szCs w:val="28"/>
          <w:u w:val="single"/>
        </w:rPr>
        <w:t>工程竣工验收合格后十五日内</w:t>
      </w:r>
      <w:r>
        <w:rPr>
          <w:rFonts w:hint="eastAsia" w:ascii="宋体" w:hAnsi="宋体" w:cs="宋体"/>
          <w:kern w:val="0"/>
          <w:sz w:val="28"/>
          <w:szCs w:val="28"/>
        </w:rPr>
        <w:t>。</w:t>
      </w:r>
    </w:p>
    <w:p w14:paraId="4D20306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承包人提交的竣工资料形式要求：</w:t>
      </w:r>
      <w:r>
        <w:rPr>
          <w:rFonts w:hint="eastAsia" w:ascii="宋体" w:hAnsi="宋体" w:cs="宋体"/>
          <w:sz w:val="28"/>
          <w:szCs w:val="28"/>
          <w:u w:val="single"/>
        </w:rPr>
        <w:t>纸质及电子版，并按当地城建档案馆的要求提交</w:t>
      </w:r>
      <w:r>
        <w:rPr>
          <w:rFonts w:hint="eastAsia" w:ascii="宋体" w:hAnsi="宋体" w:cs="宋体"/>
          <w:sz w:val="28"/>
          <w:szCs w:val="28"/>
        </w:rPr>
        <w:t>。</w:t>
      </w:r>
    </w:p>
    <w:p w14:paraId="7D945AD7">
      <w:pPr>
        <w:spacing w:line="360" w:lineRule="auto"/>
        <w:ind w:firstLine="560" w:firstLineChars="200"/>
        <w:rPr>
          <w:rFonts w:hint="eastAsia" w:ascii="宋体" w:hAnsi="宋体" w:cs="宋体"/>
          <w:sz w:val="28"/>
          <w:szCs w:val="28"/>
        </w:rPr>
      </w:pPr>
      <w:r>
        <w:rPr>
          <w:rFonts w:hint="eastAsia" w:ascii="宋体" w:hAnsi="宋体" w:cs="宋体"/>
          <w:kern w:val="0"/>
          <w:sz w:val="28"/>
          <w:szCs w:val="28"/>
        </w:rPr>
        <w:t>（10）承包人应履行的其他义务：</w:t>
      </w:r>
      <w:r>
        <w:rPr>
          <w:rFonts w:hint="eastAsia" w:ascii="宋体" w:hAnsi="宋体" w:cs="宋体"/>
          <w:kern w:val="0"/>
          <w:sz w:val="28"/>
          <w:szCs w:val="28"/>
          <w:u w:val="single"/>
        </w:rPr>
        <w:t xml:space="preserve">按照通用条款执行     </w:t>
      </w:r>
      <w:r>
        <w:rPr>
          <w:rFonts w:hint="eastAsia" w:ascii="宋体" w:hAnsi="宋体" w:cs="宋体"/>
          <w:sz w:val="28"/>
          <w:szCs w:val="28"/>
          <w:u w:val="single"/>
        </w:rPr>
        <w:t xml:space="preserve"> </w:t>
      </w:r>
      <w:r>
        <w:rPr>
          <w:rFonts w:hint="eastAsia" w:ascii="宋体" w:hAnsi="宋体" w:cs="宋体"/>
          <w:sz w:val="28"/>
          <w:szCs w:val="28"/>
        </w:rPr>
        <w:t>。</w:t>
      </w:r>
    </w:p>
    <w:p w14:paraId="6039B42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3.2 项目经理</w:t>
      </w:r>
    </w:p>
    <w:p w14:paraId="715ED489">
      <w:pPr>
        <w:spacing w:line="360" w:lineRule="auto"/>
        <w:ind w:firstLine="560" w:firstLineChars="200"/>
        <w:rPr>
          <w:rFonts w:hint="eastAsia" w:ascii="宋体" w:hAnsi="宋体" w:cs="宋体"/>
          <w:sz w:val="28"/>
          <w:szCs w:val="28"/>
        </w:rPr>
      </w:pPr>
      <w:r>
        <w:rPr>
          <w:rFonts w:hint="eastAsia" w:ascii="宋体" w:hAnsi="宋体" w:cs="宋体"/>
          <w:kern w:val="0"/>
          <w:sz w:val="28"/>
          <w:szCs w:val="28"/>
        </w:rPr>
        <w:t xml:space="preserve">3.2.1 </w:t>
      </w:r>
      <w:r>
        <w:rPr>
          <w:rFonts w:hint="eastAsia" w:ascii="宋体" w:hAnsi="宋体" w:cs="宋体"/>
          <w:sz w:val="28"/>
          <w:szCs w:val="28"/>
        </w:rPr>
        <w:t>项目经理：</w:t>
      </w:r>
    </w:p>
    <w:p w14:paraId="52A8DFEA">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08B9527">
      <w:pPr>
        <w:spacing w:line="360" w:lineRule="auto"/>
        <w:ind w:firstLine="560" w:firstLineChars="200"/>
        <w:rPr>
          <w:rFonts w:hint="eastAsia" w:ascii="宋体" w:hAnsi="宋体" w:cs="宋体"/>
          <w:sz w:val="28"/>
          <w:szCs w:val="28"/>
        </w:rPr>
      </w:pPr>
      <w:r>
        <w:rPr>
          <w:rFonts w:hint="eastAsia" w:ascii="宋体" w:hAnsi="宋体" w:cs="宋体"/>
          <w:sz w:val="28"/>
          <w:szCs w:val="28"/>
        </w:rPr>
        <w:t>身份证号：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0645BE6A">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建造师执业资格等级：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5865C936">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建造师注册证书号：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7A8599D">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建造师执业印章号：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4201007">
      <w:pPr>
        <w:spacing w:line="360" w:lineRule="auto"/>
        <w:ind w:firstLine="560" w:firstLineChars="200"/>
        <w:rPr>
          <w:rFonts w:hint="eastAsia" w:ascii="宋体" w:hAnsi="宋体" w:cs="宋体"/>
          <w:sz w:val="28"/>
          <w:szCs w:val="28"/>
        </w:rPr>
      </w:pPr>
      <w:r>
        <w:rPr>
          <w:rFonts w:hint="eastAsia" w:ascii="宋体" w:hAnsi="宋体" w:cs="宋体"/>
          <w:sz w:val="28"/>
          <w:szCs w:val="28"/>
        </w:rPr>
        <w:t>安全生产考核合格证书号：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101D4C86">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CCB4B1A">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E0BA530">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482D083">
      <w:pPr>
        <w:spacing w:line="360" w:lineRule="auto"/>
        <w:ind w:firstLine="560" w:firstLineChars="200"/>
        <w:rPr>
          <w:rFonts w:hint="eastAsia" w:ascii="宋体" w:hAnsi="宋体" w:cs="宋体"/>
          <w:sz w:val="28"/>
          <w:szCs w:val="28"/>
        </w:rPr>
      </w:pPr>
      <w:r>
        <w:rPr>
          <w:rFonts w:hint="eastAsia" w:ascii="宋体" w:hAnsi="宋体" w:cs="宋体"/>
          <w:sz w:val="28"/>
          <w:szCs w:val="28"/>
        </w:rPr>
        <w:t>承包人对项目经理的授权范围如下：</w:t>
      </w:r>
      <w:r>
        <w:rPr>
          <w:rFonts w:hint="eastAsia" w:ascii="宋体" w:hAnsi="宋体" w:cs="宋体"/>
          <w:sz w:val="28"/>
          <w:szCs w:val="28"/>
          <w:u w:val="single"/>
        </w:rPr>
        <w:t>主持项目经理部工作；决定授权范围内的项目资金的投入和使用；制定内部计酬办 法；在授权范围内协调与项目有关的内、外部关系；法定代表人授权的其他权利</w:t>
      </w:r>
      <w:r>
        <w:rPr>
          <w:rFonts w:hint="eastAsia" w:ascii="宋体" w:hAnsi="宋体" w:cs="宋体"/>
          <w:sz w:val="28"/>
          <w:szCs w:val="28"/>
        </w:rPr>
        <w:t>。</w:t>
      </w:r>
    </w:p>
    <w:p w14:paraId="1813EDC4">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关于项目经理每月在施工现场的时间要求：</w:t>
      </w:r>
      <w:r>
        <w:rPr>
          <w:rFonts w:hint="eastAsia" w:ascii="宋体" w:hAnsi="宋体" w:cs="宋体"/>
          <w:color w:val="auto"/>
          <w:kern w:val="0"/>
          <w:sz w:val="28"/>
          <w:szCs w:val="28"/>
          <w:highlight w:val="none"/>
          <w:u w:val="single"/>
        </w:rPr>
        <w:t>不少于</w:t>
      </w:r>
      <w:r>
        <w:rPr>
          <w:rFonts w:hint="eastAsia" w:ascii="宋体" w:hAnsi="宋体" w:cs="宋体"/>
          <w:color w:val="auto"/>
          <w:kern w:val="0"/>
          <w:sz w:val="28"/>
          <w:szCs w:val="28"/>
          <w:highlight w:val="none"/>
          <w:u w:val="single"/>
          <w:lang w:val="en-US" w:eastAsia="zh-CN"/>
        </w:rPr>
        <w:t>25</w:t>
      </w:r>
      <w:r>
        <w:rPr>
          <w:rFonts w:hint="eastAsia" w:ascii="宋体" w:hAnsi="宋体" w:cs="宋体"/>
          <w:color w:val="auto"/>
          <w:kern w:val="0"/>
          <w:sz w:val="28"/>
          <w:szCs w:val="28"/>
          <w:highlight w:val="none"/>
          <w:u w:val="single"/>
        </w:rPr>
        <w:t>天</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73CD9F49">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承包人未提交劳动合同，以及没有为项目经理缴纳社会保险证明的违约责任：</w:t>
      </w:r>
      <w:r>
        <w:rPr>
          <w:rFonts w:hint="eastAsia" w:ascii="宋体" w:hAnsi="宋体"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50FDA6EE">
      <w:pPr>
        <w:spacing w:line="360" w:lineRule="auto"/>
        <w:ind w:firstLine="560" w:firstLineChars="200"/>
        <w:rPr>
          <w:rFonts w:hint="eastAsia" w:ascii="宋体" w:hAnsi="宋体" w:cs="宋体"/>
          <w:sz w:val="28"/>
          <w:szCs w:val="28"/>
          <w:u w:val="single"/>
        </w:rPr>
      </w:pPr>
      <w:r>
        <w:rPr>
          <w:rFonts w:hint="eastAsia" w:ascii="宋体" w:hAnsi="宋体" w:cs="宋体"/>
          <w:kern w:val="0"/>
          <w:sz w:val="28"/>
          <w:szCs w:val="28"/>
        </w:rPr>
        <w:t>项目经理未经批准，擅自离开施工现场的违约责任：</w:t>
      </w:r>
      <w:r>
        <w:rPr>
          <w:rFonts w:hint="eastAsia" w:ascii="宋体" w:hAnsi="宋体" w:cs="宋体"/>
          <w:sz w:val="28"/>
          <w:szCs w:val="28"/>
          <w:u w:val="single"/>
        </w:rPr>
        <w:t>发包人将按照 2000元/日从履约保证金中扣除，累计三次擅离施工现场记不诚信记录一次，发包人有权要求更换项目经理，并由承包人承担上述违约给发包人造成的一切损失。</w:t>
      </w:r>
    </w:p>
    <w:p w14:paraId="0995B8E7">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3.2.3 承包人擅自更换项目经理的违约责任：</w:t>
      </w:r>
      <w:r>
        <w:rPr>
          <w:rFonts w:hint="eastAsia" w:ascii="宋体" w:hAnsi="宋体" w:cs="宋体"/>
          <w:sz w:val="28"/>
          <w:szCs w:val="28"/>
          <w:u w:val="single"/>
        </w:rPr>
        <w:t xml:space="preserve"> 承包人未经发包人同意不得更换项目经理，由承包人承担上述违约给发包人造成的一切损失。</w:t>
      </w:r>
    </w:p>
    <w:p w14:paraId="21C0E0C3">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3.2.4 承包人无正当理由拒绝更换项目经理的违约责任：</w:t>
      </w:r>
      <w:r>
        <w:rPr>
          <w:rFonts w:hint="eastAsia" w:ascii="宋体" w:hAnsi="宋体" w:cs="宋体"/>
          <w:sz w:val="28"/>
          <w:szCs w:val="28"/>
          <w:u w:val="single"/>
        </w:rPr>
        <w:t xml:space="preserve">  发包人有权扣除全部履约保证金，并由承包人承担上述违约给发包人造成的一切损失。</w:t>
      </w:r>
    </w:p>
    <w:p w14:paraId="6B4DD3B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3.3 承包人人员</w:t>
      </w:r>
    </w:p>
    <w:p w14:paraId="10D98D6C">
      <w:pPr>
        <w:spacing w:line="360" w:lineRule="auto"/>
        <w:ind w:firstLine="560" w:firstLineChars="200"/>
        <w:rPr>
          <w:rFonts w:hint="eastAsia" w:ascii="宋体" w:hAnsi="宋体" w:cs="宋体"/>
          <w:sz w:val="28"/>
          <w:szCs w:val="28"/>
        </w:rPr>
      </w:pPr>
      <w:r>
        <w:rPr>
          <w:rFonts w:hint="eastAsia" w:ascii="宋体" w:hAnsi="宋体" w:cs="宋体"/>
          <w:sz w:val="28"/>
          <w:szCs w:val="28"/>
        </w:rPr>
        <w:t>3.3.1 承包人提交项目管理机构及施工现场管理人员安排报告的期限：</w:t>
      </w:r>
      <w:r>
        <w:rPr>
          <w:rFonts w:hint="eastAsia" w:ascii="宋体" w:hAnsi="宋体" w:cs="宋体"/>
          <w:sz w:val="28"/>
          <w:szCs w:val="28"/>
          <w:u w:val="single"/>
        </w:rPr>
        <w:t>在接到开工通知后7天内提交</w:t>
      </w:r>
      <w:r>
        <w:rPr>
          <w:rFonts w:hint="eastAsia" w:ascii="宋体" w:hAnsi="宋体" w:cs="宋体"/>
          <w:sz w:val="28"/>
          <w:szCs w:val="28"/>
        </w:rPr>
        <w:t>。</w:t>
      </w:r>
    </w:p>
    <w:p w14:paraId="40AFBFBE">
      <w:pPr>
        <w:spacing w:line="360" w:lineRule="auto"/>
        <w:ind w:firstLine="560" w:firstLineChars="200"/>
        <w:rPr>
          <w:rFonts w:hint="eastAsia" w:ascii="宋体" w:hAnsi="宋体" w:cs="宋体"/>
          <w:sz w:val="28"/>
          <w:szCs w:val="28"/>
        </w:rPr>
      </w:pPr>
      <w:r>
        <w:rPr>
          <w:rFonts w:hint="eastAsia" w:ascii="宋体" w:hAnsi="宋体" w:cs="宋体"/>
          <w:sz w:val="28"/>
          <w:szCs w:val="28"/>
        </w:rPr>
        <w:t>3.3.3 承包人无正当理由拒绝撤换主要施工管理人员的违约责任：</w:t>
      </w:r>
      <w:r>
        <w:rPr>
          <w:rFonts w:hint="eastAsia" w:ascii="宋体" w:hAnsi="宋体" w:cs="宋体"/>
          <w:sz w:val="28"/>
          <w:szCs w:val="28"/>
          <w:u w:val="single"/>
        </w:rPr>
        <w:t>发包人有权扣除全部履约保证金，并由承包人承担上述违约给发包人造成的一切损失</w:t>
      </w:r>
      <w:r>
        <w:rPr>
          <w:rFonts w:hint="eastAsia" w:ascii="宋体" w:hAnsi="宋体" w:cs="宋体"/>
          <w:sz w:val="28"/>
          <w:szCs w:val="28"/>
        </w:rPr>
        <w:t>。</w:t>
      </w:r>
    </w:p>
    <w:p w14:paraId="1568CB73">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3.3.4 承包人主要施工管理人员离开施工现场的批准要求：</w:t>
      </w:r>
      <w:r>
        <w:rPr>
          <w:rFonts w:hint="eastAsia" w:ascii="宋体" w:hAnsi="宋体" w:cs="宋体"/>
          <w:sz w:val="28"/>
          <w:szCs w:val="28"/>
          <w:u w:val="single"/>
        </w:rPr>
        <w:t>由监理人批准，发包人认可后方可离开</w:t>
      </w:r>
      <w:r>
        <w:rPr>
          <w:rFonts w:hint="eastAsia" w:ascii="宋体" w:hAnsi="宋体" w:cs="宋体"/>
          <w:sz w:val="28"/>
          <w:szCs w:val="28"/>
        </w:rPr>
        <w:t>。</w:t>
      </w:r>
    </w:p>
    <w:p w14:paraId="27AA2A4E">
      <w:pPr>
        <w:spacing w:line="360" w:lineRule="auto"/>
        <w:ind w:firstLine="560" w:firstLineChars="200"/>
        <w:rPr>
          <w:rFonts w:hint="eastAsia" w:ascii="宋体" w:hAnsi="宋体" w:cs="宋体"/>
          <w:sz w:val="28"/>
          <w:szCs w:val="28"/>
        </w:rPr>
      </w:pPr>
      <w:r>
        <w:rPr>
          <w:rFonts w:hint="eastAsia" w:ascii="宋体" w:hAnsi="宋体" w:cs="宋体"/>
          <w:sz w:val="28"/>
          <w:szCs w:val="28"/>
        </w:rPr>
        <w:t>3.3.5承包人擅自更换主要施工管理人员的违约责任：</w:t>
      </w:r>
      <w:r>
        <w:rPr>
          <w:rFonts w:hint="eastAsia" w:ascii="宋体" w:hAnsi="宋体" w:cs="宋体"/>
          <w:sz w:val="28"/>
          <w:szCs w:val="28"/>
          <w:u w:val="single"/>
        </w:rPr>
        <w:t>发生一次扣除履约保证金的10%，并承担上述违约给发包人造成的一切损失</w:t>
      </w:r>
      <w:r>
        <w:rPr>
          <w:rFonts w:hint="eastAsia" w:ascii="宋体" w:hAnsi="宋体" w:cs="宋体"/>
          <w:sz w:val="28"/>
          <w:szCs w:val="28"/>
        </w:rPr>
        <w:t>。</w:t>
      </w:r>
    </w:p>
    <w:p w14:paraId="2C7232B8">
      <w:pPr>
        <w:spacing w:line="360" w:lineRule="auto"/>
        <w:ind w:firstLine="560" w:firstLineChars="200"/>
        <w:rPr>
          <w:rFonts w:hint="eastAsia" w:ascii="宋体" w:hAnsi="宋体" w:cs="宋体"/>
          <w:sz w:val="28"/>
          <w:szCs w:val="28"/>
        </w:rPr>
      </w:pPr>
      <w:r>
        <w:rPr>
          <w:rFonts w:hint="eastAsia" w:ascii="宋体" w:hAnsi="宋体" w:cs="宋体"/>
          <w:sz w:val="28"/>
          <w:szCs w:val="28"/>
        </w:rPr>
        <w:t>承包人主要施工管理人员擅自离开施工现场的违约责任：</w:t>
      </w:r>
      <w:r>
        <w:rPr>
          <w:rFonts w:hint="eastAsia" w:ascii="宋体" w:hAnsi="宋体" w:cs="宋体"/>
          <w:sz w:val="28"/>
          <w:szCs w:val="28"/>
          <w:u w:val="single"/>
        </w:rPr>
        <w:t xml:space="preserve"> 发包人有权按500元/日从履约保证金中扣除。擅自离开施工现场超过3次的，发包人有 权要求承包人更换主要施工管理人员，并由承包人承担上述违约给发包人造成的一切损失</w:t>
      </w:r>
      <w:r>
        <w:rPr>
          <w:rFonts w:hint="eastAsia" w:ascii="宋体" w:hAnsi="宋体" w:cs="宋体"/>
          <w:sz w:val="28"/>
          <w:szCs w:val="28"/>
        </w:rPr>
        <w:t>。</w:t>
      </w:r>
    </w:p>
    <w:p w14:paraId="2E32DE7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3.5 分包</w:t>
      </w:r>
    </w:p>
    <w:p w14:paraId="1A0B865B">
      <w:pPr>
        <w:spacing w:line="360" w:lineRule="auto"/>
        <w:ind w:firstLine="560" w:firstLineChars="200"/>
        <w:rPr>
          <w:rFonts w:hint="eastAsia" w:ascii="宋体" w:hAnsi="宋体" w:cs="宋体"/>
          <w:sz w:val="28"/>
          <w:szCs w:val="28"/>
        </w:rPr>
      </w:pPr>
      <w:r>
        <w:rPr>
          <w:rFonts w:hint="eastAsia" w:ascii="宋体" w:hAnsi="宋体" w:cs="宋体"/>
          <w:sz w:val="28"/>
          <w:szCs w:val="28"/>
        </w:rPr>
        <w:t>3.5.1 分包的一般约定</w:t>
      </w:r>
    </w:p>
    <w:p w14:paraId="47BDD58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禁止分包的工程包括：</w:t>
      </w:r>
      <w:r>
        <w:rPr>
          <w:rFonts w:hint="eastAsia" w:ascii="宋体" w:hAnsi="宋体" w:cs="宋体"/>
          <w:sz w:val="28"/>
          <w:szCs w:val="28"/>
          <w:u w:val="single"/>
        </w:rPr>
        <w:t>发生一次扣除履约保证金的10%，并承担上述违约给发包人造成的一切损失</w:t>
      </w:r>
      <w:r>
        <w:rPr>
          <w:rFonts w:hint="eastAsia" w:ascii="宋体" w:hAnsi="宋体" w:cs="宋体"/>
          <w:sz w:val="28"/>
          <w:szCs w:val="28"/>
        </w:rPr>
        <w:t>。</w:t>
      </w:r>
    </w:p>
    <w:p w14:paraId="0B2C263B">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主体结构、关键性工作的范围：</w:t>
      </w:r>
      <w:r>
        <w:rPr>
          <w:rFonts w:hint="eastAsia" w:ascii="宋体" w:hAnsi="宋体" w:cs="宋体"/>
          <w:sz w:val="28"/>
          <w:szCs w:val="28"/>
          <w:u w:val="single"/>
        </w:rPr>
        <w:t>禁止分包</w:t>
      </w:r>
      <w:r>
        <w:rPr>
          <w:rFonts w:hint="eastAsia" w:ascii="宋体" w:hAnsi="宋体" w:cs="宋体"/>
          <w:sz w:val="28"/>
          <w:szCs w:val="28"/>
        </w:rPr>
        <w:t>。</w:t>
      </w:r>
    </w:p>
    <w:p w14:paraId="06783DB5">
      <w:pPr>
        <w:spacing w:line="360" w:lineRule="auto"/>
        <w:rPr>
          <w:rFonts w:hint="eastAsia" w:ascii="宋体" w:hAnsi="宋体" w:cs="宋体"/>
          <w:sz w:val="28"/>
          <w:szCs w:val="28"/>
        </w:rPr>
      </w:pPr>
      <w:r>
        <w:rPr>
          <w:rFonts w:hint="eastAsia" w:ascii="宋体" w:hAnsi="宋体" w:cs="宋体"/>
          <w:sz w:val="28"/>
          <w:szCs w:val="28"/>
        </w:rPr>
        <w:t xml:space="preserve">    3.5.2分包的确定</w:t>
      </w:r>
    </w:p>
    <w:p w14:paraId="06BD3A86">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允许分包的专业工程包括：</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7A8BE3A8">
      <w:pPr>
        <w:spacing w:line="360" w:lineRule="auto"/>
        <w:rPr>
          <w:rFonts w:hint="eastAsia" w:ascii="宋体" w:hAnsi="宋体" w:cs="宋体"/>
          <w:sz w:val="28"/>
          <w:szCs w:val="28"/>
        </w:rPr>
      </w:pPr>
      <w:r>
        <w:rPr>
          <w:rFonts w:hint="eastAsia" w:ascii="宋体" w:hAnsi="宋体" w:cs="宋体"/>
          <w:sz w:val="28"/>
          <w:szCs w:val="28"/>
        </w:rPr>
        <w:t>其他关于分包的约定：</w:t>
      </w:r>
      <w:r>
        <w:rPr>
          <w:rFonts w:hint="eastAsia" w:ascii="宋体" w:hAnsi="宋体" w:cs="宋体"/>
          <w:sz w:val="28"/>
          <w:szCs w:val="28"/>
          <w:u w:val="single"/>
        </w:rPr>
        <w:t xml:space="preserve">     /                       </w:t>
      </w:r>
      <w:r>
        <w:rPr>
          <w:rFonts w:hint="eastAsia" w:ascii="宋体" w:hAnsi="宋体" w:cs="宋体"/>
          <w:sz w:val="28"/>
          <w:szCs w:val="28"/>
        </w:rPr>
        <w:t>。</w:t>
      </w:r>
    </w:p>
    <w:p w14:paraId="3533118C">
      <w:pPr>
        <w:spacing w:line="360" w:lineRule="auto"/>
        <w:ind w:firstLine="560" w:firstLineChars="200"/>
        <w:rPr>
          <w:rFonts w:hint="eastAsia" w:ascii="宋体" w:hAnsi="宋体" w:cs="宋体"/>
          <w:sz w:val="28"/>
          <w:szCs w:val="28"/>
        </w:rPr>
      </w:pPr>
      <w:r>
        <w:rPr>
          <w:rFonts w:hint="eastAsia" w:ascii="宋体" w:hAnsi="宋体" w:cs="宋体"/>
          <w:sz w:val="28"/>
          <w:szCs w:val="28"/>
        </w:rPr>
        <w:t>3.5.4 分包合同价款</w:t>
      </w:r>
    </w:p>
    <w:p w14:paraId="35D996E5">
      <w:pPr>
        <w:spacing w:line="360" w:lineRule="auto"/>
        <w:ind w:firstLine="560" w:firstLineChars="200"/>
        <w:rPr>
          <w:rFonts w:hint="eastAsia" w:ascii="宋体" w:hAnsi="宋体" w:cs="宋体"/>
          <w:sz w:val="28"/>
          <w:szCs w:val="28"/>
        </w:rPr>
      </w:pPr>
      <w:r>
        <w:rPr>
          <w:rFonts w:hint="eastAsia" w:ascii="宋体" w:hAnsi="宋体" w:cs="宋体"/>
          <w:sz w:val="28"/>
          <w:szCs w:val="28"/>
        </w:rPr>
        <w:t>关于分包合同价款支付的约定：</w:t>
      </w:r>
      <w:r>
        <w:rPr>
          <w:rFonts w:hint="eastAsia" w:ascii="宋体" w:hAnsi="宋体" w:cs="宋体"/>
          <w:sz w:val="28"/>
          <w:szCs w:val="28"/>
          <w:u w:val="single"/>
        </w:rPr>
        <w:t>特殊专业工程，检测费用由承包人承担</w:t>
      </w:r>
      <w:r>
        <w:rPr>
          <w:rFonts w:hint="eastAsia" w:ascii="宋体" w:hAnsi="宋体" w:cs="宋体"/>
          <w:sz w:val="28"/>
          <w:szCs w:val="28"/>
        </w:rPr>
        <w:t>。</w:t>
      </w:r>
    </w:p>
    <w:p w14:paraId="3617C3A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3.6 工程照管与成品、半成品保护</w:t>
      </w:r>
    </w:p>
    <w:p w14:paraId="4F452112">
      <w:pPr>
        <w:spacing w:before="120" w:after="120" w:line="360" w:lineRule="auto"/>
        <w:ind w:firstLine="560" w:firstLineChars="200"/>
        <w:rPr>
          <w:rFonts w:hint="eastAsia" w:ascii="宋体" w:hAnsi="宋体" w:cs="宋体"/>
          <w:kern w:val="0"/>
          <w:sz w:val="28"/>
          <w:szCs w:val="28"/>
          <w:u w:val="single"/>
        </w:rPr>
      </w:pPr>
      <w:r>
        <w:rPr>
          <w:rFonts w:hint="eastAsia" w:ascii="宋体" w:hAnsi="宋体" w:cs="宋体"/>
          <w:kern w:val="0"/>
          <w:sz w:val="28"/>
          <w:szCs w:val="28"/>
        </w:rPr>
        <w:t>承包人负责照管工程及工程相关的材料、工程设备的起始时间：</w:t>
      </w:r>
      <w:r>
        <w:rPr>
          <w:rFonts w:hint="eastAsia" w:ascii="宋体" w:hAnsi="宋体" w:cs="宋体"/>
          <w:kern w:val="0"/>
          <w:sz w:val="28"/>
          <w:szCs w:val="28"/>
          <w:u w:val="single"/>
        </w:rPr>
        <w:t xml:space="preserve"> 按照通用条款第3.6项规定执行。</w:t>
      </w:r>
    </w:p>
    <w:p w14:paraId="13459D0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3.7 履约担保</w:t>
      </w:r>
    </w:p>
    <w:p w14:paraId="71C6FEA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承包人是否提供履约担保：</w:t>
      </w:r>
      <w:r>
        <w:rPr>
          <w:rFonts w:hint="eastAsia" w:ascii="宋体" w:hAnsi="宋体" w:cs="宋体"/>
          <w:sz w:val="28"/>
          <w:szCs w:val="28"/>
          <w:u w:val="single"/>
        </w:rPr>
        <w:t xml:space="preserve">  是  </w:t>
      </w:r>
      <w:r>
        <w:rPr>
          <w:rFonts w:hint="eastAsia" w:ascii="宋体" w:hAnsi="宋体" w:cs="宋体"/>
          <w:sz w:val="28"/>
          <w:szCs w:val="28"/>
        </w:rPr>
        <w:t>。</w:t>
      </w:r>
    </w:p>
    <w:p w14:paraId="3FA4FC07">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承包人提供履约担保的形式、金额及期限的：</w:t>
      </w:r>
      <w:r>
        <w:rPr>
          <w:rFonts w:hint="eastAsia" w:ascii="宋体" w:hAnsi="宋体" w:cs="宋体"/>
          <w:sz w:val="28"/>
          <w:szCs w:val="28"/>
          <w:u w:val="single"/>
        </w:rPr>
        <w:t>支票、汇票、转账或银行保函；</w:t>
      </w:r>
    </w:p>
    <w:p w14:paraId="174B97A0">
      <w:pPr>
        <w:spacing w:line="360" w:lineRule="auto"/>
        <w:jc w:val="left"/>
        <w:rPr>
          <w:rFonts w:hint="eastAsia" w:ascii="宋体" w:hAnsi="宋体" w:cs="宋体"/>
          <w:sz w:val="28"/>
          <w:szCs w:val="28"/>
        </w:rPr>
      </w:pPr>
      <w:r>
        <w:rPr>
          <w:rFonts w:hint="eastAsia" w:ascii="宋体" w:hAnsi="宋体" w:cs="宋体"/>
          <w:sz w:val="28"/>
          <w:szCs w:val="28"/>
          <w:u w:val="single"/>
        </w:rPr>
        <w:t>履约担保的金额:</w:t>
      </w:r>
      <w:r>
        <w:rPr>
          <w:rFonts w:hint="eastAsia" w:ascii="宋体" w:hAnsi="宋体" w:eastAsia="宋体" w:cs="宋体"/>
          <w:sz w:val="28"/>
          <w:szCs w:val="28"/>
          <w:u w:val="single"/>
          <w:lang w:val="en-US" w:eastAsia="zh-CN"/>
        </w:rPr>
        <w:t>5</w:t>
      </w:r>
      <w:r>
        <w:rPr>
          <w:rFonts w:hint="eastAsia" w:ascii="宋体" w:hAnsi="宋体" w:cs="宋体"/>
          <w:sz w:val="28"/>
          <w:szCs w:val="28"/>
          <w:u w:val="single"/>
        </w:rPr>
        <w:t>%签约合同价</w:t>
      </w:r>
      <w:r>
        <w:rPr>
          <w:rFonts w:hint="eastAsia" w:ascii="宋体" w:hAnsi="宋体" w:cs="宋体"/>
          <w:sz w:val="28"/>
          <w:szCs w:val="28"/>
        </w:rPr>
        <w:t>。</w:t>
      </w:r>
    </w:p>
    <w:p w14:paraId="1636739A">
      <w:pPr>
        <w:outlineLvl w:val="2"/>
        <w:rPr>
          <w:rFonts w:hint="eastAsia" w:ascii="宋体" w:hAnsi="宋体" w:cs="宋体"/>
          <w:b/>
          <w:sz w:val="28"/>
          <w:szCs w:val="28"/>
        </w:rPr>
      </w:pPr>
      <w:bookmarkStart w:id="91" w:name="_Toc256000179"/>
      <w:bookmarkStart w:id="92" w:name="_Toc256000108"/>
      <w:bookmarkStart w:id="93" w:name="_Toc256000154"/>
      <w:bookmarkStart w:id="94" w:name="_Toc256000123"/>
      <w:bookmarkStart w:id="95" w:name="_Toc256000238"/>
      <w:r>
        <w:rPr>
          <w:rFonts w:hint="eastAsia" w:ascii="宋体" w:hAnsi="宋体" w:cs="宋体"/>
          <w:b/>
          <w:sz w:val="28"/>
          <w:szCs w:val="28"/>
        </w:rPr>
        <w:t>4. 监理人</w:t>
      </w:r>
      <w:bookmarkEnd w:id="91"/>
      <w:bookmarkEnd w:id="92"/>
      <w:bookmarkEnd w:id="93"/>
      <w:bookmarkEnd w:id="94"/>
      <w:bookmarkEnd w:id="95"/>
    </w:p>
    <w:p w14:paraId="699C46B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4.1监理人的一般规定</w:t>
      </w:r>
    </w:p>
    <w:p w14:paraId="6F1CA3A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关于监理人的监理内容：</w:t>
      </w:r>
      <w:r>
        <w:rPr>
          <w:rFonts w:hint="eastAsia" w:ascii="宋体" w:hAnsi="宋体" w:cs="宋体"/>
          <w:sz w:val="28"/>
          <w:szCs w:val="28"/>
          <w:u w:val="single"/>
        </w:rPr>
        <w:t>对本工程施工过程中的材料、设备、工程进度、工程款支付、施工工艺、工程质量，  所有阶段性、隐蔽工程验收、安全文明施工等全过程进行检查、查验、审核，并签发相关指示，提出合理化建议及发包方授权的其他监理内容</w:t>
      </w:r>
      <w:r>
        <w:rPr>
          <w:rFonts w:hint="eastAsia" w:ascii="宋体" w:hAnsi="宋体" w:cs="宋体"/>
          <w:sz w:val="28"/>
          <w:szCs w:val="28"/>
        </w:rPr>
        <w:t xml:space="preserve"> 。</w:t>
      </w:r>
    </w:p>
    <w:p w14:paraId="17580DE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关于监理人的监理权限：</w:t>
      </w:r>
      <w:r>
        <w:rPr>
          <w:rFonts w:hint="eastAsia" w:ascii="宋体" w:hAnsi="宋体" w:cs="宋体"/>
          <w:sz w:val="28"/>
          <w:szCs w:val="28"/>
          <w:u w:val="single"/>
        </w:rPr>
        <w:t>对工程全过程进行检查、监督管理、验收，但不得签发经济签证</w:t>
      </w:r>
      <w:r>
        <w:rPr>
          <w:rFonts w:hint="eastAsia" w:ascii="宋体" w:hAnsi="宋体" w:cs="宋体"/>
          <w:sz w:val="28"/>
          <w:szCs w:val="28"/>
        </w:rPr>
        <w:t xml:space="preserve">。 </w:t>
      </w:r>
    </w:p>
    <w:p w14:paraId="43C957EC">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关于监理人在施工现场的办公场所、生活场所的提供和费用承担的约定：</w:t>
      </w:r>
      <w:r>
        <w:rPr>
          <w:rFonts w:hint="eastAsia" w:ascii="宋体" w:hAnsi="宋体" w:cs="宋体"/>
          <w:sz w:val="28"/>
          <w:szCs w:val="28"/>
          <w:u w:val="single"/>
        </w:rPr>
        <w:t xml:space="preserve"> 承包人无偿提供办公用房和生活场所。</w:t>
      </w:r>
    </w:p>
    <w:p w14:paraId="2F98B44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4.2 监理人员</w:t>
      </w:r>
    </w:p>
    <w:p w14:paraId="686BC8AC">
      <w:pPr>
        <w:spacing w:line="360" w:lineRule="auto"/>
        <w:ind w:firstLine="560" w:firstLineChars="200"/>
        <w:rPr>
          <w:rFonts w:hint="eastAsia" w:ascii="宋体" w:hAnsi="宋体" w:cs="宋体"/>
          <w:sz w:val="28"/>
          <w:szCs w:val="28"/>
        </w:rPr>
      </w:pPr>
      <w:r>
        <w:rPr>
          <w:rFonts w:hint="eastAsia" w:ascii="宋体" w:hAnsi="宋体" w:cs="宋体"/>
          <w:sz w:val="28"/>
          <w:szCs w:val="28"/>
        </w:rPr>
        <w:t>总监理工程师：</w:t>
      </w:r>
    </w:p>
    <w:p w14:paraId="1864F9EC">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27B1365">
      <w:pPr>
        <w:spacing w:line="360" w:lineRule="auto"/>
        <w:ind w:firstLine="560" w:firstLineChars="200"/>
        <w:rPr>
          <w:rFonts w:hint="eastAsia" w:ascii="宋体" w:hAnsi="宋体" w:cs="宋体"/>
          <w:sz w:val="28"/>
          <w:szCs w:val="28"/>
        </w:rPr>
      </w:pPr>
      <w:r>
        <w:rPr>
          <w:rFonts w:hint="eastAsia" w:ascii="宋体" w:hAnsi="宋体" w:cs="宋体"/>
          <w:sz w:val="28"/>
          <w:szCs w:val="28"/>
        </w:rPr>
        <w:t>职    务：</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C0A3213">
      <w:pPr>
        <w:spacing w:line="360" w:lineRule="auto"/>
        <w:ind w:firstLine="560" w:firstLineChars="200"/>
        <w:rPr>
          <w:rFonts w:hint="eastAsia" w:ascii="宋体" w:hAnsi="宋体" w:cs="宋体"/>
          <w:sz w:val="28"/>
          <w:szCs w:val="28"/>
        </w:rPr>
      </w:pPr>
      <w:r>
        <w:rPr>
          <w:rFonts w:hint="eastAsia" w:ascii="宋体" w:hAnsi="宋体" w:cs="宋体"/>
          <w:sz w:val="28"/>
          <w:szCs w:val="28"/>
        </w:rPr>
        <w:t>监理工程师执业资格证书号：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5BCDBD3D">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9B544C3">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FCF7E4E">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F44F8D1">
      <w:pPr>
        <w:spacing w:line="360" w:lineRule="auto"/>
        <w:ind w:firstLine="560" w:firstLineChars="200"/>
        <w:rPr>
          <w:rFonts w:hint="eastAsia" w:ascii="宋体" w:hAnsi="宋体" w:cs="宋体"/>
          <w:sz w:val="28"/>
          <w:szCs w:val="28"/>
        </w:rPr>
      </w:pPr>
      <w:r>
        <w:rPr>
          <w:rFonts w:hint="eastAsia" w:ascii="宋体" w:hAnsi="宋体" w:cs="宋体"/>
          <w:sz w:val="28"/>
          <w:szCs w:val="28"/>
        </w:rPr>
        <w:t>关于监理人的其他约定：</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0AA42A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4.4 商定或确定</w:t>
      </w:r>
    </w:p>
    <w:p w14:paraId="515F1576">
      <w:pPr>
        <w:spacing w:line="360" w:lineRule="auto"/>
        <w:ind w:firstLine="560" w:firstLineChars="200"/>
        <w:rPr>
          <w:rFonts w:hint="eastAsia" w:ascii="宋体" w:hAnsi="宋体" w:cs="宋体"/>
          <w:sz w:val="28"/>
          <w:szCs w:val="28"/>
        </w:rPr>
      </w:pPr>
      <w:r>
        <w:rPr>
          <w:rFonts w:hint="eastAsia" w:ascii="宋体" w:hAnsi="宋体" w:cs="宋体"/>
          <w:sz w:val="28"/>
          <w:szCs w:val="28"/>
        </w:rPr>
        <w:t>在发包人和承包人不能通过协商达成一致意见时，发包人授权监理人对以下事项进行确定：</w:t>
      </w:r>
    </w:p>
    <w:p w14:paraId="5633761D">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sz w:val="28"/>
          <w:szCs w:val="28"/>
          <w:u w:val="single"/>
        </w:rPr>
        <w:t xml:space="preserve"> 质量的争议检测                   </w:t>
      </w:r>
      <w:r>
        <w:rPr>
          <w:rFonts w:hint="eastAsia" w:ascii="宋体" w:hAnsi="宋体" w:cs="宋体"/>
          <w:sz w:val="28"/>
          <w:szCs w:val="28"/>
        </w:rPr>
        <w:t>；</w:t>
      </w:r>
    </w:p>
    <w:p w14:paraId="471F8F3C">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sz w:val="28"/>
          <w:szCs w:val="28"/>
          <w:u w:val="single"/>
        </w:rPr>
        <w:t xml:space="preserve"> 材料与工程设备的替代             </w:t>
      </w:r>
      <w:r>
        <w:rPr>
          <w:rFonts w:hint="eastAsia" w:ascii="宋体" w:hAnsi="宋体" w:cs="宋体"/>
          <w:sz w:val="28"/>
          <w:szCs w:val="28"/>
        </w:rPr>
        <w:t>；</w:t>
      </w:r>
    </w:p>
    <w:p w14:paraId="4702F92E">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sz w:val="28"/>
          <w:szCs w:val="28"/>
          <w:u w:val="single"/>
        </w:rPr>
        <w:t xml:space="preserve">  施工工艺的改变                  </w:t>
      </w:r>
      <w:r>
        <w:rPr>
          <w:rFonts w:hint="eastAsia" w:ascii="宋体" w:hAnsi="宋体" w:cs="宋体"/>
          <w:sz w:val="28"/>
          <w:szCs w:val="28"/>
        </w:rPr>
        <w:t>；</w:t>
      </w:r>
    </w:p>
    <w:p w14:paraId="463A9FC3">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u w:val="single"/>
        </w:rPr>
        <w:t xml:space="preserve">变更引起的工期调整             </w:t>
      </w:r>
      <w:r>
        <w:rPr>
          <w:rFonts w:hint="eastAsia" w:ascii="宋体" w:hAnsi="宋体" w:cs="宋体"/>
          <w:kern w:val="0"/>
          <w:sz w:val="28"/>
          <w:szCs w:val="28"/>
        </w:rPr>
        <w:t xml:space="preserve"> </w:t>
      </w:r>
      <w:r>
        <w:rPr>
          <w:rFonts w:hint="eastAsia" w:ascii="宋体" w:hAnsi="宋体" w:cs="宋体"/>
          <w:sz w:val="28"/>
          <w:szCs w:val="28"/>
        </w:rPr>
        <w:t>；</w:t>
      </w:r>
      <w:r>
        <w:rPr>
          <w:rFonts w:hint="eastAsia" w:ascii="宋体" w:hAnsi="宋体" w:cs="宋体"/>
          <w:kern w:val="0"/>
          <w:sz w:val="28"/>
          <w:szCs w:val="28"/>
        </w:rPr>
        <w:t xml:space="preserve">          </w:t>
      </w:r>
    </w:p>
    <w:p w14:paraId="64B95688">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（5）</w:t>
      </w:r>
      <w:r>
        <w:rPr>
          <w:rFonts w:hint="eastAsia" w:ascii="宋体" w:hAnsi="宋体" w:cs="宋体"/>
          <w:kern w:val="0"/>
          <w:sz w:val="28"/>
          <w:szCs w:val="28"/>
          <w:u w:val="single"/>
        </w:rPr>
        <w:t xml:space="preserve">施工图未明确详细说明的事项      </w:t>
      </w:r>
      <w:r>
        <w:rPr>
          <w:rFonts w:hint="eastAsia" w:ascii="宋体" w:hAnsi="宋体" w:cs="宋体"/>
          <w:sz w:val="28"/>
          <w:szCs w:val="28"/>
        </w:rPr>
        <w:t>；</w:t>
      </w:r>
    </w:p>
    <w:p w14:paraId="549E9F31">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（6）</w:t>
      </w:r>
      <w:r>
        <w:rPr>
          <w:rFonts w:hint="eastAsia" w:ascii="宋体" w:hAnsi="宋体" w:cs="宋体"/>
          <w:kern w:val="0"/>
          <w:sz w:val="28"/>
          <w:szCs w:val="28"/>
          <w:u w:val="single"/>
        </w:rPr>
        <w:t xml:space="preserve">法律变化引起的调整             </w:t>
      </w:r>
      <w:r>
        <w:rPr>
          <w:rFonts w:hint="eastAsia" w:ascii="宋体" w:hAnsi="宋体" w:cs="宋体"/>
          <w:sz w:val="28"/>
          <w:szCs w:val="28"/>
        </w:rPr>
        <w:t>。</w:t>
      </w:r>
      <w:r>
        <w:rPr>
          <w:rFonts w:hint="eastAsia" w:ascii="宋体" w:hAnsi="宋体" w:cs="宋体"/>
          <w:kern w:val="0"/>
          <w:sz w:val="28"/>
          <w:szCs w:val="28"/>
        </w:rPr>
        <w:t xml:space="preserve">        </w:t>
      </w:r>
    </w:p>
    <w:p w14:paraId="1D6FD50C">
      <w:pPr>
        <w:ind w:firstLine="280" w:firstLineChars="100"/>
        <w:outlineLvl w:val="2"/>
        <w:rPr>
          <w:rFonts w:hint="eastAsia" w:ascii="宋体" w:hAnsi="宋体" w:cs="宋体"/>
          <w:b/>
          <w:sz w:val="28"/>
          <w:szCs w:val="28"/>
        </w:rPr>
      </w:pPr>
      <w:r>
        <w:rPr>
          <w:rFonts w:hint="eastAsia" w:ascii="宋体" w:hAnsi="宋体" w:cs="宋体"/>
          <w:b/>
          <w:sz w:val="28"/>
          <w:szCs w:val="28"/>
        </w:rPr>
        <w:t xml:space="preserve">   </w:t>
      </w:r>
    </w:p>
    <w:p w14:paraId="44FF9167">
      <w:pPr>
        <w:ind w:firstLine="280" w:firstLineChars="100"/>
        <w:outlineLvl w:val="2"/>
        <w:rPr>
          <w:rFonts w:hint="eastAsia" w:ascii="宋体" w:hAnsi="宋体" w:cs="宋体"/>
          <w:b/>
          <w:sz w:val="28"/>
          <w:szCs w:val="28"/>
        </w:rPr>
      </w:pPr>
      <w:bookmarkStart w:id="96" w:name="_Toc256000240"/>
      <w:bookmarkStart w:id="97" w:name="_Toc256000125"/>
      <w:bookmarkStart w:id="98" w:name="_Toc256000110"/>
      <w:bookmarkStart w:id="99" w:name="_Toc256000181"/>
      <w:bookmarkStart w:id="100" w:name="_Toc256000156"/>
      <w:r>
        <w:rPr>
          <w:rFonts w:hint="eastAsia" w:ascii="宋体" w:hAnsi="宋体" w:cs="宋体"/>
          <w:b/>
          <w:sz w:val="28"/>
          <w:szCs w:val="28"/>
        </w:rPr>
        <w:t>5. 工程质量</w:t>
      </w:r>
      <w:bookmarkEnd w:id="96"/>
      <w:bookmarkEnd w:id="97"/>
      <w:bookmarkEnd w:id="98"/>
      <w:bookmarkEnd w:id="99"/>
      <w:bookmarkEnd w:id="100"/>
    </w:p>
    <w:p w14:paraId="043CA06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5.1 质量要求</w:t>
      </w:r>
    </w:p>
    <w:p w14:paraId="3A63F79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5.1.1 特殊质量标准和要求:</w:t>
      </w:r>
      <w:r>
        <w:rPr>
          <w:rFonts w:hint="eastAsia" w:ascii="宋体" w:hAnsi="宋体" w:cs="宋体"/>
          <w:sz w:val="28"/>
          <w:szCs w:val="28"/>
          <w:u w:val="single"/>
        </w:rPr>
        <w:t xml:space="preserve">合格                  </w:t>
      </w:r>
      <w:r>
        <w:rPr>
          <w:rFonts w:hint="eastAsia" w:ascii="宋体" w:hAnsi="宋体" w:cs="宋体"/>
          <w:sz w:val="28"/>
          <w:szCs w:val="28"/>
        </w:rPr>
        <w:t>。</w:t>
      </w:r>
    </w:p>
    <w:p w14:paraId="4F8E557C">
      <w:pPr>
        <w:spacing w:line="360" w:lineRule="auto"/>
        <w:jc w:val="left"/>
        <w:rPr>
          <w:rFonts w:hint="eastAsia" w:ascii="宋体" w:hAnsi="宋体" w:cs="宋体"/>
          <w:sz w:val="28"/>
          <w:szCs w:val="28"/>
        </w:rPr>
      </w:pPr>
      <w:r>
        <w:rPr>
          <w:rFonts w:hint="eastAsia" w:ascii="宋体" w:hAnsi="宋体" w:cs="宋体"/>
          <w:sz w:val="28"/>
          <w:szCs w:val="28"/>
        </w:rPr>
        <w:t>关于工程奖项的约定：</w:t>
      </w:r>
      <w:r>
        <w:rPr>
          <w:rFonts w:hint="eastAsia" w:ascii="宋体" w:hAnsi="宋体" w:cs="宋体"/>
          <w:sz w:val="28"/>
          <w:szCs w:val="28"/>
          <w:u w:val="single"/>
        </w:rPr>
        <w:t xml:space="preserve">    /                         </w:t>
      </w:r>
      <w:r>
        <w:rPr>
          <w:rFonts w:hint="eastAsia" w:ascii="宋体" w:hAnsi="宋体" w:cs="宋体"/>
          <w:sz w:val="28"/>
          <w:szCs w:val="28"/>
        </w:rPr>
        <w:t>。</w:t>
      </w:r>
    </w:p>
    <w:p w14:paraId="26E359D5">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5.3 隐蔽工程检查</w:t>
      </w:r>
    </w:p>
    <w:p w14:paraId="333B403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5.3.2承包人提前通知监理人隐蔽工程检查的期限的约定：</w:t>
      </w:r>
      <w:r>
        <w:rPr>
          <w:rFonts w:hint="eastAsia" w:ascii="宋体" w:hAnsi="宋体" w:cs="宋体"/>
          <w:sz w:val="28"/>
          <w:szCs w:val="28"/>
          <w:u w:val="single"/>
        </w:rPr>
        <w:t>在共同检查前48小时书面通知监理人</w:t>
      </w:r>
      <w:r>
        <w:rPr>
          <w:rFonts w:hint="eastAsia" w:ascii="宋体" w:hAnsi="宋体" w:cs="宋体"/>
          <w:sz w:val="28"/>
          <w:szCs w:val="28"/>
        </w:rPr>
        <w:t>。</w:t>
      </w:r>
    </w:p>
    <w:p w14:paraId="2A7B65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监理人不能按时进行检查时，应提前</w:t>
      </w:r>
      <w:r>
        <w:rPr>
          <w:rFonts w:hint="eastAsia" w:ascii="宋体" w:hAnsi="宋体" w:cs="宋体"/>
          <w:sz w:val="28"/>
          <w:szCs w:val="28"/>
          <w:u w:val="single"/>
        </w:rPr>
        <w:t xml:space="preserve">  24  </w:t>
      </w:r>
      <w:r>
        <w:rPr>
          <w:rFonts w:hint="eastAsia" w:ascii="宋体" w:hAnsi="宋体" w:cs="宋体"/>
          <w:sz w:val="28"/>
          <w:szCs w:val="28"/>
        </w:rPr>
        <w:t>小时提交书面延期要求。</w:t>
      </w:r>
    </w:p>
    <w:p w14:paraId="5D9CBEF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关于延期最长不得超过：</w:t>
      </w:r>
      <w:r>
        <w:rPr>
          <w:rFonts w:hint="eastAsia" w:ascii="宋体" w:hAnsi="宋体" w:cs="宋体"/>
          <w:sz w:val="28"/>
          <w:szCs w:val="28"/>
          <w:u w:val="single"/>
        </w:rPr>
        <w:t xml:space="preserve">   12  </w:t>
      </w:r>
      <w:r>
        <w:rPr>
          <w:rFonts w:hint="eastAsia" w:ascii="宋体" w:hAnsi="宋体" w:cs="宋体"/>
          <w:sz w:val="28"/>
          <w:szCs w:val="28"/>
        </w:rPr>
        <w:t>小时。</w:t>
      </w:r>
    </w:p>
    <w:p w14:paraId="067B982B">
      <w:pPr>
        <w:outlineLvl w:val="2"/>
        <w:rPr>
          <w:rFonts w:hint="eastAsia" w:ascii="宋体" w:hAnsi="宋体" w:cs="宋体"/>
          <w:b/>
          <w:sz w:val="28"/>
          <w:szCs w:val="28"/>
        </w:rPr>
      </w:pPr>
      <w:bookmarkStart w:id="101" w:name="_Toc256000126"/>
      <w:bookmarkStart w:id="102" w:name="_Toc256000241"/>
      <w:bookmarkStart w:id="103" w:name="_Toc256000157"/>
      <w:bookmarkStart w:id="104" w:name="_Toc256000182"/>
      <w:bookmarkStart w:id="105" w:name="_Toc256000111"/>
      <w:r>
        <w:rPr>
          <w:rFonts w:hint="eastAsia" w:ascii="宋体" w:hAnsi="宋体" w:cs="宋体"/>
          <w:b/>
          <w:sz w:val="28"/>
          <w:szCs w:val="28"/>
        </w:rPr>
        <w:t>6. 安全文明施工与环境保护</w:t>
      </w:r>
      <w:bookmarkEnd w:id="101"/>
      <w:bookmarkEnd w:id="102"/>
      <w:bookmarkEnd w:id="103"/>
      <w:bookmarkEnd w:id="104"/>
      <w:bookmarkEnd w:id="105"/>
    </w:p>
    <w:p w14:paraId="679B597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6.1安全文明施工</w:t>
      </w:r>
    </w:p>
    <w:p w14:paraId="08FB494D">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6.1.1 项目安全生产的达标目标及相应事项的约定：</w:t>
      </w:r>
      <w:r>
        <w:rPr>
          <w:rFonts w:hint="eastAsia" w:ascii="宋体" w:hAnsi="宋体" w:cs="宋体"/>
          <w:sz w:val="28"/>
          <w:szCs w:val="28"/>
          <w:u w:val="single"/>
        </w:rPr>
        <w:t>承包人应加强安全生产管理，并承担安全生产责任，承担由此产生的一切费用和损 失，达到零伤亡事故的目标。</w:t>
      </w:r>
    </w:p>
    <w:p w14:paraId="6265781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6.1.4 关于治安保卫的特别约定：</w:t>
      </w:r>
      <w:r>
        <w:rPr>
          <w:rFonts w:hint="eastAsia" w:ascii="宋体" w:hAnsi="宋体" w:cs="宋体"/>
          <w:sz w:val="28"/>
          <w:szCs w:val="28"/>
          <w:u w:val="single"/>
        </w:rPr>
        <w:t>承包人承担施工现场范围的治安保卫职责，并承担由此产生的一切费用和损失及其他事项</w:t>
      </w:r>
      <w:r>
        <w:rPr>
          <w:rFonts w:hint="eastAsia" w:ascii="宋体" w:hAnsi="宋体" w:cs="宋体"/>
          <w:sz w:val="28"/>
          <w:szCs w:val="28"/>
        </w:rPr>
        <w:t>。</w:t>
      </w:r>
    </w:p>
    <w:p w14:paraId="76E94B2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关于编制施工场地治安管理计划的约定：</w:t>
      </w:r>
      <w:r>
        <w:rPr>
          <w:rFonts w:hint="eastAsia" w:ascii="宋体" w:hAnsi="宋体" w:cs="宋体"/>
          <w:sz w:val="28"/>
          <w:szCs w:val="28"/>
          <w:u w:val="single"/>
        </w:rPr>
        <w:t xml:space="preserve">执行通用条款   </w:t>
      </w:r>
      <w:r>
        <w:rPr>
          <w:rFonts w:hint="eastAsia" w:ascii="宋体" w:hAnsi="宋体" w:cs="宋体"/>
          <w:sz w:val="28"/>
          <w:szCs w:val="28"/>
        </w:rPr>
        <w:t>。</w:t>
      </w:r>
    </w:p>
    <w:p w14:paraId="72303F4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6.1.5 文明施工</w:t>
      </w:r>
    </w:p>
    <w:p w14:paraId="19910CA0">
      <w:pPr>
        <w:spacing w:line="360" w:lineRule="auto"/>
        <w:jc w:val="left"/>
        <w:rPr>
          <w:rFonts w:hint="eastAsia" w:ascii="宋体" w:hAnsi="宋体" w:cs="宋体"/>
          <w:sz w:val="28"/>
          <w:szCs w:val="28"/>
        </w:rPr>
      </w:pPr>
      <w:r>
        <w:rPr>
          <w:rFonts w:hint="eastAsia" w:ascii="宋体" w:hAnsi="宋体" w:cs="宋体"/>
          <w:sz w:val="28"/>
          <w:szCs w:val="28"/>
        </w:rPr>
        <w:t>合同当事人对文明施工的要求：</w:t>
      </w:r>
      <w:r>
        <w:rPr>
          <w:rFonts w:hint="eastAsia" w:ascii="宋体" w:hAnsi="宋体" w:cs="宋体"/>
          <w:sz w:val="28"/>
          <w:szCs w:val="28"/>
          <w:u w:val="single"/>
        </w:rPr>
        <w:t xml:space="preserve">     /               </w:t>
      </w:r>
      <w:r>
        <w:rPr>
          <w:rFonts w:hint="eastAsia" w:ascii="宋体" w:hAnsi="宋体" w:cs="宋体"/>
          <w:sz w:val="28"/>
          <w:szCs w:val="28"/>
        </w:rPr>
        <w:t>。</w:t>
      </w:r>
    </w:p>
    <w:p w14:paraId="168FEC98">
      <w:pPr>
        <w:spacing w:line="360" w:lineRule="auto"/>
        <w:jc w:val="left"/>
        <w:rPr>
          <w:rFonts w:hint="eastAsia" w:ascii="宋体" w:hAnsi="宋体" w:cs="宋体"/>
          <w:sz w:val="28"/>
          <w:szCs w:val="28"/>
        </w:rPr>
      </w:pPr>
      <w:r>
        <w:rPr>
          <w:rFonts w:hint="eastAsia" w:ascii="宋体" w:hAnsi="宋体" w:cs="宋体"/>
          <w:sz w:val="28"/>
          <w:szCs w:val="28"/>
        </w:rPr>
        <w:t>6.1.6 关于安全文明施工费支付比例和支付期限的约定：</w:t>
      </w:r>
      <w:r>
        <w:rPr>
          <w:rFonts w:hint="eastAsia" w:ascii="宋体" w:hAnsi="宋体" w:cs="宋体"/>
          <w:sz w:val="28"/>
          <w:szCs w:val="28"/>
          <w:u w:val="single"/>
        </w:rPr>
        <w:t xml:space="preserve">  /   </w:t>
      </w:r>
      <w:r>
        <w:rPr>
          <w:rFonts w:hint="eastAsia" w:ascii="宋体" w:hAnsi="宋体" w:cs="宋体"/>
          <w:sz w:val="28"/>
          <w:szCs w:val="28"/>
        </w:rPr>
        <w:t>。</w:t>
      </w:r>
    </w:p>
    <w:p w14:paraId="66897E76">
      <w:pPr>
        <w:outlineLvl w:val="2"/>
        <w:rPr>
          <w:rFonts w:hint="eastAsia" w:ascii="宋体" w:hAnsi="宋体" w:cs="宋体"/>
          <w:b/>
          <w:sz w:val="28"/>
          <w:szCs w:val="28"/>
        </w:rPr>
      </w:pPr>
      <w:bookmarkStart w:id="106" w:name="_Toc256000242"/>
      <w:bookmarkStart w:id="107" w:name="_Toc256000158"/>
      <w:bookmarkStart w:id="108" w:name="_Toc256000112"/>
      <w:bookmarkStart w:id="109" w:name="_Toc256000127"/>
      <w:bookmarkStart w:id="110" w:name="_Toc256000183"/>
      <w:r>
        <w:rPr>
          <w:rFonts w:hint="eastAsia" w:ascii="宋体" w:hAnsi="宋体" w:cs="宋体"/>
          <w:b/>
          <w:sz w:val="28"/>
          <w:szCs w:val="28"/>
        </w:rPr>
        <w:t>7. 工期和进度</w:t>
      </w:r>
      <w:bookmarkEnd w:id="106"/>
      <w:bookmarkEnd w:id="107"/>
      <w:bookmarkEnd w:id="108"/>
      <w:bookmarkEnd w:id="109"/>
      <w:bookmarkEnd w:id="110"/>
    </w:p>
    <w:p w14:paraId="56BFF3F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7.1 施工组织设计</w:t>
      </w:r>
    </w:p>
    <w:p w14:paraId="5F0FC0D7">
      <w:pPr>
        <w:autoSpaceDE w:val="0"/>
        <w:autoSpaceDN w:val="0"/>
        <w:adjustRightInd w:val="0"/>
        <w:spacing w:line="360" w:lineRule="auto"/>
        <w:jc w:val="left"/>
        <w:rPr>
          <w:rFonts w:hint="eastAsia" w:ascii="宋体" w:hAnsi="宋体" w:cs="宋体"/>
          <w:kern w:val="0"/>
          <w:sz w:val="28"/>
          <w:szCs w:val="28"/>
        </w:rPr>
      </w:pPr>
      <w:r>
        <w:rPr>
          <w:rFonts w:hint="eastAsia" w:ascii="宋体" w:hAnsi="宋体" w:cs="宋体"/>
          <w:sz w:val="28"/>
          <w:szCs w:val="28"/>
        </w:rPr>
        <w:t>7.1.1 合</w:t>
      </w:r>
      <w:r>
        <w:rPr>
          <w:rFonts w:hint="eastAsia" w:ascii="宋体" w:hAnsi="宋体" w:cs="宋体"/>
          <w:kern w:val="0"/>
          <w:sz w:val="28"/>
          <w:szCs w:val="28"/>
        </w:rPr>
        <w:t>同当事人约定的施工组织设计应包括的其他内容：</w:t>
      </w:r>
      <w:r>
        <w:rPr>
          <w:rFonts w:hint="eastAsia" w:ascii="宋体" w:hAnsi="宋体" w:cs="宋体"/>
          <w:kern w:val="0"/>
          <w:sz w:val="28"/>
          <w:szCs w:val="28"/>
          <w:u w:val="single"/>
        </w:rPr>
        <w:t>按照通用条款执行按照通用条款执行</w:t>
      </w:r>
      <w:r>
        <w:rPr>
          <w:rFonts w:hint="eastAsia" w:ascii="宋体" w:hAnsi="宋体" w:cs="宋体"/>
          <w:kern w:val="0"/>
          <w:sz w:val="28"/>
          <w:szCs w:val="28"/>
        </w:rPr>
        <w:t>。</w:t>
      </w:r>
    </w:p>
    <w:p w14:paraId="3A574C6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 xml:space="preserve">7.1.2 </w:t>
      </w:r>
      <w:r>
        <w:rPr>
          <w:rFonts w:hint="eastAsia" w:ascii="宋体" w:hAnsi="宋体" w:cs="宋体"/>
          <w:kern w:val="0"/>
          <w:sz w:val="28"/>
          <w:szCs w:val="28"/>
        </w:rPr>
        <w:t>施工组织设计的提交和修改</w:t>
      </w:r>
    </w:p>
    <w:p w14:paraId="55E36AB9">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承包人提交详细施工组织设计的期限的约定：</w:t>
      </w:r>
      <w:r>
        <w:rPr>
          <w:rFonts w:hint="eastAsia" w:ascii="宋体" w:hAnsi="宋体" w:cs="宋体"/>
          <w:kern w:val="0"/>
          <w:sz w:val="28"/>
          <w:szCs w:val="28"/>
          <w:u w:val="single"/>
        </w:rPr>
        <w:t>开工前七天内予以提交</w:t>
      </w:r>
      <w:r>
        <w:rPr>
          <w:rFonts w:hint="eastAsia" w:ascii="宋体" w:hAnsi="宋体" w:cs="宋体"/>
          <w:kern w:val="0"/>
          <w:sz w:val="28"/>
          <w:szCs w:val="28"/>
        </w:rPr>
        <w:t>。</w:t>
      </w:r>
    </w:p>
    <w:p w14:paraId="6A5BC19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发包人和监理人在收到详细的施工组织设计后确认或提出修改意见的限：</w:t>
      </w:r>
      <w:r>
        <w:rPr>
          <w:rFonts w:hint="eastAsia" w:ascii="宋体" w:hAnsi="宋体" w:cs="宋体"/>
          <w:sz w:val="28"/>
          <w:szCs w:val="28"/>
          <w:u w:val="single"/>
        </w:rPr>
        <w:t>收到施工组织设计后7天内确认或提出修改意见</w:t>
      </w:r>
      <w:r>
        <w:rPr>
          <w:rFonts w:hint="eastAsia" w:ascii="宋体" w:hAnsi="宋体" w:cs="宋体"/>
          <w:sz w:val="28"/>
          <w:szCs w:val="28"/>
        </w:rPr>
        <w:t>。</w:t>
      </w:r>
    </w:p>
    <w:p w14:paraId="21E4C6A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7.2 施工进度计划</w:t>
      </w:r>
    </w:p>
    <w:p w14:paraId="6BA1388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7.2.2 施工进度计划的修订</w:t>
      </w:r>
    </w:p>
    <w:p w14:paraId="697198D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发包人和监理人在收到修订的施工进度计划后确认或提出修改意见的期限：</w:t>
      </w:r>
      <w:r>
        <w:rPr>
          <w:rFonts w:hint="eastAsia" w:ascii="宋体" w:hAnsi="宋体" w:cs="宋体"/>
          <w:sz w:val="28"/>
          <w:szCs w:val="28"/>
          <w:u w:val="single"/>
        </w:rPr>
        <w:t>开工前3天内提交</w:t>
      </w:r>
      <w:r>
        <w:rPr>
          <w:rFonts w:hint="eastAsia" w:ascii="宋体" w:hAnsi="宋体" w:cs="宋体"/>
          <w:sz w:val="28"/>
          <w:szCs w:val="28"/>
        </w:rPr>
        <w:t>。</w:t>
      </w:r>
    </w:p>
    <w:p w14:paraId="3FB2AF1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7.3 开工</w:t>
      </w:r>
    </w:p>
    <w:p w14:paraId="568905E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7.3.1 开工准备</w:t>
      </w:r>
    </w:p>
    <w:p w14:paraId="41E10A2C">
      <w:pPr>
        <w:ind w:left="670"/>
        <w:jc w:val="left"/>
        <w:rPr>
          <w:rFonts w:hint="eastAsia" w:ascii="宋体" w:hAnsi="宋体" w:cs="宋体"/>
          <w:sz w:val="28"/>
          <w:szCs w:val="28"/>
          <w:u w:val="single"/>
        </w:rPr>
      </w:pPr>
      <w:r>
        <w:rPr>
          <w:rFonts w:hint="eastAsia" w:ascii="宋体" w:hAnsi="宋体" w:cs="宋体"/>
          <w:sz w:val="28"/>
          <w:szCs w:val="28"/>
        </w:rPr>
        <w:t>关于承包人提交</w:t>
      </w:r>
      <w:r>
        <w:rPr>
          <w:rFonts w:hint="eastAsia" w:ascii="宋体" w:hAnsi="宋体" w:cs="宋体"/>
          <w:kern w:val="0"/>
          <w:sz w:val="28"/>
          <w:szCs w:val="28"/>
        </w:rPr>
        <w:t>工程开工报审表的期限</w:t>
      </w:r>
      <w:r>
        <w:rPr>
          <w:rFonts w:hint="eastAsia" w:ascii="宋体" w:hAnsi="宋体" w:cs="宋体"/>
          <w:kern w:val="0"/>
          <w:sz w:val="28"/>
          <w:szCs w:val="28"/>
          <w:u w:val="single"/>
        </w:rPr>
        <w:t>：开工前3天内提交</w:t>
      </w:r>
      <w:r>
        <w:rPr>
          <w:rFonts w:hint="eastAsia" w:ascii="宋体" w:hAnsi="宋体" w:cs="宋体"/>
          <w:sz w:val="28"/>
          <w:szCs w:val="28"/>
          <w:u w:val="single"/>
        </w:rPr>
        <w:t xml:space="preserve"> </w:t>
      </w:r>
      <w:r>
        <w:rPr>
          <w:rFonts w:hint="eastAsia" w:ascii="宋体" w:hAnsi="宋体" w:cs="宋体"/>
          <w:sz w:val="28"/>
          <w:szCs w:val="28"/>
        </w:rPr>
        <w:t>。</w:t>
      </w:r>
    </w:p>
    <w:p w14:paraId="24A91767">
      <w:pPr>
        <w:spacing w:line="360" w:lineRule="auto"/>
        <w:ind w:firstLine="645"/>
        <w:jc w:val="left"/>
        <w:rPr>
          <w:rFonts w:hint="eastAsia" w:ascii="宋体" w:hAnsi="宋体" w:cs="宋体"/>
          <w:sz w:val="28"/>
          <w:szCs w:val="28"/>
        </w:rPr>
      </w:pPr>
      <w:r>
        <w:rPr>
          <w:rFonts w:hint="eastAsia" w:ascii="宋体" w:hAnsi="宋体" w:cs="宋体"/>
          <w:sz w:val="28"/>
          <w:szCs w:val="28"/>
        </w:rPr>
        <w:t>关于发包人应完成的其他开工准备工作及期限：</w:t>
      </w:r>
      <w:r>
        <w:rPr>
          <w:rFonts w:hint="eastAsia" w:ascii="宋体" w:hAnsi="宋体" w:cs="宋体"/>
          <w:sz w:val="28"/>
          <w:szCs w:val="28"/>
          <w:u w:val="single"/>
        </w:rPr>
        <w:t>开工前3天内提交</w:t>
      </w:r>
      <w:r>
        <w:rPr>
          <w:rFonts w:hint="eastAsia" w:ascii="宋体" w:hAnsi="宋体" w:cs="宋体"/>
          <w:sz w:val="28"/>
          <w:szCs w:val="28"/>
        </w:rPr>
        <w:t>。</w:t>
      </w:r>
    </w:p>
    <w:p w14:paraId="528855F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关于承包人应完成的其他开工准备工作及期限：</w:t>
      </w:r>
      <w:r>
        <w:rPr>
          <w:rFonts w:hint="eastAsia" w:ascii="宋体" w:hAnsi="宋体" w:cs="宋体"/>
          <w:sz w:val="28"/>
          <w:szCs w:val="28"/>
          <w:u w:val="single"/>
        </w:rPr>
        <w:t xml:space="preserve"> 开工前完成</w:t>
      </w:r>
      <w:r>
        <w:rPr>
          <w:rFonts w:hint="eastAsia" w:ascii="宋体" w:hAnsi="宋体" w:cs="宋体"/>
          <w:sz w:val="28"/>
          <w:szCs w:val="28"/>
        </w:rPr>
        <w:t>。</w:t>
      </w:r>
    </w:p>
    <w:p w14:paraId="23E8693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7.3.2开工通知</w:t>
      </w:r>
    </w:p>
    <w:p w14:paraId="0E288F9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因发包人原因造成监理人未能在计划开工日期之日起</w:t>
      </w:r>
      <w:r>
        <w:rPr>
          <w:rFonts w:hint="eastAsia" w:ascii="宋体" w:hAnsi="宋体" w:cs="宋体"/>
          <w:sz w:val="28"/>
          <w:szCs w:val="28"/>
          <w:u w:val="single"/>
        </w:rPr>
        <w:t xml:space="preserve">  30   </w:t>
      </w:r>
      <w:r>
        <w:rPr>
          <w:rFonts w:hint="eastAsia" w:ascii="宋体" w:hAnsi="宋体" w:cs="宋体"/>
          <w:sz w:val="28"/>
          <w:szCs w:val="28"/>
        </w:rPr>
        <w:t>天内发出开工通知的，承包人有权提出价格调整要求，或者解除合同。</w:t>
      </w:r>
    </w:p>
    <w:p w14:paraId="4223E1E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7.4 测量放线</w:t>
      </w:r>
    </w:p>
    <w:p w14:paraId="3FF7B835">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7.4.1发包人通过监理人向承包人提供测量基准点、基准线和水准点及其书面资料的期限：</w:t>
      </w:r>
      <w:r>
        <w:rPr>
          <w:rFonts w:hint="eastAsia" w:ascii="宋体" w:hAnsi="宋体" w:cs="宋体"/>
          <w:sz w:val="28"/>
          <w:szCs w:val="28"/>
          <w:u w:val="single"/>
        </w:rPr>
        <w:t xml:space="preserve">开工前完成 </w:t>
      </w:r>
      <w:r>
        <w:rPr>
          <w:rFonts w:hint="eastAsia" w:ascii="宋体" w:hAnsi="宋体" w:cs="宋体"/>
          <w:sz w:val="28"/>
          <w:szCs w:val="28"/>
        </w:rPr>
        <w:t>。</w:t>
      </w:r>
    </w:p>
    <w:p w14:paraId="5B9372B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7.5 工期延误</w:t>
      </w:r>
    </w:p>
    <w:p w14:paraId="0089499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7.5.1 因发包人原因导致工期延误</w:t>
      </w:r>
    </w:p>
    <w:p w14:paraId="41BF93F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（7）因发包人原因导致工期延误的其他情形：</w:t>
      </w:r>
      <w:r>
        <w:rPr>
          <w:rFonts w:hint="eastAsia" w:ascii="宋体" w:hAnsi="宋体" w:cs="宋体"/>
          <w:sz w:val="28"/>
          <w:szCs w:val="28"/>
          <w:u w:val="single"/>
        </w:rPr>
        <w:t>按照通用条款第7.5.1项规定执行，此延误工期需在发生后7天内办理签证，逾期不予认可</w:t>
      </w:r>
      <w:r>
        <w:rPr>
          <w:rFonts w:hint="eastAsia" w:ascii="宋体" w:hAnsi="宋体" w:cs="宋体"/>
          <w:sz w:val="28"/>
          <w:szCs w:val="28"/>
        </w:rPr>
        <w:t>。</w:t>
      </w:r>
    </w:p>
    <w:p w14:paraId="238D605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7.5.2 因承包人原因导致工期延误</w:t>
      </w:r>
    </w:p>
    <w:p w14:paraId="5E3E383C">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因承包人原因造成工期延误，逾期竣工违约金的计算方法为：</w:t>
      </w:r>
    </w:p>
    <w:p w14:paraId="10B72D92">
      <w:pPr>
        <w:spacing w:line="360" w:lineRule="auto"/>
        <w:jc w:val="left"/>
        <w:rPr>
          <w:rFonts w:hint="eastAsia" w:ascii="宋体" w:hAnsi="宋体" w:cs="宋体"/>
          <w:sz w:val="28"/>
          <w:szCs w:val="28"/>
        </w:rPr>
      </w:pPr>
      <w:r>
        <w:rPr>
          <w:rFonts w:hint="eastAsia" w:ascii="宋体" w:hAnsi="宋体" w:cs="宋体"/>
          <w:sz w:val="28"/>
          <w:szCs w:val="28"/>
          <w:u w:val="single"/>
        </w:rPr>
        <w:t>按照合同价款的5000元/日进行计算</w:t>
      </w:r>
      <w:r>
        <w:rPr>
          <w:rFonts w:hint="eastAsia" w:ascii="宋体" w:hAnsi="宋体" w:cs="宋体"/>
          <w:sz w:val="28"/>
          <w:szCs w:val="28"/>
        </w:rPr>
        <w:t>。</w:t>
      </w:r>
    </w:p>
    <w:p w14:paraId="668644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因承包人原因造成工期延误，逾期竣工违约金的上限：</w:t>
      </w:r>
      <w:r>
        <w:rPr>
          <w:rFonts w:hint="eastAsia" w:ascii="宋体" w:hAnsi="宋体" w:cs="宋体"/>
          <w:sz w:val="28"/>
          <w:szCs w:val="28"/>
          <w:u w:val="single"/>
        </w:rPr>
        <w:t>合同价的5%</w:t>
      </w:r>
      <w:r>
        <w:rPr>
          <w:rFonts w:hint="eastAsia" w:ascii="宋体" w:hAnsi="宋体" w:cs="宋体"/>
          <w:sz w:val="28"/>
          <w:szCs w:val="28"/>
        </w:rPr>
        <w:t>。</w:t>
      </w:r>
    </w:p>
    <w:p w14:paraId="427ADFB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7.6 不利物质条件</w:t>
      </w:r>
    </w:p>
    <w:p w14:paraId="50790EA9">
      <w:pPr>
        <w:spacing w:before="1"/>
        <w:ind w:left="631"/>
        <w:jc w:val="left"/>
        <w:rPr>
          <w:rFonts w:hint="eastAsia" w:ascii="宋体" w:hAnsi="宋体" w:cs="宋体"/>
          <w:sz w:val="28"/>
          <w:szCs w:val="28"/>
        </w:rPr>
      </w:pPr>
      <w:r>
        <w:rPr>
          <w:rFonts w:hint="eastAsia" w:ascii="宋体" w:hAnsi="宋体" w:cs="宋体"/>
          <w:sz w:val="28"/>
          <w:szCs w:val="28"/>
        </w:rPr>
        <w:t>不利物质条件的其他情形和有关约定：</w:t>
      </w:r>
      <w:r>
        <w:rPr>
          <w:rFonts w:hint="eastAsia" w:ascii="宋体" w:hAnsi="宋体" w:cs="宋体"/>
          <w:sz w:val="28"/>
          <w:szCs w:val="28"/>
          <w:u w:val="single"/>
        </w:rPr>
        <w:t xml:space="preserve"> 按照通用条款执行</w:t>
      </w:r>
      <w:r>
        <w:rPr>
          <w:rFonts w:hint="eastAsia" w:ascii="宋体" w:hAnsi="宋体" w:cs="宋体"/>
          <w:sz w:val="28"/>
          <w:szCs w:val="28"/>
        </w:rPr>
        <w:t>。</w:t>
      </w:r>
    </w:p>
    <w:p w14:paraId="6C6378D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7.7异常恶劣的气候条件</w:t>
      </w:r>
    </w:p>
    <w:p w14:paraId="5EDEF7C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发包人和承包人同意以下情形视为异常恶劣的气候条件：</w:t>
      </w:r>
    </w:p>
    <w:p w14:paraId="71964636">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按照通用条款执行</w:t>
      </w:r>
      <w:r>
        <w:rPr>
          <w:rFonts w:hint="eastAsia" w:ascii="宋体" w:hAnsi="宋体" w:cs="宋体"/>
          <w:sz w:val="28"/>
          <w:szCs w:val="28"/>
        </w:rPr>
        <w:t>。</w:t>
      </w:r>
    </w:p>
    <w:p w14:paraId="5A89F75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7.9 提前竣工的奖励</w:t>
      </w:r>
    </w:p>
    <w:p w14:paraId="375FE06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7.9.2提前竣工的奖励：</w:t>
      </w:r>
      <w:r>
        <w:rPr>
          <w:rFonts w:hint="eastAsia" w:ascii="宋体" w:hAnsi="宋体" w:cs="宋体"/>
          <w:sz w:val="28"/>
          <w:szCs w:val="28"/>
          <w:u w:val="single"/>
        </w:rPr>
        <w:t xml:space="preserve">   /           </w:t>
      </w:r>
      <w:r>
        <w:rPr>
          <w:rFonts w:hint="eastAsia" w:ascii="宋体" w:hAnsi="宋体" w:cs="宋体"/>
          <w:sz w:val="28"/>
          <w:szCs w:val="28"/>
        </w:rPr>
        <w:t>。</w:t>
      </w:r>
    </w:p>
    <w:p w14:paraId="5E1F546E">
      <w:pPr>
        <w:outlineLvl w:val="2"/>
        <w:rPr>
          <w:rFonts w:hint="eastAsia" w:ascii="宋体" w:hAnsi="宋体" w:cs="宋体"/>
          <w:b/>
          <w:sz w:val="28"/>
          <w:szCs w:val="28"/>
        </w:rPr>
      </w:pPr>
      <w:bookmarkStart w:id="111" w:name="_Toc256000128"/>
      <w:bookmarkStart w:id="112" w:name="_Toc256000243"/>
      <w:bookmarkStart w:id="113" w:name="_Toc256000113"/>
      <w:bookmarkStart w:id="114" w:name="_Toc256000184"/>
      <w:bookmarkStart w:id="115" w:name="_Toc256000159"/>
      <w:r>
        <w:rPr>
          <w:rFonts w:hint="eastAsia" w:ascii="宋体" w:hAnsi="宋体" w:cs="宋体"/>
          <w:b/>
          <w:sz w:val="28"/>
          <w:szCs w:val="28"/>
        </w:rPr>
        <w:t>8. 材料与设备</w:t>
      </w:r>
      <w:bookmarkEnd w:id="111"/>
      <w:bookmarkEnd w:id="112"/>
      <w:bookmarkEnd w:id="113"/>
      <w:bookmarkEnd w:id="114"/>
      <w:bookmarkEnd w:id="115"/>
    </w:p>
    <w:p w14:paraId="73660E7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8.4材料与工程设备的保管与使用</w:t>
      </w:r>
    </w:p>
    <w:p w14:paraId="669DDC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8.4.1发包人供应的材料设备的保管费用的承担：</w:t>
      </w:r>
      <w:r>
        <w:rPr>
          <w:rFonts w:hint="eastAsia" w:ascii="宋体" w:hAnsi="宋体" w:cs="宋体"/>
          <w:sz w:val="28"/>
          <w:szCs w:val="28"/>
          <w:u w:val="single"/>
        </w:rPr>
        <w:t>按照通用条款第8.4.1项规定执行</w:t>
      </w:r>
      <w:r>
        <w:rPr>
          <w:rFonts w:hint="eastAsia" w:ascii="宋体" w:hAnsi="宋体" w:cs="宋体"/>
          <w:sz w:val="28"/>
          <w:szCs w:val="28"/>
        </w:rPr>
        <w:t>。</w:t>
      </w:r>
    </w:p>
    <w:p w14:paraId="7BAC6C1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8.6 样品</w:t>
      </w:r>
    </w:p>
    <w:p w14:paraId="47760A4F">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8.6.1</w:t>
      </w:r>
      <w:r>
        <w:rPr>
          <w:rFonts w:hint="eastAsia" w:ascii="宋体" w:hAnsi="宋体" w:cs="宋体"/>
          <w:kern w:val="0"/>
          <w:sz w:val="28"/>
          <w:szCs w:val="28"/>
        </w:rPr>
        <w:tab/>
      </w:r>
      <w:r>
        <w:rPr>
          <w:rFonts w:hint="eastAsia" w:ascii="宋体" w:hAnsi="宋体" w:cs="宋体"/>
          <w:kern w:val="0"/>
          <w:sz w:val="28"/>
          <w:szCs w:val="28"/>
        </w:rPr>
        <w:t>样品的报送与封存</w:t>
      </w:r>
    </w:p>
    <w:p w14:paraId="6FF48754">
      <w:pPr>
        <w:autoSpaceDE w:val="0"/>
        <w:autoSpaceDN w:val="0"/>
        <w:adjustRightInd w:val="0"/>
        <w:spacing w:line="360" w:lineRule="auto"/>
        <w:ind w:firstLine="560" w:firstLineChars="200"/>
        <w:jc w:val="left"/>
        <w:rPr>
          <w:rFonts w:hint="eastAsia" w:ascii="宋体" w:hAnsi="宋体" w:cs="宋体"/>
          <w:sz w:val="28"/>
          <w:szCs w:val="28"/>
          <w:u w:val="single"/>
        </w:rPr>
      </w:pPr>
      <w:r>
        <w:rPr>
          <w:rFonts w:hint="eastAsia" w:ascii="宋体" w:hAnsi="宋体" w:cs="宋体"/>
          <w:kern w:val="0"/>
          <w:sz w:val="28"/>
          <w:szCs w:val="28"/>
        </w:rPr>
        <w:t>需要承包人报送样品的材料或工程设备，样品的种类、名称、规格、数量要求：</w:t>
      </w:r>
      <w:r>
        <w:rPr>
          <w:rFonts w:hint="eastAsia" w:ascii="宋体" w:hAnsi="宋体" w:cs="宋体"/>
          <w:kern w:val="0"/>
          <w:sz w:val="28"/>
          <w:szCs w:val="28"/>
          <w:u w:val="single"/>
        </w:rPr>
        <w:t>所有进入施工现场的材料设备，凡需要报验的全部按照通用条款约定的时间，按照规 范规程和管理部门的要求办理</w:t>
      </w:r>
      <w:r>
        <w:rPr>
          <w:rFonts w:hint="eastAsia" w:ascii="宋体" w:hAnsi="宋体" w:cs="宋体"/>
          <w:sz w:val="28"/>
          <w:szCs w:val="28"/>
          <w:u w:val="single"/>
        </w:rPr>
        <w:t>。</w:t>
      </w:r>
    </w:p>
    <w:p w14:paraId="5C261A7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8.8 施工设备和临时设施</w:t>
      </w:r>
    </w:p>
    <w:p w14:paraId="55022ABB">
      <w:pPr>
        <w:autoSpaceDE w:val="0"/>
        <w:autoSpaceDN w:val="0"/>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8.8.1 承包人提供的施工设备和临时设施</w:t>
      </w:r>
    </w:p>
    <w:p w14:paraId="1E37B93C">
      <w:pPr>
        <w:autoSpaceDE w:val="0"/>
        <w:autoSpaceDN w:val="0"/>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关于修建临时设施费用承担的约定：</w:t>
      </w:r>
      <w:r>
        <w:rPr>
          <w:rFonts w:hint="eastAsia" w:ascii="宋体" w:hAnsi="宋体" w:cs="宋体"/>
          <w:sz w:val="28"/>
          <w:szCs w:val="28"/>
          <w:u w:val="single"/>
        </w:rPr>
        <w:t>由承包人自行承担</w:t>
      </w:r>
      <w:r>
        <w:rPr>
          <w:rFonts w:hint="eastAsia" w:ascii="宋体" w:hAnsi="宋体" w:cs="宋体"/>
          <w:sz w:val="28"/>
          <w:szCs w:val="28"/>
        </w:rPr>
        <w:t>。</w:t>
      </w:r>
    </w:p>
    <w:p w14:paraId="68B7ED9B">
      <w:pPr>
        <w:outlineLvl w:val="2"/>
        <w:rPr>
          <w:rFonts w:hint="eastAsia" w:ascii="宋体" w:hAnsi="宋体" w:cs="宋体"/>
          <w:b/>
          <w:sz w:val="28"/>
          <w:szCs w:val="28"/>
        </w:rPr>
      </w:pPr>
      <w:bookmarkStart w:id="116" w:name="_Toc256000114"/>
      <w:bookmarkStart w:id="117" w:name="_Toc256000129"/>
      <w:bookmarkStart w:id="118" w:name="_Toc256000160"/>
      <w:bookmarkStart w:id="119" w:name="_Toc256000185"/>
      <w:bookmarkStart w:id="120" w:name="_Toc256000244"/>
      <w:r>
        <w:rPr>
          <w:rFonts w:hint="eastAsia" w:ascii="宋体" w:hAnsi="宋体" w:cs="宋体"/>
          <w:b/>
          <w:sz w:val="28"/>
          <w:szCs w:val="28"/>
        </w:rPr>
        <w:t>9. 试验与检验</w:t>
      </w:r>
      <w:bookmarkEnd w:id="116"/>
      <w:bookmarkEnd w:id="117"/>
      <w:bookmarkEnd w:id="118"/>
      <w:bookmarkEnd w:id="119"/>
      <w:bookmarkEnd w:id="120"/>
    </w:p>
    <w:p w14:paraId="647ADE3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9.1试验设备与试验人员</w:t>
      </w:r>
    </w:p>
    <w:p w14:paraId="7F4132D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9.1.2 试验设备</w:t>
      </w:r>
    </w:p>
    <w:p w14:paraId="1D783F8A">
      <w:pPr>
        <w:spacing w:line="360" w:lineRule="auto"/>
        <w:jc w:val="left"/>
        <w:rPr>
          <w:rFonts w:hint="eastAsia" w:ascii="宋体" w:hAnsi="宋体" w:cs="宋体"/>
          <w:sz w:val="28"/>
          <w:szCs w:val="28"/>
        </w:rPr>
      </w:pPr>
      <w:r>
        <w:rPr>
          <w:rFonts w:hint="eastAsia" w:ascii="宋体" w:hAnsi="宋体" w:cs="宋体"/>
          <w:sz w:val="28"/>
          <w:szCs w:val="28"/>
        </w:rPr>
        <w:t>施工现场需要配置的试验场所：</w:t>
      </w:r>
      <w:r>
        <w:rPr>
          <w:rFonts w:hint="eastAsia" w:ascii="宋体" w:hAnsi="宋体" w:cs="宋体"/>
          <w:sz w:val="28"/>
          <w:szCs w:val="28"/>
          <w:u w:val="single"/>
        </w:rPr>
        <w:t xml:space="preserve">         /             </w:t>
      </w:r>
      <w:r>
        <w:rPr>
          <w:rFonts w:hint="eastAsia" w:ascii="宋体" w:hAnsi="宋体" w:cs="宋体"/>
          <w:sz w:val="28"/>
          <w:szCs w:val="28"/>
        </w:rPr>
        <w:t xml:space="preserve">。 </w:t>
      </w:r>
    </w:p>
    <w:p w14:paraId="28FC7327">
      <w:pPr>
        <w:spacing w:line="360" w:lineRule="auto"/>
        <w:jc w:val="left"/>
        <w:rPr>
          <w:rFonts w:hint="eastAsia" w:ascii="宋体" w:hAnsi="宋体" w:cs="宋体"/>
          <w:sz w:val="28"/>
          <w:szCs w:val="28"/>
        </w:rPr>
      </w:pPr>
      <w:r>
        <w:rPr>
          <w:rFonts w:hint="eastAsia" w:ascii="宋体" w:hAnsi="宋体" w:cs="宋体"/>
          <w:sz w:val="28"/>
          <w:szCs w:val="28"/>
        </w:rPr>
        <w:t>施工现场需要配备的试验设备：</w:t>
      </w:r>
      <w:r>
        <w:rPr>
          <w:rFonts w:hint="eastAsia" w:ascii="宋体" w:hAnsi="宋体" w:cs="宋体"/>
          <w:sz w:val="28"/>
          <w:szCs w:val="28"/>
          <w:u w:val="single"/>
        </w:rPr>
        <w:t xml:space="preserve">         /              </w:t>
      </w:r>
      <w:r>
        <w:rPr>
          <w:rFonts w:hint="eastAsia" w:ascii="宋体" w:hAnsi="宋体" w:cs="宋体"/>
          <w:sz w:val="28"/>
          <w:szCs w:val="28"/>
        </w:rPr>
        <w:t>。</w:t>
      </w:r>
    </w:p>
    <w:p w14:paraId="614C20FD">
      <w:pPr>
        <w:spacing w:line="360" w:lineRule="auto"/>
        <w:jc w:val="left"/>
        <w:rPr>
          <w:rFonts w:hint="eastAsia" w:ascii="宋体" w:hAnsi="宋体" w:cs="宋体"/>
          <w:sz w:val="28"/>
          <w:szCs w:val="28"/>
        </w:rPr>
      </w:pPr>
      <w:r>
        <w:rPr>
          <w:rFonts w:hint="eastAsia" w:ascii="宋体" w:hAnsi="宋体" w:cs="宋体"/>
          <w:sz w:val="28"/>
          <w:szCs w:val="28"/>
        </w:rPr>
        <w:t>施工现场需要具备的其他试验条件：</w:t>
      </w:r>
      <w:r>
        <w:rPr>
          <w:rFonts w:hint="eastAsia" w:ascii="宋体" w:hAnsi="宋体" w:cs="宋体"/>
          <w:sz w:val="28"/>
          <w:szCs w:val="28"/>
          <w:u w:val="single"/>
        </w:rPr>
        <w:t xml:space="preserve">         /           </w:t>
      </w:r>
      <w:r>
        <w:rPr>
          <w:rFonts w:hint="eastAsia" w:ascii="宋体" w:hAnsi="宋体" w:cs="宋体"/>
          <w:sz w:val="28"/>
          <w:szCs w:val="28"/>
        </w:rPr>
        <w:t>。</w:t>
      </w:r>
    </w:p>
    <w:p w14:paraId="0C8B402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9.4 现场工艺试验 </w:t>
      </w:r>
    </w:p>
    <w:p w14:paraId="0932F3D2">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现场工艺试验的有关约定：</w:t>
      </w:r>
      <w:r>
        <w:rPr>
          <w:rFonts w:hint="eastAsia" w:ascii="宋体" w:hAnsi="宋体" w:cs="宋体"/>
          <w:sz w:val="28"/>
          <w:szCs w:val="28"/>
          <w:u w:val="single"/>
        </w:rPr>
        <w:t xml:space="preserve">  按照通用条款规定执行。</w:t>
      </w:r>
    </w:p>
    <w:p w14:paraId="7BB641DE">
      <w:pPr>
        <w:outlineLvl w:val="2"/>
        <w:rPr>
          <w:rFonts w:hint="eastAsia" w:ascii="宋体" w:hAnsi="宋体" w:cs="宋体"/>
          <w:b/>
          <w:sz w:val="28"/>
          <w:szCs w:val="28"/>
        </w:rPr>
      </w:pPr>
      <w:bookmarkStart w:id="121" w:name="_Toc256000130"/>
      <w:bookmarkStart w:id="122" w:name="_Toc256000161"/>
      <w:bookmarkStart w:id="123" w:name="_Toc256000115"/>
      <w:bookmarkStart w:id="124" w:name="_Toc256000186"/>
      <w:bookmarkStart w:id="125" w:name="_Toc256000245"/>
      <w:r>
        <w:rPr>
          <w:rFonts w:hint="eastAsia" w:ascii="宋体" w:hAnsi="宋体" w:cs="宋体"/>
          <w:b/>
          <w:sz w:val="28"/>
          <w:szCs w:val="28"/>
        </w:rPr>
        <w:t>10. 变更</w:t>
      </w:r>
      <w:bookmarkEnd w:id="121"/>
      <w:bookmarkEnd w:id="122"/>
      <w:bookmarkEnd w:id="123"/>
      <w:bookmarkEnd w:id="124"/>
      <w:bookmarkEnd w:id="125"/>
    </w:p>
    <w:p w14:paraId="59DF848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10.1变更的范围</w:t>
      </w:r>
    </w:p>
    <w:p w14:paraId="694F4AF9">
      <w:pPr>
        <w:spacing w:line="360" w:lineRule="auto"/>
        <w:ind w:firstLine="600"/>
        <w:jc w:val="left"/>
        <w:rPr>
          <w:rFonts w:hint="eastAsia" w:ascii="宋体" w:hAnsi="宋体" w:cs="宋体"/>
          <w:sz w:val="28"/>
          <w:szCs w:val="28"/>
        </w:rPr>
      </w:pPr>
      <w:r>
        <w:rPr>
          <w:rFonts w:hint="eastAsia" w:ascii="宋体" w:hAnsi="宋体" w:cs="宋体"/>
          <w:sz w:val="28"/>
          <w:szCs w:val="28"/>
        </w:rPr>
        <w:t>关于变更的范围的约定：</w:t>
      </w:r>
      <w:r>
        <w:rPr>
          <w:rFonts w:hint="eastAsia" w:ascii="宋体" w:hAnsi="宋体" w:cs="宋体"/>
          <w:sz w:val="28"/>
          <w:szCs w:val="28"/>
          <w:u w:val="single"/>
        </w:rPr>
        <w:t xml:space="preserve">执行通用条款     </w:t>
      </w:r>
      <w:r>
        <w:rPr>
          <w:rFonts w:hint="eastAsia" w:ascii="宋体" w:hAnsi="宋体" w:cs="宋体"/>
          <w:sz w:val="28"/>
          <w:szCs w:val="28"/>
        </w:rPr>
        <w:t>。</w:t>
      </w:r>
    </w:p>
    <w:p w14:paraId="446FA7F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10.4 变更估价</w:t>
      </w:r>
    </w:p>
    <w:p w14:paraId="2B56CF8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10.4.1 变更估价原则</w:t>
      </w:r>
    </w:p>
    <w:p w14:paraId="29169971">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关于变更估价的约定:</w:t>
      </w:r>
      <w:r>
        <w:rPr>
          <w:rFonts w:hint="eastAsia" w:ascii="宋体" w:hAnsi="宋体" w:cs="宋体"/>
          <w:sz w:val="28"/>
          <w:szCs w:val="28"/>
          <w:u w:val="single"/>
        </w:rPr>
        <w:t>1、合同中有相同或类似工程项目单价的，可以参照合同中相同或类似项目的综合单价 计算确定。2、合同中没有类似工程项目综合单价的，按照规范规定监理单位、建设单位、施工单位共同确定。3、由于清单项目中项目特征或工程内容发生部分变更的，应以原综合单价为基础，仅就变更部分相应定额子目调整综合单价。</w:t>
      </w:r>
    </w:p>
    <w:p w14:paraId="312ABF7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10.5承包人的合理化建议</w:t>
      </w:r>
    </w:p>
    <w:p w14:paraId="211F8C2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监理人审查承包人合理化建议的期限：</w:t>
      </w:r>
    </w:p>
    <w:p w14:paraId="143BC8AE">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工程量清单有变化时，投标综合单价有标价的项目，以投标综合单价为准，没有综合单价的项目，按照规范规定甲乙双方协商，由造价咨询部门按照相关规范规定重新组价确定综合单价</w:t>
      </w:r>
      <w:r>
        <w:rPr>
          <w:rFonts w:hint="eastAsia" w:ascii="宋体" w:hAnsi="宋体" w:cs="宋体"/>
          <w:sz w:val="28"/>
          <w:szCs w:val="28"/>
        </w:rPr>
        <w:t>。</w:t>
      </w:r>
    </w:p>
    <w:p w14:paraId="7A4869F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发包人审批承包人合理化建议的期限：</w:t>
      </w:r>
      <w:r>
        <w:rPr>
          <w:rFonts w:hint="eastAsia" w:ascii="宋体" w:hAnsi="宋体" w:cs="宋体"/>
          <w:sz w:val="28"/>
          <w:szCs w:val="28"/>
          <w:u w:val="single"/>
        </w:rPr>
        <w:t>收到合理化建议后7天内</w:t>
      </w:r>
      <w:r>
        <w:rPr>
          <w:rFonts w:hint="eastAsia" w:ascii="宋体" w:hAnsi="宋体" w:cs="宋体"/>
          <w:sz w:val="28"/>
          <w:szCs w:val="28"/>
        </w:rPr>
        <w:t>。</w:t>
      </w:r>
    </w:p>
    <w:p w14:paraId="7EA0B4E3">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承包人提出的合理化建议降低了合同价格或者提高了工程经济效益的奖励的方法和金额为：</w:t>
      </w:r>
      <w:r>
        <w:rPr>
          <w:rFonts w:hint="eastAsia" w:ascii="宋体" w:hAnsi="宋体" w:cs="宋体"/>
          <w:sz w:val="28"/>
          <w:szCs w:val="28"/>
          <w:u w:val="single"/>
        </w:rPr>
        <w:t>收到监理人报送的合理化建议后7天内审批</w:t>
      </w:r>
      <w:r>
        <w:rPr>
          <w:rFonts w:hint="eastAsia" w:ascii="宋体" w:hAnsi="宋体" w:cs="宋体"/>
          <w:sz w:val="28"/>
          <w:szCs w:val="28"/>
        </w:rPr>
        <w:t>。</w:t>
      </w:r>
    </w:p>
    <w:p w14:paraId="4228665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10.7 暂估价</w:t>
      </w:r>
    </w:p>
    <w:p w14:paraId="73D91E36">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暂估价材料和工程设备的明细详见附件11：《</w:t>
      </w:r>
      <w:r>
        <w:rPr>
          <w:rFonts w:hint="eastAsia" w:ascii="宋体" w:hAnsi="宋体" w:cs="宋体"/>
          <w:sz w:val="28"/>
          <w:szCs w:val="28"/>
        </w:rPr>
        <w:t>暂估价一览表》</w:t>
      </w:r>
      <w:r>
        <w:rPr>
          <w:rFonts w:hint="eastAsia" w:ascii="宋体" w:hAnsi="宋体" w:cs="宋体"/>
          <w:kern w:val="0"/>
          <w:sz w:val="28"/>
          <w:szCs w:val="28"/>
        </w:rPr>
        <w:t>。</w:t>
      </w:r>
    </w:p>
    <w:p w14:paraId="3AC1A00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10.7.1 依法必须招标的暂估价项目</w:t>
      </w:r>
    </w:p>
    <w:p w14:paraId="6B709C0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对于依法必须招标的暂估价项目的确认和批准采取第</w:t>
      </w:r>
      <w:r>
        <w:rPr>
          <w:rFonts w:hint="eastAsia" w:ascii="宋体" w:hAnsi="宋体" w:cs="宋体"/>
          <w:sz w:val="28"/>
          <w:szCs w:val="28"/>
          <w:u w:val="single"/>
        </w:rPr>
        <w:t xml:space="preserve">  2  </w:t>
      </w:r>
      <w:r>
        <w:rPr>
          <w:rFonts w:hint="eastAsia" w:ascii="宋体" w:hAnsi="宋体" w:cs="宋体"/>
          <w:sz w:val="28"/>
          <w:szCs w:val="28"/>
        </w:rPr>
        <w:t>种方式确定。</w:t>
      </w:r>
    </w:p>
    <w:p w14:paraId="1BA590F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10.7.2 不属于依法必须招标的暂估价项目</w:t>
      </w:r>
    </w:p>
    <w:p w14:paraId="0823771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对于不属于依法必须招标的暂估价项目的确认和批准采取第</w:t>
      </w:r>
      <w:r>
        <w:rPr>
          <w:rFonts w:hint="eastAsia" w:ascii="宋体" w:hAnsi="宋体" w:cs="宋体"/>
          <w:sz w:val="28"/>
          <w:szCs w:val="28"/>
          <w:u w:val="single"/>
        </w:rPr>
        <w:t xml:space="preserve"> 1  </w:t>
      </w:r>
      <w:r>
        <w:rPr>
          <w:rFonts w:hint="eastAsia" w:ascii="宋体" w:hAnsi="宋体" w:cs="宋体"/>
          <w:sz w:val="28"/>
          <w:szCs w:val="28"/>
        </w:rPr>
        <w:t xml:space="preserve"> 种方式确定。</w:t>
      </w:r>
    </w:p>
    <w:p w14:paraId="62D59691">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第3种方式：</w:t>
      </w:r>
      <w:r>
        <w:rPr>
          <w:rFonts w:hint="eastAsia" w:ascii="宋体" w:hAnsi="宋体" w:cs="宋体"/>
          <w:kern w:val="0"/>
          <w:sz w:val="28"/>
          <w:szCs w:val="28"/>
        </w:rPr>
        <w:t>承包人直接实施的暂估价项目</w:t>
      </w:r>
    </w:p>
    <w:p w14:paraId="1241B8F4">
      <w:pPr>
        <w:spacing w:line="360" w:lineRule="auto"/>
        <w:jc w:val="left"/>
        <w:rPr>
          <w:rFonts w:hint="eastAsia" w:ascii="宋体" w:hAnsi="宋体" w:cs="宋体"/>
          <w:sz w:val="28"/>
          <w:szCs w:val="28"/>
        </w:rPr>
      </w:pPr>
      <w:r>
        <w:rPr>
          <w:rFonts w:hint="eastAsia" w:ascii="宋体" w:hAnsi="宋体" w:cs="宋体"/>
          <w:sz w:val="28"/>
          <w:szCs w:val="28"/>
        </w:rPr>
        <w:t>承包人直接实施的暂估价项目的约定：</w:t>
      </w:r>
      <w:r>
        <w:rPr>
          <w:rFonts w:hint="eastAsia" w:ascii="宋体" w:hAnsi="宋体" w:cs="宋体"/>
          <w:sz w:val="28"/>
          <w:szCs w:val="28"/>
          <w:u w:val="single"/>
        </w:rPr>
        <w:t>对暂估价列出的材料、设备（包括因发包人提出的材料、设备的变更），以甲乙双方 共同确定的材料、设备的品牌、规格、型号、价格为准</w:t>
      </w:r>
      <w:r>
        <w:rPr>
          <w:rFonts w:hint="eastAsia" w:ascii="宋体" w:hAnsi="宋体" w:cs="宋体"/>
          <w:sz w:val="28"/>
          <w:szCs w:val="28"/>
        </w:rPr>
        <w:t>。</w:t>
      </w:r>
    </w:p>
    <w:p w14:paraId="539BA7D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10.8 暂列金额</w:t>
      </w:r>
    </w:p>
    <w:p w14:paraId="328BB76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合同当事人关于暂列金额使用的约定：</w:t>
      </w:r>
    </w:p>
    <w:p w14:paraId="025EE4E8">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u w:val="single"/>
        </w:rPr>
        <w:t>暂列金是指发包人为可能发生工程变更而暂列的金额，包括因发包人提供的工程量清  单漏项、清单有误引起的工程数量增加和施工过程中设计变更引起新的清单项目或工程数量 增加等需要增加的金额，招标人委托具有建设行政主管部门颁发资质的造价咨询机构审定后，按照审定造价支付部分暂列金。暂列金是招标人自行确定设立的，承包商无权使用此笔 费用。此费用按实际发生经招标人签证后确定全部使用、部分使用或不使用。暂列金不计入 工程款付款的基数</w:t>
      </w:r>
      <w:r>
        <w:rPr>
          <w:rFonts w:hint="eastAsia" w:ascii="宋体" w:hAnsi="宋体" w:cs="宋体"/>
          <w:kern w:val="0"/>
          <w:sz w:val="28"/>
          <w:szCs w:val="28"/>
        </w:rPr>
        <w:t>。</w:t>
      </w:r>
    </w:p>
    <w:p w14:paraId="5A5752DA">
      <w:pPr>
        <w:outlineLvl w:val="2"/>
        <w:rPr>
          <w:rFonts w:hint="eastAsia" w:ascii="宋体" w:hAnsi="宋体" w:cs="宋体"/>
          <w:b/>
          <w:sz w:val="28"/>
          <w:szCs w:val="28"/>
        </w:rPr>
      </w:pPr>
      <w:bookmarkStart w:id="126" w:name="_Toc256000131"/>
      <w:bookmarkStart w:id="127" w:name="_Toc256000162"/>
      <w:bookmarkStart w:id="128" w:name="_Toc256000116"/>
      <w:bookmarkStart w:id="129" w:name="_Toc256000246"/>
      <w:bookmarkStart w:id="130" w:name="_Toc256000187"/>
      <w:r>
        <w:rPr>
          <w:rFonts w:hint="eastAsia" w:ascii="宋体" w:hAnsi="宋体" w:cs="宋体"/>
          <w:b/>
          <w:sz w:val="28"/>
          <w:szCs w:val="28"/>
        </w:rPr>
        <w:t>11. 价格调整</w:t>
      </w:r>
      <w:bookmarkEnd w:id="126"/>
      <w:bookmarkEnd w:id="127"/>
      <w:bookmarkEnd w:id="128"/>
      <w:bookmarkEnd w:id="129"/>
      <w:bookmarkEnd w:id="130"/>
    </w:p>
    <w:p w14:paraId="63BE140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11.1 市场价格波动引起的调整</w:t>
      </w:r>
    </w:p>
    <w:p w14:paraId="117F7DE6">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市场价格波动是否调整合同价格的约定：</w:t>
      </w:r>
      <w:r>
        <w:rPr>
          <w:rFonts w:hint="eastAsia" w:ascii="宋体" w:hAnsi="宋体" w:cs="宋体"/>
          <w:sz w:val="28"/>
          <w:szCs w:val="28"/>
          <w:u w:val="single"/>
        </w:rPr>
        <w:t xml:space="preserve">    是       </w:t>
      </w:r>
      <w:r>
        <w:rPr>
          <w:rFonts w:hint="eastAsia" w:ascii="宋体" w:hAnsi="宋体" w:cs="宋体"/>
          <w:sz w:val="28"/>
          <w:szCs w:val="28"/>
        </w:rPr>
        <w:t>。</w:t>
      </w:r>
    </w:p>
    <w:p w14:paraId="4074532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因市场价格波动调整合同价格，采用以下第</w:t>
      </w:r>
      <w:r>
        <w:rPr>
          <w:rFonts w:hint="eastAsia" w:ascii="宋体" w:hAnsi="宋体" w:cs="宋体"/>
          <w:sz w:val="28"/>
          <w:szCs w:val="28"/>
          <w:u w:val="single"/>
        </w:rPr>
        <w:t xml:space="preserve">   2 </w:t>
      </w:r>
      <w:r>
        <w:rPr>
          <w:rFonts w:hint="eastAsia" w:ascii="宋体" w:hAnsi="宋体" w:cs="宋体"/>
          <w:sz w:val="28"/>
          <w:szCs w:val="28"/>
        </w:rPr>
        <w:t>种方式对合同价格进行调整：</w:t>
      </w:r>
    </w:p>
    <w:p w14:paraId="45053FE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第1种方式：采用价格指数进行价格调整。</w:t>
      </w:r>
    </w:p>
    <w:p w14:paraId="389548B6">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关于各可调因子、定值和变值权重，以及基本价格指数及其来源的约定：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5AA6E76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第2种方式：采用造价信息进行价格调整。</w:t>
      </w:r>
    </w:p>
    <w:p w14:paraId="02F2953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（2）关于基准价格的约定：</w:t>
      </w:r>
      <w:r>
        <w:rPr>
          <w:rFonts w:hint="eastAsia" w:ascii="宋体" w:hAnsi="宋体" w:cs="宋体"/>
          <w:sz w:val="28"/>
          <w:szCs w:val="28"/>
          <w:u w:val="single"/>
        </w:rPr>
        <w:t xml:space="preserve"> 阿勒泰地区2025年</w:t>
      </w:r>
      <w:r>
        <w:rPr>
          <w:rFonts w:hint="eastAsia" w:ascii="宋体" w:hAnsi="宋体" w:cs="宋体"/>
          <w:sz w:val="28"/>
          <w:szCs w:val="28"/>
          <w:u w:val="single"/>
          <w:lang w:val="en-US" w:eastAsia="zh-CN"/>
        </w:rPr>
        <w:t>3</w:t>
      </w:r>
      <w:r>
        <w:rPr>
          <w:rFonts w:hint="eastAsia" w:ascii="宋体" w:hAnsi="宋体" w:cs="宋体"/>
          <w:sz w:val="28"/>
          <w:szCs w:val="28"/>
          <w:u w:val="single"/>
        </w:rPr>
        <w:t>月建设工程价格信息</w:t>
      </w:r>
      <w:r>
        <w:rPr>
          <w:rFonts w:hint="eastAsia" w:ascii="宋体" w:hAnsi="宋体" w:cs="宋体"/>
          <w:sz w:val="28"/>
          <w:szCs w:val="28"/>
        </w:rPr>
        <w:t>。</w:t>
      </w:r>
    </w:p>
    <w:p w14:paraId="24AB12B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8"/>
          <w:szCs w:val="28"/>
          <w:u w:val="single"/>
        </w:rPr>
        <w:t xml:space="preserve"> 5  </w:t>
      </w:r>
      <w:r>
        <w:rPr>
          <w:rFonts w:hint="eastAsia" w:ascii="宋体" w:hAnsi="宋体" w:cs="宋体"/>
          <w:sz w:val="28"/>
          <w:szCs w:val="28"/>
        </w:rPr>
        <w:t>%时，或材料单价跌幅以已标价工程量清单或预算书中载明材料单价为基础超过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4BA04E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②承包人在已标价工程量清单或预算书中载明的材料单价高于基准价格的：专用合同条款合同履行期间材料单价跌幅以基准价格为基础超过</w:t>
      </w:r>
      <w:r>
        <w:rPr>
          <w:rFonts w:hint="eastAsia" w:ascii="宋体" w:hAnsi="宋体" w:cs="宋体"/>
          <w:sz w:val="28"/>
          <w:szCs w:val="28"/>
          <w:u w:val="single"/>
        </w:rPr>
        <w:t xml:space="preserve"> 5  </w:t>
      </w:r>
      <w:r>
        <w:rPr>
          <w:rFonts w:hint="eastAsia" w:ascii="宋体" w:hAnsi="宋体" w:cs="宋体"/>
          <w:sz w:val="28"/>
          <w:szCs w:val="28"/>
        </w:rPr>
        <w:t>%时，材料单价涨幅以已标价工程量清单或预算书中载明材料单价为基础超过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E57F105">
      <w:pPr>
        <w:spacing w:line="360" w:lineRule="auto"/>
        <w:ind w:firstLine="645"/>
        <w:jc w:val="left"/>
        <w:rPr>
          <w:rFonts w:hint="eastAsia" w:ascii="宋体" w:hAnsi="宋体" w:cs="宋体"/>
          <w:sz w:val="28"/>
          <w:szCs w:val="28"/>
        </w:rPr>
      </w:pPr>
      <w:r>
        <w:rPr>
          <w:rFonts w:hint="eastAsia" w:ascii="宋体" w:hAnsi="宋体" w:cs="宋体"/>
          <w:sz w:val="28"/>
          <w:szCs w:val="28"/>
        </w:rPr>
        <w:t>③承包人在已标价工程量清单或预算书中载明的材料单价等于基准单价的：专用合同条款合同履行期间材料单价涨跌幅以基准单价为基础超过±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2DA0854">
      <w:pPr>
        <w:spacing w:line="360" w:lineRule="auto"/>
        <w:jc w:val="left"/>
        <w:rPr>
          <w:rFonts w:hint="eastAsia" w:ascii="宋体" w:hAnsi="宋体" w:cs="宋体"/>
          <w:sz w:val="28"/>
          <w:szCs w:val="28"/>
        </w:rPr>
      </w:pPr>
      <w:r>
        <w:rPr>
          <w:rFonts w:hint="eastAsia" w:ascii="宋体" w:hAnsi="宋体" w:cs="宋体"/>
          <w:sz w:val="28"/>
          <w:szCs w:val="28"/>
        </w:rPr>
        <w:t>第3种方式：其他价格调整方式：</w:t>
      </w:r>
      <w:r>
        <w:rPr>
          <w:rFonts w:hint="eastAsia" w:ascii="宋体" w:hAnsi="宋体" w:cs="宋体"/>
          <w:sz w:val="28"/>
          <w:szCs w:val="28"/>
          <w:u w:val="single"/>
        </w:rPr>
        <w:t xml:space="preserve">  /                   </w:t>
      </w:r>
      <w:r>
        <w:rPr>
          <w:rFonts w:hint="eastAsia" w:ascii="宋体" w:hAnsi="宋体" w:cs="宋体"/>
          <w:sz w:val="28"/>
          <w:szCs w:val="28"/>
        </w:rPr>
        <w:t>。</w:t>
      </w:r>
    </w:p>
    <w:p w14:paraId="52ABA121">
      <w:pPr>
        <w:outlineLvl w:val="2"/>
        <w:rPr>
          <w:rFonts w:hint="eastAsia" w:ascii="宋体" w:hAnsi="宋体" w:cs="宋体"/>
          <w:b/>
          <w:sz w:val="28"/>
          <w:szCs w:val="28"/>
        </w:rPr>
      </w:pPr>
      <w:bookmarkStart w:id="131" w:name="_Toc256000132"/>
      <w:bookmarkStart w:id="132" w:name="_Toc256000188"/>
      <w:bookmarkStart w:id="133" w:name="_Toc256000247"/>
      <w:bookmarkStart w:id="134" w:name="_Toc256000163"/>
      <w:bookmarkStart w:id="135" w:name="_Toc256000117"/>
      <w:r>
        <w:rPr>
          <w:rFonts w:hint="eastAsia" w:ascii="宋体" w:hAnsi="宋体" w:cs="宋体"/>
          <w:b/>
          <w:sz w:val="28"/>
          <w:szCs w:val="28"/>
        </w:rPr>
        <w:t>12. 合同价格、计量与支付</w:t>
      </w:r>
      <w:bookmarkEnd w:id="131"/>
      <w:bookmarkEnd w:id="132"/>
      <w:bookmarkEnd w:id="133"/>
      <w:bookmarkEnd w:id="134"/>
      <w:bookmarkEnd w:id="135"/>
    </w:p>
    <w:p w14:paraId="7149502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12.1 合同价格形式</w:t>
      </w:r>
    </w:p>
    <w:p w14:paraId="03959F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1、单价合同。</w:t>
      </w:r>
    </w:p>
    <w:p w14:paraId="2959C279">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综合单价包含的风险范围：</w:t>
      </w:r>
      <w:r>
        <w:rPr>
          <w:rFonts w:hint="eastAsia" w:ascii="宋体" w:hAnsi="宋体" w:cs="宋体"/>
          <w:sz w:val="28"/>
          <w:szCs w:val="28"/>
          <w:u w:val="single"/>
        </w:rPr>
        <w:t xml:space="preserve"> 承包人所填报单价在合同实施期间除经济签证、设计变更及政策调整因素以外可预计的其它风险。                              </w:t>
      </w:r>
    </w:p>
    <w:p w14:paraId="55F1D9E9">
      <w:pPr>
        <w:spacing w:line="360" w:lineRule="auto"/>
        <w:jc w:val="left"/>
        <w:rPr>
          <w:rFonts w:hint="eastAsia" w:ascii="宋体" w:hAnsi="宋体" w:cs="宋体"/>
          <w:sz w:val="28"/>
          <w:szCs w:val="28"/>
        </w:rPr>
      </w:pPr>
      <w:r>
        <w:rPr>
          <w:rFonts w:hint="eastAsia" w:ascii="宋体" w:hAnsi="宋体" w:cs="宋体"/>
          <w:sz w:val="28"/>
          <w:szCs w:val="28"/>
        </w:rPr>
        <w:t>风险费用的计算方法：</w:t>
      </w:r>
      <w:r>
        <w:rPr>
          <w:rFonts w:hint="eastAsia" w:ascii="宋体" w:hAnsi="宋体" w:cs="宋体"/>
          <w:sz w:val="28"/>
          <w:szCs w:val="28"/>
          <w:u w:val="single"/>
        </w:rPr>
        <w:t xml:space="preserve">      /                        </w:t>
      </w:r>
      <w:r>
        <w:rPr>
          <w:rFonts w:hint="eastAsia" w:ascii="宋体" w:hAnsi="宋体" w:cs="宋体"/>
          <w:sz w:val="28"/>
          <w:szCs w:val="28"/>
        </w:rPr>
        <w:t>。</w:t>
      </w:r>
    </w:p>
    <w:p w14:paraId="1EE83375">
      <w:pPr>
        <w:spacing w:line="360" w:lineRule="auto"/>
        <w:jc w:val="left"/>
        <w:rPr>
          <w:rFonts w:hint="eastAsia" w:ascii="宋体" w:hAnsi="宋体" w:cs="宋体"/>
          <w:sz w:val="28"/>
          <w:szCs w:val="28"/>
          <w:u w:val="single"/>
        </w:rPr>
      </w:pPr>
      <w:r>
        <w:rPr>
          <w:rFonts w:hint="eastAsia" w:ascii="宋体" w:hAnsi="宋体" w:cs="宋体"/>
          <w:sz w:val="28"/>
          <w:szCs w:val="28"/>
        </w:rPr>
        <w:t>风险范围以外合同价格的调整方法：</w:t>
      </w:r>
      <w:r>
        <w:rPr>
          <w:rFonts w:hint="eastAsia" w:ascii="宋体" w:hAnsi="宋体" w:cs="宋体"/>
          <w:sz w:val="28"/>
          <w:szCs w:val="28"/>
          <w:u w:val="single"/>
        </w:rPr>
        <w:t>合同价款调整方法为：设计变更、经济签证、政策性调整因素引起总价超过3%以外的 进行调整，±3%以内不进行调整。</w:t>
      </w:r>
    </w:p>
    <w:p w14:paraId="5377C2A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2、总价合同。</w:t>
      </w:r>
    </w:p>
    <w:p w14:paraId="6108E01B">
      <w:pPr>
        <w:spacing w:line="360" w:lineRule="auto"/>
        <w:jc w:val="left"/>
        <w:rPr>
          <w:rFonts w:hint="eastAsia" w:ascii="宋体" w:hAnsi="宋体" w:cs="宋体"/>
          <w:sz w:val="28"/>
          <w:szCs w:val="28"/>
        </w:rPr>
      </w:pPr>
      <w:r>
        <w:rPr>
          <w:rFonts w:hint="eastAsia" w:ascii="宋体" w:hAnsi="宋体" w:cs="宋体"/>
          <w:sz w:val="28"/>
          <w:szCs w:val="28"/>
        </w:rPr>
        <w:t>总价包含的风险范围：</w:t>
      </w:r>
      <w:r>
        <w:rPr>
          <w:rFonts w:hint="eastAsia" w:ascii="宋体" w:hAnsi="宋体" w:cs="宋体"/>
          <w:sz w:val="28"/>
          <w:szCs w:val="28"/>
          <w:u w:val="single"/>
        </w:rPr>
        <w:t xml:space="preserve">   /                            </w:t>
      </w:r>
      <w:r>
        <w:rPr>
          <w:rFonts w:hint="eastAsia" w:ascii="宋体" w:hAnsi="宋体" w:cs="宋体"/>
          <w:sz w:val="28"/>
          <w:szCs w:val="28"/>
        </w:rPr>
        <w:t>。</w:t>
      </w:r>
    </w:p>
    <w:p w14:paraId="2B539CA9">
      <w:pPr>
        <w:spacing w:line="360" w:lineRule="auto"/>
        <w:jc w:val="left"/>
        <w:rPr>
          <w:rFonts w:hint="eastAsia" w:ascii="宋体" w:hAnsi="宋体" w:cs="宋体"/>
          <w:sz w:val="28"/>
          <w:szCs w:val="28"/>
        </w:rPr>
      </w:pPr>
      <w:r>
        <w:rPr>
          <w:rFonts w:hint="eastAsia" w:ascii="宋体" w:hAnsi="宋体" w:cs="宋体"/>
          <w:sz w:val="28"/>
          <w:szCs w:val="28"/>
        </w:rPr>
        <w:t>风险费用的计算方法：</w:t>
      </w:r>
      <w:r>
        <w:rPr>
          <w:rFonts w:hint="eastAsia" w:ascii="宋体" w:hAnsi="宋体" w:cs="宋体"/>
          <w:sz w:val="28"/>
          <w:szCs w:val="28"/>
          <w:u w:val="single"/>
        </w:rPr>
        <w:t xml:space="preserve">    /                           </w:t>
      </w:r>
      <w:r>
        <w:rPr>
          <w:rFonts w:hint="eastAsia" w:ascii="宋体" w:hAnsi="宋体" w:cs="宋体"/>
          <w:sz w:val="28"/>
          <w:szCs w:val="28"/>
        </w:rPr>
        <w:t>。</w:t>
      </w:r>
    </w:p>
    <w:p w14:paraId="70590A18">
      <w:pPr>
        <w:spacing w:line="360" w:lineRule="auto"/>
        <w:jc w:val="left"/>
        <w:rPr>
          <w:rFonts w:hint="eastAsia" w:ascii="宋体" w:hAnsi="宋体" w:cs="宋体"/>
          <w:sz w:val="28"/>
          <w:szCs w:val="28"/>
        </w:rPr>
      </w:pPr>
      <w:r>
        <w:rPr>
          <w:rFonts w:hint="eastAsia" w:ascii="宋体" w:hAnsi="宋体" w:cs="宋体"/>
          <w:sz w:val="28"/>
          <w:szCs w:val="28"/>
        </w:rPr>
        <w:t>风险范围以外合同价格的调整方法：</w:t>
      </w:r>
      <w:r>
        <w:rPr>
          <w:rFonts w:hint="eastAsia" w:ascii="宋体" w:hAnsi="宋体" w:cs="宋体"/>
          <w:sz w:val="28"/>
          <w:szCs w:val="28"/>
          <w:u w:val="single"/>
        </w:rPr>
        <w:t xml:space="preserve">   /                </w:t>
      </w:r>
      <w:r>
        <w:rPr>
          <w:rFonts w:hint="eastAsia" w:ascii="宋体" w:hAnsi="宋体" w:cs="宋体"/>
          <w:sz w:val="28"/>
          <w:szCs w:val="28"/>
        </w:rPr>
        <w:t>。</w:t>
      </w:r>
    </w:p>
    <w:p w14:paraId="353E704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3、其他价格方式：</w:t>
      </w:r>
      <w:r>
        <w:rPr>
          <w:rFonts w:hint="eastAsia" w:ascii="宋体" w:hAnsi="宋体" w:cs="宋体"/>
          <w:sz w:val="28"/>
          <w:szCs w:val="28"/>
          <w:u w:val="single"/>
        </w:rPr>
        <w:t xml:space="preserve">      /                   </w:t>
      </w:r>
      <w:r>
        <w:rPr>
          <w:rFonts w:hint="eastAsia" w:ascii="宋体" w:hAnsi="宋体" w:cs="宋体"/>
          <w:sz w:val="28"/>
          <w:szCs w:val="28"/>
        </w:rPr>
        <w:t>。</w:t>
      </w:r>
    </w:p>
    <w:p w14:paraId="653C05A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12.2 预付款</w:t>
      </w:r>
    </w:p>
    <w:p w14:paraId="5AD0ECA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12.2.1 预付款的支付</w:t>
      </w:r>
    </w:p>
    <w:p w14:paraId="3F56CCE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预付款支付比例或金额：</w:t>
      </w:r>
      <w:r>
        <w:rPr>
          <w:rFonts w:hint="eastAsia" w:ascii="宋体" w:hAnsi="宋体" w:cs="宋体"/>
          <w:sz w:val="28"/>
          <w:szCs w:val="28"/>
          <w:u w:val="single"/>
        </w:rPr>
        <w:t>合同价款（扣除暂列金）30%（含安全文明施工费）</w:t>
      </w:r>
      <w:r>
        <w:rPr>
          <w:rFonts w:hint="eastAsia" w:ascii="宋体" w:hAnsi="宋体" w:cs="宋体"/>
          <w:sz w:val="28"/>
          <w:szCs w:val="28"/>
        </w:rPr>
        <w:t>。</w:t>
      </w:r>
    </w:p>
    <w:p w14:paraId="4FBE6BE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预付款支付期限：</w:t>
      </w:r>
      <w:r>
        <w:rPr>
          <w:rFonts w:hint="eastAsia" w:ascii="宋体" w:hAnsi="宋体" w:cs="宋体"/>
          <w:sz w:val="28"/>
          <w:szCs w:val="28"/>
          <w:u w:val="single"/>
        </w:rPr>
        <w:t xml:space="preserve"> 合同签订后，并提供开工令、履约保证金、农民工工资保证金缴纳凭证和工伤保险缴纳凭证 </w:t>
      </w:r>
      <w:r>
        <w:rPr>
          <w:rFonts w:hint="eastAsia" w:ascii="宋体" w:hAnsi="宋体" w:cs="宋体"/>
          <w:sz w:val="28"/>
          <w:szCs w:val="28"/>
        </w:rPr>
        <w:t>。</w:t>
      </w:r>
    </w:p>
    <w:p w14:paraId="0F7556D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预付款扣回的方式：</w:t>
      </w:r>
      <w:r>
        <w:rPr>
          <w:rFonts w:hint="eastAsia" w:ascii="宋体" w:hAnsi="宋体" w:cs="宋体"/>
          <w:sz w:val="28"/>
          <w:szCs w:val="28"/>
          <w:u w:val="single"/>
        </w:rPr>
        <w:t xml:space="preserve">  甲乙双方签订合同时协商约定。 </w:t>
      </w:r>
    </w:p>
    <w:p w14:paraId="60DF2A8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12.2.2 预付款担保</w:t>
      </w:r>
    </w:p>
    <w:p w14:paraId="3503150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承包人提交预付款担保的期限：</w:t>
      </w:r>
      <w:r>
        <w:rPr>
          <w:rFonts w:hint="eastAsia" w:ascii="宋体" w:hAnsi="宋体" w:cs="宋体"/>
          <w:sz w:val="28"/>
          <w:szCs w:val="28"/>
          <w:u w:val="single"/>
        </w:rPr>
        <w:t xml:space="preserve"> 甲乙双方签订合同时协商约定。</w:t>
      </w:r>
    </w:p>
    <w:p w14:paraId="527326C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预付款担保的形式为：</w:t>
      </w:r>
      <w:r>
        <w:rPr>
          <w:rFonts w:hint="eastAsia" w:ascii="宋体" w:hAnsi="宋体" w:cs="宋体"/>
          <w:sz w:val="28"/>
          <w:szCs w:val="28"/>
          <w:u w:val="single"/>
        </w:rPr>
        <w:t xml:space="preserve"> 甲乙双方签订合同时协商约定。</w:t>
      </w:r>
    </w:p>
    <w:p w14:paraId="31C1B73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12.3 计量</w:t>
      </w:r>
    </w:p>
    <w:p w14:paraId="5EED7F8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12.3.1 计量原则</w:t>
      </w:r>
    </w:p>
    <w:p w14:paraId="162A1DE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工程量计算规则：</w:t>
      </w:r>
      <w:r>
        <w:rPr>
          <w:rFonts w:hint="eastAsia" w:ascii="宋体" w:hAnsi="宋体" w:cs="宋体"/>
          <w:sz w:val="28"/>
          <w:szCs w:val="28"/>
          <w:u w:val="single"/>
        </w:rPr>
        <w:t>建设工程工程量清单计价规范（GB50500-2013）、2010年《新疆维吾尔自治区建筑工  程消耗定额（上、下册）、（GYD-901-2002）《全国统一建筑装饰装修工程量消耗定额》、2000版《全国统一安装过程预算定额》及《关于建筑业营业税改增值税调整新疆建设工程计 价依据的实施意见》新建标【2016】2号</w:t>
      </w:r>
      <w:r>
        <w:rPr>
          <w:rFonts w:hint="eastAsia" w:ascii="宋体" w:hAnsi="宋体" w:cs="宋体"/>
          <w:sz w:val="28"/>
          <w:szCs w:val="28"/>
        </w:rPr>
        <w:t>。</w:t>
      </w:r>
    </w:p>
    <w:p w14:paraId="0E84433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12.3.2 计量周期</w:t>
      </w:r>
    </w:p>
    <w:p w14:paraId="0E6C97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关于计量周期的约定：</w:t>
      </w:r>
    </w:p>
    <w:p w14:paraId="305921AD">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工程量的计量周期按付款周期进行</w:t>
      </w:r>
      <w:r>
        <w:rPr>
          <w:rFonts w:hint="eastAsia" w:ascii="宋体" w:hAnsi="宋体" w:cs="宋体"/>
          <w:sz w:val="28"/>
          <w:szCs w:val="28"/>
        </w:rPr>
        <w:t>。</w:t>
      </w:r>
    </w:p>
    <w:p w14:paraId="03FF797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12.3.3 单价合同的计量</w:t>
      </w:r>
    </w:p>
    <w:p w14:paraId="6D6B531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关于单价合同计量的约定：</w:t>
      </w:r>
      <w:r>
        <w:rPr>
          <w:rFonts w:hint="eastAsia" w:ascii="宋体" w:hAnsi="宋体" w:cs="宋体"/>
          <w:sz w:val="28"/>
          <w:szCs w:val="28"/>
          <w:u w:val="single"/>
        </w:rPr>
        <w:t xml:space="preserve"> 按照通用条款第12.3.3项执行     </w:t>
      </w:r>
      <w:r>
        <w:rPr>
          <w:rFonts w:hint="eastAsia" w:ascii="宋体" w:hAnsi="宋体" w:cs="宋体"/>
          <w:sz w:val="28"/>
          <w:szCs w:val="28"/>
        </w:rPr>
        <w:t>。</w:t>
      </w:r>
    </w:p>
    <w:p w14:paraId="24268C3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12.3.4 总价合同的计量</w:t>
      </w:r>
    </w:p>
    <w:p w14:paraId="31F81C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关于总价合同计量的约定：</w:t>
      </w:r>
      <w:r>
        <w:rPr>
          <w:rFonts w:hint="eastAsia" w:ascii="宋体" w:hAnsi="宋体" w:cs="宋体"/>
          <w:sz w:val="28"/>
          <w:szCs w:val="28"/>
          <w:u w:val="single"/>
        </w:rPr>
        <w:t xml:space="preserve">     /                    </w:t>
      </w:r>
      <w:r>
        <w:rPr>
          <w:rFonts w:hint="eastAsia" w:ascii="宋体" w:hAnsi="宋体" w:cs="宋体"/>
          <w:sz w:val="28"/>
          <w:szCs w:val="28"/>
        </w:rPr>
        <w:t>。</w:t>
      </w:r>
    </w:p>
    <w:p w14:paraId="61976BD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12.3.5总价合同采用支付分解表计量支付的，是否适用第</w:t>
      </w:r>
      <w:r>
        <w:rPr>
          <w:rFonts w:hint="eastAsia" w:ascii="宋体" w:hAnsi="宋体" w:cs="宋体"/>
          <w:kern w:val="0"/>
          <w:sz w:val="28"/>
          <w:szCs w:val="28"/>
        </w:rPr>
        <w:t xml:space="preserve">12.3.4 </w:t>
      </w:r>
      <w:r>
        <w:rPr>
          <w:rFonts w:hint="eastAsia" w:ascii="宋体" w:hAnsi="宋体" w:cs="宋体"/>
          <w:sz w:val="28"/>
          <w:szCs w:val="28"/>
        </w:rPr>
        <w:t>项</w:t>
      </w:r>
      <w:r>
        <w:rPr>
          <w:rFonts w:hint="eastAsia" w:ascii="宋体" w:hAnsi="宋体" w:cs="宋体"/>
          <w:kern w:val="0"/>
          <w:sz w:val="28"/>
          <w:szCs w:val="28"/>
        </w:rPr>
        <w:t>〔总价合同的计量〕</w:t>
      </w:r>
      <w:r>
        <w:rPr>
          <w:rFonts w:hint="eastAsia" w:ascii="宋体" w:hAnsi="宋体" w:cs="宋体"/>
          <w:sz w:val="28"/>
          <w:szCs w:val="28"/>
        </w:rPr>
        <w:t>约定进行计量：</w:t>
      </w:r>
      <w:r>
        <w:rPr>
          <w:rFonts w:hint="eastAsia" w:ascii="宋体" w:hAnsi="宋体" w:cs="宋体"/>
          <w:sz w:val="28"/>
          <w:szCs w:val="28"/>
          <w:u w:val="single"/>
        </w:rPr>
        <w:t xml:space="preserve">    /   </w:t>
      </w:r>
      <w:r>
        <w:rPr>
          <w:rFonts w:hint="eastAsia" w:ascii="宋体" w:hAnsi="宋体" w:cs="宋体"/>
          <w:sz w:val="28"/>
          <w:szCs w:val="28"/>
        </w:rPr>
        <w:t>。</w:t>
      </w:r>
    </w:p>
    <w:p w14:paraId="52AABB4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12.3.6 其他价格形式合同的计量</w:t>
      </w:r>
    </w:p>
    <w:p w14:paraId="3D9B954F">
      <w:pPr>
        <w:spacing w:line="360" w:lineRule="auto"/>
        <w:jc w:val="left"/>
        <w:rPr>
          <w:rFonts w:hint="eastAsia" w:ascii="宋体" w:hAnsi="宋体" w:cs="宋体"/>
          <w:sz w:val="28"/>
          <w:szCs w:val="28"/>
        </w:rPr>
      </w:pPr>
      <w:r>
        <w:rPr>
          <w:rFonts w:hint="eastAsia" w:ascii="宋体" w:hAnsi="宋体" w:cs="宋体"/>
          <w:sz w:val="28"/>
          <w:szCs w:val="28"/>
        </w:rPr>
        <w:t>其他价格形式的计量方式和程序：</w:t>
      </w:r>
      <w:r>
        <w:rPr>
          <w:rFonts w:hint="eastAsia" w:ascii="宋体" w:hAnsi="宋体" w:cs="宋体"/>
          <w:sz w:val="28"/>
          <w:szCs w:val="28"/>
          <w:u w:val="single"/>
        </w:rPr>
        <w:t xml:space="preserve">         /             </w:t>
      </w:r>
      <w:r>
        <w:rPr>
          <w:rFonts w:hint="eastAsia" w:ascii="宋体" w:hAnsi="宋体" w:cs="宋体"/>
          <w:sz w:val="28"/>
          <w:szCs w:val="28"/>
        </w:rPr>
        <w:t>。</w:t>
      </w:r>
    </w:p>
    <w:p w14:paraId="6A03410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12.4 工程进度款支付</w:t>
      </w:r>
    </w:p>
    <w:p w14:paraId="33056C4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12.4.1 付款周期</w:t>
      </w:r>
    </w:p>
    <w:p w14:paraId="385162DD">
      <w:pPr>
        <w:ind w:firstLine="420"/>
        <w:rPr>
          <w:rFonts w:hint="eastAsia" w:ascii="宋体" w:hAnsi="宋体" w:cs="宋体"/>
          <w:sz w:val="28"/>
          <w:szCs w:val="28"/>
        </w:rPr>
      </w:pPr>
      <w:r>
        <w:rPr>
          <w:rFonts w:hint="eastAsia" w:ascii="宋体" w:hAnsi="宋体" w:cs="宋体"/>
          <w:sz w:val="28"/>
          <w:szCs w:val="28"/>
        </w:rPr>
        <w:t>关于付款周期的约定：</w:t>
      </w:r>
      <w:r>
        <w:rPr>
          <w:rFonts w:hint="eastAsia" w:ascii="宋体" w:hAnsi="宋体" w:cs="宋体"/>
          <w:sz w:val="28"/>
          <w:szCs w:val="28"/>
          <w:u w:val="single"/>
        </w:rPr>
        <w:t>关于付款周期的约定：人员到位材料进场并开工建设后支付总造价的30%，进度款按实际发生的工程量每月进行支付，待工程整体通过竣工验收，达到质量等级要求后付至审定结算价的</w:t>
      </w:r>
      <w:r>
        <w:rPr>
          <w:rFonts w:hint="eastAsia" w:ascii="宋体" w:hAnsi="宋体" w:cs="宋体"/>
          <w:sz w:val="28"/>
          <w:szCs w:val="28"/>
          <w:u w:val="single"/>
          <w:lang w:val="en-US" w:eastAsia="zh-CN"/>
        </w:rPr>
        <w:t>100</w:t>
      </w:r>
      <w:r>
        <w:rPr>
          <w:rFonts w:hint="eastAsia" w:ascii="宋体" w:hAnsi="宋体" w:cs="宋体"/>
          <w:sz w:val="28"/>
          <w:szCs w:val="28"/>
          <w:u w:val="single"/>
        </w:rPr>
        <w:t>%,保修期满无质量问题</w:t>
      </w:r>
      <w:r>
        <w:rPr>
          <w:rFonts w:hint="eastAsia" w:ascii="宋体" w:hAnsi="宋体" w:cs="宋体"/>
          <w:sz w:val="28"/>
          <w:szCs w:val="28"/>
          <w:u w:val="single"/>
          <w:lang w:val="en-US" w:eastAsia="zh-CN"/>
        </w:rPr>
        <w:t>再退</w:t>
      </w:r>
      <w:r>
        <w:rPr>
          <w:rFonts w:hint="eastAsia" w:ascii="宋体" w:hAnsi="宋体" w:cs="宋体"/>
          <w:sz w:val="28"/>
          <w:szCs w:val="28"/>
          <w:u w:val="single"/>
        </w:rPr>
        <w:t>履约保证金；工程进度款的支付，因承包人自身原因造成未按合同约定时间支付，其相关责任与发包人无关。工程进度款以监理单位、第三方审计单位审核计量和发包人审定确认为准。承包人应在于每个月的25日前向监理工程师报送工程进度款申请报告，监理单位收到后，应在5个工作日内审核并签署意见后报发包人，发包人在收到监理单位的审核意见后送第三方审计单位审核并由发包人审定后，报发包人的相关部门办理统一申请拨付。</w:t>
      </w:r>
      <w:r>
        <w:rPr>
          <w:rFonts w:hint="eastAsia" w:ascii="宋体" w:hAnsi="宋体" w:cs="宋体"/>
          <w:sz w:val="28"/>
          <w:szCs w:val="28"/>
        </w:rPr>
        <w:t xml:space="preserve"> </w:t>
      </w:r>
    </w:p>
    <w:p w14:paraId="407FDC1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12.4.2 进度付款申请单的编制</w:t>
      </w:r>
    </w:p>
    <w:p w14:paraId="42436D0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关于进度付款申请单编制的约定：</w:t>
      </w:r>
      <w:r>
        <w:rPr>
          <w:rFonts w:hint="eastAsia" w:ascii="宋体" w:hAnsi="宋体" w:cs="宋体"/>
          <w:sz w:val="28"/>
          <w:szCs w:val="28"/>
          <w:u w:val="single"/>
        </w:rPr>
        <w:t xml:space="preserve"> 按照通用条款第12.4.2项执行 </w:t>
      </w:r>
      <w:r>
        <w:rPr>
          <w:rFonts w:hint="eastAsia" w:ascii="宋体" w:hAnsi="宋体" w:cs="宋体"/>
          <w:sz w:val="28"/>
          <w:szCs w:val="28"/>
        </w:rPr>
        <w:t>。</w:t>
      </w:r>
    </w:p>
    <w:p w14:paraId="12F60B6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12.4.3 进度付款申请单的提交</w:t>
      </w:r>
    </w:p>
    <w:p w14:paraId="2AA1CC5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（1）单价合同进度付款申请单提交的约定：</w:t>
      </w:r>
      <w:r>
        <w:rPr>
          <w:rFonts w:hint="eastAsia" w:ascii="宋体" w:hAnsi="宋体" w:cs="宋体"/>
          <w:sz w:val="28"/>
          <w:szCs w:val="28"/>
          <w:u w:val="single"/>
        </w:rPr>
        <w:t>按照通用条款第12.4.3项执行</w:t>
      </w:r>
      <w:r>
        <w:rPr>
          <w:rFonts w:hint="eastAsia" w:ascii="宋体" w:hAnsi="宋体" w:cs="宋体"/>
          <w:sz w:val="28"/>
          <w:szCs w:val="28"/>
        </w:rPr>
        <w:t>。</w:t>
      </w:r>
    </w:p>
    <w:p w14:paraId="063FE58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（2）总价合同进度付款申请单提交的约定：</w:t>
      </w:r>
      <w:r>
        <w:rPr>
          <w:rFonts w:hint="eastAsia" w:ascii="宋体" w:hAnsi="宋体" w:cs="宋体"/>
          <w:sz w:val="28"/>
          <w:szCs w:val="28"/>
          <w:u w:val="single"/>
        </w:rPr>
        <w:t xml:space="preserve">   /         </w:t>
      </w:r>
      <w:r>
        <w:rPr>
          <w:rFonts w:hint="eastAsia" w:ascii="宋体" w:hAnsi="宋体" w:cs="宋体"/>
          <w:sz w:val="28"/>
          <w:szCs w:val="28"/>
        </w:rPr>
        <w:t>。</w:t>
      </w:r>
    </w:p>
    <w:p w14:paraId="7D6FC17B">
      <w:pPr>
        <w:spacing w:line="360" w:lineRule="auto"/>
        <w:jc w:val="left"/>
        <w:rPr>
          <w:rFonts w:hint="eastAsia" w:ascii="宋体" w:hAnsi="宋体" w:cs="宋体"/>
          <w:sz w:val="28"/>
          <w:szCs w:val="28"/>
        </w:rPr>
      </w:pPr>
      <w:r>
        <w:rPr>
          <w:rFonts w:hint="eastAsia" w:ascii="宋体" w:hAnsi="宋体" w:cs="宋体"/>
          <w:sz w:val="28"/>
          <w:szCs w:val="28"/>
        </w:rPr>
        <w:t>（3）其他价格形式合同进度付款申请单提交的约定：</w:t>
      </w:r>
      <w:r>
        <w:rPr>
          <w:rFonts w:hint="eastAsia" w:ascii="宋体" w:hAnsi="宋体" w:cs="宋体"/>
          <w:sz w:val="28"/>
          <w:szCs w:val="28"/>
          <w:u w:val="single"/>
        </w:rPr>
        <w:t xml:space="preserve">  /    </w:t>
      </w:r>
      <w:r>
        <w:rPr>
          <w:rFonts w:hint="eastAsia" w:ascii="宋体" w:hAnsi="宋体" w:cs="宋体"/>
          <w:sz w:val="28"/>
          <w:szCs w:val="28"/>
        </w:rPr>
        <w:t>。</w:t>
      </w:r>
    </w:p>
    <w:p w14:paraId="318A6AC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12.4.4 进度款审核和支付</w:t>
      </w:r>
    </w:p>
    <w:p w14:paraId="73095364">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（1）监理人审查并报送发包人的期限：</w:t>
      </w:r>
      <w:r>
        <w:rPr>
          <w:rFonts w:hint="eastAsia" w:ascii="宋体" w:hAnsi="宋体" w:cs="宋体"/>
          <w:sz w:val="28"/>
          <w:szCs w:val="28"/>
          <w:u w:val="single"/>
        </w:rPr>
        <w:t>收到资料后7天内完成</w:t>
      </w:r>
      <w:r>
        <w:rPr>
          <w:rFonts w:hint="eastAsia" w:ascii="宋体" w:hAnsi="宋体" w:cs="宋体"/>
          <w:sz w:val="28"/>
          <w:szCs w:val="28"/>
        </w:rPr>
        <w:t>。</w:t>
      </w:r>
    </w:p>
    <w:p w14:paraId="764930CF">
      <w:pPr>
        <w:spacing w:line="360" w:lineRule="auto"/>
        <w:jc w:val="left"/>
        <w:rPr>
          <w:rFonts w:hint="eastAsia" w:ascii="宋体" w:hAnsi="宋体" w:cs="宋体"/>
          <w:sz w:val="28"/>
          <w:szCs w:val="28"/>
        </w:rPr>
      </w:pPr>
      <w:r>
        <w:rPr>
          <w:rFonts w:hint="eastAsia" w:ascii="宋体" w:hAnsi="宋体" w:cs="宋体"/>
          <w:sz w:val="28"/>
          <w:szCs w:val="28"/>
        </w:rPr>
        <w:t>发包人完成审批并签发进度款支付证书的期限：</w:t>
      </w:r>
      <w:r>
        <w:rPr>
          <w:rFonts w:hint="eastAsia" w:ascii="宋体" w:hAnsi="宋体" w:cs="宋体"/>
          <w:sz w:val="28"/>
          <w:szCs w:val="28"/>
          <w:u w:val="single"/>
        </w:rPr>
        <w:t xml:space="preserve"> 在收到监理人报送审查资料后15天内予以完成审批     </w:t>
      </w:r>
      <w:r>
        <w:rPr>
          <w:rFonts w:hint="eastAsia" w:ascii="宋体" w:hAnsi="宋体" w:cs="宋体"/>
          <w:sz w:val="28"/>
          <w:szCs w:val="28"/>
        </w:rPr>
        <w:t>。</w:t>
      </w:r>
    </w:p>
    <w:p w14:paraId="62C98F1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（2）发包人支付进度款的期限：</w:t>
      </w:r>
      <w:r>
        <w:rPr>
          <w:rFonts w:hint="eastAsia" w:ascii="宋体" w:hAnsi="宋体" w:cs="宋体"/>
          <w:sz w:val="28"/>
          <w:szCs w:val="28"/>
          <w:u w:val="single"/>
        </w:rPr>
        <w:t>签发进度款支付证书后15天内完成支付</w:t>
      </w:r>
      <w:r>
        <w:rPr>
          <w:rFonts w:hint="eastAsia" w:ascii="宋体" w:hAnsi="宋体" w:cs="宋体"/>
          <w:sz w:val="28"/>
          <w:szCs w:val="28"/>
        </w:rPr>
        <w:t>。</w:t>
      </w:r>
    </w:p>
    <w:p w14:paraId="040CAB14">
      <w:pPr>
        <w:spacing w:line="360" w:lineRule="auto"/>
        <w:jc w:val="left"/>
        <w:rPr>
          <w:rFonts w:hint="eastAsia" w:ascii="宋体" w:hAnsi="宋体" w:cs="宋体"/>
          <w:sz w:val="28"/>
          <w:szCs w:val="28"/>
        </w:rPr>
      </w:pPr>
      <w:r>
        <w:rPr>
          <w:rFonts w:hint="eastAsia" w:ascii="宋体" w:hAnsi="宋体" w:cs="宋体"/>
          <w:sz w:val="28"/>
          <w:szCs w:val="28"/>
        </w:rPr>
        <w:t>发包人逾期支付进度款的违约金的计算方式：</w:t>
      </w:r>
      <w:r>
        <w:rPr>
          <w:rFonts w:hint="eastAsia" w:ascii="宋体" w:hAnsi="宋体" w:cs="宋体"/>
          <w:sz w:val="28"/>
          <w:szCs w:val="28"/>
          <w:u w:val="single"/>
        </w:rPr>
        <w:t xml:space="preserve">       /    </w:t>
      </w:r>
      <w:r>
        <w:rPr>
          <w:rFonts w:hint="eastAsia" w:ascii="宋体" w:hAnsi="宋体" w:cs="宋体"/>
          <w:sz w:val="28"/>
          <w:szCs w:val="28"/>
        </w:rPr>
        <w:t>。</w:t>
      </w:r>
    </w:p>
    <w:p w14:paraId="30C1CAF1">
      <w:pPr>
        <w:spacing w:line="360" w:lineRule="auto"/>
        <w:ind w:firstLine="700" w:firstLineChars="250"/>
        <w:jc w:val="left"/>
        <w:rPr>
          <w:rFonts w:hint="eastAsia" w:ascii="宋体" w:hAnsi="宋体" w:cs="宋体"/>
          <w:sz w:val="28"/>
          <w:szCs w:val="28"/>
        </w:rPr>
      </w:pPr>
      <w:r>
        <w:rPr>
          <w:rFonts w:hint="eastAsia" w:ascii="宋体" w:hAnsi="宋体" w:cs="宋体"/>
          <w:sz w:val="28"/>
          <w:szCs w:val="28"/>
        </w:rPr>
        <w:t>12.4.6 支付分解表的编制</w:t>
      </w:r>
    </w:p>
    <w:p w14:paraId="2AEA5E7C">
      <w:pPr>
        <w:spacing w:line="360" w:lineRule="auto"/>
        <w:ind w:left="5600" w:hanging="5600" w:hangingChars="2000"/>
        <w:jc w:val="left"/>
        <w:rPr>
          <w:rFonts w:hint="eastAsia" w:ascii="宋体" w:hAnsi="宋体" w:cs="宋体"/>
          <w:sz w:val="28"/>
          <w:szCs w:val="28"/>
        </w:rPr>
      </w:pPr>
      <w:r>
        <w:rPr>
          <w:rFonts w:hint="eastAsia" w:ascii="宋体" w:hAnsi="宋体" w:cs="宋体"/>
          <w:sz w:val="28"/>
          <w:szCs w:val="28"/>
        </w:rPr>
        <w:t>2、总价合同支付分解表的编制与审批：</w:t>
      </w:r>
      <w:r>
        <w:rPr>
          <w:rFonts w:hint="eastAsia" w:ascii="宋体" w:hAnsi="宋体" w:cs="宋体"/>
          <w:sz w:val="28"/>
          <w:szCs w:val="28"/>
          <w:u w:val="single"/>
        </w:rPr>
        <w:t xml:space="preserve">      /          </w:t>
      </w:r>
      <w:r>
        <w:rPr>
          <w:rFonts w:hint="eastAsia" w:ascii="宋体" w:hAnsi="宋体" w:cs="宋体"/>
          <w:sz w:val="28"/>
          <w:szCs w:val="28"/>
        </w:rPr>
        <w:t>。</w:t>
      </w:r>
    </w:p>
    <w:p w14:paraId="0A54F9D2">
      <w:pPr>
        <w:spacing w:line="360" w:lineRule="auto"/>
        <w:jc w:val="left"/>
        <w:rPr>
          <w:rFonts w:hint="eastAsia" w:ascii="宋体" w:hAnsi="宋体" w:cs="宋体"/>
          <w:sz w:val="28"/>
          <w:szCs w:val="28"/>
        </w:rPr>
      </w:pPr>
      <w:r>
        <w:rPr>
          <w:rFonts w:hint="eastAsia" w:ascii="宋体" w:hAnsi="宋体" w:cs="宋体"/>
          <w:sz w:val="28"/>
          <w:szCs w:val="28"/>
        </w:rPr>
        <w:t>3、单价合同的总价项目支付分解表的编制与审批：</w:t>
      </w:r>
      <w:r>
        <w:rPr>
          <w:rFonts w:hint="eastAsia" w:ascii="宋体" w:hAnsi="宋体" w:cs="宋体"/>
          <w:sz w:val="28"/>
          <w:szCs w:val="28"/>
          <w:u w:val="single"/>
        </w:rPr>
        <w:t>按照通用条款规定执行</w:t>
      </w:r>
      <w:r>
        <w:rPr>
          <w:rFonts w:hint="eastAsia" w:ascii="宋体" w:hAnsi="宋体" w:cs="宋体"/>
          <w:sz w:val="28"/>
          <w:szCs w:val="28"/>
        </w:rPr>
        <w:t>。</w:t>
      </w:r>
    </w:p>
    <w:p w14:paraId="3B8D75BC">
      <w:pPr>
        <w:outlineLvl w:val="2"/>
        <w:rPr>
          <w:rFonts w:hint="eastAsia" w:ascii="宋体" w:hAnsi="宋体" w:cs="宋体"/>
          <w:b/>
          <w:sz w:val="28"/>
          <w:szCs w:val="28"/>
        </w:rPr>
      </w:pPr>
      <w:bookmarkStart w:id="136" w:name="_Toc256000118"/>
      <w:bookmarkStart w:id="137" w:name="_Toc256000164"/>
      <w:bookmarkStart w:id="138" w:name="_Toc256000133"/>
      <w:bookmarkStart w:id="139" w:name="_Toc256000189"/>
      <w:bookmarkStart w:id="140" w:name="_Toc256000248"/>
      <w:r>
        <w:rPr>
          <w:rFonts w:hint="eastAsia" w:ascii="宋体" w:hAnsi="宋体" w:cs="宋体"/>
          <w:b/>
          <w:sz w:val="28"/>
          <w:szCs w:val="28"/>
        </w:rPr>
        <w:t>13. 验收和工程试车</w:t>
      </w:r>
      <w:bookmarkEnd w:id="136"/>
      <w:bookmarkEnd w:id="137"/>
      <w:bookmarkEnd w:id="138"/>
      <w:bookmarkEnd w:id="139"/>
      <w:bookmarkEnd w:id="140"/>
    </w:p>
    <w:p w14:paraId="73032E4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13.1 分部分项工程验收</w:t>
      </w:r>
    </w:p>
    <w:p w14:paraId="3200DCD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13.1.2监理人不能按时进行验收时，应提前</w:t>
      </w:r>
      <w:r>
        <w:rPr>
          <w:rFonts w:hint="eastAsia" w:ascii="宋体" w:hAnsi="宋体" w:cs="宋体"/>
          <w:sz w:val="28"/>
          <w:szCs w:val="28"/>
          <w:u w:val="single"/>
        </w:rPr>
        <w:t xml:space="preserve">   24    </w:t>
      </w:r>
      <w:r>
        <w:rPr>
          <w:rFonts w:hint="eastAsia" w:ascii="宋体" w:hAnsi="宋体" w:cs="宋体"/>
          <w:sz w:val="28"/>
          <w:szCs w:val="28"/>
        </w:rPr>
        <w:t>小时提交书面延期要求。</w:t>
      </w:r>
    </w:p>
    <w:p w14:paraId="24E23652">
      <w:pPr>
        <w:spacing w:line="360" w:lineRule="auto"/>
        <w:ind w:firstLine="560" w:firstLineChars="200"/>
        <w:jc w:val="left"/>
        <w:rPr>
          <w:rFonts w:hint="eastAsia" w:ascii="宋体" w:hAnsi="宋体" w:cs="宋体"/>
          <w:b/>
          <w:sz w:val="28"/>
          <w:szCs w:val="28"/>
        </w:rPr>
      </w:pPr>
      <w:r>
        <w:rPr>
          <w:rFonts w:hint="eastAsia" w:ascii="宋体" w:hAnsi="宋体" w:cs="宋体"/>
          <w:sz w:val="28"/>
          <w:szCs w:val="28"/>
        </w:rPr>
        <w:t>关于延期最长不得超过：</w:t>
      </w:r>
      <w:r>
        <w:rPr>
          <w:rFonts w:hint="eastAsia" w:ascii="宋体" w:hAnsi="宋体" w:cs="宋体"/>
          <w:sz w:val="28"/>
          <w:szCs w:val="28"/>
          <w:u w:val="single"/>
        </w:rPr>
        <w:t xml:space="preserve">   48      </w:t>
      </w:r>
      <w:r>
        <w:rPr>
          <w:rFonts w:hint="eastAsia" w:ascii="宋体" w:hAnsi="宋体" w:cs="宋体"/>
          <w:sz w:val="28"/>
          <w:szCs w:val="28"/>
        </w:rPr>
        <w:t>小时。</w:t>
      </w:r>
    </w:p>
    <w:p w14:paraId="42BC3EE4">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13.2 竣工验收</w:t>
      </w:r>
    </w:p>
    <w:p w14:paraId="689CB9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13.2.2竣工验收程序</w:t>
      </w:r>
    </w:p>
    <w:p w14:paraId="055B03E8">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关于竣工验收程序的约定：</w:t>
      </w:r>
      <w:r>
        <w:rPr>
          <w:rFonts w:hint="eastAsia" w:ascii="宋体" w:hAnsi="宋体" w:cs="宋体"/>
          <w:kern w:val="0"/>
          <w:sz w:val="28"/>
          <w:szCs w:val="28"/>
          <w:u w:val="single"/>
        </w:rPr>
        <w:t>按照通用条款第13.3.2项执行</w:t>
      </w:r>
      <w:r>
        <w:rPr>
          <w:rFonts w:hint="eastAsia" w:ascii="宋体" w:hAnsi="宋体" w:cs="宋体"/>
          <w:sz w:val="28"/>
          <w:szCs w:val="28"/>
          <w:u w:val="single"/>
        </w:rPr>
        <w:t xml:space="preserve"> </w:t>
      </w:r>
      <w:r>
        <w:rPr>
          <w:rFonts w:hint="eastAsia" w:ascii="宋体" w:hAnsi="宋体" w:cs="宋体"/>
          <w:sz w:val="28"/>
          <w:szCs w:val="28"/>
        </w:rPr>
        <w:t>。</w:t>
      </w:r>
    </w:p>
    <w:p w14:paraId="722E8269">
      <w:pPr>
        <w:spacing w:line="360" w:lineRule="auto"/>
        <w:jc w:val="left"/>
        <w:rPr>
          <w:rFonts w:hint="eastAsia" w:ascii="宋体" w:hAnsi="宋体" w:cs="宋体"/>
          <w:sz w:val="28"/>
          <w:szCs w:val="28"/>
        </w:rPr>
      </w:pPr>
      <w:r>
        <w:rPr>
          <w:rFonts w:hint="eastAsia" w:ascii="宋体" w:hAnsi="宋体" w:cs="宋体"/>
          <w:kern w:val="0"/>
          <w:sz w:val="28"/>
          <w:szCs w:val="28"/>
        </w:rPr>
        <w:t>发包人不按照本项约定组织竣工验收、颁发工程接收证书的违约金的计算方法：</w:t>
      </w:r>
      <w:r>
        <w:rPr>
          <w:rFonts w:hint="eastAsia" w:ascii="宋体" w:hAnsi="宋体" w:cs="宋体"/>
          <w:sz w:val="28"/>
          <w:szCs w:val="28"/>
          <w:u w:val="single"/>
        </w:rPr>
        <w:t xml:space="preserve"> 按照通用条款第13.3.2项执行        </w:t>
      </w:r>
      <w:r>
        <w:rPr>
          <w:rFonts w:hint="eastAsia" w:ascii="宋体" w:hAnsi="宋体" w:cs="宋体"/>
          <w:sz w:val="28"/>
          <w:szCs w:val="28"/>
        </w:rPr>
        <w:t>。</w:t>
      </w:r>
    </w:p>
    <w:p w14:paraId="5BB85E0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13.2.5移交、接收全部与部分工程</w:t>
      </w:r>
    </w:p>
    <w:p w14:paraId="71035DC2">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承包人向发包人移交工程的期限：</w:t>
      </w:r>
      <w:r>
        <w:rPr>
          <w:rFonts w:hint="eastAsia" w:ascii="宋体" w:hAnsi="宋体" w:cs="宋体"/>
          <w:kern w:val="0"/>
          <w:sz w:val="28"/>
          <w:szCs w:val="28"/>
          <w:u w:val="single"/>
        </w:rPr>
        <w:t>颁发工程接收证书后7天内完成移交</w:t>
      </w:r>
      <w:r>
        <w:rPr>
          <w:rFonts w:hint="eastAsia" w:ascii="宋体" w:hAnsi="宋体" w:cs="宋体"/>
          <w:sz w:val="28"/>
          <w:szCs w:val="28"/>
        </w:rPr>
        <w:t>。</w:t>
      </w:r>
    </w:p>
    <w:p w14:paraId="7D370270">
      <w:pPr>
        <w:spacing w:line="360" w:lineRule="auto"/>
        <w:ind w:firstLine="560" w:firstLineChars="200"/>
        <w:jc w:val="left"/>
        <w:rPr>
          <w:rFonts w:hint="eastAsia" w:ascii="宋体" w:hAnsi="宋体" w:cs="宋体"/>
          <w:sz w:val="28"/>
          <w:szCs w:val="28"/>
          <w:u w:val="single"/>
        </w:rPr>
      </w:pPr>
      <w:r>
        <w:rPr>
          <w:rFonts w:hint="eastAsia" w:ascii="宋体" w:hAnsi="宋体" w:cs="宋体"/>
          <w:kern w:val="0"/>
          <w:sz w:val="28"/>
          <w:szCs w:val="28"/>
        </w:rPr>
        <w:t>发包人未按本合同约定接收全部或部分工程的，违约金的计算方法为：</w:t>
      </w:r>
      <w:r>
        <w:rPr>
          <w:rFonts w:hint="eastAsia" w:ascii="宋体" w:hAnsi="宋体" w:cs="宋体"/>
          <w:sz w:val="28"/>
          <w:szCs w:val="28"/>
          <w:u w:val="single"/>
        </w:rPr>
        <w:t xml:space="preserve"> 发包人承担工程照管、成品保护、保管等与工程有关的费用       </w:t>
      </w:r>
      <w:r>
        <w:rPr>
          <w:rFonts w:hint="eastAsia" w:ascii="宋体" w:hAnsi="宋体" w:cs="宋体"/>
          <w:sz w:val="28"/>
          <w:szCs w:val="28"/>
        </w:rPr>
        <w:t>。</w:t>
      </w:r>
    </w:p>
    <w:p w14:paraId="2496A34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承包人未按时移交工程的，违约金的计算方法为：发</w:t>
      </w:r>
      <w:r>
        <w:rPr>
          <w:rFonts w:hint="eastAsia" w:ascii="宋体" w:hAnsi="宋体" w:cs="宋体"/>
          <w:sz w:val="28"/>
          <w:szCs w:val="28"/>
          <w:u w:val="single"/>
        </w:rPr>
        <w:t>包人承担工程照管、成品保护、保管等与工程有关的费用</w:t>
      </w:r>
      <w:r>
        <w:rPr>
          <w:rFonts w:hint="eastAsia" w:ascii="宋体" w:hAnsi="宋体" w:cs="宋体"/>
          <w:sz w:val="28"/>
          <w:szCs w:val="28"/>
        </w:rPr>
        <w:t>。</w:t>
      </w:r>
    </w:p>
    <w:p w14:paraId="4FD45C9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13.3 工程试车</w:t>
      </w:r>
    </w:p>
    <w:p w14:paraId="2BF980ED">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13.3.1 试车程序</w:t>
      </w:r>
    </w:p>
    <w:p w14:paraId="7A47A6BF">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工程试车内容：</w:t>
      </w:r>
      <w:r>
        <w:rPr>
          <w:rFonts w:hint="eastAsia" w:ascii="宋体" w:hAnsi="宋体" w:cs="宋体"/>
          <w:sz w:val="28"/>
          <w:szCs w:val="28"/>
          <w:u w:val="single"/>
        </w:rPr>
        <w:t xml:space="preserve">                   </w:t>
      </w:r>
      <w:r>
        <w:rPr>
          <w:rFonts w:hint="eastAsia" w:ascii="宋体" w:hAnsi="宋体" w:cs="宋体"/>
          <w:sz w:val="28"/>
          <w:szCs w:val="28"/>
        </w:rPr>
        <w:t>。</w:t>
      </w:r>
    </w:p>
    <w:p w14:paraId="2E88E60F">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（1）单机无负荷试车费用由</w:t>
      </w:r>
      <w:r>
        <w:rPr>
          <w:rFonts w:hint="eastAsia" w:ascii="宋体" w:hAnsi="宋体" w:cs="宋体"/>
          <w:sz w:val="28"/>
          <w:szCs w:val="28"/>
          <w:u w:val="single"/>
        </w:rPr>
        <w:t xml:space="preserve">                  </w:t>
      </w:r>
      <w:r>
        <w:rPr>
          <w:rFonts w:hint="eastAsia" w:ascii="宋体" w:hAnsi="宋体" w:cs="宋体"/>
          <w:kern w:val="0"/>
          <w:sz w:val="28"/>
          <w:szCs w:val="28"/>
        </w:rPr>
        <w:t>承担；</w:t>
      </w:r>
    </w:p>
    <w:p w14:paraId="5B35449E">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（2）无负荷联动试车费用由</w:t>
      </w:r>
      <w:r>
        <w:rPr>
          <w:rFonts w:hint="eastAsia" w:ascii="宋体" w:hAnsi="宋体" w:cs="宋体"/>
          <w:sz w:val="28"/>
          <w:szCs w:val="28"/>
          <w:u w:val="single"/>
        </w:rPr>
        <w:t xml:space="preserve">                  </w:t>
      </w:r>
      <w:r>
        <w:rPr>
          <w:rFonts w:hint="eastAsia" w:ascii="宋体" w:hAnsi="宋体" w:cs="宋体"/>
          <w:kern w:val="0"/>
          <w:sz w:val="28"/>
          <w:szCs w:val="28"/>
        </w:rPr>
        <w:t>承担。</w:t>
      </w:r>
    </w:p>
    <w:p w14:paraId="3DFEBD11">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13.3.3 投料试车</w:t>
      </w:r>
    </w:p>
    <w:p w14:paraId="454952B1">
      <w:pPr>
        <w:spacing w:line="360" w:lineRule="auto"/>
        <w:jc w:val="left"/>
        <w:rPr>
          <w:rFonts w:hint="eastAsia" w:ascii="宋体" w:hAnsi="宋体" w:cs="宋体"/>
          <w:kern w:val="0"/>
          <w:sz w:val="28"/>
          <w:szCs w:val="28"/>
        </w:rPr>
      </w:pPr>
      <w:r>
        <w:rPr>
          <w:rFonts w:hint="eastAsia" w:ascii="宋体" w:hAnsi="宋体" w:cs="宋体"/>
          <w:kern w:val="0"/>
          <w:sz w:val="28"/>
          <w:szCs w:val="28"/>
        </w:rPr>
        <w:t>关于投料试车相关事项的约定：</w:t>
      </w:r>
      <w:r>
        <w:rPr>
          <w:rFonts w:hint="eastAsia" w:ascii="宋体" w:hAnsi="宋体" w:cs="宋体"/>
          <w:sz w:val="28"/>
          <w:szCs w:val="28"/>
          <w:u w:val="single"/>
        </w:rPr>
        <w:t xml:space="preserve">      /              </w:t>
      </w:r>
      <w:r>
        <w:rPr>
          <w:rFonts w:hint="eastAsia" w:ascii="宋体" w:hAnsi="宋体" w:cs="宋体"/>
          <w:sz w:val="28"/>
          <w:szCs w:val="28"/>
        </w:rPr>
        <w:t>。</w:t>
      </w:r>
    </w:p>
    <w:p w14:paraId="40BF51D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13.6 竣工退场</w:t>
      </w:r>
    </w:p>
    <w:p w14:paraId="5FF20B2B">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13.6.1 竣工退场</w:t>
      </w:r>
    </w:p>
    <w:p w14:paraId="7DEAA9E3">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承包人完成竣工退场的期限：</w:t>
      </w:r>
      <w:r>
        <w:rPr>
          <w:rFonts w:hint="eastAsia" w:ascii="宋体" w:hAnsi="宋体" w:cs="宋体"/>
          <w:kern w:val="0"/>
          <w:sz w:val="28"/>
          <w:szCs w:val="28"/>
          <w:u w:val="single"/>
        </w:rPr>
        <w:t>按照通用条款第13.6.1项规定执行</w:t>
      </w:r>
      <w:r>
        <w:rPr>
          <w:rFonts w:hint="eastAsia" w:ascii="宋体" w:hAnsi="宋体" w:cs="宋体"/>
          <w:sz w:val="28"/>
          <w:szCs w:val="28"/>
          <w:u w:val="single"/>
        </w:rPr>
        <w:t xml:space="preserve"> </w:t>
      </w:r>
      <w:r>
        <w:rPr>
          <w:rFonts w:hint="eastAsia" w:ascii="宋体" w:hAnsi="宋体" w:cs="宋体"/>
          <w:kern w:val="0"/>
          <w:sz w:val="28"/>
          <w:szCs w:val="28"/>
        </w:rPr>
        <w:t>。</w:t>
      </w:r>
    </w:p>
    <w:p w14:paraId="215BE548">
      <w:pPr>
        <w:outlineLvl w:val="2"/>
        <w:rPr>
          <w:rFonts w:hint="eastAsia" w:ascii="宋体" w:hAnsi="宋体" w:cs="宋体"/>
          <w:b/>
          <w:sz w:val="28"/>
          <w:szCs w:val="28"/>
        </w:rPr>
      </w:pPr>
      <w:bookmarkStart w:id="141" w:name="_Toc256000190"/>
      <w:bookmarkStart w:id="142" w:name="_Toc256000134"/>
      <w:bookmarkStart w:id="143" w:name="_Toc256000165"/>
      <w:bookmarkStart w:id="144" w:name="_Toc256000249"/>
      <w:bookmarkStart w:id="145" w:name="_Toc256000119"/>
      <w:r>
        <w:rPr>
          <w:rFonts w:hint="eastAsia" w:ascii="宋体" w:hAnsi="宋体" w:cs="宋体"/>
          <w:b/>
          <w:sz w:val="28"/>
          <w:szCs w:val="28"/>
        </w:rPr>
        <w:t>14. 竣工结算</w:t>
      </w:r>
      <w:bookmarkEnd w:id="141"/>
      <w:bookmarkEnd w:id="142"/>
      <w:bookmarkEnd w:id="143"/>
      <w:bookmarkEnd w:id="144"/>
      <w:bookmarkEnd w:id="145"/>
    </w:p>
    <w:p w14:paraId="4C972E0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14.1 竣工结算申请</w:t>
      </w:r>
    </w:p>
    <w:p w14:paraId="54C39F6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承包人提交竣工结算申请单的期限：</w:t>
      </w:r>
      <w:r>
        <w:rPr>
          <w:rFonts w:hint="eastAsia" w:ascii="宋体" w:hAnsi="宋体" w:cs="宋体"/>
          <w:sz w:val="28"/>
          <w:szCs w:val="28"/>
          <w:u w:val="single"/>
        </w:rPr>
        <w:t>甲乙双方签字盖章确认造价审核报告之日30日内</w:t>
      </w:r>
      <w:r>
        <w:rPr>
          <w:rFonts w:hint="eastAsia" w:ascii="宋体" w:hAnsi="宋体" w:cs="宋体"/>
          <w:sz w:val="28"/>
          <w:szCs w:val="28"/>
        </w:rPr>
        <w:t>。</w:t>
      </w:r>
    </w:p>
    <w:p w14:paraId="15B83BB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竣工结算申请单应包括的内容：</w:t>
      </w:r>
      <w:r>
        <w:rPr>
          <w:rFonts w:hint="eastAsia" w:ascii="宋体" w:hAnsi="宋体" w:cs="宋体"/>
          <w:sz w:val="28"/>
          <w:szCs w:val="28"/>
          <w:u w:val="single"/>
        </w:rPr>
        <w:t>按照通用条款第14.1项规定执行</w:t>
      </w:r>
      <w:r>
        <w:rPr>
          <w:rFonts w:hint="eastAsia" w:ascii="宋体" w:hAnsi="宋体" w:cs="宋体"/>
          <w:sz w:val="28"/>
          <w:szCs w:val="28"/>
        </w:rPr>
        <w:t>。</w:t>
      </w:r>
    </w:p>
    <w:p w14:paraId="2324862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14.2 竣工结算审核</w:t>
      </w:r>
    </w:p>
    <w:p w14:paraId="1DD686D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发包人审批竣工付款申请单的期限：</w:t>
      </w:r>
      <w:r>
        <w:rPr>
          <w:rFonts w:hint="eastAsia" w:ascii="宋体" w:hAnsi="宋体" w:cs="宋体"/>
          <w:sz w:val="28"/>
          <w:szCs w:val="28"/>
          <w:u w:val="single"/>
        </w:rPr>
        <w:t>以甲乙双方在造价咨询部门出具的造价审核报告书签字确认的日期为准</w:t>
      </w:r>
      <w:r>
        <w:rPr>
          <w:rFonts w:hint="eastAsia" w:ascii="宋体" w:hAnsi="宋体" w:cs="宋体"/>
          <w:sz w:val="28"/>
          <w:szCs w:val="28"/>
        </w:rPr>
        <w:t>。</w:t>
      </w:r>
    </w:p>
    <w:p w14:paraId="4E802B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发包人完成竣工付款的期限：</w:t>
      </w:r>
      <w:r>
        <w:rPr>
          <w:rFonts w:hint="eastAsia" w:ascii="宋体" w:hAnsi="宋体" w:cs="宋体"/>
          <w:sz w:val="28"/>
          <w:szCs w:val="28"/>
          <w:u w:val="single"/>
        </w:rPr>
        <w:t xml:space="preserve">甲乙双方确认造价审核报告之日起30日内 </w:t>
      </w:r>
      <w:r>
        <w:rPr>
          <w:rFonts w:hint="eastAsia" w:ascii="宋体" w:hAnsi="宋体" w:cs="宋体"/>
          <w:sz w:val="28"/>
          <w:szCs w:val="28"/>
        </w:rPr>
        <w:t>。</w:t>
      </w:r>
    </w:p>
    <w:p w14:paraId="316D01C6">
      <w:pPr>
        <w:spacing w:line="360" w:lineRule="auto"/>
        <w:jc w:val="left"/>
        <w:rPr>
          <w:rFonts w:hint="eastAsia" w:ascii="宋体" w:hAnsi="宋体" w:cs="宋体"/>
          <w:sz w:val="28"/>
          <w:szCs w:val="28"/>
        </w:rPr>
      </w:pPr>
      <w:r>
        <w:rPr>
          <w:rFonts w:hint="eastAsia" w:ascii="宋体" w:hAnsi="宋体" w:cs="宋体"/>
          <w:sz w:val="28"/>
          <w:szCs w:val="28"/>
        </w:rPr>
        <w:t>关于竣工付款证书异议部分复核的方式和程序：</w:t>
      </w:r>
      <w:r>
        <w:rPr>
          <w:rFonts w:hint="eastAsia" w:ascii="宋体" w:hAnsi="宋体" w:cs="宋体"/>
          <w:sz w:val="28"/>
          <w:szCs w:val="28"/>
          <w:u w:val="single"/>
        </w:rPr>
        <w:t xml:space="preserve">     /     </w:t>
      </w:r>
      <w:r>
        <w:rPr>
          <w:rFonts w:hint="eastAsia" w:ascii="宋体" w:hAnsi="宋体" w:cs="宋体"/>
          <w:sz w:val="28"/>
          <w:szCs w:val="28"/>
        </w:rPr>
        <w:t>。</w:t>
      </w:r>
    </w:p>
    <w:p w14:paraId="4D660F4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14.4 最终结清</w:t>
      </w:r>
    </w:p>
    <w:p w14:paraId="33A61DC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14.4.1 最终结清申请单</w:t>
      </w:r>
    </w:p>
    <w:p w14:paraId="11744E43">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承包人提交最终结清申请单的份数：</w:t>
      </w:r>
      <w:r>
        <w:rPr>
          <w:rFonts w:hint="eastAsia" w:ascii="宋体" w:hAnsi="宋体" w:cs="宋体"/>
          <w:sz w:val="28"/>
          <w:szCs w:val="28"/>
          <w:u w:val="single"/>
        </w:rPr>
        <w:t xml:space="preserve">       三份       </w:t>
      </w:r>
      <w:r>
        <w:rPr>
          <w:rFonts w:hint="eastAsia" w:ascii="宋体" w:hAnsi="宋体" w:cs="宋体"/>
          <w:sz w:val="28"/>
          <w:szCs w:val="28"/>
        </w:rPr>
        <w:t>。</w:t>
      </w:r>
    </w:p>
    <w:p w14:paraId="11CBCDB0">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承包人提交最终结算申请单的期限：</w:t>
      </w:r>
      <w:r>
        <w:rPr>
          <w:rFonts w:hint="eastAsia" w:ascii="宋体" w:hAnsi="宋体" w:cs="宋体"/>
          <w:kern w:val="0"/>
          <w:sz w:val="28"/>
          <w:szCs w:val="28"/>
          <w:u w:val="single"/>
        </w:rPr>
        <w:t>在缺陷责任期终止证书颁发后七天内</w:t>
      </w:r>
      <w:r>
        <w:rPr>
          <w:rFonts w:hint="eastAsia" w:ascii="宋体" w:hAnsi="宋体" w:cs="宋体"/>
          <w:sz w:val="28"/>
          <w:szCs w:val="28"/>
        </w:rPr>
        <w:t xml:space="preserve">。 </w:t>
      </w:r>
    </w:p>
    <w:p w14:paraId="6F0D5B4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14.4.2 最终结清证书和支付</w:t>
      </w:r>
    </w:p>
    <w:p w14:paraId="1471EAA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（1）发包人完成最终结清申请单的审批并颁发最终结清证书的期限：</w:t>
      </w:r>
      <w:r>
        <w:rPr>
          <w:rFonts w:hint="eastAsia" w:ascii="宋体" w:hAnsi="宋体" w:cs="宋体"/>
          <w:sz w:val="28"/>
          <w:szCs w:val="28"/>
          <w:u w:val="single"/>
        </w:rPr>
        <w:t xml:space="preserve"> 在收到承包人提交的最终结清申请后30天内完成      </w:t>
      </w:r>
      <w:r>
        <w:rPr>
          <w:rFonts w:hint="eastAsia" w:ascii="宋体" w:hAnsi="宋体" w:cs="宋体"/>
          <w:sz w:val="28"/>
          <w:szCs w:val="28"/>
        </w:rPr>
        <w:t>。</w:t>
      </w:r>
    </w:p>
    <w:p w14:paraId="1F358E1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（2）发包人完成支付的期限：</w:t>
      </w:r>
      <w:r>
        <w:rPr>
          <w:rFonts w:hint="eastAsia" w:ascii="宋体" w:hAnsi="宋体" w:cs="宋体"/>
          <w:sz w:val="28"/>
          <w:szCs w:val="28"/>
          <w:u w:val="single"/>
        </w:rPr>
        <w:t>在颁发最终结清证书后7天内完成支付</w:t>
      </w:r>
      <w:r>
        <w:rPr>
          <w:rFonts w:hint="eastAsia" w:ascii="宋体" w:hAnsi="宋体" w:cs="宋体"/>
          <w:sz w:val="28"/>
          <w:szCs w:val="28"/>
        </w:rPr>
        <w:t>。</w:t>
      </w:r>
    </w:p>
    <w:p w14:paraId="03959100">
      <w:pPr>
        <w:outlineLvl w:val="2"/>
        <w:rPr>
          <w:rFonts w:hint="eastAsia" w:ascii="宋体" w:hAnsi="宋体" w:cs="宋体"/>
          <w:b/>
          <w:sz w:val="28"/>
          <w:szCs w:val="28"/>
        </w:rPr>
      </w:pPr>
      <w:bookmarkStart w:id="146" w:name="_Toc256000124"/>
      <w:bookmarkStart w:id="147" w:name="_Toc256000191"/>
      <w:bookmarkStart w:id="148" w:name="_Toc256000166"/>
      <w:bookmarkStart w:id="149" w:name="_Toc256000250"/>
      <w:bookmarkStart w:id="150" w:name="_Toc256000135"/>
      <w:r>
        <w:rPr>
          <w:rFonts w:hint="eastAsia" w:ascii="宋体" w:hAnsi="宋体" w:cs="宋体"/>
          <w:b/>
          <w:sz w:val="28"/>
          <w:szCs w:val="28"/>
        </w:rPr>
        <w:t>15. 缺陷责任期与保修</w:t>
      </w:r>
      <w:bookmarkEnd w:id="146"/>
      <w:bookmarkEnd w:id="147"/>
      <w:bookmarkEnd w:id="148"/>
      <w:bookmarkEnd w:id="149"/>
      <w:bookmarkEnd w:id="150"/>
    </w:p>
    <w:p w14:paraId="33BBBD5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15.2缺陷责任期</w:t>
      </w:r>
    </w:p>
    <w:p w14:paraId="3842D66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缺陷责任期的具体期限：</w:t>
      </w:r>
      <w:r>
        <w:rPr>
          <w:rFonts w:hint="eastAsia" w:ascii="宋体" w:hAnsi="宋体" w:cs="宋体"/>
          <w:sz w:val="28"/>
          <w:szCs w:val="28"/>
          <w:u w:val="single"/>
        </w:rPr>
        <w:t xml:space="preserve">  12个月          </w:t>
      </w:r>
      <w:r>
        <w:rPr>
          <w:rFonts w:hint="eastAsia" w:ascii="宋体" w:hAnsi="宋体" w:cs="宋体"/>
          <w:sz w:val="28"/>
          <w:szCs w:val="28"/>
        </w:rPr>
        <w:t>。</w:t>
      </w:r>
    </w:p>
    <w:p w14:paraId="57425FC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15.3 质量保证金</w:t>
      </w:r>
    </w:p>
    <w:p w14:paraId="067D6F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关于是否扣留质量保证金的约定：</w:t>
      </w:r>
      <w:r>
        <w:rPr>
          <w:rFonts w:hint="eastAsia" w:ascii="宋体" w:hAnsi="宋体" w:cs="宋体"/>
          <w:sz w:val="28"/>
          <w:szCs w:val="28"/>
          <w:u w:val="single"/>
        </w:rPr>
        <w:t xml:space="preserve"> 扣留质量保证金</w:t>
      </w:r>
      <w:r>
        <w:rPr>
          <w:rFonts w:hint="eastAsia" w:ascii="宋体" w:hAnsi="宋体" w:cs="宋体"/>
          <w:sz w:val="28"/>
          <w:szCs w:val="28"/>
        </w:rPr>
        <w:t>。</w:t>
      </w:r>
    </w:p>
    <w:p w14:paraId="49861C0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在工程项目竣工前，承包人按专用合同条款第3.7条提供履约担保的，发包人不得同时预留工程质量保证金。</w:t>
      </w:r>
    </w:p>
    <w:p w14:paraId="1A0F732A">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15.3.1 承包人提供质量保证金的方式</w:t>
      </w:r>
    </w:p>
    <w:p w14:paraId="743FB49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质量保证金采用以下第</w:t>
      </w:r>
      <w:r>
        <w:rPr>
          <w:rFonts w:hint="eastAsia" w:ascii="宋体" w:hAnsi="宋体" w:cs="宋体"/>
          <w:sz w:val="28"/>
          <w:szCs w:val="28"/>
          <w:u w:val="single"/>
        </w:rPr>
        <w:t xml:space="preserve">  2   </w:t>
      </w:r>
      <w:r>
        <w:rPr>
          <w:rFonts w:hint="eastAsia" w:ascii="宋体" w:hAnsi="宋体" w:cs="宋体"/>
          <w:sz w:val="28"/>
          <w:szCs w:val="28"/>
        </w:rPr>
        <w:t>种方式：</w:t>
      </w:r>
    </w:p>
    <w:p w14:paraId="2D703250">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（1）质量保证金保函，保证金额为：</w:t>
      </w:r>
      <w:r>
        <w:rPr>
          <w:rFonts w:hint="eastAsia" w:ascii="宋体" w:hAnsi="宋体" w:cs="宋体"/>
          <w:kern w:val="0"/>
          <w:sz w:val="28"/>
          <w:szCs w:val="28"/>
          <w:u w:val="single"/>
        </w:rPr>
        <w:t xml:space="preserve">       /            </w:t>
      </w:r>
      <w:r>
        <w:rPr>
          <w:rFonts w:hint="eastAsia" w:ascii="宋体" w:hAnsi="宋体" w:cs="宋体"/>
          <w:kern w:val="0"/>
          <w:sz w:val="28"/>
          <w:szCs w:val="28"/>
        </w:rPr>
        <w:t xml:space="preserve">； </w:t>
      </w:r>
    </w:p>
    <w:p w14:paraId="07A99DCC">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3   </w:t>
      </w:r>
      <w:r>
        <w:rPr>
          <w:rFonts w:hint="eastAsia" w:ascii="宋体" w:hAnsi="宋体" w:cs="宋体"/>
          <w:kern w:val="0"/>
          <w:sz w:val="28"/>
          <w:szCs w:val="28"/>
        </w:rPr>
        <w:t>%的工程款；</w:t>
      </w:r>
    </w:p>
    <w:p w14:paraId="38E7B6FD">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（3）其他方式:</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15FCF038">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 xml:space="preserve">15.3.2 质量保证金的扣留 </w:t>
      </w:r>
    </w:p>
    <w:p w14:paraId="1F4EFBE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质量保证金的扣留采取以下第</w:t>
      </w:r>
      <w:r>
        <w:rPr>
          <w:rFonts w:hint="eastAsia" w:ascii="宋体" w:hAnsi="宋体" w:cs="宋体"/>
          <w:sz w:val="28"/>
          <w:szCs w:val="28"/>
          <w:u w:val="single"/>
        </w:rPr>
        <w:t xml:space="preserve">    /  </w:t>
      </w:r>
      <w:r>
        <w:rPr>
          <w:rFonts w:hint="eastAsia" w:ascii="宋体" w:hAnsi="宋体" w:cs="宋体"/>
          <w:sz w:val="28"/>
          <w:szCs w:val="28"/>
        </w:rPr>
        <w:t>种方式：</w:t>
      </w:r>
    </w:p>
    <w:p w14:paraId="5E3A0624">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（1）在支付工程进度款时逐次扣留，在此情形下，质量保证金的计算基数不包括预付款的支付、扣回以及价格调整的金额；</w:t>
      </w:r>
    </w:p>
    <w:p w14:paraId="5208B864">
      <w:pPr>
        <w:spacing w:line="360" w:lineRule="auto"/>
        <w:ind w:firstLine="546" w:firstLineChars="195"/>
        <w:jc w:val="left"/>
        <w:rPr>
          <w:rFonts w:hint="eastAsia" w:ascii="宋体" w:hAnsi="宋体" w:cs="宋体"/>
          <w:kern w:val="0"/>
          <w:sz w:val="28"/>
          <w:szCs w:val="28"/>
        </w:rPr>
      </w:pPr>
      <w:r>
        <w:rPr>
          <w:rFonts w:hint="eastAsia" w:ascii="宋体" w:hAnsi="宋体" w:cs="宋体"/>
          <w:kern w:val="0"/>
          <w:sz w:val="28"/>
          <w:szCs w:val="28"/>
        </w:rPr>
        <w:t>（2）工程竣工结算时一次性扣留质量保证金；</w:t>
      </w:r>
    </w:p>
    <w:p w14:paraId="4DC9AC90">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（3）其他扣留方式:</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1C5A0209">
      <w:pPr>
        <w:spacing w:line="360" w:lineRule="auto"/>
        <w:jc w:val="left"/>
        <w:rPr>
          <w:rFonts w:hint="eastAsia" w:ascii="宋体" w:hAnsi="宋体" w:cs="宋体"/>
          <w:sz w:val="28"/>
          <w:szCs w:val="28"/>
        </w:rPr>
      </w:pPr>
      <w:r>
        <w:rPr>
          <w:rFonts w:hint="eastAsia" w:ascii="宋体" w:hAnsi="宋体" w:cs="宋体"/>
          <w:sz w:val="28"/>
          <w:szCs w:val="28"/>
        </w:rPr>
        <w:t>关于质量保证金的补充约定：</w:t>
      </w:r>
      <w:r>
        <w:rPr>
          <w:rFonts w:hint="eastAsia" w:ascii="宋体" w:hAnsi="宋体" w:cs="宋体"/>
          <w:kern w:val="0"/>
          <w:sz w:val="28"/>
          <w:szCs w:val="28"/>
          <w:u w:val="single"/>
        </w:rPr>
        <w:t xml:space="preserve"> 按各类工程质量质保期限分期支付 </w:t>
      </w:r>
      <w:r>
        <w:rPr>
          <w:rFonts w:hint="eastAsia" w:ascii="宋体" w:hAnsi="宋体" w:cs="宋体"/>
          <w:kern w:val="0"/>
          <w:sz w:val="28"/>
          <w:szCs w:val="28"/>
        </w:rPr>
        <w:t>。</w:t>
      </w:r>
    </w:p>
    <w:p w14:paraId="674D17A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15.4保修</w:t>
      </w:r>
    </w:p>
    <w:p w14:paraId="3D249F54">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15.4.1 保修责任</w:t>
      </w:r>
    </w:p>
    <w:p w14:paraId="540540EE">
      <w:pPr>
        <w:spacing w:line="360" w:lineRule="auto"/>
        <w:jc w:val="left"/>
        <w:rPr>
          <w:rFonts w:hint="eastAsia" w:ascii="宋体" w:hAnsi="宋体" w:cs="宋体"/>
          <w:kern w:val="0"/>
          <w:sz w:val="28"/>
          <w:szCs w:val="28"/>
        </w:rPr>
      </w:pPr>
      <w:r>
        <w:rPr>
          <w:rFonts w:hint="eastAsia" w:ascii="宋体" w:hAnsi="宋体" w:cs="宋体"/>
          <w:sz w:val="28"/>
          <w:szCs w:val="28"/>
        </w:rPr>
        <w:t>工程保修期为：</w:t>
      </w:r>
      <w:r>
        <w:rPr>
          <w:rFonts w:hint="eastAsia" w:ascii="宋体" w:hAnsi="宋体" w:cs="宋体"/>
          <w:kern w:val="0"/>
          <w:sz w:val="28"/>
          <w:szCs w:val="28"/>
          <w:u w:val="single"/>
        </w:rPr>
        <w:t xml:space="preserve"> 见工程质量保修书        </w:t>
      </w:r>
      <w:r>
        <w:rPr>
          <w:rFonts w:hint="eastAsia" w:ascii="宋体" w:hAnsi="宋体" w:cs="宋体"/>
          <w:kern w:val="0"/>
          <w:sz w:val="28"/>
          <w:szCs w:val="28"/>
        </w:rPr>
        <w:t>。</w:t>
      </w:r>
    </w:p>
    <w:p w14:paraId="087983D6">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15.4.3 修复通知</w:t>
      </w:r>
    </w:p>
    <w:p w14:paraId="6CAAAAB7">
      <w:pPr>
        <w:spacing w:line="360" w:lineRule="auto"/>
        <w:jc w:val="left"/>
        <w:rPr>
          <w:rFonts w:hint="eastAsia" w:ascii="宋体" w:hAnsi="宋体" w:cs="宋体"/>
          <w:kern w:val="0"/>
          <w:sz w:val="28"/>
          <w:szCs w:val="28"/>
        </w:rPr>
      </w:pPr>
      <w:r>
        <w:rPr>
          <w:rFonts w:hint="eastAsia" w:ascii="宋体" w:hAnsi="宋体" w:cs="宋体"/>
          <w:kern w:val="0"/>
          <w:sz w:val="28"/>
          <w:szCs w:val="28"/>
        </w:rPr>
        <w:t>承包人收到保修通知并到达工程现场的合理时间：</w:t>
      </w:r>
      <w:r>
        <w:rPr>
          <w:rFonts w:hint="eastAsia" w:ascii="宋体" w:hAnsi="宋体" w:cs="宋体"/>
          <w:kern w:val="0"/>
          <w:sz w:val="28"/>
          <w:szCs w:val="28"/>
          <w:u w:val="single"/>
        </w:rPr>
        <w:t xml:space="preserve"> 按照通用条款第15.4.3项规定执行      </w:t>
      </w:r>
      <w:r>
        <w:rPr>
          <w:rFonts w:hint="eastAsia" w:ascii="宋体" w:hAnsi="宋体" w:cs="宋体"/>
          <w:kern w:val="0"/>
          <w:sz w:val="28"/>
          <w:szCs w:val="28"/>
        </w:rPr>
        <w:t>。</w:t>
      </w:r>
    </w:p>
    <w:p w14:paraId="061E1FF8">
      <w:pPr>
        <w:outlineLvl w:val="2"/>
        <w:rPr>
          <w:rFonts w:hint="eastAsia" w:ascii="宋体" w:hAnsi="宋体" w:cs="宋体"/>
          <w:b/>
          <w:sz w:val="28"/>
          <w:szCs w:val="28"/>
        </w:rPr>
      </w:pPr>
      <w:bookmarkStart w:id="151" w:name="_Toc256000167"/>
      <w:bookmarkStart w:id="152" w:name="_Toc256000251"/>
      <w:bookmarkStart w:id="153" w:name="_Toc256000140"/>
      <w:bookmarkStart w:id="154" w:name="_Toc256000192"/>
      <w:bookmarkStart w:id="155" w:name="_Toc256000136"/>
      <w:r>
        <w:rPr>
          <w:rFonts w:hint="eastAsia" w:ascii="宋体" w:hAnsi="宋体" w:cs="宋体"/>
          <w:b/>
          <w:sz w:val="28"/>
          <w:szCs w:val="28"/>
        </w:rPr>
        <w:t>16. 违约</w:t>
      </w:r>
      <w:bookmarkEnd w:id="151"/>
      <w:bookmarkEnd w:id="152"/>
      <w:bookmarkEnd w:id="153"/>
      <w:bookmarkEnd w:id="154"/>
      <w:bookmarkEnd w:id="155"/>
    </w:p>
    <w:p w14:paraId="7C32500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16.1 发包人违约</w:t>
      </w:r>
    </w:p>
    <w:p w14:paraId="4E37907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16.1.1发包人违约的情形</w:t>
      </w:r>
    </w:p>
    <w:p w14:paraId="675E30DB">
      <w:pPr>
        <w:spacing w:line="360" w:lineRule="auto"/>
        <w:ind w:left="1400" w:hanging="1400" w:hangingChars="500"/>
        <w:jc w:val="left"/>
        <w:rPr>
          <w:rFonts w:hint="eastAsia" w:ascii="宋体" w:hAnsi="宋体" w:cs="宋体"/>
          <w:kern w:val="0"/>
          <w:sz w:val="28"/>
          <w:szCs w:val="28"/>
        </w:rPr>
      </w:pPr>
      <w:r>
        <w:rPr>
          <w:rFonts w:hint="eastAsia" w:ascii="宋体" w:hAnsi="宋体" w:cs="宋体"/>
          <w:kern w:val="0"/>
          <w:sz w:val="28"/>
          <w:szCs w:val="28"/>
        </w:rPr>
        <w:t>发包人违约的其他情形：</w:t>
      </w:r>
      <w:r>
        <w:rPr>
          <w:rFonts w:hint="eastAsia" w:ascii="宋体" w:hAnsi="宋体" w:cs="宋体"/>
          <w:kern w:val="0"/>
          <w:sz w:val="28"/>
          <w:szCs w:val="28"/>
          <w:u w:val="single"/>
        </w:rPr>
        <w:t xml:space="preserve">  按照通用条款执行          </w:t>
      </w:r>
      <w:r>
        <w:rPr>
          <w:rFonts w:hint="eastAsia" w:ascii="宋体" w:hAnsi="宋体" w:cs="宋体"/>
          <w:kern w:val="0"/>
          <w:sz w:val="28"/>
          <w:szCs w:val="28"/>
        </w:rPr>
        <w:t>。</w:t>
      </w:r>
    </w:p>
    <w:p w14:paraId="7FD7C2CE">
      <w:pPr>
        <w:spacing w:line="360" w:lineRule="auto"/>
        <w:ind w:left="1400" w:hanging="1400" w:hangingChars="500"/>
        <w:jc w:val="left"/>
        <w:rPr>
          <w:rFonts w:hint="eastAsia" w:ascii="宋体" w:hAnsi="宋体" w:cs="宋体"/>
          <w:kern w:val="0"/>
          <w:sz w:val="28"/>
          <w:szCs w:val="28"/>
        </w:rPr>
      </w:pPr>
      <w:r>
        <w:rPr>
          <w:rFonts w:hint="eastAsia" w:ascii="宋体" w:hAnsi="宋体" w:cs="宋体"/>
          <w:kern w:val="0"/>
          <w:sz w:val="28"/>
          <w:szCs w:val="28"/>
        </w:rPr>
        <w:t xml:space="preserve">    16.1.2 发包人违约的责任</w:t>
      </w:r>
    </w:p>
    <w:p w14:paraId="5D02045B">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发包人违约责任的承担方式和计算方法：</w:t>
      </w:r>
    </w:p>
    <w:p w14:paraId="021E21CE">
      <w:pPr>
        <w:spacing w:line="360" w:lineRule="auto"/>
        <w:ind w:firstLine="560" w:firstLineChars="200"/>
        <w:jc w:val="left"/>
        <w:rPr>
          <w:rFonts w:hint="eastAsia" w:ascii="宋体" w:hAnsi="宋体" w:cs="宋体"/>
          <w:kern w:val="0"/>
          <w:sz w:val="28"/>
          <w:szCs w:val="28"/>
          <w:u w:val="single"/>
        </w:rPr>
      </w:pPr>
      <w:r>
        <w:rPr>
          <w:rFonts w:hint="eastAsia" w:ascii="宋体" w:hAnsi="宋体" w:cs="宋体"/>
          <w:kern w:val="0"/>
          <w:sz w:val="28"/>
          <w:szCs w:val="28"/>
        </w:rPr>
        <w:t>（1）因发包人原因未能在计划开工日期前7天内下达开工通知的违约责任：</w:t>
      </w:r>
      <w:r>
        <w:rPr>
          <w:rFonts w:hint="eastAsia" w:ascii="宋体" w:hAnsi="宋体" w:cs="宋体"/>
          <w:kern w:val="0"/>
          <w:sz w:val="28"/>
          <w:szCs w:val="28"/>
          <w:u w:val="single"/>
        </w:rPr>
        <w:t xml:space="preserve">工期顺延    </w:t>
      </w:r>
      <w:r>
        <w:rPr>
          <w:rFonts w:hint="eastAsia" w:ascii="宋体" w:hAnsi="宋体" w:cs="宋体"/>
          <w:kern w:val="0"/>
          <w:sz w:val="28"/>
          <w:szCs w:val="28"/>
        </w:rPr>
        <w:t>。</w:t>
      </w:r>
    </w:p>
    <w:p w14:paraId="0BF0A688">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（2）因发包人原因未能按合同约定支付合同价款的违约责任：</w:t>
      </w:r>
      <w:r>
        <w:rPr>
          <w:rFonts w:hint="eastAsia" w:ascii="宋体" w:hAnsi="宋体" w:cs="宋体"/>
          <w:kern w:val="0"/>
          <w:sz w:val="28"/>
          <w:szCs w:val="28"/>
          <w:u w:val="single"/>
        </w:rPr>
        <w:t xml:space="preserve"> 按照通用条款执行 </w:t>
      </w:r>
      <w:r>
        <w:rPr>
          <w:rFonts w:hint="eastAsia" w:ascii="宋体" w:hAnsi="宋体" w:cs="宋体"/>
          <w:kern w:val="0"/>
          <w:sz w:val="28"/>
          <w:szCs w:val="28"/>
        </w:rPr>
        <w:t>。</w:t>
      </w:r>
    </w:p>
    <w:p w14:paraId="5D91F7DA">
      <w:pPr>
        <w:spacing w:line="360" w:lineRule="auto"/>
        <w:jc w:val="left"/>
        <w:rPr>
          <w:rFonts w:hint="eastAsia" w:ascii="宋体" w:hAnsi="宋体" w:cs="宋体"/>
          <w:kern w:val="0"/>
          <w:sz w:val="28"/>
          <w:szCs w:val="28"/>
        </w:rPr>
      </w:pPr>
      <w:r>
        <w:rPr>
          <w:rFonts w:hint="eastAsia" w:ascii="宋体" w:hAnsi="宋体" w:cs="宋体"/>
          <w:kern w:val="0"/>
          <w:sz w:val="28"/>
          <w:szCs w:val="28"/>
        </w:rPr>
        <w:t>（3）发包人违反第10.1款〔变更的范围〕第（2）项约定，自行实施被取消的工作或转由他人实施的违约责任：</w:t>
      </w:r>
      <w:r>
        <w:rPr>
          <w:rFonts w:hint="eastAsia" w:ascii="宋体" w:hAnsi="宋体" w:cs="宋体"/>
          <w:kern w:val="0"/>
          <w:sz w:val="28"/>
          <w:szCs w:val="28"/>
          <w:u w:val="single"/>
        </w:rPr>
        <w:t>未通过竣工验收的由发包人承担责任</w:t>
      </w:r>
      <w:r>
        <w:rPr>
          <w:rFonts w:hint="eastAsia" w:ascii="宋体" w:hAnsi="宋体" w:cs="宋体"/>
          <w:kern w:val="0"/>
          <w:sz w:val="28"/>
          <w:szCs w:val="28"/>
        </w:rPr>
        <w:t>。</w:t>
      </w:r>
    </w:p>
    <w:p w14:paraId="141A73F7">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（4）发包人提供的材料、工程设备的规格、数量或质量不符合合同约定，或因发包人原因导致交货日期延误或交货地点变更等情况的违约责任：</w:t>
      </w:r>
      <w:r>
        <w:rPr>
          <w:rFonts w:hint="eastAsia" w:ascii="宋体" w:hAnsi="宋体" w:cs="宋体"/>
          <w:kern w:val="0"/>
          <w:sz w:val="28"/>
          <w:szCs w:val="28"/>
          <w:u w:val="single"/>
        </w:rPr>
        <w:t xml:space="preserve"> 发包人承担因此产生的额外费用，并工期顺延  </w:t>
      </w:r>
      <w:r>
        <w:rPr>
          <w:rFonts w:hint="eastAsia" w:ascii="宋体" w:hAnsi="宋体" w:cs="宋体"/>
          <w:kern w:val="0"/>
          <w:sz w:val="28"/>
          <w:szCs w:val="28"/>
        </w:rPr>
        <w:t>。</w:t>
      </w:r>
    </w:p>
    <w:p w14:paraId="0DC10471">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（5）因发包人违反合同约定造成暂停施工的违约责任：</w:t>
      </w:r>
      <w:r>
        <w:rPr>
          <w:rFonts w:hint="eastAsia" w:ascii="宋体" w:hAnsi="宋体" w:cs="宋体"/>
          <w:kern w:val="0"/>
          <w:sz w:val="28"/>
          <w:szCs w:val="28"/>
          <w:u w:val="single"/>
        </w:rPr>
        <w:t xml:space="preserve"> 工期顺延</w:t>
      </w:r>
      <w:r>
        <w:rPr>
          <w:rFonts w:hint="eastAsia" w:ascii="宋体" w:hAnsi="宋体" w:cs="宋体"/>
          <w:kern w:val="0"/>
          <w:sz w:val="28"/>
          <w:szCs w:val="28"/>
        </w:rPr>
        <w:t>。</w:t>
      </w:r>
    </w:p>
    <w:p w14:paraId="7BAFB31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（6）发包人无正当理由没有在约定期限内发出复工指示，导致承包人无法复工的违约责任：</w:t>
      </w:r>
      <w:r>
        <w:rPr>
          <w:rFonts w:hint="eastAsia" w:ascii="宋体" w:hAnsi="宋体" w:cs="宋体"/>
          <w:kern w:val="0"/>
          <w:sz w:val="28"/>
          <w:szCs w:val="28"/>
          <w:u w:val="single"/>
        </w:rPr>
        <w:t xml:space="preserve">  工期顺延          </w:t>
      </w:r>
      <w:r>
        <w:rPr>
          <w:rFonts w:hint="eastAsia" w:ascii="宋体" w:hAnsi="宋体" w:cs="宋体"/>
          <w:kern w:val="0"/>
          <w:sz w:val="28"/>
          <w:szCs w:val="28"/>
        </w:rPr>
        <w:t>。</w:t>
      </w:r>
    </w:p>
    <w:p w14:paraId="4C47268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（7）其他：</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46B8D5B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16.1.3 因发包人违约解除合同</w:t>
      </w:r>
    </w:p>
    <w:p w14:paraId="77D3DBD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承包人按16.1.1项〔发包人违约的情形〕约定暂停施工满</w:t>
      </w:r>
      <w:r>
        <w:rPr>
          <w:rFonts w:hint="eastAsia" w:ascii="宋体" w:hAnsi="宋体" w:cs="宋体"/>
          <w:kern w:val="0"/>
          <w:sz w:val="28"/>
          <w:szCs w:val="28"/>
          <w:u w:val="single"/>
        </w:rPr>
        <w:t xml:space="preserve">  60  </w:t>
      </w:r>
      <w:r>
        <w:rPr>
          <w:rFonts w:hint="eastAsia" w:ascii="宋体" w:hAnsi="宋体" w:cs="宋体"/>
          <w:kern w:val="0"/>
          <w:sz w:val="28"/>
          <w:szCs w:val="28"/>
        </w:rPr>
        <w:t>天后发包人仍不纠正其违约行为并致使合同目的不能实现的，承包人有权解除合同。</w:t>
      </w:r>
    </w:p>
    <w:p w14:paraId="7E08BB3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16.2 承包人违约</w:t>
      </w:r>
    </w:p>
    <w:p w14:paraId="21CC1192">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16.2.1 承包人违约的情形</w:t>
      </w:r>
    </w:p>
    <w:p w14:paraId="69313E60">
      <w:pPr>
        <w:spacing w:line="360" w:lineRule="auto"/>
        <w:jc w:val="left"/>
        <w:rPr>
          <w:rFonts w:hint="eastAsia" w:ascii="宋体" w:hAnsi="宋体" w:cs="宋体"/>
          <w:kern w:val="0"/>
          <w:sz w:val="28"/>
          <w:szCs w:val="28"/>
        </w:rPr>
      </w:pPr>
      <w:r>
        <w:rPr>
          <w:rFonts w:hint="eastAsia" w:ascii="宋体" w:hAnsi="宋体" w:cs="宋体"/>
          <w:kern w:val="0"/>
          <w:sz w:val="28"/>
          <w:szCs w:val="28"/>
        </w:rPr>
        <w:t>承包人违约的其他情形：</w:t>
      </w:r>
      <w:r>
        <w:rPr>
          <w:rFonts w:hint="eastAsia" w:ascii="宋体" w:hAnsi="宋体" w:cs="宋体"/>
          <w:kern w:val="0"/>
          <w:sz w:val="28"/>
          <w:szCs w:val="28"/>
          <w:u w:val="single"/>
        </w:rPr>
        <w:t>按照通用条款第16.2.1项规定执行</w:t>
      </w:r>
      <w:r>
        <w:rPr>
          <w:rFonts w:hint="eastAsia" w:ascii="宋体" w:hAnsi="宋体" w:cs="宋体"/>
          <w:kern w:val="0"/>
          <w:sz w:val="28"/>
          <w:szCs w:val="28"/>
        </w:rPr>
        <w:t>。</w:t>
      </w:r>
    </w:p>
    <w:p w14:paraId="455DC7CE">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16.2.2承包人违约的责任</w:t>
      </w:r>
    </w:p>
    <w:p w14:paraId="2A9B36BE">
      <w:pPr>
        <w:spacing w:line="360" w:lineRule="auto"/>
        <w:ind w:left="1400" w:hanging="1400" w:hangingChars="500"/>
        <w:jc w:val="left"/>
        <w:rPr>
          <w:rFonts w:hint="eastAsia" w:ascii="宋体" w:hAnsi="宋体" w:cs="宋体"/>
          <w:kern w:val="0"/>
          <w:sz w:val="28"/>
          <w:szCs w:val="28"/>
          <w:u w:val="single"/>
        </w:rPr>
      </w:pPr>
      <w:r>
        <w:rPr>
          <w:rFonts w:hint="eastAsia" w:ascii="宋体" w:hAnsi="宋体" w:cs="宋体"/>
          <w:kern w:val="0"/>
          <w:sz w:val="28"/>
          <w:szCs w:val="28"/>
        </w:rPr>
        <w:t>承包人违约责任的承担方式和计算方法：</w:t>
      </w:r>
      <w:r>
        <w:rPr>
          <w:rFonts w:hint="eastAsia" w:ascii="宋体" w:hAnsi="宋体" w:cs="宋体"/>
          <w:kern w:val="0"/>
          <w:sz w:val="28"/>
          <w:szCs w:val="28"/>
          <w:u w:val="single"/>
        </w:rPr>
        <w:t>按照合同价款的5000元/日</w:t>
      </w:r>
    </w:p>
    <w:p w14:paraId="1E7F51AF">
      <w:pPr>
        <w:spacing w:line="360" w:lineRule="auto"/>
        <w:ind w:left="1400" w:hanging="1400" w:hangingChars="500"/>
        <w:jc w:val="left"/>
        <w:rPr>
          <w:rFonts w:hint="eastAsia" w:ascii="宋体" w:hAnsi="宋体" w:cs="宋体"/>
          <w:kern w:val="0"/>
          <w:sz w:val="28"/>
          <w:szCs w:val="28"/>
          <w:u w:val="single"/>
        </w:rPr>
      </w:pPr>
      <w:r>
        <w:rPr>
          <w:rFonts w:hint="eastAsia" w:ascii="宋体" w:hAnsi="宋体" w:cs="宋体"/>
          <w:kern w:val="0"/>
          <w:sz w:val="28"/>
          <w:szCs w:val="28"/>
          <w:u w:val="single"/>
        </w:rPr>
        <w:t>进行计算，最高不超过合同价的5%</w:t>
      </w:r>
      <w:r>
        <w:rPr>
          <w:rFonts w:hint="eastAsia" w:ascii="宋体" w:hAnsi="宋体" w:cs="宋体"/>
          <w:kern w:val="0"/>
          <w:sz w:val="28"/>
          <w:szCs w:val="28"/>
        </w:rPr>
        <w:t>。</w:t>
      </w:r>
      <w:r>
        <w:rPr>
          <w:rFonts w:hint="eastAsia" w:ascii="宋体" w:hAnsi="宋体" w:cs="宋体"/>
          <w:sz w:val="28"/>
          <w:szCs w:val="28"/>
        </w:rPr>
        <w:t xml:space="preserve">    </w:t>
      </w:r>
    </w:p>
    <w:p w14:paraId="7D4F11E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16.2.3 因承包人违约解除合同</w:t>
      </w:r>
    </w:p>
    <w:p w14:paraId="655EEEB2">
      <w:pPr>
        <w:spacing w:before="120" w:after="120" w:line="360" w:lineRule="auto"/>
        <w:rPr>
          <w:rFonts w:hint="eastAsia" w:ascii="宋体" w:hAnsi="宋体" w:cs="宋体"/>
          <w:kern w:val="0"/>
          <w:sz w:val="28"/>
          <w:szCs w:val="28"/>
        </w:rPr>
      </w:pPr>
      <w:r>
        <w:rPr>
          <w:rFonts w:hint="eastAsia" w:ascii="宋体" w:hAnsi="宋体" w:cs="宋体"/>
          <w:kern w:val="0"/>
          <w:sz w:val="28"/>
          <w:szCs w:val="28"/>
        </w:rPr>
        <w:t>关于承包人违约解除合同的特别约定：</w:t>
      </w:r>
      <w:r>
        <w:rPr>
          <w:rFonts w:hint="eastAsia" w:ascii="宋体" w:hAnsi="宋体" w:cs="宋体"/>
          <w:kern w:val="0"/>
          <w:sz w:val="28"/>
          <w:szCs w:val="28"/>
          <w:u w:val="single"/>
        </w:rPr>
        <w:t>按照通用条款第16.2.3项规定执行</w:t>
      </w:r>
      <w:r>
        <w:rPr>
          <w:rFonts w:hint="eastAsia" w:ascii="宋体" w:hAnsi="宋体" w:cs="宋体"/>
          <w:kern w:val="0"/>
          <w:sz w:val="28"/>
          <w:szCs w:val="28"/>
        </w:rPr>
        <w:t>。</w:t>
      </w:r>
    </w:p>
    <w:p w14:paraId="0639940A">
      <w:pPr>
        <w:spacing w:before="120" w:after="120"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发包人继续使用承包人在施工现场的材料、设备、临时工程、承包人文件和由承包人或以其名义编制的其他文件的费用承担方式：</w:t>
      </w:r>
      <w:r>
        <w:rPr>
          <w:rFonts w:hint="eastAsia" w:ascii="宋体" w:hAnsi="宋体" w:cs="宋体"/>
          <w:kern w:val="0"/>
          <w:sz w:val="28"/>
          <w:szCs w:val="28"/>
          <w:u w:val="single"/>
        </w:rPr>
        <w:t xml:space="preserve"> 按实际发生计算  </w:t>
      </w:r>
      <w:r>
        <w:rPr>
          <w:rFonts w:hint="eastAsia" w:ascii="宋体" w:hAnsi="宋体" w:cs="宋体"/>
          <w:kern w:val="0"/>
          <w:sz w:val="28"/>
          <w:szCs w:val="28"/>
        </w:rPr>
        <w:t>。</w:t>
      </w:r>
    </w:p>
    <w:p w14:paraId="270002DC">
      <w:pPr>
        <w:outlineLvl w:val="2"/>
        <w:rPr>
          <w:rFonts w:hint="eastAsia" w:ascii="宋体" w:hAnsi="宋体" w:cs="宋体"/>
          <w:b/>
          <w:sz w:val="28"/>
          <w:szCs w:val="28"/>
        </w:rPr>
      </w:pPr>
      <w:bookmarkStart w:id="156" w:name="_Toc256000168"/>
      <w:bookmarkStart w:id="157" w:name="_Toc256000137"/>
      <w:bookmarkStart w:id="158" w:name="_Toc256000141"/>
      <w:bookmarkStart w:id="159" w:name="_Toc256000193"/>
      <w:bookmarkStart w:id="160" w:name="_Toc256000252"/>
      <w:r>
        <w:rPr>
          <w:rFonts w:hint="eastAsia" w:ascii="宋体" w:hAnsi="宋体" w:cs="宋体"/>
          <w:b/>
          <w:sz w:val="28"/>
          <w:szCs w:val="28"/>
        </w:rPr>
        <w:t>17. 不可抗力</w:t>
      </w:r>
      <w:bookmarkEnd w:id="156"/>
      <w:bookmarkEnd w:id="157"/>
      <w:bookmarkEnd w:id="158"/>
      <w:bookmarkEnd w:id="159"/>
      <w:bookmarkEnd w:id="160"/>
      <w:r>
        <w:rPr>
          <w:rFonts w:hint="eastAsia" w:ascii="宋体" w:hAnsi="宋体" w:cs="宋体"/>
          <w:b/>
          <w:sz w:val="28"/>
          <w:szCs w:val="28"/>
        </w:rPr>
        <w:t xml:space="preserve"> </w:t>
      </w:r>
    </w:p>
    <w:p w14:paraId="266DECC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17.1 不可抗力的确认</w:t>
      </w:r>
    </w:p>
    <w:p w14:paraId="36F85537">
      <w:pPr>
        <w:spacing w:line="360" w:lineRule="auto"/>
        <w:ind w:firstLine="560" w:firstLineChars="200"/>
        <w:jc w:val="left"/>
        <w:rPr>
          <w:rFonts w:hint="eastAsia" w:ascii="宋体" w:hAnsi="宋体" w:cs="宋体"/>
          <w:kern w:val="0"/>
          <w:sz w:val="28"/>
          <w:szCs w:val="28"/>
          <w:u w:val="single"/>
        </w:rPr>
      </w:pPr>
      <w:r>
        <w:rPr>
          <w:rFonts w:hint="eastAsia" w:ascii="宋体" w:hAnsi="宋体" w:cs="宋体"/>
          <w:sz w:val="28"/>
          <w:szCs w:val="28"/>
        </w:rPr>
        <w:t>除通用合同条款约定的不可抗力事件之外，视为不可抗力的其他情形：</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5056FE3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17.4 因不可抗力解除合同</w:t>
      </w:r>
    </w:p>
    <w:p w14:paraId="5FE7DE8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合同解除后，发包人应在商定或确定发包人应支付款项后</w:t>
      </w:r>
      <w:r>
        <w:rPr>
          <w:rFonts w:hint="eastAsia" w:ascii="宋体" w:hAnsi="宋体" w:cs="宋体"/>
          <w:sz w:val="28"/>
          <w:szCs w:val="28"/>
          <w:u w:val="single"/>
        </w:rPr>
        <w:t xml:space="preserve"> 28   </w:t>
      </w:r>
      <w:r>
        <w:rPr>
          <w:rFonts w:hint="eastAsia" w:ascii="宋体" w:hAnsi="宋体" w:cs="宋体"/>
          <w:sz w:val="28"/>
          <w:szCs w:val="28"/>
        </w:rPr>
        <w:t>天内完成款项的支付。</w:t>
      </w:r>
    </w:p>
    <w:p w14:paraId="4A5C55A1">
      <w:pPr>
        <w:outlineLvl w:val="2"/>
        <w:rPr>
          <w:rFonts w:hint="eastAsia" w:ascii="宋体" w:hAnsi="宋体" w:cs="宋体"/>
          <w:b/>
          <w:sz w:val="28"/>
          <w:szCs w:val="28"/>
        </w:rPr>
      </w:pPr>
      <w:bookmarkStart w:id="161" w:name="_Toc256000169"/>
      <w:bookmarkStart w:id="162" w:name="_Toc256000142"/>
      <w:bookmarkStart w:id="163" w:name="_Toc256000194"/>
      <w:bookmarkStart w:id="164" w:name="_Toc256000138"/>
      <w:bookmarkStart w:id="165" w:name="_Toc256000253"/>
      <w:r>
        <w:rPr>
          <w:rFonts w:hint="eastAsia" w:ascii="宋体" w:hAnsi="宋体" w:cs="宋体"/>
          <w:b/>
          <w:sz w:val="28"/>
          <w:szCs w:val="28"/>
        </w:rPr>
        <w:t>18. 保险</w:t>
      </w:r>
      <w:bookmarkEnd w:id="161"/>
      <w:bookmarkEnd w:id="162"/>
      <w:bookmarkEnd w:id="163"/>
      <w:bookmarkEnd w:id="164"/>
      <w:bookmarkEnd w:id="165"/>
    </w:p>
    <w:p w14:paraId="7A67898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18.1 工程保险</w:t>
      </w:r>
    </w:p>
    <w:p w14:paraId="6E45767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关于工程保险的特别约定：</w:t>
      </w:r>
      <w:r>
        <w:rPr>
          <w:rFonts w:hint="eastAsia" w:ascii="宋体" w:hAnsi="宋体" w:cs="宋体"/>
          <w:kern w:val="0"/>
          <w:sz w:val="28"/>
          <w:szCs w:val="28"/>
          <w:u w:val="single"/>
        </w:rPr>
        <w:t xml:space="preserve"> 按照通用条款第18.1项规定执行</w:t>
      </w:r>
      <w:r>
        <w:rPr>
          <w:rFonts w:hint="eastAsia" w:ascii="宋体" w:hAnsi="宋体" w:cs="宋体"/>
          <w:kern w:val="0"/>
          <w:sz w:val="28"/>
          <w:szCs w:val="28"/>
        </w:rPr>
        <w:t>。</w:t>
      </w:r>
    </w:p>
    <w:p w14:paraId="01A4992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18.3 其他保险</w:t>
      </w:r>
    </w:p>
    <w:p w14:paraId="278877D0">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关于其他保险的约定：</w:t>
      </w:r>
      <w:r>
        <w:rPr>
          <w:rFonts w:hint="eastAsia" w:ascii="宋体" w:hAnsi="宋体" w:cs="宋体"/>
          <w:kern w:val="0"/>
          <w:sz w:val="28"/>
          <w:szCs w:val="28"/>
          <w:u w:val="single"/>
        </w:rPr>
        <w:t xml:space="preserve">  办理意外伤害险 </w:t>
      </w:r>
      <w:r>
        <w:rPr>
          <w:rFonts w:hint="eastAsia" w:ascii="宋体" w:hAnsi="宋体" w:cs="宋体"/>
          <w:kern w:val="0"/>
          <w:sz w:val="28"/>
          <w:szCs w:val="28"/>
        </w:rPr>
        <w:t>。</w:t>
      </w:r>
    </w:p>
    <w:p w14:paraId="2C78D75A">
      <w:pPr>
        <w:spacing w:line="360" w:lineRule="auto"/>
        <w:jc w:val="left"/>
        <w:rPr>
          <w:rFonts w:hint="eastAsia" w:ascii="宋体" w:hAnsi="宋体" w:cs="宋体"/>
          <w:kern w:val="0"/>
          <w:sz w:val="28"/>
          <w:szCs w:val="28"/>
        </w:rPr>
      </w:pPr>
      <w:r>
        <w:rPr>
          <w:rFonts w:hint="eastAsia" w:ascii="宋体" w:hAnsi="宋体" w:cs="宋体"/>
          <w:sz w:val="28"/>
          <w:szCs w:val="28"/>
        </w:rPr>
        <w:t>承包人是否应为其施工设备等办理财产保险：</w:t>
      </w:r>
      <w:r>
        <w:rPr>
          <w:rFonts w:hint="eastAsia" w:ascii="宋体" w:hAnsi="宋体" w:cs="宋体"/>
          <w:sz w:val="28"/>
          <w:szCs w:val="28"/>
          <w:u w:val="single"/>
        </w:rPr>
        <w:t>按照通用条款第18.7项规定执行</w:t>
      </w:r>
      <w:r>
        <w:rPr>
          <w:rFonts w:hint="eastAsia" w:ascii="宋体" w:hAnsi="宋体" w:cs="宋体"/>
          <w:sz w:val="28"/>
          <w:szCs w:val="28"/>
        </w:rPr>
        <w:t>。</w:t>
      </w:r>
    </w:p>
    <w:p w14:paraId="474CB2E0">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18.7 通知义务</w:t>
      </w:r>
    </w:p>
    <w:p w14:paraId="25312B1A">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关于变更保险合同时的通知义务的约定：</w:t>
      </w:r>
      <w:r>
        <w:rPr>
          <w:rFonts w:hint="eastAsia" w:ascii="宋体" w:hAnsi="宋体" w:cs="宋体"/>
          <w:sz w:val="28"/>
          <w:szCs w:val="28"/>
          <w:u w:val="single"/>
        </w:rPr>
        <w:t xml:space="preserve">   否         </w:t>
      </w:r>
      <w:r>
        <w:rPr>
          <w:rFonts w:hint="eastAsia" w:ascii="宋体" w:hAnsi="宋体" w:cs="宋体"/>
          <w:sz w:val="28"/>
          <w:szCs w:val="28"/>
        </w:rPr>
        <w:t>。</w:t>
      </w:r>
    </w:p>
    <w:p w14:paraId="3CC7DD4A">
      <w:pPr>
        <w:outlineLvl w:val="2"/>
        <w:rPr>
          <w:rFonts w:hint="eastAsia" w:ascii="宋体" w:hAnsi="宋体" w:cs="宋体"/>
          <w:b/>
          <w:sz w:val="28"/>
          <w:szCs w:val="28"/>
        </w:rPr>
      </w:pPr>
      <w:bookmarkStart w:id="166" w:name="_Toc256000195"/>
      <w:bookmarkStart w:id="167" w:name="_Toc256000143"/>
      <w:bookmarkStart w:id="168" w:name="_Toc256000139"/>
      <w:bookmarkStart w:id="169" w:name="_Toc256000254"/>
      <w:bookmarkStart w:id="170" w:name="_Toc256000170"/>
      <w:r>
        <w:rPr>
          <w:rFonts w:hint="eastAsia" w:ascii="宋体" w:hAnsi="宋体" w:cs="宋体"/>
          <w:b/>
          <w:sz w:val="28"/>
          <w:szCs w:val="28"/>
        </w:rPr>
        <w:t>20. 争议解决</w:t>
      </w:r>
      <w:bookmarkEnd w:id="166"/>
      <w:bookmarkEnd w:id="167"/>
      <w:bookmarkEnd w:id="168"/>
      <w:bookmarkEnd w:id="169"/>
      <w:bookmarkEnd w:id="170"/>
    </w:p>
    <w:p w14:paraId="2CDA534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20.3 争议评审</w:t>
      </w:r>
    </w:p>
    <w:p w14:paraId="57997632">
      <w:pPr>
        <w:spacing w:line="360" w:lineRule="auto"/>
        <w:jc w:val="left"/>
        <w:rPr>
          <w:rFonts w:hint="eastAsia" w:ascii="宋体" w:hAnsi="宋体" w:cs="宋体"/>
          <w:sz w:val="28"/>
          <w:szCs w:val="28"/>
        </w:rPr>
      </w:pPr>
      <w:r>
        <w:rPr>
          <w:rFonts w:hint="eastAsia" w:ascii="宋体" w:hAnsi="宋体" w:cs="宋体"/>
          <w:sz w:val="28"/>
          <w:szCs w:val="28"/>
        </w:rPr>
        <w:t>合同当事人是否同意将工程争议提交争议评审小组决定：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259F84CE">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20.3.1 争议评审小组的确定</w:t>
      </w:r>
    </w:p>
    <w:p w14:paraId="54337652">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争议评审小组成员的确定：</w:t>
      </w:r>
      <w:r>
        <w:rPr>
          <w:rFonts w:hint="eastAsia" w:ascii="宋体" w:hAnsi="宋体" w:cs="宋体"/>
          <w:sz w:val="28"/>
          <w:szCs w:val="28"/>
          <w:u w:val="single"/>
        </w:rPr>
        <w:t xml:space="preserve">      /             </w:t>
      </w:r>
      <w:r>
        <w:rPr>
          <w:rFonts w:hint="eastAsia" w:ascii="宋体" w:hAnsi="宋体" w:cs="宋体"/>
          <w:sz w:val="28"/>
          <w:szCs w:val="28"/>
        </w:rPr>
        <w:t>。</w:t>
      </w:r>
    </w:p>
    <w:p w14:paraId="49B077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选定争议评审员的期限：</w:t>
      </w:r>
      <w:r>
        <w:rPr>
          <w:rFonts w:hint="eastAsia" w:ascii="宋体" w:hAnsi="宋体" w:cs="宋体"/>
          <w:sz w:val="28"/>
          <w:szCs w:val="28"/>
          <w:u w:val="single"/>
        </w:rPr>
        <w:t xml:space="preserve">         /             </w:t>
      </w:r>
      <w:r>
        <w:rPr>
          <w:rFonts w:hint="eastAsia" w:ascii="宋体" w:hAnsi="宋体" w:cs="宋体"/>
          <w:sz w:val="28"/>
          <w:szCs w:val="28"/>
        </w:rPr>
        <w:t>。</w:t>
      </w:r>
    </w:p>
    <w:p w14:paraId="4C683C4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争议评审小组成员的报酬承担方式：</w:t>
      </w:r>
      <w:r>
        <w:rPr>
          <w:rFonts w:hint="eastAsia" w:ascii="宋体" w:hAnsi="宋体" w:cs="宋体"/>
          <w:sz w:val="28"/>
          <w:szCs w:val="28"/>
          <w:u w:val="single"/>
        </w:rPr>
        <w:t xml:space="preserve">   /            </w:t>
      </w:r>
      <w:r>
        <w:rPr>
          <w:rFonts w:hint="eastAsia" w:ascii="宋体" w:hAnsi="宋体" w:cs="宋体"/>
          <w:sz w:val="28"/>
          <w:szCs w:val="28"/>
        </w:rPr>
        <w:t>。</w:t>
      </w:r>
    </w:p>
    <w:p w14:paraId="54D086A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其他事项的约定：</w:t>
      </w:r>
      <w:r>
        <w:rPr>
          <w:rFonts w:hint="eastAsia" w:ascii="宋体" w:hAnsi="宋体" w:cs="宋体"/>
          <w:sz w:val="28"/>
          <w:szCs w:val="28"/>
          <w:u w:val="single"/>
        </w:rPr>
        <w:t xml:space="preserve">            /             </w:t>
      </w:r>
      <w:r>
        <w:rPr>
          <w:rFonts w:hint="eastAsia" w:ascii="宋体" w:hAnsi="宋体" w:cs="宋体"/>
          <w:sz w:val="28"/>
          <w:szCs w:val="28"/>
        </w:rPr>
        <w:t>。</w:t>
      </w:r>
    </w:p>
    <w:p w14:paraId="3E574BA9">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20.3.2 争议评审小组的决定</w:t>
      </w:r>
    </w:p>
    <w:p w14:paraId="1D6450A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合同当事人关于本项的约定：</w:t>
      </w:r>
      <w:r>
        <w:rPr>
          <w:rFonts w:hint="eastAsia" w:ascii="宋体" w:hAnsi="宋体" w:cs="宋体"/>
          <w:sz w:val="28"/>
          <w:szCs w:val="28"/>
          <w:u w:val="single"/>
        </w:rPr>
        <w:t xml:space="preserve">       /            </w:t>
      </w:r>
      <w:r>
        <w:rPr>
          <w:rFonts w:hint="eastAsia" w:ascii="宋体" w:hAnsi="宋体" w:cs="宋体"/>
          <w:sz w:val="28"/>
          <w:szCs w:val="28"/>
        </w:rPr>
        <w:t>。</w:t>
      </w:r>
    </w:p>
    <w:p w14:paraId="1B8E555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20.4 仲裁或诉讼</w:t>
      </w:r>
    </w:p>
    <w:p w14:paraId="4910D73D">
      <w:pPr>
        <w:spacing w:after="120" w:line="360" w:lineRule="auto"/>
        <w:ind w:firstLine="560" w:firstLineChars="200"/>
        <w:rPr>
          <w:rFonts w:hint="eastAsia" w:ascii="宋体" w:hAnsi="宋体" w:cs="宋体"/>
          <w:sz w:val="28"/>
          <w:szCs w:val="28"/>
        </w:rPr>
      </w:pPr>
      <w:r>
        <w:rPr>
          <w:rFonts w:hint="eastAsia" w:ascii="宋体" w:hAnsi="宋体" w:cs="宋体"/>
          <w:sz w:val="28"/>
          <w:szCs w:val="28"/>
        </w:rPr>
        <w:t>因合同及合同有关事项发生的争议，按下列第</w:t>
      </w:r>
      <w:r>
        <w:rPr>
          <w:rFonts w:hint="eastAsia" w:ascii="宋体" w:hAnsi="宋体" w:cs="宋体"/>
          <w:sz w:val="28"/>
          <w:szCs w:val="28"/>
          <w:u w:val="single"/>
        </w:rPr>
        <w:t xml:space="preserve"> 2    </w:t>
      </w:r>
      <w:r>
        <w:rPr>
          <w:rFonts w:hint="eastAsia" w:ascii="宋体" w:hAnsi="宋体" w:cs="宋体"/>
          <w:sz w:val="28"/>
          <w:szCs w:val="28"/>
        </w:rPr>
        <w:t>种方式解决：</w:t>
      </w:r>
    </w:p>
    <w:p w14:paraId="5838DF4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（1）向</w:t>
      </w:r>
      <w:r>
        <w:rPr>
          <w:rFonts w:hint="eastAsia" w:ascii="宋体" w:hAnsi="宋体" w:cs="宋体"/>
          <w:sz w:val="28"/>
          <w:szCs w:val="28"/>
          <w:u w:val="single"/>
        </w:rPr>
        <w:t xml:space="preserve">            /         </w:t>
      </w:r>
      <w:r>
        <w:rPr>
          <w:rFonts w:hint="eastAsia" w:ascii="宋体" w:hAnsi="宋体" w:cs="宋体"/>
          <w:sz w:val="28"/>
          <w:szCs w:val="28"/>
        </w:rPr>
        <w:t>仲裁委员会申请仲裁；</w:t>
      </w:r>
    </w:p>
    <w:p w14:paraId="4E1DF029">
      <w:pPr>
        <w:pStyle w:val="24"/>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（2）向 </w:t>
      </w:r>
      <w:r>
        <w:rPr>
          <w:rFonts w:hint="eastAsia" w:ascii="宋体" w:hAnsi="宋体" w:eastAsia="宋体" w:cs="宋体"/>
          <w:sz w:val="28"/>
          <w:szCs w:val="28"/>
          <w:u w:val="single"/>
        </w:rPr>
        <w:t xml:space="preserve">项目所在地 </w:t>
      </w:r>
      <w:r>
        <w:rPr>
          <w:rFonts w:hint="eastAsia" w:ascii="宋体" w:hAnsi="宋体" w:eastAsia="宋体" w:cs="宋体"/>
          <w:sz w:val="28"/>
          <w:szCs w:val="28"/>
        </w:rPr>
        <w:t>人民法院起诉。</w:t>
      </w:r>
    </w:p>
    <w:p w14:paraId="20216BB2">
      <w:pPr>
        <w:pStyle w:val="24"/>
        <w:spacing w:line="360" w:lineRule="auto"/>
        <w:ind w:firstLine="560" w:firstLineChars="200"/>
        <w:jc w:val="left"/>
        <w:rPr>
          <w:rFonts w:ascii="仿宋_GB2312" w:eastAsia="仿宋_GB2312"/>
          <w:sz w:val="28"/>
          <w:szCs w:val="28"/>
        </w:rPr>
      </w:pPr>
    </w:p>
    <w:p w14:paraId="2B39328D">
      <w:pPr>
        <w:pStyle w:val="24"/>
        <w:spacing w:line="360" w:lineRule="auto"/>
        <w:ind w:firstLine="560" w:firstLineChars="200"/>
        <w:jc w:val="left"/>
        <w:rPr>
          <w:rFonts w:ascii="仿宋_GB2312" w:eastAsia="仿宋_GB2312"/>
          <w:sz w:val="28"/>
          <w:szCs w:val="28"/>
        </w:rPr>
      </w:pPr>
    </w:p>
    <w:p w14:paraId="03F5D533">
      <w:pPr>
        <w:pStyle w:val="24"/>
        <w:spacing w:line="360" w:lineRule="auto"/>
        <w:ind w:firstLine="560" w:firstLineChars="200"/>
        <w:jc w:val="left"/>
        <w:rPr>
          <w:rFonts w:ascii="仿宋_GB2312" w:eastAsia="仿宋_GB2312"/>
          <w:sz w:val="28"/>
          <w:szCs w:val="28"/>
        </w:rPr>
      </w:pPr>
    </w:p>
    <w:p w14:paraId="6545DD45">
      <w:pPr>
        <w:pStyle w:val="24"/>
        <w:spacing w:line="360" w:lineRule="auto"/>
        <w:ind w:firstLine="560" w:firstLineChars="200"/>
        <w:jc w:val="left"/>
        <w:rPr>
          <w:rFonts w:ascii="仿宋_GB2312" w:eastAsia="仿宋_GB2312"/>
          <w:sz w:val="28"/>
          <w:szCs w:val="28"/>
        </w:rPr>
      </w:pPr>
    </w:p>
    <w:p w14:paraId="1C2DE338">
      <w:pPr>
        <w:spacing w:line="247" w:lineRule="auto"/>
        <w:rPr>
          <w:rFonts w:ascii="Arial"/>
          <w:color w:val="auto"/>
          <w:sz w:val="21"/>
        </w:rPr>
      </w:pPr>
    </w:p>
    <w:p w14:paraId="23E6593C">
      <w:pPr>
        <w:rPr>
          <w:color w:val="auto"/>
        </w:rPr>
        <w:sectPr>
          <w:headerReference r:id="rId17" w:type="default"/>
          <w:footerReference r:id="rId18" w:type="default"/>
          <w:pgSz w:w="11906" w:h="16839"/>
          <w:pgMar w:top="400" w:right="1532" w:bottom="1156" w:left="1628" w:header="0" w:footer="996" w:gutter="0"/>
          <w:pgNumType w:fmt="decimal"/>
          <w:cols w:space="720" w:num="1"/>
        </w:sectPr>
      </w:pPr>
    </w:p>
    <w:p w14:paraId="7FD20238">
      <w:pPr>
        <w:spacing w:line="266" w:lineRule="auto"/>
        <w:rPr>
          <w:rFonts w:ascii="Arial"/>
          <w:color w:val="auto"/>
          <w:sz w:val="21"/>
        </w:rPr>
      </w:pPr>
    </w:p>
    <w:p w14:paraId="066AE4E1">
      <w:pPr>
        <w:spacing w:before="101" w:line="227" w:lineRule="auto"/>
        <w:ind w:left="2941"/>
        <w:outlineLvl w:val="0"/>
        <w:rPr>
          <w:rFonts w:hint="eastAsia" w:ascii="黑体" w:hAnsi="黑体" w:eastAsia="黑体" w:cs="黑体"/>
          <w:color w:val="auto"/>
          <w:sz w:val="31"/>
          <w:szCs w:val="31"/>
          <w:lang w:eastAsia="zh-CN"/>
        </w:rPr>
      </w:pPr>
      <w:r>
        <w:rPr>
          <w:rFonts w:ascii="黑体" w:hAnsi="黑体" w:eastAsia="黑体" w:cs="黑体"/>
          <w:color w:val="auto"/>
          <w:spacing w:val="10"/>
          <w:sz w:val="31"/>
          <w:szCs w:val="31"/>
          <w14:textOutline w14:w="5793" w14:cap="sq" w14:cmpd="sng">
            <w14:solidFill>
              <w14:srgbClr w14:val="000000"/>
            </w14:solidFill>
            <w14:prstDash w14:val="solid"/>
            <w14:bevel/>
          </w14:textOutline>
        </w:rPr>
        <w:t>第</w:t>
      </w:r>
      <w:r>
        <w:rPr>
          <w:rFonts w:ascii="黑体" w:hAnsi="黑体" w:eastAsia="黑体" w:cs="黑体"/>
          <w:color w:val="auto"/>
          <w:spacing w:val="8"/>
          <w:sz w:val="31"/>
          <w:szCs w:val="31"/>
          <w14:textOutline w14:w="5793" w14:cap="sq" w14:cmpd="sng">
            <w14:solidFill>
              <w14:srgbClr w14:val="000000"/>
            </w14:solidFill>
            <w14:prstDash w14:val="solid"/>
            <w14:bevel/>
          </w14:textOutline>
        </w:rPr>
        <w:t>五章</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4831CE3E">
      <w:pPr>
        <w:spacing w:line="420" w:lineRule="auto"/>
        <w:rPr>
          <w:rFonts w:ascii="Arial"/>
          <w:color w:val="auto"/>
          <w:sz w:val="21"/>
        </w:rPr>
      </w:pPr>
    </w:p>
    <w:p w14:paraId="700BD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一、工程概况： </w:t>
      </w:r>
    </w:p>
    <w:p w14:paraId="5B9665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项目编号：XJXS-A2025025</w:t>
      </w:r>
    </w:p>
    <w:p w14:paraId="73E681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项目名称：阿勒泰地区富蕴县公安局机场派出所</w:t>
      </w:r>
    </w:p>
    <w:p w14:paraId="64A1C3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预算金额：1579080.11元</w:t>
      </w:r>
    </w:p>
    <w:p w14:paraId="3822DA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最高限价：1579080.11元</w:t>
      </w:r>
    </w:p>
    <w:p w14:paraId="615D27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采购需求：新建建筑面积568平方米。</w:t>
      </w:r>
    </w:p>
    <w:p w14:paraId="12ED2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合同履行期限：甲乙双方自行协商</w:t>
      </w:r>
    </w:p>
    <w:p w14:paraId="411501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本项目不接受联合体投标。</w:t>
      </w:r>
    </w:p>
    <w:p w14:paraId="50AB8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 xml:space="preserve">2、现场施工场地、交通运输情况及自然地理条件由投标人自行现场勘查。 </w:t>
      </w:r>
    </w:p>
    <w:p w14:paraId="41F33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3、建设地点：富蕴县</w:t>
      </w:r>
    </w:p>
    <w:p w14:paraId="6ABD76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二、招标范围： </w:t>
      </w:r>
    </w:p>
    <w:p w14:paraId="1FB0E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施工图所示范围、工程量清单中的全部内容及补充文件等。 </w:t>
      </w:r>
    </w:p>
    <w:p w14:paraId="64704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三、工程质量、材料、施工等特殊要求： </w:t>
      </w:r>
    </w:p>
    <w:p w14:paraId="35FBD3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 工程质量标准：合格。 </w:t>
      </w:r>
    </w:p>
    <w:p w14:paraId="24386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2、 施工严格按设计文件要求、国家及行业和地方有关技术标准及施工规范施工，确保工程质量、安全施工、按期竣工验收。 </w:t>
      </w:r>
    </w:p>
    <w:p w14:paraId="551085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 工程量清单中项目描述未尽事宜请各投标人结合施工图纸及施工规范要求自行组价，并列入综合单价内。 </w:t>
      </w:r>
    </w:p>
    <w:p w14:paraId="360C38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 施工图未注明设备材料型号规格尺寸的项目，请投标人按照自身施工经验及相应规范做法自行组价，并列入综合单价内，工程建筑材料均需使用国标合格产品。</w:t>
      </w:r>
    </w:p>
    <w:p w14:paraId="2BE0A5CF">
      <w:pPr>
        <w:rPr>
          <w:rFonts w:hint="eastAsia" w:ascii="宋体" w:hAnsi="宋体" w:eastAsia="宋体" w:cs="宋体"/>
          <w:color w:val="auto"/>
        </w:rPr>
        <w:sectPr>
          <w:footerReference r:id="rId19" w:type="default"/>
          <w:pgSz w:w="11906" w:h="16839"/>
          <w:pgMar w:top="400" w:right="1532" w:bottom="1156" w:left="1623" w:header="0" w:footer="996" w:gutter="0"/>
          <w:pgNumType w:fmt="decimal"/>
          <w:cols w:space="720" w:num="1"/>
        </w:sectPr>
      </w:pPr>
    </w:p>
    <w:p w14:paraId="712BB111">
      <w:pPr>
        <w:spacing w:line="280" w:lineRule="auto"/>
        <w:rPr>
          <w:rFonts w:ascii="Arial"/>
          <w:color w:val="auto"/>
          <w:sz w:val="21"/>
        </w:rPr>
      </w:pPr>
    </w:p>
    <w:p w14:paraId="5155BBBE">
      <w:pPr>
        <w:spacing w:line="280" w:lineRule="auto"/>
        <w:rPr>
          <w:rFonts w:ascii="Arial"/>
          <w:color w:val="auto"/>
          <w:sz w:val="21"/>
        </w:rPr>
      </w:pPr>
    </w:p>
    <w:p w14:paraId="7A788574">
      <w:pPr>
        <w:spacing w:line="281" w:lineRule="auto"/>
        <w:rPr>
          <w:rFonts w:ascii="Arial"/>
          <w:color w:val="auto"/>
          <w:sz w:val="21"/>
        </w:rPr>
      </w:pPr>
    </w:p>
    <w:p w14:paraId="711251D2">
      <w:pPr>
        <w:spacing w:line="281" w:lineRule="auto"/>
        <w:rPr>
          <w:rFonts w:ascii="Arial"/>
          <w:color w:val="auto"/>
          <w:sz w:val="21"/>
        </w:rPr>
      </w:pPr>
    </w:p>
    <w:p w14:paraId="4B77C1EB">
      <w:pPr>
        <w:spacing w:before="101" w:line="225" w:lineRule="auto"/>
        <w:ind w:left="3240"/>
        <w:outlineLvl w:val="0"/>
        <w:rPr>
          <w:rFonts w:ascii="宋体" w:hAnsi="宋体" w:eastAsia="宋体" w:cs="宋体"/>
          <w:color w:val="auto"/>
          <w:sz w:val="31"/>
          <w:szCs w:val="31"/>
        </w:rPr>
      </w:pPr>
      <w:r>
        <w:rPr>
          <w:rFonts w:ascii="宋体" w:hAnsi="宋体" w:eastAsia="宋体" w:cs="宋体"/>
          <w:color w:val="auto"/>
          <w:spacing w:val="13"/>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7"/>
          <w:sz w:val="31"/>
          <w:szCs w:val="31"/>
          <w14:textOutline w14:w="5793" w14:cap="sq" w14:cmpd="sng">
            <w14:solidFill>
              <w14:srgbClr w14:val="000000"/>
            </w14:solidFill>
            <w14:prstDash w14:val="solid"/>
            <w14:bevel/>
          </w14:textOutline>
        </w:rPr>
        <w:t>六章</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图</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纸</w:t>
      </w:r>
    </w:p>
    <w:p w14:paraId="14A3CF16">
      <w:pPr>
        <w:spacing w:before="235" w:line="271" w:lineRule="exact"/>
        <w:rPr>
          <w:rFonts w:ascii="宋体" w:hAnsi="宋体" w:eastAsia="宋体" w:cs="宋体"/>
          <w:color w:val="auto"/>
          <w:sz w:val="20"/>
          <w:szCs w:val="20"/>
        </w:rPr>
      </w:pPr>
      <w:r>
        <w:rPr>
          <w:rFonts w:ascii="宋体" w:hAnsi="宋体" w:eastAsia="宋体" w:cs="宋体"/>
          <w:color w:val="auto"/>
          <w:spacing w:val="3"/>
          <w:position w:val="1"/>
          <w:sz w:val="20"/>
          <w:szCs w:val="20"/>
        </w:rPr>
        <w:t>1.图纸</w:t>
      </w:r>
      <w:r>
        <w:rPr>
          <w:rFonts w:ascii="宋体" w:hAnsi="宋体" w:eastAsia="宋体" w:cs="宋体"/>
          <w:color w:val="auto"/>
          <w:spacing w:val="2"/>
          <w:position w:val="1"/>
          <w:sz w:val="20"/>
          <w:szCs w:val="20"/>
        </w:rPr>
        <w:t>略</w:t>
      </w:r>
    </w:p>
    <w:p w14:paraId="4DDB6BB9">
      <w:pPr>
        <w:rPr>
          <w:color w:val="auto"/>
        </w:rPr>
        <w:sectPr>
          <w:footerReference r:id="rId20" w:type="default"/>
          <w:pgSz w:w="11906" w:h="16839"/>
          <w:pgMar w:top="400" w:right="1532" w:bottom="1156" w:left="1643" w:header="0" w:footer="996" w:gutter="0"/>
          <w:pgNumType w:fmt="decimal"/>
          <w:cols w:space="720" w:num="1"/>
        </w:sectPr>
      </w:pPr>
    </w:p>
    <w:p w14:paraId="0C261C1D">
      <w:pPr>
        <w:spacing w:line="282" w:lineRule="auto"/>
        <w:rPr>
          <w:rFonts w:ascii="Arial"/>
          <w:color w:val="auto"/>
          <w:sz w:val="21"/>
        </w:rPr>
      </w:pPr>
    </w:p>
    <w:p w14:paraId="63DA7418">
      <w:pPr>
        <w:spacing w:line="282" w:lineRule="auto"/>
        <w:rPr>
          <w:rFonts w:ascii="Arial"/>
          <w:color w:val="auto"/>
          <w:sz w:val="21"/>
        </w:rPr>
      </w:pPr>
    </w:p>
    <w:p w14:paraId="19B405FA">
      <w:pPr>
        <w:spacing w:line="282" w:lineRule="auto"/>
        <w:rPr>
          <w:rFonts w:ascii="Arial"/>
          <w:color w:val="auto"/>
          <w:sz w:val="21"/>
        </w:rPr>
      </w:pPr>
    </w:p>
    <w:p w14:paraId="2BE10336">
      <w:pPr>
        <w:spacing w:line="282" w:lineRule="auto"/>
        <w:rPr>
          <w:rFonts w:ascii="Arial"/>
          <w:color w:val="auto"/>
          <w:sz w:val="21"/>
        </w:rPr>
      </w:pPr>
    </w:p>
    <w:p w14:paraId="5F7BF001">
      <w:pPr>
        <w:spacing w:before="101" w:line="225" w:lineRule="auto"/>
        <w:ind w:left="2631"/>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14:textOutline w14:w="5793" w14:cap="sq" w14:cmpd="sng">
            <w14:solidFill>
              <w14:srgbClr w14:val="000000"/>
            </w14:solidFill>
            <w14:prstDash w14:val="solid"/>
            <w14:bevel/>
          </w14:textOutline>
        </w:rPr>
        <w:t>七章</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技术标准和要求</w:t>
      </w:r>
    </w:p>
    <w:p w14:paraId="56D5BAA0">
      <w:pPr>
        <w:spacing w:line="412" w:lineRule="auto"/>
        <w:rPr>
          <w:rFonts w:ascii="Arial"/>
          <w:color w:val="auto"/>
          <w:sz w:val="21"/>
        </w:rPr>
      </w:pPr>
    </w:p>
    <w:p w14:paraId="1E081FEF">
      <w:pPr>
        <w:spacing w:before="75" w:line="228" w:lineRule="auto"/>
        <w:ind w:left="19"/>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第</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一节</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特殊技术标准和要求</w:t>
      </w:r>
    </w:p>
    <w:p w14:paraId="65C429E7">
      <w:pPr>
        <w:spacing w:before="241" w:line="228" w:lineRule="auto"/>
        <w:ind w:left="34"/>
        <w:outlineLvl w:val="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材料和工程设备技术要求</w:t>
      </w:r>
    </w:p>
    <w:p w14:paraId="3E96CB33">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 对部分主要材料和工程设备选用要求</w:t>
      </w:r>
    </w:p>
    <w:p w14:paraId="471D14D6">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.1.1 部分主要材料和工程设备选用品牌、制造商和供应商、材质等技术要求详见下表。</w:t>
      </w:r>
    </w:p>
    <w:p w14:paraId="4149F151">
      <w:pPr>
        <w:spacing w:before="151" w:line="226" w:lineRule="auto"/>
        <w:ind w:left="453"/>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9"/>
          <w:sz w:val="20"/>
          <w:szCs w:val="20"/>
        </w:rPr>
        <w:t>2</w:t>
      </w:r>
      <w:r>
        <w:rPr>
          <w:rFonts w:ascii="宋体" w:hAnsi="宋体" w:eastAsia="宋体" w:cs="宋体"/>
          <w:color w:val="auto"/>
          <w:spacing w:val="6"/>
          <w:sz w:val="20"/>
          <w:szCs w:val="20"/>
        </w:rPr>
        <w:t xml:space="preserve"> 表中的品牌只能选定其一填报，未尽事宜详见设计图纸及工程量清单。</w:t>
      </w:r>
    </w:p>
    <w:p w14:paraId="6124E6C2">
      <w:pPr>
        <w:spacing w:before="95" w:line="212" w:lineRule="auto"/>
        <w:ind w:left="2159"/>
        <w:rPr>
          <w:rFonts w:ascii="宋体" w:hAnsi="宋体" w:eastAsia="宋体" w:cs="宋体"/>
          <w:color w:val="auto"/>
          <w:sz w:val="28"/>
          <w:szCs w:val="28"/>
        </w:rPr>
      </w:pPr>
      <w:r>
        <w:rPr>
          <w:rFonts w:ascii="宋体" w:hAnsi="宋体" w:eastAsia="宋体" w:cs="宋体"/>
          <w:color w:val="auto"/>
          <w:spacing w:val="-1"/>
          <w:sz w:val="28"/>
          <w:szCs w:val="28"/>
        </w:rPr>
        <w:t>主要材料和工程设备选用品牌</w:t>
      </w:r>
      <w:r>
        <w:rPr>
          <w:rFonts w:ascii="宋体" w:hAnsi="宋体" w:eastAsia="宋体" w:cs="宋体"/>
          <w:color w:val="auto"/>
          <w:sz w:val="28"/>
          <w:szCs w:val="28"/>
        </w:rPr>
        <w:t>要求表</w:t>
      </w:r>
    </w:p>
    <w:tbl>
      <w:tblPr>
        <w:tblStyle w:val="20"/>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338"/>
        <w:gridCol w:w="1979"/>
        <w:gridCol w:w="1365"/>
        <w:gridCol w:w="1415"/>
        <w:gridCol w:w="1537"/>
        <w:gridCol w:w="1444"/>
      </w:tblGrid>
      <w:tr w14:paraId="1B3F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1" w:type="dxa"/>
            <w:textDirection w:val="tbRlV"/>
            <w:vAlign w:val="top"/>
          </w:tcPr>
          <w:p w14:paraId="190B38F3">
            <w:pPr>
              <w:spacing w:before="135" w:line="218" w:lineRule="auto"/>
              <w:ind w:left="91"/>
              <w:rPr>
                <w:rFonts w:ascii="宋体" w:hAnsi="宋体" w:eastAsia="宋体" w:cs="宋体"/>
                <w:color w:val="auto"/>
                <w:sz w:val="19"/>
                <w:szCs w:val="19"/>
              </w:rPr>
            </w:pPr>
            <w:r>
              <w:rPr>
                <w:rFonts w:ascii="宋体" w:hAnsi="宋体" w:eastAsia="宋体" w:cs="宋体"/>
                <w:color w:val="auto"/>
                <w:spacing w:val="-7"/>
                <w:sz w:val="19"/>
                <w:szCs w:val="19"/>
              </w:rPr>
              <w:t>序</w:t>
            </w:r>
            <w:r>
              <w:rPr>
                <w:rFonts w:ascii="宋体" w:hAnsi="宋体" w:eastAsia="宋体" w:cs="宋体"/>
                <w:color w:val="auto"/>
                <w:spacing w:val="-5"/>
                <w:sz w:val="19"/>
                <w:szCs w:val="19"/>
              </w:rPr>
              <w:t xml:space="preserve"> 号</w:t>
            </w:r>
          </w:p>
        </w:tc>
        <w:tc>
          <w:tcPr>
            <w:tcW w:w="1338" w:type="dxa"/>
            <w:vAlign w:val="top"/>
          </w:tcPr>
          <w:p w14:paraId="3D58CC46">
            <w:pPr>
              <w:spacing w:before="223" w:line="228" w:lineRule="auto"/>
              <w:ind w:left="271"/>
              <w:rPr>
                <w:rFonts w:ascii="宋体" w:hAnsi="宋体" w:eastAsia="宋体" w:cs="宋体"/>
                <w:color w:val="auto"/>
                <w:sz w:val="19"/>
                <w:szCs w:val="19"/>
              </w:rPr>
            </w:pPr>
            <w:r>
              <w:rPr>
                <w:rFonts w:ascii="宋体" w:hAnsi="宋体" w:eastAsia="宋体" w:cs="宋体"/>
                <w:color w:val="auto"/>
                <w:spacing w:val="8"/>
                <w:sz w:val="19"/>
                <w:szCs w:val="19"/>
              </w:rPr>
              <w:t>材料名</w:t>
            </w:r>
            <w:r>
              <w:rPr>
                <w:rFonts w:ascii="宋体" w:hAnsi="宋体" w:eastAsia="宋体" w:cs="宋体"/>
                <w:color w:val="auto"/>
                <w:spacing w:val="7"/>
                <w:sz w:val="19"/>
                <w:szCs w:val="19"/>
              </w:rPr>
              <w:t>称</w:t>
            </w:r>
          </w:p>
        </w:tc>
        <w:tc>
          <w:tcPr>
            <w:tcW w:w="1979" w:type="dxa"/>
            <w:vAlign w:val="top"/>
          </w:tcPr>
          <w:p w14:paraId="3FC2686D">
            <w:pPr>
              <w:spacing w:before="223" w:line="229" w:lineRule="auto"/>
              <w:ind w:left="594"/>
              <w:rPr>
                <w:rFonts w:ascii="宋体" w:hAnsi="宋体" w:eastAsia="宋体" w:cs="宋体"/>
                <w:color w:val="auto"/>
                <w:sz w:val="19"/>
                <w:szCs w:val="19"/>
              </w:rPr>
            </w:pPr>
            <w:r>
              <w:rPr>
                <w:rFonts w:ascii="宋体" w:hAnsi="宋体" w:eastAsia="宋体" w:cs="宋体"/>
                <w:color w:val="auto"/>
                <w:spacing w:val="9"/>
                <w:sz w:val="19"/>
                <w:szCs w:val="19"/>
              </w:rPr>
              <w:t>规</w:t>
            </w:r>
            <w:r>
              <w:rPr>
                <w:rFonts w:ascii="宋体" w:hAnsi="宋体" w:eastAsia="宋体" w:cs="宋体"/>
                <w:color w:val="auto"/>
                <w:spacing w:val="7"/>
                <w:sz w:val="19"/>
                <w:szCs w:val="19"/>
              </w:rPr>
              <w:t>格型号</w:t>
            </w:r>
          </w:p>
        </w:tc>
        <w:tc>
          <w:tcPr>
            <w:tcW w:w="5761" w:type="dxa"/>
            <w:gridSpan w:val="4"/>
            <w:vAlign w:val="top"/>
          </w:tcPr>
          <w:p w14:paraId="5E79F271">
            <w:pPr>
              <w:spacing w:before="232" w:line="231" w:lineRule="auto"/>
              <w:ind w:left="1171"/>
              <w:rPr>
                <w:rFonts w:ascii="宋体" w:hAnsi="宋体" w:eastAsia="宋体" w:cs="宋体"/>
                <w:color w:val="auto"/>
                <w:sz w:val="17"/>
                <w:szCs w:val="17"/>
              </w:rPr>
            </w:pPr>
            <w:r>
              <w:rPr>
                <w:rFonts w:ascii="宋体" w:hAnsi="宋体" w:eastAsia="宋体" w:cs="宋体"/>
                <w:color w:val="auto"/>
                <w:spacing w:val="18"/>
                <w:sz w:val="17"/>
                <w:szCs w:val="17"/>
              </w:rPr>
              <w:t>选</w:t>
            </w:r>
            <w:r>
              <w:rPr>
                <w:rFonts w:ascii="宋体" w:hAnsi="宋体" w:eastAsia="宋体" w:cs="宋体"/>
                <w:color w:val="auto"/>
                <w:spacing w:val="12"/>
                <w:sz w:val="17"/>
                <w:szCs w:val="17"/>
              </w:rPr>
              <w:t>用</w:t>
            </w:r>
            <w:r>
              <w:rPr>
                <w:rFonts w:ascii="宋体" w:hAnsi="宋体" w:eastAsia="宋体" w:cs="宋体"/>
                <w:color w:val="auto"/>
                <w:spacing w:val="9"/>
                <w:sz w:val="17"/>
                <w:szCs w:val="17"/>
              </w:rPr>
              <w:t>品牌、制造商和供应商范围及联系电话</w:t>
            </w:r>
          </w:p>
        </w:tc>
      </w:tr>
      <w:tr w14:paraId="31F4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71" w:type="dxa"/>
            <w:vAlign w:val="top"/>
          </w:tcPr>
          <w:p w14:paraId="0F473E02">
            <w:pPr>
              <w:rPr>
                <w:rFonts w:ascii="Arial"/>
                <w:color w:val="auto"/>
                <w:sz w:val="21"/>
              </w:rPr>
            </w:pPr>
          </w:p>
        </w:tc>
        <w:tc>
          <w:tcPr>
            <w:tcW w:w="1338" w:type="dxa"/>
            <w:vAlign w:val="top"/>
          </w:tcPr>
          <w:p w14:paraId="31F0E878">
            <w:pPr>
              <w:rPr>
                <w:rFonts w:ascii="Arial"/>
                <w:color w:val="auto"/>
                <w:sz w:val="21"/>
              </w:rPr>
            </w:pPr>
          </w:p>
        </w:tc>
        <w:tc>
          <w:tcPr>
            <w:tcW w:w="1979" w:type="dxa"/>
            <w:vAlign w:val="top"/>
          </w:tcPr>
          <w:p w14:paraId="5389D1E3">
            <w:pPr>
              <w:rPr>
                <w:rFonts w:ascii="Arial"/>
                <w:color w:val="auto"/>
                <w:sz w:val="21"/>
              </w:rPr>
            </w:pPr>
          </w:p>
        </w:tc>
        <w:tc>
          <w:tcPr>
            <w:tcW w:w="1365" w:type="dxa"/>
            <w:vAlign w:val="top"/>
          </w:tcPr>
          <w:p w14:paraId="54BDA051">
            <w:pPr>
              <w:rPr>
                <w:rFonts w:ascii="Arial"/>
                <w:color w:val="auto"/>
                <w:sz w:val="21"/>
              </w:rPr>
            </w:pPr>
          </w:p>
        </w:tc>
        <w:tc>
          <w:tcPr>
            <w:tcW w:w="1415" w:type="dxa"/>
            <w:vAlign w:val="top"/>
          </w:tcPr>
          <w:p w14:paraId="33D74428">
            <w:pPr>
              <w:rPr>
                <w:rFonts w:ascii="Arial"/>
                <w:color w:val="auto"/>
                <w:sz w:val="21"/>
              </w:rPr>
            </w:pPr>
          </w:p>
        </w:tc>
        <w:tc>
          <w:tcPr>
            <w:tcW w:w="1537" w:type="dxa"/>
            <w:vAlign w:val="top"/>
          </w:tcPr>
          <w:p w14:paraId="7DBDF027">
            <w:pPr>
              <w:rPr>
                <w:rFonts w:ascii="Arial"/>
                <w:color w:val="auto"/>
                <w:sz w:val="21"/>
              </w:rPr>
            </w:pPr>
          </w:p>
        </w:tc>
        <w:tc>
          <w:tcPr>
            <w:tcW w:w="1444" w:type="dxa"/>
            <w:vAlign w:val="top"/>
          </w:tcPr>
          <w:p w14:paraId="31BBFAF8">
            <w:pPr>
              <w:rPr>
                <w:rFonts w:ascii="Arial"/>
                <w:color w:val="auto"/>
                <w:sz w:val="21"/>
              </w:rPr>
            </w:pPr>
          </w:p>
        </w:tc>
      </w:tr>
      <w:tr w14:paraId="32B3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471" w:type="dxa"/>
            <w:vAlign w:val="top"/>
          </w:tcPr>
          <w:p w14:paraId="775071DC">
            <w:pPr>
              <w:rPr>
                <w:rFonts w:ascii="Arial"/>
                <w:color w:val="auto"/>
                <w:sz w:val="21"/>
              </w:rPr>
            </w:pPr>
          </w:p>
        </w:tc>
        <w:tc>
          <w:tcPr>
            <w:tcW w:w="1338" w:type="dxa"/>
            <w:vAlign w:val="top"/>
          </w:tcPr>
          <w:p w14:paraId="2A1FF146">
            <w:pPr>
              <w:rPr>
                <w:rFonts w:ascii="Arial"/>
                <w:color w:val="auto"/>
                <w:sz w:val="21"/>
              </w:rPr>
            </w:pPr>
          </w:p>
        </w:tc>
        <w:tc>
          <w:tcPr>
            <w:tcW w:w="1979" w:type="dxa"/>
            <w:vAlign w:val="top"/>
          </w:tcPr>
          <w:p w14:paraId="7C4C5AE1">
            <w:pPr>
              <w:rPr>
                <w:rFonts w:ascii="Arial"/>
                <w:color w:val="auto"/>
                <w:sz w:val="21"/>
              </w:rPr>
            </w:pPr>
          </w:p>
        </w:tc>
        <w:tc>
          <w:tcPr>
            <w:tcW w:w="1365" w:type="dxa"/>
            <w:vAlign w:val="top"/>
          </w:tcPr>
          <w:p w14:paraId="17F6F464">
            <w:pPr>
              <w:rPr>
                <w:rFonts w:ascii="Arial"/>
                <w:color w:val="auto"/>
                <w:sz w:val="21"/>
              </w:rPr>
            </w:pPr>
          </w:p>
        </w:tc>
        <w:tc>
          <w:tcPr>
            <w:tcW w:w="1415" w:type="dxa"/>
            <w:vAlign w:val="top"/>
          </w:tcPr>
          <w:p w14:paraId="4CE34F6A">
            <w:pPr>
              <w:rPr>
                <w:rFonts w:ascii="Arial"/>
                <w:color w:val="auto"/>
                <w:sz w:val="21"/>
              </w:rPr>
            </w:pPr>
          </w:p>
        </w:tc>
        <w:tc>
          <w:tcPr>
            <w:tcW w:w="1537" w:type="dxa"/>
            <w:vAlign w:val="top"/>
          </w:tcPr>
          <w:p w14:paraId="76017FF8">
            <w:pPr>
              <w:rPr>
                <w:rFonts w:ascii="Arial"/>
                <w:color w:val="auto"/>
                <w:sz w:val="21"/>
              </w:rPr>
            </w:pPr>
          </w:p>
        </w:tc>
        <w:tc>
          <w:tcPr>
            <w:tcW w:w="1444" w:type="dxa"/>
            <w:vAlign w:val="top"/>
          </w:tcPr>
          <w:p w14:paraId="395F2FF2">
            <w:pPr>
              <w:rPr>
                <w:rFonts w:ascii="Arial"/>
                <w:color w:val="auto"/>
                <w:sz w:val="21"/>
              </w:rPr>
            </w:pPr>
          </w:p>
        </w:tc>
      </w:tr>
      <w:tr w14:paraId="1078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71" w:type="dxa"/>
            <w:vAlign w:val="top"/>
          </w:tcPr>
          <w:p w14:paraId="551D5782">
            <w:pPr>
              <w:rPr>
                <w:rFonts w:ascii="Arial"/>
                <w:color w:val="auto"/>
                <w:sz w:val="21"/>
              </w:rPr>
            </w:pPr>
          </w:p>
        </w:tc>
        <w:tc>
          <w:tcPr>
            <w:tcW w:w="1338" w:type="dxa"/>
            <w:vAlign w:val="top"/>
          </w:tcPr>
          <w:p w14:paraId="18AECCEE">
            <w:pPr>
              <w:rPr>
                <w:rFonts w:ascii="Arial"/>
                <w:color w:val="auto"/>
                <w:sz w:val="21"/>
              </w:rPr>
            </w:pPr>
          </w:p>
        </w:tc>
        <w:tc>
          <w:tcPr>
            <w:tcW w:w="1979" w:type="dxa"/>
            <w:vAlign w:val="top"/>
          </w:tcPr>
          <w:p w14:paraId="2573702C">
            <w:pPr>
              <w:rPr>
                <w:rFonts w:ascii="Arial"/>
                <w:color w:val="auto"/>
                <w:sz w:val="21"/>
              </w:rPr>
            </w:pPr>
          </w:p>
        </w:tc>
        <w:tc>
          <w:tcPr>
            <w:tcW w:w="1365" w:type="dxa"/>
            <w:vAlign w:val="top"/>
          </w:tcPr>
          <w:p w14:paraId="5C9FA499">
            <w:pPr>
              <w:rPr>
                <w:rFonts w:ascii="Arial"/>
                <w:color w:val="auto"/>
                <w:sz w:val="21"/>
              </w:rPr>
            </w:pPr>
          </w:p>
        </w:tc>
        <w:tc>
          <w:tcPr>
            <w:tcW w:w="1415" w:type="dxa"/>
            <w:vAlign w:val="top"/>
          </w:tcPr>
          <w:p w14:paraId="0F2FD59A">
            <w:pPr>
              <w:rPr>
                <w:rFonts w:ascii="Arial"/>
                <w:color w:val="auto"/>
                <w:sz w:val="21"/>
              </w:rPr>
            </w:pPr>
          </w:p>
        </w:tc>
        <w:tc>
          <w:tcPr>
            <w:tcW w:w="1537" w:type="dxa"/>
            <w:vAlign w:val="top"/>
          </w:tcPr>
          <w:p w14:paraId="19BA1BE6">
            <w:pPr>
              <w:rPr>
                <w:rFonts w:ascii="Arial"/>
                <w:color w:val="auto"/>
                <w:sz w:val="21"/>
              </w:rPr>
            </w:pPr>
          </w:p>
        </w:tc>
        <w:tc>
          <w:tcPr>
            <w:tcW w:w="1444" w:type="dxa"/>
            <w:vAlign w:val="top"/>
          </w:tcPr>
          <w:p w14:paraId="00435391">
            <w:pPr>
              <w:rPr>
                <w:rFonts w:ascii="Arial"/>
                <w:color w:val="auto"/>
                <w:sz w:val="21"/>
              </w:rPr>
            </w:pPr>
          </w:p>
        </w:tc>
      </w:tr>
      <w:tr w14:paraId="29D9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71" w:type="dxa"/>
            <w:vAlign w:val="top"/>
          </w:tcPr>
          <w:p w14:paraId="0933113B">
            <w:pPr>
              <w:rPr>
                <w:rFonts w:ascii="Arial"/>
                <w:color w:val="auto"/>
                <w:sz w:val="21"/>
              </w:rPr>
            </w:pPr>
          </w:p>
        </w:tc>
        <w:tc>
          <w:tcPr>
            <w:tcW w:w="1338" w:type="dxa"/>
            <w:vAlign w:val="top"/>
          </w:tcPr>
          <w:p w14:paraId="1330C157">
            <w:pPr>
              <w:rPr>
                <w:rFonts w:ascii="Arial"/>
                <w:color w:val="auto"/>
                <w:sz w:val="21"/>
              </w:rPr>
            </w:pPr>
          </w:p>
        </w:tc>
        <w:tc>
          <w:tcPr>
            <w:tcW w:w="1979" w:type="dxa"/>
            <w:vAlign w:val="top"/>
          </w:tcPr>
          <w:p w14:paraId="5E989F3D">
            <w:pPr>
              <w:rPr>
                <w:rFonts w:ascii="Arial"/>
                <w:color w:val="auto"/>
                <w:sz w:val="21"/>
              </w:rPr>
            </w:pPr>
          </w:p>
        </w:tc>
        <w:tc>
          <w:tcPr>
            <w:tcW w:w="1365" w:type="dxa"/>
            <w:vAlign w:val="top"/>
          </w:tcPr>
          <w:p w14:paraId="2C8050B6">
            <w:pPr>
              <w:rPr>
                <w:rFonts w:ascii="Arial"/>
                <w:color w:val="auto"/>
                <w:sz w:val="21"/>
              </w:rPr>
            </w:pPr>
          </w:p>
        </w:tc>
        <w:tc>
          <w:tcPr>
            <w:tcW w:w="1415" w:type="dxa"/>
            <w:vAlign w:val="top"/>
          </w:tcPr>
          <w:p w14:paraId="469986C6">
            <w:pPr>
              <w:rPr>
                <w:rFonts w:ascii="Arial"/>
                <w:color w:val="auto"/>
                <w:sz w:val="21"/>
              </w:rPr>
            </w:pPr>
          </w:p>
        </w:tc>
        <w:tc>
          <w:tcPr>
            <w:tcW w:w="1537" w:type="dxa"/>
            <w:vAlign w:val="top"/>
          </w:tcPr>
          <w:p w14:paraId="1CE1915C">
            <w:pPr>
              <w:rPr>
                <w:rFonts w:ascii="Arial"/>
                <w:color w:val="auto"/>
                <w:sz w:val="21"/>
              </w:rPr>
            </w:pPr>
          </w:p>
        </w:tc>
        <w:tc>
          <w:tcPr>
            <w:tcW w:w="1444" w:type="dxa"/>
            <w:vAlign w:val="top"/>
          </w:tcPr>
          <w:p w14:paraId="50CCE99C">
            <w:pPr>
              <w:rPr>
                <w:rFonts w:ascii="Arial"/>
                <w:color w:val="auto"/>
                <w:sz w:val="21"/>
              </w:rPr>
            </w:pPr>
          </w:p>
        </w:tc>
      </w:tr>
      <w:tr w14:paraId="477A1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71" w:type="dxa"/>
            <w:vAlign w:val="top"/>
          </w:tcPr>
          <w:p w14:paraId="0A627CEE">
            <w:pPr>
              <w:rPr>
                <w:rFonts w:ascii="Arial"/>
                <w:color w:val="auto"/>
                <w:sz w:val="21"/>
              </w:rPr>
            </w:pPr>
          </w:p>
        </w:tc>
        <w:tc>
          <w:tcPr>
            <w:tcW w:w="1338" w:type="dxa"/>
            <w:vAlign w:val="top"/>
          </w:tcPr>
          <w:p w14:paraId="0B590B21">
            <w:pPr>
              <w:rPr>
                <w:rFonts w:ascii="Arial"/>
                <w:color w:val="auto"/>
                <w:sz w:val="21"/>
              </w:rPr>
            </w:pPr>
          </w:p>
        </w:tc>
        <w:tc>
          <w:tcPr>
            <w:tcW w:w="1979" w:type="dxa"/>
            <w:vAlign w:val="top"/>
          </w:tcPr>
          <w:p w14:paraId="2A07196F">
            <w:pPr>
              <w:rPr>
                <w:rFonts w:ascii="Arial"/>
                <w:color w:val="auto"/>
                <w:sz w:val="21"/>
              </w:rPr>
            </w:pPr>
          </w:p>
        </w:tc>
        <w:tc>
          <w:tcPr>
            <w:tcW w:w="1365" w:type="dxa"/>
            <w:vAlign w:val="top"/>
          </w:tcPr>
          <w:p w14:paraId="76E9A4DF">
            <w:pPr>
              <w:rPr>
                <w:rFonts w:ascii="Arial"/>
                <w:color w:val="auto"/>
                <w:sz w:val="21"/>
              </w:rPr>
            </w:pPr>
          </w:p>
        </w:tc>
        <w:tc>
          <w:tcPr>
            <w:tcW w:w="1415" w:type="dxa"/>
            <w:vAlign w:val="top"/>
          </w:tcPr>
          <w:p w14:paraId="5776292D">
            <w:pPr>
              <w:rPr>
                <w:rFonts w:ascii="Arial"/>
                <w:color w:val="auto"/>
                <w:sz w:val="21"/>
              </w:rPr>
            </w:pPr>
          </w:p>
        </w:tc>
        <w:tc>
          <w:tcPr>
            <w:tcW w:w="1537" w:type="dxa"/>
            <w:vAlign w:val="top"/>
          </w:tcPr>
          <w:p w14:paraId="5FEBB39F">
            <w:pPr>
              <w:rPr>
                <w:rFonts w:ascii="Arial"/>
                <w:color w:val="auto"/>
                <w:sz w:val="21"/>
              </w:rPr>
            </w:pPr>
          </w:p>
        </w:tc>
        <w:tc>
          <w:tcPr>
            <w:tcW w:w="1444" w:type="dxa"/>
            <w:vAlign w:val="top"/>
          </w:tcPr>
          <w:p w14:paraId="72BEB4EE">
            <w:pPr>
              <w:rPr>
                <w:rFonts w:ascii="Arial"/>
                <w:color w:val="auto"/>
                <w:sz w:val="21"/>
              </w:rPr>
            </w:pPr>
          </w:p>
        </w:tc>
      </w:tr>
      <w:tr w14:paraId="07D5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71" w:type="dxa"/>
            <w:vAlign w:val="top"/>
          </w:tcPr>
          <w:p w14:paraId="6FD55E2C">
            <w:pPr>
              <w:rPr>
                <w:rFonts w:ascii="Arial"/>
                <w:color w:val="auto"/>
                <w:sz w:val="21"/>
              </w:rPr>
            </w:pPr>
          </w:p>
        </w:tc>
        <w:tc>
          <w:tcPr>
            <w:tcW w:w="1338" w:type="dxa"/>
            <w:vAlign w:val="top"/>
          </w:tcPr>
          <w:p w14:paraId="381ECBEE">
            <w:pPr>
              <w:rPr>
                <w:rFonts w:ascii="Arial"/>
                <w:color w:val="auto"/>
                <w:sz w:val="21"/>
              </w:rPr>
            </w:pPr>
          </w:p>
        </w:tc>
        <w:tc>
          <w:tcPr>
            <w:tcW w:w="1979" w:type="dxa"/>
            <w:vAlign w:val="top"/>
          </w:tcPr>
          <w:p w14:paraId="615A24DB">
            <w:pPr>
              <w:rPr>
                <w:rFonts w:ascii="Arial"/>
                <w:color w:val="auto"/>
                <w:sz w:val="21"/>
              </w:rPr>
            </w:pPr>
          </w:p>
        </w:tc>
        <w:tc>
          <w:tcPr>
            <w:tcW w:w="1365" w:type="dxa"/>
            <w:vAlign w:val="top"/>
          </w:tcPr>
          <w:p w14:paraId="205560E2">
            <w:pPr>
              <w:rPr>
                <w:rFonts w:ascii="Arial"/>
                <w:color w:val="auto"/>
                <w:sz w:val="21"/>
              </w:rPr>
            </w:pPr>
          </w:p>
        </w:tc>
        <w:tc>
          <w:tcPr>
            <w:tcW w:w="1415" w:type="dxa"/>
            <w:vAlign w:val="top"/>
          </w:tcPr>
          <w:p w14:paraId="2E2305E1">
            <w:pPr>
              <w:rPr>
                <w:rFonts w:ascii="Arial"/>
                <w:color w:val="auto"/>
                <w:sz w:val="21"/>
              </w:rPr>
            </w:pPr>
          </w:p>
        </w:tc>
        <w:tc>
          <w:tcPr>
            <w:tcW w:w="1537" w:type="dxa"/>
            <w:vAlign w:val="top"/>
          </w:tcPr>
          <w:p w14:paraId="7F089339">
            <w:pPr>
              <w:rPr>
                <w:rFonts w:ascii="Arial"/>
                <w:color w:val="auto"/>
                <w:sz w:val="21"/>
              </w:rPr>
            </w:pPr>
          </w:p>
        </w:tc>
        <w:tc>
          <w:tcPr>
            <w:tcW w:w="1444" w:type="dxa"/>
            <w:vAlign w:val="top"/>
          </w:tcPr>
          <w:p w14:paraId="4CF827BC">
            <w:pPr>
              <w:rPr>
                <w:rFonts w:ascii="Arial"/>
                <w:color w:val="auto"/>
                <w:sz w:val="21"/>
              </w:rPr>
            </w:pPr>
          </w:p>
        </w:tc>
      </w:tr>
    </w:tbl>
    <w:p w14:paraId="65586084">
      <w:pPr>
        <w:spacing w:before="141" w:line="369" w:lineRule="auto"/>
        <w:ind w:left="17" w:right="991" w:firstLine="435"/>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.3 以上所给定的产品品牌规格如与图纸设计规格不尽相同，可采用同种品牌相近的规</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9"/>
          <w:sz w:val="20"/>
          <w:szCs w:val="20"/>
        </w:rPr>
        <w:t>代</w:t>
      </w:r>
      <w:r>
        <w:rPr>
          <w:rFonts w:ascii="宋体" w:hAnsi="宋体" w:eastAsia="宋体" w:cs="宋体"/>
          <w:color w:val="auto"/>
          <w:spacing w:val="8"/>
          <w:sz w:val="20"/>
          <w:szCs w:val="20"/>
        </w:rPr>
        <w:t>替 (质量必须在原图纸设计规格质量之上) 。</w:t>
      </w:r>
    </w:p>
    <w:p w14:paraId="09566A1D">
      <w:pPr>
        <w:spacing w:before="2" w:line="369" w:lineRule="auto"/>
        <w:ind w:left="18" w:right="991" w:firstLine="434"/>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.4 如果给定的以上品牌中没有与图纸设计相同或相近规格的产品，请以书面形式通知</w:t>
      </w:r>
      <w:r>
        <w:rPr>
          <w:rFonts w:ascii="宋体" w:hAnsi="宋体" w:eastAsia="宋体" w:cs="宋体"/>
          <w:color w:val="auto"/>
          <w:sz w:val="20"/>
          <w:szCs w:val="20"/>
        </w:rPr>
        <w:t xml:space="preserve"> </w:t>
      </w:r>
      <w:r>
        <w:rPr>
          <w:rFonts w:ascii="宋体" w:hAnsi="宋体" w:eastAsia="宋体" w:cs="宋体"/>
          <w:color w:val="auto"/>
          <w:spacing w:val="16"/>
          <w:sz w:val="20"/>
          <w:szCs w:val="20"/>
        </w:rPr>
        <w:t>招</w:t>
      </w:r>
      <w:r>
        <w:rPr>
          <w:rFonts w:ascii="宋体" w:hAnsi="宋体" w:eastAsia="宋体" w:cs="宋体"/>
          <w:color w:val="auto"/>
          <w:spacing w:val="12"/>
          <w:sz w:val="20"/>
          <w:szCs w:val="20"/>
        </w:rPr>
        <w:t>标</w:t>
      </w:r>
      <w:r>
        <w:rPr>
          <w:rFonts w:ascii="宋体" w:hAnsi="宋体" w:eastAsia="宋体" w:cs="宋体"/>
          <w:color w:val="auto"/>
          <w:spacing w:val="8"/>
          <w:sz w:val="20"/>
          <w:szCs w:val="20"/>
        </w:rPr>
        <w:t>人，招标人以书面形式予以答复。</w:t>
      </w:r>
    </w:p>
    <w:p w14:paraId="5DC1A6A1">
      <w:pPr>
        <w:spacing w:before="3" w:line="368" w:lineRule="auto"/>
        <w:ind w:left="19" w:right="936" w:firstLine="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.5 其余材料和工程设备由投标人自行选定，所选材料和工程设备必须符合国家标准且</w:t>
      </w:r>
      <w:r>
        <w:rPr>
          <w:rFonts w:ascii="宋体" w:hAnsi="宋体" w:eastAsia="宋体" w:cs="宋体"/>
          <w:color w:val="auto"/>
          <w:sz w:val="20"/>
          <w:szCs w:val="20"/>
        </w:rPr>
        <w:t xml:space="preserve"> </w:t>
      </w:r>
      <w:r>
        <w:rPr>
          <w:rFonts w:ascii="宋体" w:hAnsi="宋体" w:eastAsia="宋体" w:cs="宋体"/>
          <w:color w:val="auto"/>
          <w:spacing w:val="18"/>
          <w:sz w:val="20"/>
          <w:szCs w:val="20"/>
        </w:rPr>
        <w:t>必须是</w:t>
      </w:r>
      <w:r>
        <w:rPr>
          <w:rFonts w:ascii="宋体" w:hAnsi="宋体" w:eastAsia="宋体" w:cs="宋体"/>
          <w:color w:val="auto"/>
          <w:spacing w:val="11"/>
          <w:sz w:val="20"/>
          <w:szCs w:val="20"/>
        </w:rPr>
        <w:t>大</w:t>
      </w:r>
      <w:r>
        <w:rPr>
          <w:rFonts w:ascii="宋体" w:hAnsi="宋体" w:eastAsia="宋体" w:cs="宋体"/>
          <w:color w:val="auto"/>
          <w:spacing w:val="9"/>
          <w:sz w:val="20"/>
          <w:szCs w:val="20"/>
        </w:rPr>
        <w:t>中型企业生产的中高档产品，中标后，招标人将中标人选定的材料和工程设备制造厂</w:t>
      </w:r>
      <w:r>
        <w:rPr>
          <w:rFonts w:ascii="宋体" w:hAnsi="宋体" w:eastAsia="宋体" w:cs="宋体"/>
          <w:color w:val="auto"/>
          <w:sz w:val="20"/>
          <w:szCs w:val="20"/>
        </w:rPr>
        <w:t xml:space="preserve"> </w:t>
      </w:r>
      <w:r>
        <w:rPr>
          <w:rFonts w:ascii="宋体" w:hAnsi="宋体" w:eastAsia="宋体" w:cs="宋体"/>
          <w:color w:val="auto"/>
          <w:spacing w:val="18"/>
          <w:sz w:val="20"/>
          <w:szCs w:val="20"/>
        </w:rPr>
        <w:t>商和供</w:t>
      </w:r>
      <w:r>
        <w:rPr>
          <w:rFonts w:ascii="宋体" w:hAnsi="宋体" w:eastAsia="宋体" w:cs="宋体"/>
          <w:color w:val="auto"/>
          <w:spacing w:val="11"/>
          <w:sz w:val="20"/>
          <w:szCs w:val="20"/>
        </w:rPr>
        <w:t>应</w:t>
      </w:r>
      <w:r>
        <w:rPr>
          <w:rFonts w:ascii="宋体" w:hAnsi="宋体" w:eastAsia="宋体" w:cs="宋体"/>
          <w:color w:val="auto"/>
          <w:spacing w:val="9"/>
          <w:sz w:val="20"/>
          <w:szCs w:val="20"/>
        </w:rPr>
        <w:t>商进行考察，若中标人采用小型企业生产的材料和工程设备，招标人将要求中标人无</w:t>
      </w:r>
      <w:r>
        <w:rPr>
          <w:rFonts w:ascii="宋体" w:hAnsi="宋体" w:eastAsia="宋体" w:cs="宋体"/>
          <w:color w:val="auto"/>
          <w:sz w:val="20"/>
          <w:szCs w:val="20"/>
        </w:rPr>
        <w:t xml:space="preserve"> </w:t>
      </w:r>
      <w:r>
        <w:rPr>
          <w:rFonts w:ascii="宋体" w:hAnsi="宋体" w:eastAsia="宋体" w:cs="宋体"/>
          <w:color w:val="auto"/>
          <w:spacing w:val="11"/>
          <w:sz w:val="20"/>
          <w:szCs w:val="20"/>
        </w:rPr>
        <w:t>条</w:t>
      </w:r>
      <w:r>
        <w:rPr>
          <w:rFonts w:ascii="宋体" w:hAnsi="宋体" w:eastAsia="宋体" w:cs="宋体"/>
          <w:color w:val="auto"/>
          <w:spacing w:val="9"/>
          <w:sz w:val="20"/>
          <w:szCs w:val="20"/>
        </w:rPr>
        <w:t>件更换招标人指定的制造商和供应商，价格不作调整。</w:t>
      </w:r>
    </w:p>
    <w:p w14:paraId="0C7859CA">
      <w:pPr>
        <w:spacing w:before="1" w:line="227" w:lineRule="auto"/>
        <w:ind w:left="453"/>
        <w:rPr>
          <w:rFonts w:ascii="宋体" w:hAnsi="宋体" w:eastAsia="宋体" w:cs="宋体"/>
          <w:color w:val="auto"/>
          <w:sz w:val="20"/>
          <w:szCs w:val="20"/>
        </w:rPr>
      </w:pPr>
      <w:r>
        <w:rPr>
          <w:rFonts w:ascii="宋体" w:hAnsi="宋体" w:eastAsia="宋体" w:cs="宋体"/>
          <w:color w:val="auto"/>
          <w:spacing w:val="4"/>
          <w:sz w:val="20"/>
          <w:szCs w:val="20"/>
        </w:rPr>
        <w:t xml:space="preserve">1.2 </w:t>
      </w:r>
      <w:r>
        <w:rPr>
          <w:rFonts w:ascii="宋体" w:hAnsi="宋体" w:eastAsia="宋体" w:cs="宋体"/>
          <w:color w:val="auto"/>
          <w:spacing w:val="3"/>
          <w:sz w:val="20"/>
          <w:szCs w:val="20"/>
        </w:rPr>
        <w:t>承</w:t>
      </w:r>
      <w:r>
        <w:rPr>
          <w:rFonts w:ascii="宋体" w:hAnsi="宋体" w:eastAsia="宋体" w:cs="宋体"/>
          <w:color w:val="auto"/>
          <w:spacing w:val="2"/>
          <w:sz w:val="20"/>
          <w:szCs w:val="20"/>
        </w:rPr>
        <w:t>包人供应的设备材料：：</w:t>
      </w:r>
    </w:p>
    <w:p w14:paraId="04766E5D">
      <w:pPr>
        <w:spacing w:before="155" w:line="226" w:lineRule="auto"/>
        <w:ind w:left="453"/>
        <w:rPr>
          <w:rFonts w:ascii="宋体" w:hAnsi="宋体" w:eastAsia="宋体" w:cs="宋体"/>
          <w:color w:val="auto"/>
          <w:sz w:val="20"/>
          <w:szCs w:val="20"/>
        </w:rPr>
      </w:pPr>
      <w:r>
        <w:rPr>
          <w:rFonts w:ascii="宋体" w:hAnsi="宋体" w:eastAsia="宋体" w:cs="宋体"/>
          <w:color w:val="auto"/>
          <w:spacing w:val="7"/>
          <w:sz w:val="20"/>
          <w:szCs w:val="20"/>
        </w:rPr>
        <w:t>1.2.1 在发货前必须向业主提供所投标产品在中国总代理的发货证明及双方合同</w:t>
      </w:r>
      <w:r>
        <w:rPr>
          <w:rFonts w:ascii="宋体" w:hAnsi="宋体" w:eastAsia="宋体" w:cs="宋体"/>
          <w:color w:val="auto"/>
          <w:spacing w:val="3"/>
          <w:sz w:val="20"/>
          <w:szCs w:val="20"/>
        </w:rPr>
        <w:t>；</w:t>
      </w:r>
    </w:p>
    <w:p w14:paraId="740C1627">
      <w:pPr>
        <w:spacing w:before="156" w:line="226" w:lineRule="auto"/>
        <w:ind w:left="453"/>
        <w:rPr>
          <w:rFonts w:ascii="宋体" w:hAnsi="宋体" w:eastAsia="宋体" w:cs="宋体"/>
          <w:color w:val="auto"/>
          <w:sz w:val="20"/>
          <w:szCs w:val="20"/>
        </w:rPr>
      </w:pPr>
      <w:r>
        <w:rPr>
          <w:rFonts w:ascii="宋体" w:hAnsi="宋体" w:eastAsia="宋体" w:cs="宋体"/>
          <w:color w:val="auto"/>
          <w:spacing w:val="10"/>
          <w:sz w:val="20"/>
          <w:szCs w:val="20"/>
        </w:rPr>
        <w:t>1.2</w:t>
      </w:r>
      <w:r>
        <w:rPr>
          <w:rFonts w:ascii="宋体" w:hAnsi="宋体" w:eastAsia="宋体" w:cs="宋体"/>
          <w:color w:val="auto"/>
          <w:spacing w:val="5"/>
          <w:sz w:val="20"/>
          <w:szCs w:val="20"/>
        </w:rPr>
        <w:t>.2 在发货时提供产品的原产地证明及原厂家发票；</w:t>
      </w:r>
    </w:p>
    <w:p w14:paraId="015EED72">
      <w:pPr>
        <w:spacing w:before="153" w:line="226" w:lineRule="auto"/>
        <w:ind w:left="453"/>
        <w:rPr>
          <w:rFonts w:ascii="宋体" w:hAnsi="宋体" w:eastAsia="宋体" w:cs="宋体"/>
          <w:color w:val="auto"/>
          <w:sz w:val="20"/>
          <w:szCs w:val="20"/>
        </w:rPr>
      </w:pPr>
      <w:r>
        <w:rPr>
          <w:rFonts w:ascii="宋体" w:hAnsi="宋体" w:eastAsia="宋体" w:cs="宋体"/>
          <w:color w:val="auto"/>
          <w:spacing w:val="8"/>
          <w:sz w:val="20"/>
          <w:szCs w:val="20"/>
        </w:rPr>
        <w:t xml:space="preserve">1.2.3 </w:t>
      </w:r>
      <w:r>
        <w:rPr>
          <w:rFonts w:ascii="宋体" w:hAnsi="宋体" w:eastAsia="宋体" w:cs="宋体"/>
          <w:color w:val="auto"/>
          <w:spacing w:val="6"/>
          <w:sz w:val="20"/>
          <w:szCs w:val="20"/>
        </w:rPr>
        <w:t>在</w:t>
      </w:r>
      <w:r>
        <w:rPr>
          <w:rFonts w:ascii="宋体" w:hAnsi="宋体" w:eastAsia="宋体" w:cs="宋体"/>
          <w:color w:val="auto"/>
          <w:spacing w:val="4"/>
          <w:sz w:val="20"/>
          <w:szCs w:val="20"/>
        </w:rPr>
        <w:t>发货时提供产品的合格证、3</w:t>
      </w:r>
      <w:r>
        <w:rPr>
          <w:rFonts w:ascii="宋体" w:hAnsi="宋体" w:eastAsia="宋体" w:cs="宋体"/>
          <w:color w:val="auto"/>
          <w:sz w:val="20"/>
          <w:szCs w:val="20"/>
        </w:rPr>
        <w:t>C</w:t>
      </w:r>
      <w:r>
        <w:rPr>
          <w:rFonts w:ascii="宋体" w:hAnsi="宋体" w:eastAsia="宋体" w:cs="宋体"/>
          <w:color w:val="auto"/>
          <w:spacing w:val="4"/>
          <w:sz w:val="20"/>
          <w:szCs w:val="20"/>
        </w:rPr>
        <w:t xml:space="preserve"> 认证、消防产品型式认可证。</w:t>
      </w:r>
    </w:p>
    <w:p w14:paraId="7CC670A7">
      <w:pPr>
        <w:spacing w:before="156" w:line="227" w:lineRule="auto"/>
        <w:ind w:left="453"/>
        <w:rPr>
          <w:rFonts w:ascii="宋体" w:hAnsi="宋体" w:eastAsia="宋体" w:cs="宋体"/>
          <w:color w:val="auto"/>
          <w:sz w:val="20"/>
          <w:szCs w:val="20"/>
        </w:rPr>
      </w:pPr>
      <w:r>
        <w:rPr>
          <w:rFonts w:ascii="宋体" w:hAnsi="宋体" w:eastAsia="宋体" w:cs="宋体"/>
          <w:color w:val="auto"/>
          <w:spacing w:val="1"/>
          <w:sz w:val="20"/>
          <w:szCs w:val="20"/>
        </w:rPr>
        <w:t>1</w:t>
      </w:r>
      <w:r>
        <w:rPr>
          <w:rFonts w:ascii="宋体" w:hAnsi="宋体" w:eastAsia="宋体" w:cs="宋体"/>
          <w:color w:val="auto"/>
          <w:sz w:val="20"/>
          <w:szCs w:val="20"/>
        </w:rPr>
        <w:t>.3 产品的成套性</w:t>
      </w:r>
    </w:p>
    <w:p w14:paraId="5486C232">
      <w:pPr>
        <w:rPr>
          <w:color w:val="auto"/>
        </w:rPr>
        <w:sectPr>
          <w:footerReference r:id="rId21" w:type="default"/>
          <w:pgSz w:w="11906" w:h="16839"/>
          <w:pgMar w:top="400" w:right="741" w:bottom="1156" w:left="1610" w:header="0" w:footer="996" w:gutter="0"/>
          <w:pgNumType w:fmt="decimal"/>
          <w:cols w:space="720" w:num="1"/>
        </w:sectPr>
      </w:pPr>
    </w:p>
    <w:p w14:paraId="1625D383">
      <w:pPr>
        <w:spacing w:line="285" w:lineRule="auto"/>
        <w:rPr>
          <w:rFonts w:ascii="Arial"/>
          <w:color w:val="auto"/>
          <w:sz w:val="21"/>
        </w:rPr>
      </w:pPr>
    </w:p>
    <w:p w14:paraId="7063B069">
      <w:pPr>
        <w:spacing w:line="285" w:lineRule="auto"/>
        <w:rPr>
          <w:rFonts w:ascii="Arial"/>
          <w:color w:val="auto"/>
          <w:sz w:val="21"/>
        </w:rPr>
      </w:pPr>
    </w:p>
    <w:p w14:paraId="7D343B9F">
      <w:pPr>
        <w:spacing w:line="286" w:lineRule="auto"/>
        <w:rPr>
          <w:rFonts w:ascii="Arial"/>
          <w:color w:val="auto"/>
          <w:sz w:val="21"/>
        </w:rPr>
      </w:pPr>
    </w:p>
    <w:p w14:paraId="3BCC203D">
      <w:pPr>
        <w:spacing w:line="286" w:lineRule="auto"/>
        <w:rPr>
          <w:rFonts w:ascii="Arial"/>
          <w:color w:val="auto"/>
          <w:sz w:val="21"/>
        </w:rPr>
      </w:pPr>
    </w:p>
    <w:p w14:paraId="036A286A">
      <w:pPr>
        <w:spacing w:before="65" w:line="226" w:lineRule="auto"/>
        <w:ind w:left="424"/>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1"/>
          <w:sz w:val="20"/>
          <w:szCs w:val="20"/>
        </w:rPr>
        <w:t>标</w:t>
      </w:r>
      <w:r>
        <w:rPr>
          <w:rFonts w:ascii="宋体" w:hAnsi="宋体" w:eastAsia="宋体" w:cs="宋体"/>
          <w:color w:val="auto"/>
          <w:spacing w:val="8"/>
          <w:sz w:val="20"/>
          <w:szCs w:val="20"/>
        </w:rPr>
        <w:t>人供货时应提供下列文件及附件：</w:t>
      </w:r>
    </w:p>
    <w:p w14:paraId="6607421C">
      <w:pPr>
        <w:spacing w:before="155" w:line="229"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4"/>
          <w:sz w:val="20"/>
          <w:szCs w:val="20"/>
        </w:rPr>
        <w:t>.3.1  装箱清单</w:t>
      </w:r>
    </w:p>
    <w:p w14:paraId="1088127F">
      <w:pPr>
        <w:spacing w:before="149" w:line="228"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.3.2  产品合格证书</w:t>
      </w:r>
    </w:p>
    <w:p w14:paraId="06B9EDFB">
      <w:pPr>
        <w:spacing w:before="153" w:line="228" w:lineRule="auto"/>
        <w:ind w:left="437"/>
        <w:rPr>
          <w:rFonts w:ascii="宋体" w:hAnsi="宋体" w:eastAsia="宋体" w:cs="宋体"/>
          <w:color w:val="auto"/>
          <w:sz w:val="20"/>
          <w:szCs w:val="20"/>
        </w:rPr>
      </w:pPr>
      <w:r>
        <w:rPr>
          <w:rFonts w:ascii="宋体" w:hAnsi="宋体" w:eastAsia="宋体" w:cs="宋体"/>
          <w:color w:val="auto"/>
          <w:spacing w:val="5"/>
          <w:sz w:val="20"/>
          <w:szCs w:val="20"/>
        </w:rPr>
        <w:t>1.3.3  使用说明</w:t>
      </w:r>
      <w:r>
        <w:rPr>
          <w:rFonts w:ascii="宋体" w:hAnsi="宋体" w:eastAsia="宋体" w:cs="宋体"/>
          <w:color w:val="auto"/>
          <w:spacing w:val="4"/>
          <w:sz w:val="20"/>
          <w:szCs w:val="20"/>
        </w:rPr>
        <w:t>书</w:t>
      </w:r>
    </w:p>
    <w:p w14:paraId="77B763ED">
      <w:pPr>
        <w:spacing w:before="154" w:line="225"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.3.4  出厂试验报告</w:t>
      </w:r>
    </w:p>
    <w:p w14:paraId="4BC7EFFD">
      <w:pPr>
        <w:spacing w:before="155" w:line="227" w:lineRule="auto"/>
        <w:ind w:left="437"/>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6"/>
          <w:sz w:val="20"/>
          <w:szCs w:val="20"/>
        </w:rPr>
        <w:t>.3.5  有关技术资料及图纸</w:t>
      </w:r>
    </w:p>
    <w:p w14:paraId="21AAA445">
      <w:pPr>
        <w:spacing w:before="155" w:line="227" w:lineRule="auto"/>
        <w:ind w:left="437"/>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4 资料交换及售后服务</w:t>
      </w:r>
    </w:p>
    <w:p w14:paraId="5DD5C5E5">
      <w:pPr>
        <w:spacing w:before="155" w:line="229" w:lineRule="auto"/>
        <w:ind w:left="424"/>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0"/>
          <w:sz w:val="20"/>
          <w:szCs w:val="20"/>
        </w:rPr>
        <w:t>标</w:t>
      </w:r>
      <w:r>
        <w:rPr>
          <w:rFonts w:ascii="宋体" w:hAnsi="宋体" w:eastAsia="宋体" w:cs="宋体"/>
          <w:color w:val="auto"/>
          <w:spacing w:val="9"/>
          <w:sz w:val="20"/>
          <w:szCs w:val="20"/>
        </w:rPr>
        <w:t>人在投标时，应随磋商响应文件提供设备总图、基础图、原理接线图。</w:t>
      </w:r>
    </w:p>
    <w:p w14:paraId="064FC0E0">
      <w:pPr>
        <w:spacing w:before="252" w:line="228" w:lineRule="auto"/>
        <w:ind w:left="4"/>
        <w:outlineLvl w:val="1"/>
        <w:rPr>
          <w:rFonts w:ascii="宋体" w:hAnsi="宋体" w:eastAsia="宋体" w:cs="宋体"/>
          <w:color w:val="auto"/>
          <w:sz w:val="20"/>
          <w:szCs w:val="20"/>
        </w:rPr>
      </w:pPr>
      <w:r>
        <w:rPr>
          <w:rFonts w:ascii="宋体" w:hAnsi="宋体" w:eastAsia="宋体" w:cs="宋体"/>
          <w:color w:val="auto"/>
          <w:spacing w:val="6"/>
          <w:sz w:val="20"/>
          <w:szCs w:val="20"/>
        </w:rPr>
        <w:t>2. 技术规</w:t>
      </w:r>
      <w:r>
        <w:rPr>
          <w:rFonts w:ascii="宋体" w:hAnsi="宋体" w:eastAsia="宋体" w:cs="宋体"/>
          <w:color w:val="auto"/>
          <w:spacing w:val="5"/>
          <w:sz w:val="20"/>
          <w:szCs w:val="20"/>
        </w:rPr>
        <w:t>范</w:t>
      </w:r>
    </w:p>
    <w:p w14:paraId="58FD32E1">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7"/>
          <w:sz w:val="20"/>
          <w:szCs w:val="20"/>
        </w:rPr>
        <w:t>.1 按照国家和自治区现行的质量标准和设计、施工技术规范执行；</w:t>
      </w:r>
    </w:p>
    <w:p w14:paraId="44718651">
      <w:pPr>
        <w:spacing w:before="152" w:line="228" w:lineRule="auto"/>
        <w:ind w:left="5"/>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5"/>
          <w:sz w:val="20"/>
          <w:szCs w:val="20"/>
        </w:rPr>
        <w:t>. 技术标准</w:t>
      </w:r>
    </w:p>
    <w:p w14:paraId="6D3CDEDF">
      <w:pPr>
        <w:spacing w:before="154" w:line="228" w:lineRule="auto"/>
        <w:ind w:left="423"/>
        <w:rPr>
          <w:rFonts w:ascii="宋体" w:hAnsi="宋体" w:eastAsia="宋体" w:cs="宋体"/>
          <w:color w:val="auto"/>
          <w:sz w:val="20"/>
          <w:szCs w:val="20"/>
        </w:rPr>
      </w:pPr>
      <w:r>
        <w:rPr>
          <w:rFonts w:ascii="宋体" w:hAnsi="宋体" w:eastAsia="宋体" w:cs="宋体"/>
          <w:color w:val="auto"/>
          <w:spacing w:val="10"/>
          <w:sz w:val="20"/>
          <w:szCs w:val="20"/>
        </w:rPr>
        <w:t>按</w:t>
      </w:r>
      <w:r>
        <w:rPr>
          <w:rFonts w:ascii="宋体" w:hAnsi="宋体" w:eastAsia="宋体" w:cs="宋体"/>
          <w:color w:val="auto"/>
          <w:spacing w:val="9"/>
          <w:sz w:val="20"/>
          <w:szCs w:val="20"/>
        </w:rPr>
        <w:t>照国家有关强制性标准和地方强制性标准执行。</w:t>
      </w:r>
    </w:p>
    <w:p w14:paraId="3B0AD424">
      <w:pPr>
        <w:spacing w:before="251" w:line="228" w:lineRule="auto"/>
        <w:outlineLvl w:val="1"/>
        <w:rPr>
          <w:rFonts w:ascii="宋体" w:hAnsi="宋体" w:eastAsia="宋体" w:cs="宋体"/>
          <w:color w:val="auto"/>
          <w:sz w:val="20"/>
          <w:szCs w:val="20"/>
        </w:rPr>
      </w:pPr>
      <w:r>
        <w:rPr>
          <w:rFonts w:ascii="宋体" w:hAnsi="宋体" w:eastAsia="宋体" w:cs="宋体"/>
          <w:color w:val="auto"/>
          <w:spacing w:val="13"/>
          <w:sz w:val="20"/>
          <w:szCs w:val="20"/>
        </w:rPr>
        <w:t>4</w:t>
      </w:r>
      <w:r>
        <w:rPr>
          <w:rFonts w:ascii="宋体" w:hAnsi="宋体" w:eastAsia="宋体" w:cs="宋体"/>
          <w:color w:val="auto"/>
          <w:spacing w:val="9"/>
          <w:sz w:val="20"/>
          <w:szCs w:val="20"/>
        </w:rPr>
        <w:t>. 本工程施工材料和工程设备应必须符合设计和国家现行标准，具体技术要求如下：</w:t>
      </w:r>
    </w:p>
    <w:p w14:paraId="64FF80B6">
      <w:pPr>
        <w:spacing w:before="155" w:line="369" w:lineRule="auto"/>
        <w:ind w:left="1" w:right="2" w:firstLine="419"/>
        <w:rPr>
          <w:rFonts w:ascii="宋体" w:hAnsi="宋体" w:eastAsia="宋体" w:cs="宋体"/>
          <w:color w:val="auto"/>
          <w:sz w:val="20"/>
          <w:szCs w:val="20"/>
        </w:rPr>
      </w:pPr>
      <w:r>
        <w:rPr>
          <w:rFonts w:ascii="宋体" w:hAnsi="宋体" w:eastAsia="宋体" w:cs="宋体"/>
          <w:color w:val="auto"/>
          <w:spacing w:val="13"/>
          <w:sz w:val="20"/>
          <w:szCs w:val="20"/>
        </w:rPr>
        <w:t>4.1 本款提出的是最低限度的技术要求，并未对一切技术细节做出规定，也未充分引述</w:t>
      </w:r>
      <w:r>
        <w:rPr>
          <w:rFonts w:ascii="宋体" w:hAnsi="宋体" w:eastAsia="宋体" w:cs="宋体"/>
          <w:color w:val="auto"/>
          <w:spacing w:val="5"/>
          <w:sz w:val="20"/>
          <w:szCs w:val="20"/>
        </w:rPr>
        <w:t>有</w:t>
      </w:r>
      <w:r>
        <w:rPr>
          <w:rFonts w:ascii="宋体" w:hAnsi="宋体" w:eastAsia="宋体" w:cs="宋体"/>
          <w:color w:val="auto"/>
          <w:sz w:val="20"/>
          <w:szCs w:val="20"/>
        </w:rPr>
        <w:t xml:space="preserve"> </w:t>
      </w:r>
      <w:r>
        <w:rPr>
          <w:rFonts w:ascii="宋体" w:hAnsi="宋体" w:eastAsia="宋体" w:cs="宋体"/>
          <w:color w:val="auto"/>
          <w:spacing w:val="24"/>
          <w:sz w:val="20"/>
          <w:szCs w:val="20"/>
        </w:rPr>
        <w:t>关</w:t>
      </w:r>
      <w:r>
        <w:rPr>
          <w:rFonts w:ascii="宋体" w:hAnsi="宋体" w:eastAsia="宋体" w:cs="宋体"/>
          <w:color w:val="auto"/>
          <w:spacing w:val="13"/>
          <w:sz w:val="20"/>
          <w:szCs w:val="20"/>
        </w:rPr>
        <w:t>规范条文，投标人应保证提供符合本款、国家、行业和自治区现行的有关标准、规范的优质</w:t>
      </w:r>
      <w:r>
        <w:rPr>
          <w:rFonts w:ascii="宋体" w:hAnsi="宋体" w:eastAsia="宋体" w:cs="宋体"/>
          <w:color w:val="auto"/>
          <w:sz w:val="20"/>
          <w:szCs w:val="20"/>
        </w:rPr>
        <w:t xml:space="preserve"> </w:t>
      </w:r>
      <w:r>
        <w:rPr>
          <w:rFonts w:ascii="宋体" w:hAnsi="宋体" w:eastAsia="宋体" w:cs="宋体"/>
          <w:color w:val="auto"/>
          <w:spacing w:val="12"/>
          <w:sz w:val="20"/>
          <w:szCs w:val="20"/>
        </w:rPr>
        <w:t>产</w:t>
      </w:r>
      <w:r>
        <w:rPr>
          <w:rFonts w:ascii="宋体" w:hAnsi="宋体" w:eastAsia="宋体" w:cs="宋体"/>
          <w:color w:val="auto"/>
          <w:spacing w:val="8"/>
          <w:sz w:val="20"/>
          <w:szCs w:val="20"/>
        </w:rPr>
        <w:t>品，保证材料设备质量。</w:t>
      </w:r>
    </w:p>
    <w:p w14:paraId="55F08125">
      <w:pPr>
        <w:spacing w:before="2" w:line="368" w:lineRule="auto"/>
        <w:ind w:left="4" w:right="2" w:firstLine="416"/>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.2 本竞争性磋商文件中的通用设备按国际标准、 国标、部标或行业标准制造；非标准设</w:t>
      </w:r>
      <w:r>
        <w:rPr>
          <w:rFonts w:ascii="宋体" w:hAnsi="宋体" w:eastAsia="宋体" w:cs="宋体"/>
          <w:color w:val="auto"/>
          <w:sz w:val="20"/>
          <w:szCs w:val="20"/>
        </w:rPr>
        <w:t xml:space="preserve"> </w:t>
      </w:r>
      <w:r>
        <w:rPr>
          <w:rFonts w:ascii="宋体" w:hAnsi="宋体" w:eastAsia="宋体" w:cs="宋体"/>
          <w:color w:val="auto"/>
          <w:spacing w:val="18"/>
          <w:sz w:val="20"/>
          <w:szCs w:val="20"/>
        </w:rPr>
        <w:t>备</w:t>
      </w:r>
      <w:r>
        <w:rPr>
          <w:rFonts w:ascii="宋体" w:hAnsi="宋体" w:eastAsia="宋体" w:cs="宋体"/>
          <w:color w:val="auto"/>
          <w:spacing w:val="12"/>
          <w:sz w:val="20"/>
          <w:szCs w:val="20"/>
        </w:rPr>
        <w:t>按</w:t>
      </w:r>
      <w:r>
        <w:rPr>
          <w:rFonts w:ascii="宋体" w:hAnsi="宋体" w:eastAsia="宋体" w:cs="宋体"/>
          <w:color w:val="auto"/>
          <w:spacing w:val="9"/>
          <w:sz w:val="20"/>
          <w:szCs w:val="20"/>
        </w:rPr>
        <w:t>甲方提供的图纸制造；质量标准按照国家有关规定及合同约定进行验收。</w:t>
      </w:r>
    </w:p>
    <w:p w14:paraId="066330A6">
      <w:pPr>
        <w:spacing w:before="2" w:line="369" w:lineRule="auto"/>
        <w:ind w:lef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23"/>
          <w:sz w:val="20"/>
          <w:szCs w:val="20"/>
        </w:rPr>
        <w:t>.</w:t>
      </w:r>
      <w:r>
        <w:rPr>
          <w:rFonts w:ascii="宋体" w:hAnsi="宋体" w:eastAsia="宋体" w:cs="宋体"/>
          <w:color w:val="auto"/>
          <w:spacing w:val="12"/>
          <w:sz w:val="20"/>
          <w:szCs w:val="20"/>
        </w:rPr>
        <w:t>3 所有设备(材料)、零部件均应由具有生产制造资格的企业提供，并应提交齐全的证明</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件，并由投标人负总的责任。</w:t>
      </w:r>
    </w:p>
    <w:p w14:paraId="1E353956">
      <w:pPr>
        <w:spacing w:before="2" w:line="376" w:lineRule="auto"/>
        <w:ind w:right="2" w:firstLine="420"/>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.4 材料设备的测试、检验、试验费用，按照国家、行业、 自治区现行的相关规范、标准</w:t>
      </w:r>
      <w:r>
        <w:rPr>
          <w:rFonts w:ascii="宋体" w:hAnsi="宋体" w:eastAsia="宋体" w:cs="宋体"/>
          <w:color w:val="auto"/>
          <w:sz w:val="20"/>
          <w:szCs w:val="20"/>
        </w:rPr>
        <w:t xml:space="preserve"> </w:t>
      </w:r>
      <w:r>
        <w:rPr>
          <w:rFonts w:ascii="宋体" w:hAnsi="宋体" w:eastAsia="宋体" w:cs="宋体"/>
          <w:color w:val="auto"/>
          <w:spacing w:val="16"/>
          <w:sz w:val="20"/>
          <w:szCs w:val="20"/>
        </w:rPr>
        <w:t>进</w:t>
      </w:r>
      <w:r>
        <w:rPr>
          <w:rFonts w:ascii="宋体" w:hAnsi="宋体" w:eastAsia="宋体" w:cs="宋体"/>
          <w:color w:val="auto"/>
          <w:spacing w:val="10"/>
          <w:sz w:val="20"/>
          <w:szCs w:val="20"/>
        </w:rPr>
        <w:t>行</w:t>
      </w:r>
      <w:r>
        <w:rPr>
          <w:rFonts w:ascii="宋体" w:hAnsi="宋体" w:eastAsia="宋体" w:cs="宋体"/>
          <w:color w:val="auto"/>
          <w:spacing w:val="8"/>
          <w:sz w:val="20"/>
          <w:szCs w:val="20"/>
        </w:rPr>
        <w:t>，费用由投标人自行考虑。</w:t>
      </w:r>
    </w:p>
    <w:p w14:paraId="78D1B508">
      <w:pPr>
        <w:spacing w:before="83" w:line="226" w:lineRule="auto"/>
        <w:ind w:left="420"/>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5 材料设备的检验货物装船后，投标人应将合同编号、商品名称、数量、重量、船名、</w:t>
      </w:r>
    </w:p>
    <w:p w14:paraId="4A35B93F">
      <w:pPr>
        <w:spacing w:before="154"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开船日期等电告招标人。</w:t>
      </w:r>
    </w:p>
    <w:p w14:paraId="2C45644A">
      <w:pPr>
        <w:spacing w:line="276" w:lineRule="auto"/>
        <w:rPr>
          <w:rFonts w:ascii="Arial"/>
          <w:color w:val="auto"/>
          <w:sz w:val="21"/>
        </w:rPr>
      </w:pPr>
    </w:p>
    <w:p w14:paraId="77565CFC">
      <w:pPr>
        <w:spacing w:line="277" w:lineRule="auto"/>
        <w:rPr>
          <w:rFonts w:ascii="Arial"/>
          <w:color w:val="auto"/>
          <w:sz w:val="21"/>
        </w:rPr>
      </w:pPr>
    </w:p>
    <w:p w14:paraId="4B74E872">
      <w:pPr>
        <w:spacing w:line="277" w:lineRule="auto"/>
        <w:rPr>
          <w:rFonts w:ascii="Arial"/>
          <w:color w:val="auto"/>
          <w:sz w:val="21"/>
        </w:rPr>
      </w:pPr>
    </w:p>
    <w:p w14:paraId="7171020F">
      <w:pPr>
        <w:spacing w:line="277" w:lineRule="auto"/>
        <w:rPr>
          <w:rFonts w:ascii="Arial"/>
          <w:color w:val="auto"/>
          <w:sz w:val="21"/>
        </w:rPr>
      </w:pPr>
    </w:p>
    <w:p w14:paraId="54045FA1">
      <w:pPr>
        <w:spacing w:before="75" w:line="228" w:lineRule="auto"/>
        <w:ind w:left="1488"/>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w:t>
      </w:r>
      <w:r>
        <w:rPr>
          <w:rFonts w:hint="eastAsia" w:ascii="宋体" w:hAnsi="宋体" w:eastAsia="宋体" w:cs="宋体"/>
          <w:color w:val="auto"/>
          <w:spacing w:val="10"/>
          <w:sz w:val="23"/>
          <w:szCs w:val="23"/>
          <w:lang w:val="en-US" w:eastAsia="zh-CN"/>
          <w14:textOutline w14:w="4358" w14:cap="sq" w14:cmpd="sng">
            <w14:solidFill>
              <w14:srgbClr w14:val="000000"/>
            </w14:solidFill>
            <w14:prstDash w14:val="solid"/>
            <w14:bevel/>
          </w14:textOutline>
        </w:rPr>
        <w:t>二</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节</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适用的国家、行业以及地方规范、标准和规</w:t>
      </w:r>
      <w:r>
        <w:rPr>
          <w:rFonts w:ascii="宋体" w:hAnsi="宋体" w:eastAsia="宋体" w:cs="宋体"/>
          <w:color w:val="auto"/>
          <w:spacing w:val="9"/>
          <w:sz w:val="23"/>
          <w:szCs w:val="23"/>
          <w14:textOutline w14:w="4358" w14:cap="sq" w14:cmpd="sng">
            <w14:solidFill>
              <w14:srgbClr w14:val="000000"/>
            </w14:solidFill>
            <w14:prstDash w14:val="solid"/>
            <w14:bevel/>
          </w14:textOutline>
        </w:rPr>
        <w:t>程</w:t>
      </w:r>
    </w:p>
    <w:p w14:paraId="5BB123F8">
      <w:pPr>
        <w:spacing w:line="326" w:lineRule="auto"/>
        <w:rPr>
          <w:rFonts w:ascii="Arial"/>
          <w:color w:val="auto"/>
          <w:sz w:val="21"/>
        </w:rPr>
      </w:pPr>
    </w:p>
    <w:p w14:paraId="1990CA0C">
      <w:pPr>
        <w:spacing w:line="326" w:lineRule="auto"/>
        <w:rPr>
          <w:rFonts w:ascii="Arial"/>
          <w:color w:val="auto"/>
          <w:sz w:val="21"/>
        </w:rPr>
      </w:pPr>
    </w:p>
    <w:p w14:paraId="7D046546">
      <w:pPr>
        <w:spacing w:before="65" w:line="228" w:lineRule="auto"/>
        <w:ind w:left="1262"/>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项</w:t>
      </w:r>
      <w:r>
        <w:rPr>
          <w:rFonts w:ascii="宋体" w:hAnsi="宋体" w:eastAsia="宋体" w:cs="宋体"/>
          <w:color w:val="auto"/>
          <w:spacing w:val="9"/>
          <w:sz w:val="20"/>
          <w:szCs w:val="20"/>
        </w:rPr>
        <w:t>目适用的现行国家、行业以及地方规范、标准和规程详见设计图纸。</w:t>
      </w:r>
    </w:p>
    <w:p w14:paraId="67ED00C0">
      <w:pPr>
        <w:spacing w:line="331" w:lineRule="auto"/>
        <w:rPr>
          <w:rFonts w:ascii="Arial"/>
          <w:color w:val="auto"/>
          <w:sz w:val="21"/>
        </w:rPr>
      </w:pPr>
    </w:p>
    <w:p w14:paraId="480E396C">
      <w:pPr>
        <w:spacing w:line="332" w:lineRule="auto"/>
        <w:rPr>
          <w:rFonts w:ascii="Arial"/>
          <w:color w:val="auto"/>
          <w:sz w:val="21"/>
        </w:rPr>
      </w:pPr>
    </w:p>
    <w:p w14:paraId="59B60E89">
      <w:pPr>
        <w:spacing w:before="65" w:line="396" w:lineRule="auto"/>
        <w:ind w:left="1442" w:right="181" w:hanging="1438"/>
        <w:rPr>
          <w:rFonts w:ascii="宋体" w:hAnsi="宋体" w:eastAsia="宋体" w:cs="宋体"/>
          <w:color w:val="auto"/>
          <w:sz w:val="20"/>
          <w:szCs w:val="20"/>
        </w:rPr>
      </w:pPr>
      <w:r>
        <w:rPr>
          <w:rFonts w:ascii="宋体" w:hAnsi="宋体" w:eastAsia="宋体" w:cs="宋体"/>
          <w:color w:val="auto"/>
          <w:spacing w:val="9"/>
          <w:sz w:val="20"/>
          <w:szCs w:val="20"/>
        </w:rPr>
        <w:t>说明：本节内容只需列出规范、标准、规程等的名称、编号等内容。本节由招标人根据国家</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行</w:t>
      </w:r>
      <w:r>
        <w:rPr>
          <w:rFonts w:ascii="宋体" w:hAnsi="宋体" w:eastAsia="宋体" w:cs="宋体"/>
          <w:color w:val="auto"/>
          <w:spacing w:val="9"/>
          <w:sz w:val="20"/>
          <w:szCs w:val="20"/>
        </w:rPr>
        <w:t>业和地方现行标准、规范和规程等，以及项目具体情况摘录。</w:t>
      </w:r>
    </w:p>
    <w:p w14:paraId="6A434168">
      <w:pPr>
        <w:rPr>
          <w:color w:val="auto"/>
        </w:rPr>
        <w:sectPr>
          <w:footerReference r:id="rId22" w:type="default"/>
          <w:pgSz w:w="11906" w:h="16839"/>
          <w:pgMar w:top="400" w:right="1530" w:bottom="1156" w:left="1626" w:header="0" w:footer="996" w:gutter="0"/>
          <w:pgNumType w:fmt="decimal"/>
          <w:cols w:space="720" w:num="1"/>
        </w:sectPr>
      </w:pPr>
    </w:p>
    <w:p w14:paraId="326D64B2">
      <w:pPr>
        <w:spacing w:line="253" w:lineRule="auto"/>
        <w:rPr>
          <w:rFonts w:ascii="Arial"/>
          <w:color w:val="auto"/>
          <w:sz w:val="21"/>
        </w:rPr>
      </w:pPr>
    </w:p>
    <w:p w14:paraId="04877C87">
      <w:pPr>
        <w:spacing w:line="253" w:lineRule="auto"/>
        <w:rPr>
          <w:rFonts w:ascii="Arial"/>
          <w:color w:val="auto"/>
          <w:sz w:val="21"/>
        </w:rPr>
      </w:pPr>
    </w:p>
    <w:p w14:paraId="3A28DDEA">
      <w:pPr>
        <w:spacing w:line="253" w:lineRule="auto"/>
        <w:rPr>
          <w:rFonts w:ascii="Arial"/>
          <w:color w:val="auto"/>
          <w:sz w:val="21"/>
        </w:rPr>
      </w:pPr>
    </w:p>
    <w:p w14:paraId="318A43E3">
      <w:pPr>
        <w:spacing w:line="253" w:lineRule="auto"/>
        <w:rPr>
          <w:rFonts w:ascii="Arial"/>
          <w:color w:val="auto"/>
          <w:sz w:val="21"/>
        </w:rPr>
      </w:pPr>
    </w:p>
    <w:p w14:paraId="4FF0AFA7">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10"/>
          <w:sz w:val="31"/>
          <w:szCs w:val="31"/>
          <w14:textOutline w14:w="5793" w14:cap="sq" w14:cmpd="sng">
            <w14:solidFill>
              <w14:srgbClr w14:val="000000"/>
            </w14:solidFill>
            <w14:prstDash w14:val="solid"/>
            <w14:bevel/>
          </w14:textOutline>
        </w:rPr>
        <w:t>八章、磋商响应文件格式</w:t>
      </w:r>
    </w:p>
    <w:p w14:paraId="66B7A3ED">
      <w:pPr>
        <w:spacing w:line="344" w:lineRule="auto"/>
        <w:rPr>
          <w:rFonts w:ascii="Arial"/>
          <w:color w:val="auto"/>
          <w:sz w:val="21"/>
        </w:rPr>
      </w:pPr>
    </w:p>
    <w:p w14:paraId="0129F17C">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7030F177">
      <w:pPr>
        <w:spacing w:line="250" w:lineRule="auto"/>
        <w:rPr>
          <w:rFonts w:ascii="Arial"/>
          <w:color w:val="auto"/>
          <w:sz w:val="21"/>
        </w:rPr>
      </w:pPr>
    </w:p>
    <w:p w14:paraId="13995C93">
      <w:pPr>
        <w:spacing w:line="250" w:lineRule="auto"/>
        <w:rPr>
          <w:rFonts w:ascii="Arial"/>
          <w:color w:val="auto"/>
          <w:sz w:val="21"/>
        </w:rPr>
      </w:pPr>
    </w:p>
    <w:p w14:paraId="088623D7">
      <w:pPr>
        <w:spacing w:line="251" w:lineRule="auto"/>
        <w:rPr>
          <w:rFonts w:ascii="Arial"/>
          <w:color w:val="auto"/>
          <w:sz w:val="21"/>
        </w:rPr>
      </w:pPr>
    </w:p>
    <w:p w14:paraId="7B29A295">
      <w:pPr>
        <w:spacing w:line="251" w:lineRule="auto"/>
        <w:rPr>
          <w:rFonts w:ascii="Arial"/>
          <w:color w:val="auto"/>
          <w:sz w:val="21"/>
        </w:rPr>
      </w:pPr>
    </w:p>
    <w:p w14:paraId="14CF8838">
      <w:pPr>
        <w:tabs>
          <w:tab w:val="left" w:pos="3427"/>
        </w:tabs>
        <w:spacing w:before="65" w:line="228" w:lineRule="auto"/>
        <w:ind w:left="2049"/>
        <w:rPr>
          <w:rFonts w:hint="eastAsia" w:ascii="宋体" w:hAnsi="宋体" w:eastAsia="宋体" w:cs="宋体"/>
          <w:color w:val="auto"/>
          <w:spacing w:val="2"/>
          <w:sz w:val="30"/>
          <w:szCs w:val="30"/>
          <w:u w:val="single" w:color="auto"/>
        </w:rPr>
      </w:pPr>
      <w:r>
        <w:rPr>
          <w:rFonts w:hint="eastAsia" w:ascii="宋体" w:hAnsi="宋体" w:eastAsia="宋体" w:cs="宋体"/>
          <w:color w:val="auto"/>
          <w:sz w:val="30"/>
          <w:szCs w:val="30"/>
          <w:u w:val="single" w:color="auto"/>
        </w:rPr>
        <w:tab/>
      </w:r>
      <w:r>
        <w:rPr>
          <w:rFonts w:hint="eastAsia" w:ascii="宋体" w:hAnsi="宋体" w:eastAsia="宋体" w:cs="宋体"/>
          <w:color w:val="auto"/>
          <w:sz w:val="30"/>
          <w:szCs w:val="30"/>
          <w:u w:val="single" w:color="auto"/>
          <w:lang w:val="en-US" w:eastAsia="zh-CN"/>
        </w:rPr>
        <w:t xml:space="preserve">             </w:t>
      </w:r>
      <w:r>
        <w:rPr>
          <w:rFonts w:hint="eastAsia" w:ascii="宋体" w:hAnsi="宋体" w:eastAsia="宋体" w:cs="宋体"/>
          <w:color w:val="auto"/>
          <w:spacing w:val="2"/>
          <w:sz w:val="30"/>
          <w:szCs w:val="30"/>
          <w:u w:val="single" w:color="auto"/>
        </w:rPr>
        <w:t>(项目名称)</w:t>
      </w:r>
    </w:p>
    <w:p w14:paraId="5BDD7717">
      <w:pPr>
        <w:pStyle w:val="13"/>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797FFA2F">
      <w:pPr>
        <w:pStyle w:val="3"/>
        <w:rPr>
          <w:rFonts w:hint="default"/>
          <w:u w:val="single"/>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（项目编号）</w:t>
      </w:r>
    </w:p>
    <w:p w14:paraId="55C61CF3">
      <w:pPr>
        <w:pStyle w:val="13"/>
        <w:jc w:val="center"/>
        <w:rPr>
          <w:rFonts w:hint="default" w:eastAsia="宋体"/>
          <w:lang w:val="en-US" w:eastAsia="zh-CN"/>
        </w:rPr>
      </w:pPr>
    </w:p>
    <w:p w14:paraId="1127C143">
      <w:pPr>
        <w:spacing w:line="242" w:lineRule="auto"/>
        <w:rPr>
          <w:rFonts w:ascii="Arial"/>
          <w:color w:val="auto"/>
          <w:sz w:val="21"/>
        </w:rPr>
      </w:pPr>
    </w:p>
    <w:p w14:paraId="55F60480">
      <w:pPr>
        <w:spacing w:line="243" w:lineRule="auto"/>
        <w:rPr>
          <w:rFonts w:ascii="Arial"/>
          <w:color w:val="auto"/>
          <w:sz w:val="21"/>
        </w:rPr>
      </w:pPr>
    </w:p>
    <w:p w14:paraId="3DB18DF1">
      <w:pPr>
        <w:pStyle w:val="13"/>
        <w:rPr>
          <w:rFonts w:ascii="Arial"/>
          <w:color w:val="auto"/>
          <w:sz w:val="21"/>
        </w:rPr>
      </w:pPr>
    </w:p>
    <w:p w14:paraId="54F48DEB">
      <w:pPr>
        <w:pStyle w:val="3"/>
        <w:rPr>
          <w:rFonts w:ascii="Arial"/>
          <w:color w:val="auto"/>
          <w:sz w:val="21"/>
        </w:rPr>
      </w:pPr>
    </w:p>
    <w:p w14:paraId="1434E8E3">
      <w:pPr>
        <w:pStyle w:val="10"/>
      </w:pPr>
    </w:p>
    <w:p w14:paraId="20EDCFE9">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39D8614C">
      <w:pPr>
        <w:spacing w:line="246" w:lineRule="auto"/>
        <w:rPr>
          <w:rFonts w:ascii="Arial"/>
          <w:color w:val="auto"/>
          <w:sz w:val="21"/>
        </w:rPr>
      </w:pPr>
    </w:p>
    <w:p w14:paraId="4167F3BD">
      <w:pPr>
        <w:spacing w:line="246" w:lineRule="auto"/>
        <w:rPr>
          <w:rFonts w:ascii="Arial"/>
          <w:color w:val="auto"/>
          <w:sz w:val="21"/>
        </w:rPr>
      </w:pPr>
    </w:p>
    <w:p w14:paraId="4F57AA69">
      <w:pPr>
        <w:spacing w:line="246" w:lineRule="auto"/>
        <w:rPr>
          <w:rFonts w:ascii="Arial"/>
          <w:color w:val="auto"/>
          <w:sz w:val="21"/>
        </w:rPr>
      </w:pPr>
    </w:p>
    <w:p w14:paraId="48039811">
      <w:pPr>
        <w:spacing w:line="246" w:lineRule="auto"/>
        <w:rPr>
          <w:rFonts w:ascii="Arial"/>
          <w:color w:val="auto"/>
          <w:sz w:val="21"/>
        </w:rPr>
      </w:pPr>
    </w:p>
    <w:p w14:paraId="785F4284">
      <w:pPr>
        <w:spacing w:line="246" w:lineRule="auto"/>
        <w:rPr>
          <w:rFonts w:ascii="Arial"/>
          <w:color w:val="auto"/>
          <w:sz w:val="21"/>
        </w:rPr>
      </w:pPr>
    </w:p>
    <w:p w14:paraId="32CC0364">
      <w:pPr>
        <w:spacing w:line="246" w:lineRule="auto"/>
        <w:rPr>
          <w:rFonts w:ascii="Arial"/>
          <w:color w:val="auto"/>
          <w:sz w:val="21"/>
        </w:rPr>
      </w:pPr>
    </w:p>
    <w:p w14:paraId="3AF76030">
      <w:pPr>
        <w:spacing w:line="246" w:lineRule="auto"/>
        <w:rPr>
          <w:rFonts w:ascii="Arial"/>
          <w:color w:val="auto"/>
          <w:sz w:val="21"/>
        </w:rPr>
      </w:pPr>
    </w:p>
    <w:p w14:paraId="002DBBEE">
      <w:pPr>
        <w:spacing w:line="247" w:lineRule="auto"/>
        <w:rPr>
          <w:rFonts w:ascii="Arial"/>
          <w:color w:val="auto"/>
          <w:sz w:val="21"/>
        </w:rPr>
      </w:pPr>
    </w:p>
    <w:p w14:paraId="7CBC354A">
      <w:pPr>
        <w:spacing w:line="247" w:lineRule="auto"/>
        <w:rPr>
          <w:rFonts w:ascii="Arial"/>
          <w:color w:val="auto"/>
          <w:sz w:val="21"/>
        </w:rPr>
      </w:pPr>
    </w:p>
    <w:p w14:paraId="53484799">
      <w:pPr>
        <w:spacing w:line="247" w:lineRule="auto"/>
        <w:rPr>
          <w:rFonts w:ascii="Arial"/>
          <w:color w:val="auto"/>
          <w:sz w:val="21"/>
        </w:rPr>
      </w:pPr>
    </w:p>
    <w:p w14:paraId="3B0C3DE2">
      <w:pPr>
        <w:spacing w:line="247" w:lineRule="auto"/>
        <w:rPr>
          <w:rFonts w:ascii="Arial"/>
          <w:color w:val="auto"/>
          <w:sz w:val="21"/>
        </w:rPr>
      </w:pPr>
    </w:p>
    <w:p w14:paraId="24D24844">
      <w:pPr>
        <w:spacing w:line="247" w:lineRule="auto"/>
        <w:rPr>
          <w:rFonts w:ascii="Arial"/>
          <w:color w:val="auto"/>
          <w:sz w:val="21"/>
        </w:rPr>
      </w:pPr>
    </w:p>
    <w:p w14:paraId="25C9FD55">
      <w:pPr>
        <w:spacing w:line="247" w:lineRule="auto"/>
        <w:rPr>
          <w:rFonts w:ascii="Arial"/>
          <w:color w:val="auto"/>
          <w:sz w:val="21"/>
        </w:rPr>
      </w:pPr>
    </w:p>
    <w:p w14:paraId="66C816C6">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7CBF0149">
      <w:pPr>
        <w:tabs>
          <w:tab w:val="left" w:pos="3632"/>
        </w:tabs>
        <w:spacing w:before="275" w:line="228" w:lineRule="auto"/>
        <w:ind w:left="2783"/>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45EE86D">
      <w:pPr>
        <w:rPr>
          <w:color w:val="auto"/>
        </w:rPr>
        <w:sectPr>
          <w:footerReference r:id="rId23" w:type="default"/>
          <w:pgSz w:w="11906" w:h="16839"/>
          <w:pgMar w:top="400" w:right="1532" w:bottom="1156" w:left="1636" w:header="0" w:footer="996" w:gutter="0"/>
          <w:pgNumType w:fmt="decimal"/>
          <w:cols w:space="720" w:num="1"/>
        </w:sectPr>
      </w:pPr>
    </w:p>
    <w:p w14:paraId="29681D5F">
      <w:pPr>
        <w:spacing w:line="272" w:lineRule="auto"/>
        <w:rPr>
          <w:rFonts w:ascii="Arial"/>
          <w:color w:val="auto"/>
          <w:sz w:val="21"/>
        </w:rPr>
      </w:pPr>
    </w:p>
    <w:p w14:paraId="4A866443">
      <w:pPr>
        <w:spacing w:line="273" w:lineRule="auto"/>
        <w:rPr>
          <w:rFonts w:ascii="Arial"/>
          <w:color w:val="auto"/>
          <w:sz w:val="21"/>
        </w:rPr>
      </w:pPr>
    </w:p>
    <w:p w14:paraId="111A8150">
      <w:pPr>
        <w:spacing w:line="273" w:lineRule="auto"/>
        <w:rPr>
          <w:rFonts w:ascii="Arial"/>
          <w:color w:val="auto"/>
          <w:sz w:val="21"/>
        </w:rPr>
      </w:pPr>
    </w:p>
    <w:p w14:paraId="1A43CB8E">
      <w:pPr>
        <w:spacing w:line="273" w:lineRule="auto"/>
        <w:rPr>
          <w:rFonts w:ascii="Arial"/>
          <w:color w:val="auto"/>
          <w:sz w:val="21"/>
        </w:rPr>
      </w:pPr>
    </w:p>
    <w:p w14:paraId="178904D9">
      <w:pPr>
        <w:spacing w:line="273" w:lineRule="auto"/>
        <w:rPr>
          <w:rFonts w:ascii="Arial"/>
          <w:color w:val="auto"/>
          <w:sz w:val="21"/>
        </w:rPr>
      </w:pPr>
    </w:p>
    <w:p w14:paraId="60C163F5">
      <w:pPr>
        <w:spacing w:before="65" w:line="231" w:lineRule="auto"/>
        <w:ind w:left="3839"/>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41FF296B">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4D1574F9">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4331624">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5DEE2FA">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203C0A">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2BE4FA1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w:t>
      </w:r>
    </w:p>
    <w:p w14:paraId="0505BC47">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14F3E32B">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303A323C">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2EAF33CD">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3C99F1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3F6BBFEF">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56BF2E2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0D1A0765">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6A82D5BE">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21B5F45D">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280D719">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482DA4B">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9498BD5">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1FB4FB7">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59B100C9">
      <w:pPr>
        <w:pStyle w:val="7"/>
        <w:rPr>
          <w:rFonts w:hint="default" w:eastAsia="宋体"/>
          <w:lang w:val="en-US" w:eastAsia="zh-CN"/>
        </w:rPr>
      </w:pPr>
    </w:p>
    <w:p w14:paraId="36EC3812">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4D4711DB">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88F7A4B">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4600464C">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274052C8">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52C00A4D">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3CA61B47">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50B3A592">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62C52E09">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3F391FC8">
      <w:pPr>
        <w:rPr>
          <w:color w:val="auto"/>
        </w:rPr>
        <w:sectPr>
          <w:footerReference r:id="rId24" w:type="default"/>
          <w:pgSz w:w="11906" w:h="16839"/>
          <w:pgMar w:top="400" w:right="1532" w:bottom="1156" w:left="1785" w:header="0" w:footer="996" w:gutter="0"/>
          <w:pgNumType w:fmt="decimal"/>
          <w:cols w:space="720" w:num="1"/>
        </w:sectPr>
      </w:pPr>
    </w:p>
    <w:p w14:paraId="15ED699F">
      <w:pPr>
        <w:spacing w:line="285" w:lineRule="auto"/>
        <w:rPr>
          <w:rFonts w:ascii="Arial"/>
          <w:color w:val="auto"/>
          <w:sz w:val="21"/>
        </w:rPr>
      </w:pPr>
    </w:p>
    <w:p w14:paraId="1846FF93">
      <w:pPr>
        <w:spacing w:line="285" w:lineRule="auto"/>
        <w:rPr>
          <w:rFonts w:ascii="Arial"/>
          <w:color w:val="auto"/>
          <w:sz w:val="21"/>
        </w:rPr>
      </w:pPr>
    </w:p>
    <w:p w14:paraId="5E9E2B29">
      <w:pPr>
        <w:spacing w:line="286" w:lineRule="auto"/>
        <w:rPr>
          <w:rFonts w:ascii="Arial"/>
          <w:color w:val="auto"/>
          <w:sz w:val="21"/>
        </w:rPr>
      </w:pPr>
    </w:p>
    <w:p w14:paraId="7BFD29FC">
      <w:pPr>
        <w:spacing w:line="286" w:lineRule="auto"/>
        <w:rPr>
          <w:rFonts w:ascii="Arial"/>
          <w:color w:val="auto"/>
          <w:sz w:val="21"/>
        </w:rPr>
      </w:pPr>
    </w:p>
    <w:p w14:paraId="24ED37E0">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509DC3B7">
      <w:pPr>
        <w:spacing w:line="250" w:lineRule="auto"/>
        <w:rPr>
          <w:rFonts w:ascii="Arial"/>
          <w:color w:val="auto"/>
          <w:sz w:val="21"/>
        </w:rPr>
      </w:pPr>
    </w:p>
    <w:p w14:paraId="09E6FBEB">
      <w:pPr>
        <w:spacing w:line="251" w:lineRule="auto"/>
        <w:rPr>
          <w:rFonts w:ascii="Arial"/>
          <w:color w:val="auto"/>
          <w:sz w:val="21"/>
        </w:rPr>
      </w:pPr>
    </w:p>
    <w:p w14:paraId="281B2DA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23CAC73">
      <w:pPr>
        <w:spacing w:line="277" w:lineRule="auto"/>
        <w:rPr>
          <w:rFonts w:ascii="Arial"/>
          <w:color w:val="auto"/>
          <w:sz w:val="21"/>
        </w:rPr>
      </w:pPr>
    </w:p>
    <w:p w14:paraId="2730911D">
      <w:pPr>
        <w:spacing w:line="277" w:lineRule="auto"/>
        <w:rPr>
          <w:rFonts w:ascii="Arial"/>
          <w:color w:val="auto"/>
          <w:sz w:val="21"/>
        </w:rPr>
      </w:pPr>
    </w:p>
    <w:p w14:paraId="4392C962">
      <w:pPr>
        <w:keepNext w:val="0"/>
        <w:keepLines w:val="0"/>
        <w:pageBreakBefore w:val="0"/>
        <w:widowControl/>
        <w:tabs>
          <w:tab w:val="left" w:pos="2637"/>
        </w:tabs>
        <w:kinsoku w:val="0"/>
        <w:wordWrap/>
        <w:overflowPunct/>
        <w:topLinePunct w:val="0"/>
        <w:autoSpaceDE w:val="0"/>
        <w:autoSpaceDN w:val="0"/>
        <w:bidi w:val="0"/>
        <w:adjustRightInd w:val="0"/>
        <w:snapToGrid w:val="0"/>
        <w:spacing w:before="65" w:line="360" w:lineRule="auto"/>
        <w:textAlignment w:val="baseline"/>
        <w:rPr>
          <w:rFonts w:ascii="Arial"/>
          <w:color w:val="auto"/>
          <w:sz w:val="21"/>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21ABA00A">
      <w:pPr>
        <w:keepNext w:val="0"/>
        <w:keepLines w:val="0"/>
        <w:pageBreakBefore w:val="0"/>
        <w:widowControl/>
        <w:kinsoku w:val="0"/>
        <w:wordWrap/>
        <w:overflowPunct/>
        <w:topLinePunct w:val="0"/>
        <w:autoSpaceDE w:val="0"/>
        <w:autoSpaceDN w:val="0"/>
        <w:bidi w:val="0"/>
        <w:adjustRightInd w:val="0"/>
        <w:snapToGrid w:val="0"/>
        <w:spacing w:before="65" w:line="360" w:lineRule="auto"/>
        <w:ind w:left="443"/>
        <w:textAlignment w:val="baseline"/>
        <w:rPr>
          <w:rFonts w:ascii="宋体" w:hAnsi="宋体" w:eastAsia="宋体" w:cs="宋体"/>
          <w:color w:val="auto"/>
          <w:sz w:val="20"/>
          <w:szCs w:val="20"/>
        </w:rPr>
      </w:pPr>
      <w:r>
        <w:rPr>
          <w:rFonts w:ascii="宋体" w:hAnsi="宋体" w:eastAsia="宋体" w:cs="宋体"/>
          <w:color w:val="auto"/>
          <w:spacing w:val="19"/>
          <w:sz w:val="20"/>
          <w:szCs w:val="20"/>
        </w:rPr>
        <w:t>1</w:t>
      </w: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w:t>
      </w:r>
      <w:r>
        <w:rPr>
          <w:rFonts w:hint="eastAsia" w:ascii="宋体" w:hAnsi="宋体" w:eastAsia="宋体" w:cs="宋体"/>
          <w:color w:val="auto"/>
          <w:spacing w:val="10"/>
          <w:sz w:val="20"/>
          <w:szCs w:val="20"/>
          <w:lang w:val="en-US" w:eastAsia="zh-CN"/>
        </w:rPr>
        <w:t>编号</w:t>
      </w:r>
      <w:r>
        <w:rPr>
          <w:rFonts w:ascii="宋体" w:hAnsi="宋体" w:eastAsia="宋体" w:cs="宋体"/>
          <w:color w:val="auto"/>
          <w:spacing w:val="10"/>
          <w:sz w:val="20"/>
          <w:szCs w:val="20"/>
        </w:rPr>
        <w:t>)</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z w:val="20"/>
          <w:szCs w:val="20"/>
        </w:rPr>
        <w:t xml:space="preserve"> </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7E0FCD3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4858470B">
      <w:pPr>
        <w:keepNext w:val="0"/>
        <w:keepLines w:val="0"/>
        <w:pageBreakBefore w:val="0"/>
        <w:widowControl/>
        <w:kinsoku w:val="0"/>
        <w:wordWrap/>
        <w:overflowPunct/>
        <w:topLinePunct w:val="0"/>
        <w:autoSpaceDE w:val="0"/>
        <w:autoSpaceDN w:val="0"/>
        <w:bidi w:val="0"/>
        <w:adjustRightInd w:val="0"/>
        <w:snapToGrid w:val="0"/>
        <w:spacing w:before="172" w:line="360" w:lineRule="auto"/>
        <w:ind w:left="18" w:right="2" w:firstLine="414"/>
        <w:textAlignment w:val="baseline"/>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 ， 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73F84474">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6FF53BD8">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33628CA7">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5C423DAD">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6C37149A">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787533B1">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p>
    <w:p w14:paraId="337E37D8">
      <w:pPr>
        <w:spacing w:before="170" w:line="228" w:lineRule="auto"/>
        <w:ind w:left="11"/>
        <w:rPr>
          <w:rFonts w:ascii="宋体" w:hAnsi="宋体" w:eastAsia="宋体" w:cs="宋体"/>
          <w:color w:val="auto"/>
          <w:sz w:val="20"/>
          <w:szCs w:val="20"/>
        </w:rPr>
      </w:pP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3B8C6714">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53FC7D2E">
      <w:pPr>
        <w:spacing w:line="282" w:lineRule="auto"/>
        <w:rPr>
          <w:rFonts w:ascii="Arial"/>
          <w:color w:val="auto"/>
          <w:sz w:val="21"/>
        </w:rPr>
      </w:pPr>
    </w:p>
    <w:p w14:paraId="44650CD0">
      <w:pPr>
        <w:spacing w:line="282" w:lineRule="auto"/>
        <w:rPr>
          <w:rFonts w:ascii="Arial"/>
          <w:color w:val="auto"/>
          <w:sz w:val="21"/>
        </w:rPr>
      </w:pPr>
    </w:p>
    <w:p w14:paraId="55C0D321">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2B1C6D8">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13016898">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0EC4A85F">
      <w:pPr>
        <w:spacing w:line="359" w:lineRule="auto"/>
        <w:rPr>
          <w:rFonts w:ascii="Arial"/>
          <w:color w:val="auto"/>
          <w:sz w:val="21"/>
        </w:rPr>
      </w:pPr>
    </w:p>
    <w:p w14:paraId="5BFF3E93">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BF856C4">
      <w:pPr>
        <w:rPr>
          <w:color w:val="auto"/>
        </w:rPr>
        <w:sectPr>
          <w:footerReference r:id="rId25" w:type="default"/>
          <w:pgSz w:w="11906" w:h="16839"/>
          <w:pgMar w:top="400" w:right="1530" w:bottom="1156" w:left="1620" w:header="0" w:footer="996" w:gutter="0"/>
          <w:pgNumType w:fmt="decimal"/>
          <w:cols w:space="720" w:num="1"/>
        </w:sectPr>
      </w:pPr>
    </w:p>
    <w:p w14:paraId="4C37F0D2">
      <w:pPr>
        <w:spacing w:line="268" w:lineRule="auto"/>
        <w:rPr>
          <w:rFonts w:ascii="Arial"/>
          <w:color w:val="auto"/>
          <w:sz w:val="21"/>
        </w:rPr>
      </w:pPr>
    </w:p>
    <w:p w14:paraId="7E3D1AD1">
      <w:pPr>
        <w:spacing w:line="268" w:lineRule="auto"/>
        <w:rPr>
          <w:rFonts w:ascii="Arial"/>
          <w:color w:val="auto"/>
          <w:sz w:val="21"/>
        </w:rPr>
      </w:pPr>
    </w:p>
    <w:p w14:paraId="08FDC5BB">
      <w:pPr>
        <w:spacing w:line="269" w:lineRule="auto"/>
        <w:rPr>
          <w:rFonts w:ascii="Arial"/>
          <w:color w:val="auto"/>
          <w:sz w:val="21"/>
        </w:rPr>
      </w:pPr>
    </w:p>
    <w:p w14:paraId="506F508E">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2B65EC">
      <w:pPr>
        <w:rPr>
          <w:color w:val="auto"/>
        </w:rPr>
      </w:pPr>
    </w:p>
    <w:p w14:paraId="1800EDCF">
      <w:pPr>
        <w:spacing w:line="219" w:lineRule="exact"/>
        <w:rPr>
          <w:color w:val="auto"/>
        </w:rPr>
      </w:pPr>
    </w:p>
    <w:tbl>
      <w:tblPr>
        <w:tblStyle w:val="20"/>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7B8ED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08C1BCEC">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28CAAF88">
            <w:pPr>
              <w:spacing w:line="423" w:lineRule="auto"/>
              <w:rPr>
                <w:rFonts w:ascii="Arial"/>
                <w:color w:val="auto"/>
                <w:sz w:val="21"/>
              </w:rPr>
            </w:pPr>
          </w:p>
          <w:p w14:paraId="3AFC1514">
            <w:pPr>
              <w:spacing w:before="65" w:line="228" w:lineRule="auto"/>
              <w:ind w:left="114"/>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6CB40991">
            <w:pPr>
              <w:spacing w:before="269" w:line="229" w:lineRule="auto"/>
              <w:ind w:left="36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建筑面</w:t>
            </w:r>
            <w:r>
              <w:rPr>
                <w:rFonts w:ascii="宋体" w:hAnsi="宋体" w:eastAsia="宋体" w:cs="宋体"/>
                <w:color w:val="auto"/>
                <w:spacing w:val="7"/>
                <w:sz w:val="20"/>
                <w:szCs w:val="20"/>
                <w14:textOutline w14:w="3795" w14:cap="sq" w14:cmpd="sng">
                  <w14:solidFill>
                    <w14:srgbClr w14:val="000000"/>
                  </w14:solidFill>
                  <w14:prstDash w14:val="solid"/>
                  <w14:bevel/>
                </w14:textOutline>
              </w:rPr>
              <w:t>积</w:t>
            </w:r>
          </w:p>
          <w:p w14:paraId="1A79C7F1">
            <w:pPr>
              <w:spacing w:before="191" w:line="231" w:lineRule="auto"/>
              <w:ind w:left="483"/>
              <w:rPr>
                <w:rFonts w:ascii="宋体" w:hAnsi="宋体" w:eastAsia="宋体" w:cs="宋体"/>
                <w:color w:val="auto"/>
                <w:sz w:val="20"/>
                <w:szCs w:val="20"/>
              </w:rPr>
            </w:pPr>
            <w:r>
              <w:rPr>
                <w:rFonts w:ascii="宋体" w:hAnsi="宋体" w:eastAsia="宋体" w:cs="宋体"/>
                <w:color w:val="auto"/>
                <w:spacing w:val="32"/>
                <w:sz w:val="20"/>
                <w:szCs w:val="20"/>
                <w14:textOutline w14:w="3795" w14:cap="sq" w14:cmpd="sng">
                  <w14:solidFill>
                    <w14:srgbClr w14:val="000000"/>
                  </w14:solidFill>
                  <w14:prstDash w14:val="solid"/>
                  <w14:bevel/>
                </w14:textOutline>
              </w:rPr>
              <w:t>(</w:t>
            </w:r>
            <w:r>
              <w:rPr>
                <w:rFonts w:ascii="宋体" w:hAnsi="宋体" w:eastAsia="宋体" w:cs="宋体"/>
                <w:color w:val="auto"/>
                <w:spacing w:val="31"/>
                <w:sz w:val="20"/>
                <w:szCs w:val="20"/>
                <w14:textOutline w14:w="3795" w14:cap="sq" w14:cmpd="sng">
                  <w14:solidFill>
                    <w14:srgbClr w14:val="000000"/>
                  </w14:solidFill>
                  <w14:prstDash w14:val="solid"/>
                  <w14:bevel/>
                </w14:textOutline>
              </w:rPr>
              <w:t>㎡)</w:t>
            </w:r>
          </w:p>
        </w:tc>
        <w:tc>
          <w:tcPr>
            <w:tcW w:w="1680" w:type="dxa"/>
            <w:vAlign w:val="top"/>
          </w:tcPr>
          <w:p w14:paraId="5ACF07A3">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C0E3452">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590975FA">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291EAFC1">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47BE9545">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773B29F">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0C603F0D">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3FCA2841">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7599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B557532">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DE13F9B">
            <w:pPr>
              <w:rPr>
                <w:rFonts w:ascii="Arial"/>
                <w:color w:val="auto"/>
                <w:sz w:val="21"/>
              </w:rPr>
            </w:pPr>
          </w:p>
        </w:tc>
        <w:tc>
          <w:tcPr>
            <w:tcW w:w="1564" w:type="dxa"/>
            <w:vAlign w:val="top"/>
          </w:tcPr>
          <w:p w14:paraId="3328C027">
            <w:pPr>
              <w:rPr>
                <w:rFonts w:ascii="Arial"/>
                <w:color w:val="auto"/>
                <w:sz w:val="21"/>
              </w:rPr>
            </w:pPr>
          </w:p>
        </w:tc>
        <w:tc>
          <w:tcPr>
            <w:tcW w:w="1680" w:type="dxa"/>
            <w:vAlign w:val="top"/>
          </w:tcPr>
          <w:p w14:paraId="5BAD3D06">
            <w:pPr>
              <w:rPr>
                <w:rFonts w:ascii="Arial"/>
                <w:color w:val="auto"/>
                <w:sz w:val="21"/>
              </w:rPr>
            </w:pPr>
          </w:p>
        </w:tc>
        <w:tc>
          <w:tcPr>
            <w:tcW w:w="840" w:type="dxa"/>
            <w:vMerge w:val="restart"/>
            <w:tcBorders>
              <w:bottom w:val="nil"/>
            </w:tcBorders>
            <w:vAlign w:val="top"/>
          </w:tcPr>
          <w:p w14:paraId="7DD2504F">
            <w:pPr>
              <w:rPr>
                <w:rFonts w:ascii="Arial"/>
                <w:color w:val="auto"/>
                <w:sz w:val="21"/>
              </w:rPr>
            </w:pPr>
          </w:p>
        </w:tc>
        <w:tc>
          <w:tcPr>
            <w:tcW w:w="840" w:type="dxa"/>
            <w:vMerge w:val="restart"/>
            <w:tcBorders>
              <w:bottom w:val="nil"/>
            </w:tcBorders>
            <w:vAlign w:val="top"/>
          </w:tcPr>
          <w:p w14:paraId="3BEFA0CC">
            <w:pPr>
              <w:rPr>
                <w:rFonts w:ascii="Arial"/>
                <w:color w:val="auto"/>
                <w:sz w:val="21"/>
              </w:rPr>
            </w:pPr>
          </w:p>
        </w:tc>
        <w:tc>
          <w:tcPr>
            <w:tcW w:w="932" w:type="dxa"/>
            <w:vMerge w:val="restart"/>
            <w:tcBorders>
              <w:bottom w:val="nil"/>
            </w:tcBorders>
            <w:vAlign w:val="top"/>
          </w:tcPr>
          <w:p w14:paraId="1DEF4F66">
            <w:pPr>
              <w:rPr>
                <w:rFonts w:ascii="Arial"/>
                <w:color w:val="auto"/>
                <w:sz w:val="21"/>
              </w:rPr>
            </w:pPr>
          </w:p>
        </w:tc>
      </w:tr>
      <w:tr w14:paraId="6AA6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46D0BF4">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7FBDA7E7">
            <w:pPr>
              <w:rPr>
                <w:rFonts w:ascii="Arial"/>
                <w:color w:val="auto"/>
                <w:sz w:val="21"/>
              </w:rPr>
            </w:pPr>
          </w:p>
        </w:tc>
        <w:tc>
          <w:tcPr>
            <w:tcW w:w="1564" w:type="dxa"/>
            <w:vAlign w:val="top"/>
          </w:tcPr>
          <w:p w14:paraId="3E2D7FAB">
            <w:pPr>
              <w:rPr>
                <w:rFonts w:ascii="Arial"/>
                <w:color w:val="auto"/>
                <w:sz w:val="21"/>
              </w:rPr>
            </w:pPr>
          </w:p>
        </w:tc>
        <w:tc>
          <w:tcPr>
            <w:tcW w:w="1680" w:type="dxa"/>
            <w:vAlign w:val="top"/>
          </w:tcPr>
          <w:p w14:paraId="35A946FD">
            <w:pPr>
              <w:rPr>
                <w:rFonts w:ascii="Arial"/>
                <w:color w:val="auto"/>
                <w:sz w:val="21"/>
              </w:rPr>
            </w:pPr>
          </w:p>
        </w:tc>
        <w:tc>
          <w:tcPr>
            <w:tcW w:w="840" w:type="dxa"/>
            <w:vMerge w:val="continue"/>
            <w:tcBorders>
              <w:top w:val="nil"/>
              <w:bottom w:val="nil"/>
            </w:tcBorders>
            <w:vAlign w:val="top"/>
          </w:tcPr>
          <w:p w14:paraId="72A93D42">
            <w:pPr>
              <w:rPr>
                <w:rFonts w:ascii="Arial"/>
                <w:color w:val="auto"/>
                <w:sz w:val="21"/>
              </w:rPr>
            </w:pPr>
          </w:p>
        </w:tc>
        <w:tc>
          <w:tcPr>
            <w:tcW w:w="840" w:type="dxa"/>
            <w:vMerge w:val="continue"/>
            <w:tcBorders>
              <w:top w:val="nil"/>
              <w:bottom w:val="nil"/>
            </w:tcBorders>
            <w:vAlign w:val="top"/>
          </w:tcPr>
          <w:p w14:paraId="3B3C43D3">
            <w:pPr>
              <w:rPr>
                <w:rFonts w:ascii="Arial"/>
                <w:color w:val="auto"/>
                <w:sz w:val="21"/>
              </w:rPr>
            </w:pPr>
          </w:p>
        </w:tc>
        <w:tc>
          <w:tcPr>
            <w:tcW w:w="932" w:type="dxa"/>
            <w:vMerge w:val="continue"/>
            <w:tcBorders>
              <w:top w:val="nil"/>
              <w:bottom w:val="nil"/>
            </w:tcBorders>
            <w:vAlign w:val="top"/>
          </w:tcPr>
          <w:p w14:paraId="37B7FE9A">
            <w:pPr>
              <w:rPr>
                <w:rFonts w:ascii="Arial"/>
                <w:color w:val="auto"/>
                <w:sz w:val="21"/>
              </w:rPr>
            </w:pPr>
          </w:p>
        </w:tc>
      </w:tr>
      <w:tr w14:paraId="05611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58F7AD74">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55CFE98">
            <w:pPr>
              <w:rPr>
                <w:rFonts w:ascii="Arial"/>
                <w:color w:val="auto"/>
                <w:sz w:val="21"/>
              </w:rPr>
            </w:pPr>
          </w:p>
        </w:tc>
        <w:tc>
          <w:tcPr>
            <w:tcW w:w="1564" w:type="dxa"/>
            <w:vAlign w:val="top"/>
          </w:tcPr>
          <w:p w14:paraId="57F9F58B">
            <w:pPr>
              <w:rPr>
                <w:rFonts w:ascii="Arial"/>
                <w:color w:val="auto"/>
                <w:sz w:val="21"/>
              </w:rPr>
            </w:pPr>
          </w:p>
        </w:tc>
        <w:tc>
          <w:tcPr>
            <w:tcW w:w="1680" w:type="dxa"/>
            <w:vAlign w:val="top"/>
          </w:tcPr>
          <w:p w14:paraId="7BDD06CC">
            <w:pPr>
              <w:rPr>
                <w:rFonts w:ascii="Arial"/>
                <w:color w:val="auto"/>
                <w:sz w:val="21"/>
              </w:rPr>
            </w:pPr>
          </w:p>
        </w:tc>
        <w:tc>
          <w:tcPr>
            <w:tcW w:w="840" w:type="dxa"/>
            <w:vMerge w:val="continue"/>
            <w:tcBorders>
              <w:top w:val="nil"/>
              <w:bottom w:val="nil"/>
            </w:tcBorders>
            <w:vAlign w:val="top"/>
          </w:tcPr>
          <w:p w14:paraId="09E32FE2">
            <w:pPr>
              <w:rPr>
                <w:rFonts w:ascii="Arial"/>
                <w:color w:val="auto"/>
                <w:sz w:val="21"/>
              </w:rPr>
            </w:pPr>
          </w:p>
        </w:tc>
        <w:tc>
          <w:tcPr>
            <w:tcW w:w="840" w:type="dxa"/>
            <w:vMerge w:val="continue"/>
            <w:tcBorders>
              <w:top w:val="nil"/>
              <w:bottom w:val="nil"/>
            </w:tcBorders>
            <w:vAlign w:val="top"/>
          </w:tcPr>
          <w:p w14:paraId="1C97C01C">
            <w:pPr>
              <w:rPr>
                <w:rFonts w:ascii="Arial"/>
                <w:color w:val="auto"/>
                <w:sz w:val="21"/>
              </w:rPr>
            </w:pPr>
          </w:p>
        </w:tc>
        <w:tc>
          <w:tcPr>
            <w:tcW w:w="932" w:type="dxa"/>
            <w:vMerge w:val="continue"/>
            <w:tcBorders>
              <w:top w:val="nil"/>
              <w:bottom w:val="nil"/>
            </w:tcBorders>
            <w:vAlign w:val="top"/>
          </w:tcPr>
          <w:p w14:paraId="3E67568A">
            <w:pPr>
              <w:rPr>
                <w:rFonts w:ascii="Arial"/>
                <w:color w:val="auto"/>
                <w:sz w:val="21"/>
              </w:rPr>
            </w:pPr>
          </w:p>
        </w:tc>
      </w:tr>
      <w:tr w14:paraId="4AE1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797F8B3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F4C3802">
            <w:pPr>
              <w:rPr>
                <w:rFonts w:ascii="Arial"/>
                <w:color w:val="auto"/>
                <w:sz w:val="21"/>
              </w:rPr>
            </w:pPr>
          </w:p>
        </w:tc>
        <w:tc>
          <w:tcPr>
            <w:tcW w:w="1564" w:type="dxa"/>
            <w:vAlign w:val="top"/>
          </w:tcPr>
          <w:p w14:paraId="021C8B87">
            <w:pPr>
              <w:rPr>
                <w:rFonts w:ascii="Arial"/>
                <w:color w:val="auto"/>
                <w:sz w:val="21"/>
              </w:rPr>
            </w:pPr>
          </w:p>
        </w:tc>
        <w:tc>
          <w:tcPr>
            <w:tcW w:w="1680" w:type="dxa"/>
            <w:vAlign w:val="top"/>
          </w:tcPr>
          <w:p w14:paraId="51A7A281">
            <w:pPr>
              <w:rPr>
                <w:rFonts w:ascii="Arial"/>
                <w:color w:val="auto"/>
                <w:sz w:val="21"/>
              </w:rPr>
            </w:pPr>
          </w:p>
        </w:tc>
        <w:tc>
          <w:tcPr>
            <w:tcW w:w="840" w:type="dxa"/>
            <w:vMerge w:val="continue"/>
            <w:tcBorders>
              <w:top w:val="nil"/>
              <w:bottom w:val="nil"/>
            </w:tcBorders>
            <w:vAlign w:val="top"/>
          </w:tcPr>
          <w:p w14:paraId="4413051D">
            <w:pPr>
              <w:rPr>
                <w:rFonts w:ascii="Arial"/>
                <w:color w:val="auto"/>
                <w:sz w:val="21"/>
              </w:rPr>
            </w:pPr>
          </w:p>
        </w:tc>
        <w:tc>
          <w:tcPr>
            <w:tcW w:w="840" w:type="dxa"/>
            <w:vMerge w:val="continue"/>
            <w:tcBorders>
              <w:top w:val="nil"/>
              <w:bottom w:val="nil"/>
            </w:tcBorders>
            <w:vAlign w:val="top"/>
          </w:tcPr>
          <w:p w14:paraId="21095293">
            <w:pPr>
              <w:rPr>
                <w:rFonts w:ascii="Arial"/>
                <w:color w:val="auto"/>
                <w:sz w:val="21"/>
              </w:rPr>
            </w:pPr>
          </w:p>
        </w:tc>
        <w:tc>
          <w:tcPr>
            <w:tcW w:w="932" w:type="dxa"/>
            <w:vMerge w:val="continue"/>
            <w:tcBorders>
              <w:top w:val="nil"/>
              <w:bottom w:val="nil"/>
            </w:tcBorders>
            <w:vAlign w:val="top"/>
          </w:tcPr>
          <w:p w14:paraId="0249B0AA">
            <w:pPr>
              <w:rPr>
                <w:rFonts w:ascii="Arial"/>
                <w:color w:val="auto"/>
                <w:sz w:val="21"/>
              </w:rPr>
            </w:pPr>
          </w:p>
        </w:tc>
      </w:tr>
      <w:tr w14:paraId="431C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0C3C5ECB">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0C16C8D9">
            <w:pPr>
              <w:rPr>
                <w:rFonts w:ascii="Arial"/>
                <w:color w:val="auto"/>
                <w:sz w:val="21"/>
              </w:rPr>
            </w:pPr>
          </w:p>
        </w:tc>
        <w:tc>
          <w:tcPr>
            <w:tcW w:w="1680" w:type="dxa"/>
            <w:vAlign w:val="top"/>
          </w:tcPr>
          <w:p w14:paraId="1443489C">
            <w:pPr>
              <w:rPr>
                <w:rFonts w:ascii="Arial"/>
                <w:color w:val="auto"/>
                <w:sz w:val="21"/>
              </w:rPr>
            </w:pPr>
          </w:p>
        </w:tc>
        <w:tc>
          <w:tcPr>
            <w:tcW w:w="840" w:type="dxa"/>
            <w:vMerge w:val="continue"/>
            <w:tcBorders>
              <w:top w:val="nil"/>
            </w:tcBorders>
            <w:vAlign w:val="top"/>
          </w:tcPr>
          <w:p w14:paraId="2F8B023E">
            <w:pPr>
              <w:rPr>
                <w:rFonts w:ascii="Arial"/>
                <w:color w:val="auto"/>
                <w:sz w:val="21"/>
              </w:rPr>
            </w:pPr>
          </w:p>
        </w:tc>
        <w:tc>
          <w:tcPr>
            <w:tcW w:w="840" w:type="dxa"/>
            <w:vMerge w:val="continue"/>
            <w:tcBorders>
              <w:top w:val="nil"/>
            </w:tcBorders>
            <w:vAlign w:val="top"/>
          </w:tcPr>
          <w:p w14:paraId="24B8116E">
            <w:pPr>
              <w:rPr>
                <w:rFonts w:ascii="Arial"/>
                <w:color w:val="auto"/>
                <w:sz w:val="21"/>
              </w:rPr>
            </w:pPr>
          </w:p>
        </w:tc>
        <w:tc>
          <w:tcPr>
            <w:tcW w:w="932" w:type="dxa"/>
            <w:vMerge w:val="continue"/>
            <w:tcBorders>
              <w:top w:val="nil"/>
            </w:tcBorders>
            <w:vAlign w:val="top"/>
          </w:tcPr>
          <w:p w14:paraId="6866395B">
            <w:pPr>
              <w:rPr>
                <w:rFonts w:ascii="Arial"/>
                <w:color w:val="auto"/>
                <w:sz w:val="21"/>
              </w:rPr>
            </w:pPr>
          </w:p>
        </w:tc>
      </w:tr>
      <w:tr w14:paraId="42F0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2F6A89A3">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770DF216">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30AE6812">
      <w:pPr>
        <w:spacing w:line="244" w:lineRule="auto"/>
        <w:rPr>
          <w:rFonts w:ascii="Arial"/>
          <w:color w:val="auto"/>
          <w:sz w:val="21"/>
        </w:rPr>
      </w:pPr>
    </w:p>
    <w:p w14:paraId="68671DED">
      <w:pPr>
        <w:spacing w:line="244" w:lineRule="auto"/>
        <w:rPr>
          <w:rFonts w:ascii="Arial"/>
          <w:color w:val="auto"/>
          <w:sz w:val="21"/>
        </w:rPr>
      </w:pPr>
    </w:p>
    <w:p w14:paraId="4B274CC1">
      <w:pPr>
        <w:spacing w:line="245" w:lineRule="auto"/>
        <w:rPr>
          <w:rFonts w:ascii="Arial"/>
          <w:color w:val="auto"/>
          <w:sz w:val="21"/>
        </w:rPr>
      </w:pPr>
    </w:p>
    <w:p w14:paraId="027131CE">
      <w:pPr>
        <w:spacing w:line="245" w:lineRule="auto"/>
        <w:rPr>
          <w:rFonts w:ascii="Arial"/>
          <w:color w:val="auto"/>
          <w:sz w:val="21"/>
        </w:rPr>
      </w:pPr>
    </w:p>
    <w:p w14:paraId="77BA2C9F">
      <w:pPr>
        <w:spacing w:line="245" w:lineRule="auto"/>
        <w:rPr>
          <w:rFonts w:ascii="Arial"/>
          <w:color w:val="auto"/>
          <w:sz w:val="21"/>
        </w:rPr>
      </w:pPr>
    </w:p>
    <w:p w14:paraId="747B5D53">
      <w:pPr>
        <w:spacing w:line="245" w:lineRule="auto"/>
        <w:rPr>
          <w:rFonts w:ascii="Arial"/>
          <w:color w:val="auto"/>
          <w:sz w:val="21"/>
        </w:rPr>
      </w:pPr>
    </w:p>
    <w:p w14:paraId="572FC8DE">
      <w:pPr>
        <w:spacing w:line="245" w:lineRule="auto"/>
        <w:rPr>
          <w:rFonts w:ascii="Arial"/>
          <w:color w:val="auto"/>
          <w:sz w:val="21"/>
        </w:rPr>
      </w:pPr>
    </w:p>
    <w:p w14:paraId="3BEFC981">
      <w:pPr>
        <w:spacing w:line="245" w:lineRule="auto"/>
        <w:rPr>
          <w:rFonts w:ascii="Arial"/>
          <w:color w:val="auto"/>
          <w:sz w:val="21"/>
        </w:rPr>
      </w:pPr>
    </w:p>
    <w:p w14:paraId="1F91F295">
      <w:pPr>
        <w:spacing w:line="245" w:lineRule="auto"/>
        <w:rPr>
          <w:rFonts w:ascii="Arial"/>
          <w:color w:val="auto"/>
          <w:sz w:val="21"/>
        </w:rPr>
      </w:pPr>
    </w:p>
    <w:p w14:paraId="1494EA94">
      <w:pPr>
        <w:spacing w:line="245" w:lineRule="auto"/>
        <w:rPr>
          <w:rFonts w:ascii="Arial"/>
          <w:color w:val="auto"/>
          <w:sz w:val="21"/>
        </w:rPr>
      </w:pPr>
    </w:p>
    <w:p w14:paraId="7F6F1E26">
      <w:pPr>
        <w:spacing w:line="245" w:lineRule="auto"/>
        <w:rPr>
          <w:rFonts w:ascii="Arial"/>
          <w:color w:val="auto"/>
          <w:sz w:val="21"/>
        </w:rPr>
      </w:pPr>
    </w:p>
    <w:p w14:paraId="4C98883D">
      <w:pPr>
        <w:spacing w:line="245" w:lineRule="auto"/>
        <w:rPr>
          <w:rFonts w:ascii="Arial"/>
          <w:color w:val="auto"/>
          <w:sz w:val="21"/>
        </w:rPr>
      </w:pPr>
    </w:p>
    <w:p w14:paraId="6297855D">
      <w:pPr>
        <w:spacing w:line="245" w:lineRule="auto"/>
        <w:rPr>
          <w:rFonts w:ascii="Arial"/>
          <w:color w:val="auto"/>
          <w:sz w:val="21"/>
        </w:rPr>
      </w:pPr>
    </w:p>
    <w:p w14:paraId="25142F52">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B031258">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6020BCDE">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323F9544">
      <w:pPr>
        <w:spacing w:line="359" w:lineRule="auto"/>
        <w:rPr>
          <w:rFonts w:ascii="Arial"/>
          <w:color w:val="auto"/>
          <w:sz w:val="21"/>
        </w:rPr>
      </w:pPr>
    </w:p>
    <w:p w14:paraId="073B7E7B">
      <w:pPr>
        <w:tabs>
          <w:tab w:val="left" w:pos="5862"/>
        </w:tabs>
        <w:spacing w:before="65" w:line="228" w:lineRule="auto"/>
        <w:ind w:left="4909"/>
        <w:rPr>
          <w:color w:val="auto"/>
        </w:rPr>
        <w:sectPr>
          <w:footerReference r:id="rId26" w:type="default"/>
          <w:pgSz w:w="11906" w:h="16839"/>
          <w:pgMar w:top="400" w:right="1258" w:bottom="1156" w:left="1507" w:header="0" w:footer="996" w:gutter="0"/>
          <w:pgNumType w:fmt="decimal"/>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9AA6AE4">
      <w:pPr>
        <w:spacing w:line="269" w:lineRule="auto"/>
        <w:rPr>
          <w:rFonts w:ascii="Arial"/>
          <w:color w:val="auto"/>
          <w:sz w:val="21"/>
        </w:rPr>
      </w:pPr>
    </w:p>
    <w:p w14:paraId="500C7A2B">
      <w:pPr>
        <w:spacing w:line="269" w:lineRule="auto"/>
        <w:rPr>
          <w:rFonts w:ascii="Arial"/>
          <w:color w:val="auto"/>
          <w:sz w:val="21"/>
        </w:rPr>
      </w:pPr>
    </w:p>
    <w:p w14:paraId="015CEF80">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6D3F9E">
      <w:pPr>
        <w:spacing w:line="118" w:lineRule="exact"/>
        <w:rPr>
          <w:color w:val="auto"/>
        </w:rPr>
      </w:pPr>
    </w:p>
    <w:p w14:paraId="3080B949">
      <w:pPr>
        <w:spacing w:line="254" w:lineRule="auto"/>
        <w:rPr>
          <w:rFonts w:ascii="Arial"/>
          <w:color w:val="auto"/>
          <w:sz w:val="21"/>
        </w:rPr>
      </w:pPr>
    </w:p>
    <w:p w14:paraId="156D7E16">
      <w:pPr>
        <w:pStyle w:val="13"/>
        <w:jc w:val="center"/>
        <w:rPr>
          <w:rFonts w:hint="eastAsia" w:ascii="Arial" w:eastAsia="宋体"/>
          <w:color w:val="auto"/>
          <w:sz w:val="21"/>
          <w:lang w:val="en-US" w:eastAsia="zh-CN"/>
        </w:rPr>
      </w:pPr>
      <w:r>
        <w:rPr>
          <w:rFonts w:hint="eastAsia" w:eastAsia="宋体"/>
          <w:color w:val="auto"/>
          <w:sz w:val="21"/>
          <w:lang w:val="en-US" w:eastAsia="zh-CN"/>
        </w:rPr>
        <w:t>格式自拟。</w:t>
      </w:r>
    </w:p>
    <w:p w14:paraId="2EA4B96F">
      <w:pPr>
        <w:pStyle w:val="3"/>
        <w:rPr>
          <w:rFonts w:ascii="Arial"/>
          <w:color w:val="auto"/>
          <w:sz w:val="21"/>
        </w:rPr>
      </w:pPr>
    </w:p>
    <w:p w14:paraId="3665C659">
      <w:pPr>
        <w:pStyle w:val="10"/>
        <w:rPr>
          <w:rFonts w:ascii="Arial"/>
          <w:color w:val="auto"/>
          <w:sz w:val="21"/>
        </w:rPr>
      </w:pPr>
    </w:p>
    <w:p w14:paraId="6A91263A"/>
    <w:p w14:paraId="1A89DFD9">
      <w:pPr>
        <w:spacing w:line="254" w:lineRule="auto"/>
        <w:rPr>
          <w:rFonts w:ascii="Arial"/>
          <w:color w:val="auto"/>
          <w:sz w:val="21"/>
        </w:rPr>
      </w:pPr>
    </w:p>
    <w:p w14:paraId="6EEB684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6DD94412">
      <w:pPr>
        <w:spacing w:line="257" w:lineRule="auto"/>
        <w:rPr>
          <w:rFonts w:ascii="Arial"/>
          <w:color w:val="auto"/>
          <w:sz w:val="21"/>
        </w:rPr>
      </w:pPr>
    </w:p>
    <w:p w14:paraId="2AB650EB">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56609C8B">
      <w:pPr>
        <w:rPr>
          <w:color w:val="auto"/>
        </w:rPr>
        <w:sectPr>
          <w:footerReference r:id="rId27" w:type="default"/>
          <w:pgSz w:w="11906" w:h="16839"/>
          <w:pgMar w:top="400" w:right="1096" w:bottom="1153" w:left="1186" w:header="0" w:footer="996" w:gutter="0"/>
          <w:pgNumType w:fmt="decimal"/>
          <w:cols w:space="720" w:num="1"/>
        </w:sectPr>
      </w:pPr>
    </w:p>
    <w:p w14:paraId="13B418B5">
      <w:pPr>
        <w:spacing w:line="285" w:lineRule="auto"/>
        <w:rPr>
          <w:rFonts w:ascii="Arial"/>
          <w:color w:val="auto"/>
          <w:sz w:val="21"/>
        </w:rPr>
      </w:pPr>
    </w:p>
    <w:p w14:paraId="6210EE50">
      <w:pPr>
        <w:spacing w:line="285" w:lineRule="auto"/>
        <w:rPr>
          <w:rFonts w:ascii="Arial"/>
          <w:color w:val="auto"/>
          <w:sz w:val="21"/>
        </w:rPr>
      </w:pPr>
    </w:p>
    <w:p w14:paraId="7E2CDABF">
      <w:pPr>
        <w:spacing w:line="286" w:lineRule="auto"/>
        <w:rPr>
          <w:rFonts w:ascii="Arial"/>
          <w:color w:val="auto"/>
          <w:sz w:val="21"/>
        </w:rPr>
      </w:pPr>
    </w:p>
    <w:p w14:paraId="6A6CE3E1">
      <w:pPr>
        <w:spacing w:line="286" w:lineRule="auto"/>
        <w:rPr>
          <w:rFonts w:ascii="Arial"/>
          <w:color w:val="auto"/>
          <w:sz w:val="21"/>
        </w:rPr>
      </w:pPr>
    </w:p>
    <w:p w14:paraId="0C88ACBC">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2920E8FC">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74D71074">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515914FC">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0BC8221C">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0D9A4E1">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5EBA5D1D">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51AB7FB1">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3B27F5EE">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00D0C20">
      <w:pPr>
        <w:spacing w:line="282" w:lineRule="auto"/>
        <w:rPr>
          <w:rFonts w:ascii="Arial"/>
          <w:color w:val="auto"/>
          <w:sz w:val="21"/>
        </w:rPr>
      </w:pPr>
    </w:p>
    <w:p w14:paraId="27AD8975">
      <w:pPr>
        <w:pStyle w:val="6"/>
        <w:jc w:val="both"/>
        <w:rPr>
          <w:rFonts w:ascii="宋体" w:hAnsi="宋体" w:eastAsia="宋体" w:cs="宋体"/>
          <w:snapToGrid w:val="0"/>
          <w:color w:val="auto"/>
          <w:spacing w:val="8"/>
          <w:kern w:val="0"/>
          <w:sz w:val="20"/>
          <w:szCs w:val="20"/>
        </w:rPr>
      </w:pPr>
      <w:r>
        <w:rPr>
          <w:rFonts w:hint="eastAsia" w:ascii="宋体" w:hAnsi="宋体" w:eastAsia="宋体" w:cs="宋体"/>
          <w:snapToGrid w:val="0"/>
          <w:color w:val="auto"/>
          <w:spacing w:val="8"/>
          <w:kern w:val="0"/>
          <w:sz w:val="20"/>
          <w:szCs w:val="20"/>
        </w:rPr>
        <w:t>法定代表人身份证复印件（正反面）</w:t>
      </w:r>
    </w:p>
    <w:p w14:paraId="1D674E02">
      <w:pPr>
        <w:pStyle w:val="6"/>
        <w:ind w:left="0" w:leftChars="0" w:firstLine="0" w:firstLineChars="0"/>
        <w:jc w:val="both"/>
        <w:rPr>
          <w:color w:val="auto"/>
        </w:rPr>
      </w:pPr>
    </w:p>
    <w:p w14:paraId="59AE04CC">
      <w:pPr>
        <w:pStyle w:val="6"/>
        <w:rPr>
          <w:color w:val="auto"/>
        </w:rPr>
      </w:pPr>
    </w:p>
    <w:p w14:paraId="6CE986FC">
      <w:pPr>
        <w:spacing w:line="283" w:lineRule="auto"/>
        <w:rPr>
          <w:rFonts w:ascii="Arial"/>
          <w:color w:val="auto"/>
          <w:sz w:val="21"/>
        </w:rPr>
      </w:pPr>
    </w:p>
    <w:p w14:paraId="41814C17">
      <w:pPr>
        <w:pStyle w:val="7"/>
        <w:rPr>
          <w:rFonts w:ascii="Arial"/>
          <w:color w:val="auto"/>
          <w:sz w:val="21"/>
        </w:rPr>
      </w:pPr>
    </w:p>
    <w:p w14:paraId="2253A839">
      <w:pPr>
        <w:rPr>
          <w:rFonts w:ascii="Arial"/>
          <w:color w:val="auto"/>
          <w:sz w:val="21"/>
        </w:rPr>
      </w:pPr>
    </w:p>
    <w:p w14:paraId="0ED53771">
      <w:pPr>
        <w:pStyle w:val="7"/>
        <w:rPr>
          <w:rFonts w:ascii="Arial"/>
          <w:color w:val="auto"/>
          <w:sz w:val="21"/>
        </w:rPr>
      </w:pPr>
    </w:p>
    <w:p w14:paraId="3FC163F8">
      <w:pPr>
        <w:rPr>
          <w:rFonts w:ascii="Arial"/>
          <w:color w:val="auto"/>
          <w:sz w:val="21"/>
        </w:rPr>
      </w:pPr>
    </w:p>
    <w:p w14:paraId="348FC593">
      <w:pPr>
        <w:pStyle w:val="7"/>
        <w:rPr>
          <w:rFonts w:ascii="Arial"/>
          <w:color w:val="auto"/>
          <w:sz w:val="21"/>
        </w:rPr>
      </w:pPr>
    </w:p>
    <w:p w14:paraId="1FBC0019">
      <w:pPr>
        <w:rPr>
          <w:rFonts w:ascii="Arial"/>
          <w:color w:val="auto"/>
          <w:sz w:val="21"/>
        </w:rPr>
      </w:pPr>
    </w:p>
    <w:p w14:paraId="7C31ABD4">
      <w:pPr>
        <w:pStyle w:val="7"/>
        <w:rPr>
          <w:rFonts w:ascii="Arial"/>
          <w:color w:val="auto"/>
          <w:sz w:val="21"/>
        </w:rPr>
      </w:pPr>
    </w:p>
    <w:p w14:paraId="0DF2BA06">
      <w:pPr>
        <w:rPr>
          <w:rFonts w:ascii="Arial"/>
          <w:color w:val="auto"/>
          <w:sz w:val="21"/>
        </w:rPr>
      </w:pPr>
    </w:p>
    <w:p w14:paraId="10BD4962">
      <w:pPr>
        <w:pStyle w:val="7"/>
      </w:pPr>
    </w:p>
    <w:p w14:paraId="0685F78F">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78B9E66">
      <w:pPr>
        <w:rPr>
          <w:color w:val="auto"/>
        </w:rPr>
        <w:sectPr>
          <w:footerReference r:id="rId28" w:type="default"/>
          <w:pgSz w:w="11906" w:h="16839"/>
          <w:pgMar w:top="400" w:right="1532" w:bottom="1156" w:left="1785" w:header="0" w:footer="996" w:gutter="0"/>
          <w:pgNumType w:fmt="decimal"/>
          <w:cols w:space="720" w:num="1"/>
        </w:sectPr>
      </w:pPr>
    </w:p>
    <w:p w14:paraId="00B8ABBE">
      <w:pPr>
        <w:spacing w:line="246" w:lineRule="auto"/>
        <w:rPr>
          <w:rFonts w:ascii="Arial"/>
          <w:color w:val="auto"/>
          <w:sz w:val="21"/>
        </w:rPr>
      </w:pPr>
    </w:p>
    <w:p w14:paraId="2B5D5533">
      <w:pPr>
        <w:spacing w:line="246" w:lineRule="auto"/>
        <w:rPr>
          <w:rFonts w:ascii="Arial"/>
          <w:color w:val="auto"/>
          <w:sz w:val="21"/>
        </w:rPr>
      </w:pPr>
    </w:p>
    <w:p w14:paraId="307733D5">
      <w:pPr>
        <w:spacing w:line="247" w:lineRule="auto"/>
        <w:rPr>
          <w:rFonts w:ascii="Arial"/>
          <w:color w:val="auto"/>
          <w:sz w:val="21"/>
        </w:rPr>
      </w:pPr>
    </w:p>
    <w:p w14:paraId="3E1CD6DD">
      <w:pPr>
        <w:spacing w:line="247" w:lineRule="auto"/>
        <w:rPr>
          <w:rFonts w:ascii="Arial"/>
          <w:color w:val="auto"/>
          <w:sz w:val="21"/>
        </w:rPr>
      </w:pPr>
    </w:p>
    <w:p w14:paraId="2D896E8F">
      <w:pPr>
        <w:spacing w:line="247" w:lineRule="auto"/>
        <w:rPr>
          <w:rFonts w:ascii="Arial"/>
          <w:color w:val="auto"/>
          <w:sz w:val="21"/>
        </w:rPr>
      </w:pPr>
    </w:p>
    <w:p w14:paraId="6F090630">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536E87C2">
      <w:pPr>
        <w:spacing w:line="265" w:lineRule="auto"/>
        <w:rPr>
          <w:rFonts w:ascii="Arial"/>
          <w:color w:val="auto"/>
          <w:sz w:val="21"/>
        </w:rPr>
      </w:pPr>
    </w:p>
    <w:p w14:paraId="5A10FA13">
      <w:pPr>
        <w:spacing w:line="266" w:lineRule="auto"/>
        <w:rPr>
          <w:rFonts w:ascii="Arial"/>
          <w:color w:val="auto"/>
          <w:sz w:val="21"/>
        </w:rPr>
      </w:pPr>
    </w:p>
    <w:p w14:paraId="382B2750">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 。代理人根据授权，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z w:val="20"/>
          <w:szCs w:val="20"/>
        </w:rPr>
        <w:t xml:space="preserve"> </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101982DD">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712AC1CF">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55867050">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v:textbox>
              </v:shape>
            </w:pict>
          </mc:Fallback>
        </mc:AlternateContent>
      </w:r>
    </w:p>
    <w:p w14:paraId="6A3D448B">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2D835CA3">
      <w:pPr>
        <w:wordWrap w:val="0"/>
        <w:spacing w:line="360" w:lineRule="auto"/>
        <w:rPr>
          <w:rFonts w:ascii="宋体" w:hAnsi="宋体" w:eastAsia="宋体" w:cs="宋体"/>
          <w:bCs/>
          <w:color w:val="auto"/>
          <w:sz w:val="24"/>
          <w:highlight w:val="none"/>
        </w:rPr>
      </w:pPr>
    </w:p>
    <w:p w14:paraId="7D622EB1">
      <w:pPr>
        <w:wordWrap w:val="0"/>
        <w:spacing w:line="360" w:lineRule="auto"/>
        <w:rPr>
          <w:rFonts w:ascii="宋体" w:hAnsi="宋体" w:eastAsia="宋体" w:cs="宋体"/>
          <w:bCs/>
          <w:color w:val="auto"/>
          <w:sz w:val="24"/>
          <w:highlight w:val="none"/>
        </w:rPr>
      </w:pPr>
    </w:p>
    <w:p w14:paraId="41F78BE5">
      <w:pPr>
        <w:wordWrap w:val="0"/>
        <w:spacing w:line="360" w:lineRule="auto"/>
        <w:rPr>
          <w:rFonts w:ascii="宋体" w:hAnsi="宋体" w:eastAsia="宋体" w:cs="宋体"/>
          <w:bCs/>
          <w:color w:val="auto"/>
          <w:sz w:val="24"/>
          <w:highlight w:val="none"/>
        </w:rPr>
      </w:pPr>
    </w:p>
    <w:p w14:paraId="6F93BD0A">
      <w:pPr>
        <w:pStyle w:val="9"/>
        <w:adjustRightInd w:val="0"/>
        <w:snapToGrid w:val="0"/>
        <w:spacing w:line="300" w:lineRule="auto"/>
        <w:ind w:firstLine="560" w:firstLineChars="200"/>
        <w:rPr>
          <w:rFonts w:hint="eastAsia" w:hAnsi="宋体"/>
          <w:color w:val="auto"/>
          <w:sz w:val="28"/>
          <w:highlight w:val="none"/>
        </w:rPr>
      </w:pPr>
    </w:p>
    <w:p w14:paraId="713C006A">
      <w:pPr>
        <w:pStyle w:val="9"/>
        <w:adjustRightInd w:val="0"/>
        <w:snapToGrid w:val="0"/>
        <w:spacing w:line="300" w:lineRule="auto"/>
        <w:rPr>
          <w:rFonts w:hint="eastAsia" w:hAnsi="宋体"/>
          <w:color w:val="auto"/>
          <w:sz w:val="28"/>
          <w:highlight w:val="none"/>
        </w:rPr>
      </w:pPr>
    </w:p>
    <w:p w14:paraId="743F2859">
      <w:pPr>
        <w:spacing w:before="195" w:line="228" w:lineRule="auto"/>
        <w:ind w:left="421"/>
        <w:rPr>
          <w:rFonts w:hint="eastAsia" w:ascii="Arial"/>
          <w:color w:val="auto"/>
          <w:sz w:val="21"/>
        </w:rPr>
      </w:pPr>
      <w:r>
        <w:rPr>
          <w:rFonts w:hint="eastAsia" w:ascii="Arial"/>
          <w:color w:val="auto"/>
          <w:sz w:val="21"/>
        </w:rPr>
        <w:t>代理人无转委权。特此委托。</w:t>
      </w:r>
    </w:p>
    <w:p w14:paraId="008E502A">
      <w:pPr>
        <w:spacing w:before="195" w:line="228" w:lineRule="auto"/>
        <w:ind w:left="421"/>
        <w:rPr>
          <w:rFonts w:hint="eastAsia" w:ascii="宋体" w:hAnsi="宋体" w:eastAsia="宋体" w:cs="宋体"/>
          <w:color w:val="auto"/>
          <w:spacing w:val="-2"/>
          <w:sz w:val="20"/>
          <w:szCs w:val="20"/>
          <w:lang w:eastAsia="zh-CN"/>
        </w:rPr>
      </w:pPr>
    </w:p>
    <w:p w14:paraId="5571F290">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482C5B98">
      <w:pPr>
        <w:spacing w:line="281" w:lineRule="auto"/>
        <w:rPr>
          <w:rFonts w:ascii="Arial"/>
          <w:color w:val="auto"/>
          <w:sz w:val="21"/>
        </w:rPr>
      </w:pPr>
    </w:p>
    <w:p w14:paraId="695EC95D">
      <w:pPr>
        <w:spacing w:line="282" w:lineRule="auto"/>
        <w:rPr>
          <w:rFonts w:ascii="Arial"/>
          <w:color w:val="auto"/>
          <w:sz w:val="21"/>
        </w:rPr>
      </w:pPr>
    </w:p>
    <w:p w14:paraId="76689B78">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39C7C8D9">
      <w:pPr>
        <w:spacing w:line="283" w:lineRule="auto"/>
        <w:rPr>
          <w:rFonts w:ascii="Arial"/>
          <w:color w:val="auto"/>
          <w:sz w:val="21"/>
        </w:rPr>
      </w:pPr>
    </w:p>
    <w:p w14:paraId="7D3F9FFE">
      <w:pPr>
        <w:spacing w:line="283" w:lineRule="auto"/>
        <w:rPr>
          <w:rFonts w:ascii="Arial"/>
          <w:color w:val="auto"/>
          <w:sz w:val="21"/>
        </w:rPr>
      </w:pPr>
    </w:p>
    <w:p w14:paraId="3B9C6ADA">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7D9582AA">
      <w:pPr>
        <w:spacing w:line="282" w:lineRule="auto"/>
        <w:rPr>
          <w:rFonts w:ascii="Arial"/>
          <w:color w:val="auto"/>
          <w:sz w:val="21"/>
        </w:rPr>
      </w:pPr>
    </w:p>
    <w:p w14:paraId="20814BF7">
      <w:pPr>
        <w:spacing w:line="282" w:lineRule="auto"/>
        <w:rPr>
          <w:rFonts w:ascii="Arial"/>
          <w:color w:val="auto"/>
          <w:sz w:val="21"/>
        </w:rPr>
      </w:pPr>
    </w:p>
    <w:p w14:paraId="110A6D86">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0C1CC038">
      <w:pPr>
        <w:spacing w:line="283" w:lineRule="auto"/>
        <w:rPr>
          <w:rFonts w:ascii="Arial"/>
          <w:color w:val="auto"/>
          <w:sz w:val="21"/>
        </w:rPr>
      </w:pPr>
    </w:p>
    <w:p w14:paraId="45F176C3">
      <w:pPr>
        <w:spacing w:line="283" w:lineRule="auto"/>
        <w:rPr>
          <w:rFonts w:ascii="Arial"/>
          <w:color w:val="auto"/>
          <w:sz w:val="21"/>
        </w:rPr>
      </w:pPr>
    </w:p>
    <w:p w14:paraId="01902F1C">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EED5A0">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04EECA15">
      <w:pPr>
        <w:rPr>
          <w:color w:val="auto"/>
        </w:rPr>
        <w:sectPr>
          <w:footerReference r:id="rId29" w:type="default"/>
          <w:pgSz w:w="11906" w:h="16839"/>
          <w:pgMar w:top="400" w:right="1532" w:bottom="1153" w:left="1628" w:header="0" w:footer="996" w:gutter="0"/>
          <w:pgNumType w:fmt="decimal"/>
          <w:cols w:space="720" w:num="1"/>
        </w:sectPr>
      </w:pPr>
    </w:p>
    <w:p w14:paraId="578F3C13">
      <w:pPr>
        <w:spacing w:line="258" w:lineRule="auto"/>
        <w:rPr>
          <w:rFonts w:ascii="Arial"/>
          <w:color w:val="auto"/>
          <w:sz w:val="21"/>
        </w:rPr>
      </w:pPr>
    </w:p>
    <w:p w14:paraId="0C8D0658">
      <w:pPr>
        <w:spacing w:line="258" w:lineRule="auto"/>
        <w:rPr>
          <w:rFonts w:ascii="Arial"/>
          <w:color w:val="auto"/>
          <w:sz w:val="21"/>
        </w:rPr>
      </w:pPr>
    </w:p>
    <w:p w14:paraId="5A219325">
      <w:pPr>
        <w:spacing w:line="259" w:lineRule="auto"/>
        <w:rPr>
          <w:rFonts w:ascii="Arial"/>
          <w:color w:val="auto"/>
          <w:sz w:val="21"/>
        </w:rPr>
      </w:pPr>
    </w:p>
    <w:p w14:paraId="4AC9582F">
      <w:pPr>
        <w:spacing w:line="259" w:lineRule="auto"/>
        <w:rPr>
          <w:rFonts w:ascii="Arial"/>
          <w:color w:val="auto"/>
          <w:sz w:val="21"/>
        </w:rPr>
      </w:pPr>
    </w:p>
    <w:p w14:paraId="4BCF88C9">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293829FB">
      <w:pPr>
        <w:spacing w:line="476" w:lineRule="auto"/>
        <w:rPr>
          <w:rFonts w:ascii="Arial"/>
          <w:color w:val="auto"/>
          <w:sz w:val="21"/>
        </w:rPr>
      </w:pPr>
    </w:p>
    <w:p w14:paraId="6EC29B8A">
      <w:pPr>
        <w:spacing w:line="255" w:lineRule="auto"/>
        <w:rPr>
          <w:rFonts w:ascii="Arial"/>
          <w:color w:val="auto"/>
          <w:sz w:val="21"/>
          <w:highlight w:val="yellow"/>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2DB1288B">
      <w:pPr>
        <w:spacing w:line="255" w:lineRule="auto"/>
        <w:rPr>
          <w:rFonts w:ascii="Arial"/>
          <w:color w:val="auto"/>
          <w:sz w:val="21"/>
        </w:rPr>
      </w:pPr>
    </w:p>
    <w:p w14:paraId="45B969AE">
      <w:pPr>
        <w:spacing w:line="255" w:lineRule="auto"/>
        <w:rPr>
          <w:rFonts w:ascii="Arial"/>
          <w:color w:val="auto"/>
          <w:sz w:val="21"/>
        </w:rPr>
      </w:pPr>
    </w:p>
    <w:p w14:paraId="715D9A17">
      <w:pPr>
        <w:spacing w:line="255" w:lineRule="auto"/>
        <w:rPr>
          <w:rFonts w:ascii="Arial"/>
          <w:color w:val="auto"/>
          <w:sz w:val="21"/>
        </w:rPr>
      </w:pPr>
    </w:p>
    <w:p w14:paraId="7B2ECFA4">
      <w:pPr>
        <w:spacing w:line="255" w:lineRule="auto"/>
        <w:rPr>
          <w:rFonts w:ascii="Arial"/>
          <w:color w:val="auto"/>
          <w:sz w:val="21"/>
        </w:rPr>
      </w:pPr>
    </w:p>
    <w:p w14:paraId="2F3FB0C5">
      <w:pPr>
        <w:spacing w:line="255" w:lineRule="auto"/>
        <w:rPr>
          <w:rFonts w:ascii="Arial"/>
          <w:color w:val="auto"/>
          <w:sz w:val="21"/>
        </w:rPr>
      </w:pPr>
    </w:p>
    <w:p w14:paraId="291252FE">
      <w:pPr>
        <w:spacing w:line="255" w:lineRule="auto"/>
        <w:rPr>
          <w:rFonts w:ascii="Arial"/>
          <w:color w:val="auto"/>
          <w:sz w:val="21"/>
        </w:rPr>
      </w:pPr>
    </w:p>
    <w:p w14:paraId="0FB1D3FF">
      <w:pPr>
        <w:spacing w:line="255" w:lineRule="auto"/>
        <w:rPr>
          <w:rFonts w:ascii="Arial"/>
          <w:color w:val="auto"/>
          <w:sz w:val="21"/>
        </w:rPr>
      </w:pPr>
    </w:p>
    <w:p w14:paraId="73800FA5">
      <w:pPr>
        <w:spacing w:line="255" w:lineRule="auto"/>
        <w:rPr>
          <w:rFonts w:ascii="Arial"/>
          <w:color w:val="auto"/>
          <w:sz w:val="21"/>
        </w:rPr>
      </w:pPr>
    </w:p>
    <w:p w14:paraId="1E9AB5AF">
      <w:pPr>
        <w:spacing w:line="255" w:lineRule="auto"/>
        <w:rPr>
          <w:rFonts w:ascii="Arial"/>
          <w:color w:val="auto"/>
          <w:sz w:val="21"/>
        </w:rPr>
      </w:pPr>
    </w:p>
    <w:p w14:paraId="67AD5203">
      <w:pPr>
        <w:spacing w:line="255" w:lineRule="auto"/>
        <w:rPr>
          <w:rFonts w:ascii="Arial"/>
          <w:color w:val="auto"/>
          <w:sz w:val="21"/>
        </w:rPr>
      </w:pPr>
    </w:p>
    <w:p w14:paraId="54C69B18">
      <w:pPr>
        <w:spacing w:line="255" w:lineRule="auto"/>
        <w:rPr>
          <w:rFonts w:ascii="Arial"/>
          <w:color w:val="auto"/>
          <w:sz w:val="21"/>
        </w:rPr>
      </w:pPr>
    </w:p>
    <w:p w14:paraId="4F395406">
      <w:pPr>
        <w:spacing w:line="255" w:lineRule="auto"/>
        <w:rPr>
          <w:rFonts w:ascii="Arial"/>
          <w:color w:val="auto"/>
          <w:sz w:val="21"/>
        </w:rPr>
      </w:pPr>
    </w:p>
    <w:p w14:paraId="62771115">
      <w:pPr>
        <w:pStyle w:val="13"/>
      </w:pPr>
    </w:p>
    <w:p w14:paraId="294B3AC6">
      <w:pPr>
        <w:spacing w:line="255" w:lineRule="auto"/>
        <w:rPr>
          <w:rFonts w:ascii="Arial"/>
          <w:color w:val="auto"/>
          <w:sz w:val="21"/>
        </w:rPr>
      </w:pPr>
    </w:p>
    <w:p w14:paraId="21F2A6D5">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025072FA">
      <w:pPr>
        <w:rPr>
          <w:color w:val="auto"/>
        </w:rPr>
        <w:sectPr>
          <w:footerReference r:id="rId30" w:type="default"/>
          <w:pgSz w:w="11906" w:h="16839"/>
          <w:pgMar w:top="400" w:right="1532" w:bottom="1156" w:left="1785" w:header="0" w:footer="996" w:gutter="0"/>
          <w:pgNumType w:fmt="decimal"/>
          <w:cols w:space="720" w:num="1"/>
        </w:sectPr>
      </w:pPr>
    </w:p>
    <w:p w14:paraId="29F8551B">
      <w:pPr>
        <w:spacing w:line="286" w:lineRule="auto"/>
        <w:rPr>
          <w:rFonts w:ascii="Arial"/>
          <w:color w:val="auto"/>
          <w:sz w:val="21"/>
        </w:rPr>
      </w:pPr>
    </w:p>
    <w:p w14:paraId="6EC8E384">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2305BFDA">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733F89AC">
      <w:pPr>
        <w:spacing w:line="246" w:lineRule="auto"/>
        <w:rPr>
          <w:rFonts w:ascii="Arial"/>
          <w:color w:val="auto"/>
          <w:sz w:val="21"/>
        </w:rPr>
      </w:pPr>
    </w:p>
    <w:p w14:paraId="1D2AF31B">
      <w:pPr>
        <w:spacing w:line="246" w:lineRule="auto"/>
        <w:rPr>
          <w:rFonts w:ascii="Arial"/>
          <w:color w:val="auto"/>
          <w:sz w:val="21"/>
        </w:rPr>
      </w:pPr>
    </w:p>
    <w:p w14:paraId="5696B49F">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11747BA6">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5FA31B1B">
      <w:pPr>
        <w:spacing w:line="134" w:lineRule="auto"/>
        <w:rPr>
          <w:rFonts w:ascii="Arial"/>
          <w:color w:val="auto"/>
          <w:sz w:val="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43"/>
        <w:gridCol w:w="906"/>
        <w:gridCol w:w="860"/>
        <w:gridCol w:w="1542"/>
        <w:gridCol w:w="1048"/>
        <w:gridCol w:w="1516"/>
        <w:gridCol w:w="1138"/>
        <w:gridCol w:w="934"/>
      </w:tblGrid>
      <w:tr w14:paraId="36C1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restart"/>
            <w:noWrap w:val="0"/>
            <w:vAlign w:val="center"/>
          </w:tcPr>
          <w:p w14:paraId="0BAD2FF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职务</w:t>
            </w:r>
          </w:p>
        </w:tc>
        <w:tc>
          <w:tcPr>
            <w:tcW w:w="906" w:type="dxa"/>
            <w:vMerge w:val="restart"/>
            <w:noWrap w:val="0"/>
            <w:vAlign w:val="center"/>
          </w:tcPr>
          <w:p w14:paraId="73C8AD0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姓名</w:t>
            </w:r>
          </w:p>
        </w:tc>
        <w:tc>
          <w:tcPr>
            <w:tcW w:w="860" w:type="dxa"/>
            <w:vMerge w:val="restart"/>
            <w:noWrap w:val="0"/>
            <w:vAlign w:val="center"/>
          </w:tcPr>
          <w:p w14:paraId="26EF5D0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职称</w:t>
            </w:r>
          </w:p>
        </w:tc>
        <w:tc>
          <w:tcPr>
            <w:tcW w:w="5244" w:type="dxa"/>
            <w:gridSpan w:val="4"/>
            <w:noWrap w:val="0"/>
            <w:vAlign w:val="center"/>
          </w:tcPr>
          <w:p w14:paraId="1688B5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执业或职业资格证明</w:t>
            </w:r>
          </w:p>
        </w:tc>
        <w:tc>
          <w:tcPr>
            <w:tcW w:w="934" w:type="dxa"/>
            <w:noWrap w:val="0"/>
            <w:vAlign w:val="center"/>
          </w:tcPr>
          <w:p w14:paraId="6BE7F2C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备注</w:t>
            </w:r>
          </w:p>
        </w:tc>
      </w:tr>
      <w:tr w14:paraId="22D5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continue"/>
            <w:noWrap w:val="0"/>
            <w:vAlign w:val="center"/>
          </w:tcPr>
          <w:p w14:paraId="7F56D8FF">
            <w:pPr>
              <w:spacing w:before="250" w:line="229" w:lineRule="auto"/>
              <w:ind w:left="122"/>
              <w:rPr>
                <w:rFonts w:ascii="宋体" w:hAnsi="宋体" w:eastAsia="宋体" w:cs="宋体"/>
                <w:color w:val="auto"/>
                <w:spacing w:val="18"/>
                <w:sz w:val="23"/>
                <w:szCs w:val="23"/>
                <w:lang w:val="en-US" w:eastAsia="zh-CN"/>
              </w:rPr>
            </w:pPr>
          </w:p>
        </w:tc>
        <w:tc>
          <w:tcPr>
            <w:tcW w:w="906" w:type="dxa"/>
            <w:vMerge w:val="continue"/>
            <w:noWrap w:val="0"/>
            <w:vAlign w:val="center"/>
          </w:tcPr>
          <w:p w14:paraId="21639125">
            <w:pPr>
              <w:spacing w:before="250" w:line="229" w:lineRule="auto"/>
              <w:ind w:left="122"/>
              <w:rPr>
                <w:rFonts w:ascii="宋体" w:hAnsi="宋体" w:eastAsia="宋体" w:cs="宋体"/>
                <w:color w:val="auto"/>
                <w:spacing w:val="18"/>
                <w:sz w:val="23"/>
                <w:szCs w:val="23"/>
                <w:lang w:val="en-US" w:eastAsia="zh-CN"/>
              </w:rPr>
            </w:pPr>
          </w:p>
        </w:tc>
        <w:tc>
          <w:tcPr>
            <w:tcW w:w="860" w:type="dxa"/>
            <w:vMerge w:val="continue"/>
            <w:noWrap w:val="0"/>
            <w:vAlign w:val="center"/>
          </w:tcPr>
          <w:p w14:paraId="58CF5DF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6BDD365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证书名称</w:t>
            </w:r>
          </w:p>
        </w:tc>
        <w:tc>
          <w:tcPr>
            <w:tcW w:w="1048" w:type="dxa"/>
            <w:noWrap w:val="0"/>
            <w:vAlign w:val="center"/>
          </w:tcPr>
          <w:p w14:paraId="2A33B30B">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级别</w:t>
            </w:r>
          </w:p>
        </w:tc>
        <w:tc>
          <w:tcPr>
            <w:tcW w:w="1516" w:type="dxa"/>
            <w:noWrap w:val="0"/>
            <w:vAlign w:val="center"/>
          </w:tcPr>
          <w:p w14:paraId="02EBFF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证号</w:t>
            </w:r>
          </w:p>
        </w:tc>
        <w:tc>
          <w:tcPr>
            <w:tcW w:w="1138" w:type="dxa"/>
            <w:noWrap w:val="0"/>
            <w:vAlign w:val="center"/>
          </w:tcPr>
          <w:p w14:paraId="750894F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专业</w:t>
            </w:r>
          </w:p>
        </w:tc>
        <w:tc>
          <w:tcPr>
            <w:tcW w:w="934" w:type="dxa"/>
            <w:noWrap w:val="0"/>
            <w:vAlign w:val="center"/>
          </w:tcPr>
          <w:p w14:paraId="7DDBD3BB">
            <w:pPr>
              <w:spacing w:before="250" w:line="229" w:lineRule="auto"/>
              <w:ind w:left="122"/>
              <w:rPr>
                <w:rFonts w:ascii="宋体" w:hAnsi="宋体" w:eastAsia="宋体" w:cs="宋体"/>
                <w:color w:val="auto"/>
                <w:spacing w:val="18"/>
                <w:sz w:val="23"/>
                <w:szCs w:val="23"/>
                <w:lang w:val="en-US" w:eastAsia="zh-CN"/>
              </w:rPr>
            </w:pPr>
          </w:p>
        </w:tc>
      </w:tr>
      <w:tr w14:paraId="13DB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6C36DC1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关键岗位</w:t>
            </w:r>
          </w:p>
        </w:tc>
        <w:tc>
          <w:tcPr>
            <w:tcW w:w="1243" w:type="dxa"/>
            <w:noWrap w:val="0"/>
            <w:vAlign w:val="center"/>
          </w:tcPr>
          <w:p w14:paraId="7A7941B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项目负</w:t>
            </w:r>
          </w:p>
          <w:p w14:paraId="6740D67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74FF3126">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A8FB4F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700BC6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5D205C12">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74396E37">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F5A8DA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31A93D7">
            <w:pPr>
              <w:spacing w:before="250" w:line="229" w:lineRule="auto"/>
              <w:ind w:left="122"/>
              <w:rPr>
                <w:rFonts w:ascii="宋体" w:hAnsi="宋体" w:eastAsia="宋体" w:cs="宋体"/>
                <w:color w:val="auto"/>
                <w:spacing w:val="18"/>
                <w:sz w:val="23"/>
                <w:szCs w:val="23"/>
                <w:lang w:val="en-US" w:eastAsia="zh-CN"/>
              </w:rPr>
            </w:pPr>
          </w:p>
        </w:tc>
      </w:tr>
      <w:tr w14:paraId="5A67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869EEF8">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5F826CD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技术负</w:t>
            </w:r>
          </w:p>
          <w:p w14:paraId="12F7514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0CF8AC7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4FAD9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9380E0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66227B9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6140878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64B339B">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7B4CD8A4">
            <w:pPr>
              <w:spacing w:before="250" w:line="229" w:lineRule="auto"/>
              <w:ind w:left="122"/>
              <w:rPr>
                <w:rFonts w:ascii="宋体" w:hAnsi="宋体" w:eastAsia="宋体" w:cs="宋体"/>
                <w:color w:val="auto"/>
                <w:spacing w:val="18"/>
                <w:sz w:val="23"/>
                <w:szCs w:val="23"/>
                <w:lang w:val="en-US" w:eastAsia="zh-CN"/>
              </w:rPr>
            </w:pPr>
          </w:p>
        </w:tc>
      </w:tr>
      <w:tr w14:paraId="071A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96B3C7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7DD3B55">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质量负责人*</w:t>
            </w:r>
          </w:p>
        </w:tc>
        <w:tc>
          <w:tcPr>
            <w:tcW w:w="906" w:type="dxa"/>
            <w:noWrap w:val="0"/>
            <w:vAlign w:val="center"/>
          </w:tcPr>
          <w:p w14:paraId="304E912C">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72C3543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1383A84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78FCCAEA">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2990D4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3309045F">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4A7182C">
            <w:pPr>
              <w:spacing w:before="250" w:line="229" w:lineRule="auto"/>
              <w:ind w:left="122"/>
              <w:rPr>
                <w:rFonts w:ascii="宋体" w:hAnsi="宋体" w:eastAsia="宋体" w:cs="宋体"/>
                <w:color w:val="auto"/>
                <w:spacing w:val="18"/>
                <w:sz w:val="23"/>
                <w:szCs w:val="23"/>
                <w:lang w:val="en-US" w:eastAsia="zh-CN"/>
              </w:rPr>
            </w:pPr>
          </w:p>
        </w:tc>
      </w:tr>
      <w:tr w14:paraId="6708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02F81DD">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D3525D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安全负责人*</w:t>
            </w:r>
          </w:p>
        </w:tc>
        <w:tc>
          <w:tcPr>
            <w:tcW w:w="906" w:type="dxa"/>
            <w:noWrap w:val="0"/>
            <w:vAlign w:val="top"/>
          </w:tcPr>
          <w:p w14:paraId="4A49891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9129F3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09BA7B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09C181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219122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CA418A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DAEEED">
            <w:pPr>
              <w:spacing w:before="250" w:line="229" w:lineRule="auto"/>
              <w:ind w:left="122"/>
              <w:rPr>
                <w:rFonts w:ascii="宋体" w:hAnsi="宋体" w:eastAsia="宋体" w:cs="宋体"/>
                <w:color w:val="auto"/>
                <w:spacing w:val="18"/>
                <w:sz w:val="23"/>
                <w:szCs w:val="23"/>
                <w:lang w:val="en-US" w:eastAsia="zh-CN"/>
              </w:rPr>
            </w:pPr>
          </w:p>
        </w:tc>
      </w:tr>
      <w:tr w14:paraId="394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432246A">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1F0D74F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施工员</w:t>
            </w:r>
          </w:p>
        </w:tc>
        <w:tc>
          <w:tcPr>
            <w:tcW w:w="906" w:type="dxa"/>
            <w:noWrap w:val="0"/>
            <w:vAlign w:val="top"/>
          </w:tcPr>
          <w:p w14:paraId="5B22C21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541DC7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46B07F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2029853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B19DDD9">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1D8D3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C61C939">
            <w:pPr>
              <w:spacing w:before="250" w:line="229" w:lineRule="auto"/>
              <w:ind w:left="122"/>
              <w:rPr>
                <w:rFonts w:ascii="宋体" w:hAnsi="宋体" w:eastAsia="宋体" w:cs="宋体"/>
                <w:color w:val="auto"/>
                <w:spacing w:val="18"/>
                <w:sz w:val="23"/>
                <w:szCs w:val="23"/>
                <w:lang w:val="en-US" w:eastAsia="zh-CN"/>
              </w:rPr>
            </w:pPr>
          </w:p>
        </w:tc>
      </w:tr>
      <w:tr w14:paraId="56D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40DE9BC">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7321113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质量员</w:t>
            </w:r>
          </w:p>
        </w:tc>
        <w:tc>
          <w:tcPr>
            <w:tcW w:w="906" w:type="dxa"/>
            <w:noWrap w:val="0"/>
            <w:vAlign w:val="top"/>
          </w:tcPr>
          <w:p w14:paraId="339926F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1AD12A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29DC836">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CF2A3A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C4D9AD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DBE425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DE51007">
            <w:pPr>
              <w:spacing w:before="250" w:line="229" w:lineRule="auto"/>
              <w:ind w:left="122"/>
              <w:rPr>
                <w:rFonts w:ascii="宋体" w:hAnsi="宋体" w:eastAsia="宋体" w:cs="宋体"/>
                <w:color w:val="auto"/>
                <w:spacing w:val="18"/>
                <w:sz w:val="23"/>
                <w:szCs w:val="23"/>
                <w:lang w:val="en-US" w:eastAsia="zh-CN"/>
              </w:rPr>
            </w:pPr>
          </w:p>
        </w:tc>
      </w:tr>
      <w:tr w14:paraId="39C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4CD5C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64C6F51">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安全员</w:t>
            </w:r>
          </w:p>
        </w:tc>
        <w:tc>
          <w:tcPr>
            <w:tcW w:w="906" w:type="dxa"/>
            <w:noWrap w:val="0"/>
            <w:vAlign w:val="top"/>
          </w:tcPr>
          <w:p w14:paraId="7C127E74">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0D0BA2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BD31EA4">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5AB1D82C">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7B28C30">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C24044C">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7961E75B">
            <w:pPr>
              <w:spacing w:before="250" w:line="229" w:lineRule="auto"/>
              <w:ind w:left="122"/>
              <w:rPr>
                <w:rFonts w:ascii="宋体" w:hAnsi="宋体" w:eastAsia="宋体" w:cs="宋体"/>
                <w:color w:val="auto"/>
                <w:spacing w:val="18"/>
                <w:sz w:val="23"/>
                <w:szCs w:val="23"/>
                <w:lang w:val="en-US" w:eastAsia="zh-CN"/>
              </w:rPr>
            </w:pPr>
          </w:p>
        </w:tc>
      </w:tr>
      <w:tr w14:paraId="0E9E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E55C3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A763FF3">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测量员</w:t>
            </w:r>
          </w:p>
        </w:tc>
        <w:tc>
          <w:tcPr>
            <w:tcW w:w="906" w:type="dxa"/>
            <w:noWrap w:val="0"/>
            <w:vAlign w:val="top"/>
          </w:tcPr>
          <w:p w14:paraId="4BB97C01">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CFD02C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365789A">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8CD9FD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D2F7D3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4099A2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7EDA25F">
            <w:pPr>
              <w:spacing w:before="250" w:line="229" w:lineRule="auto"/>
              <w:ind w:left="122"/>
              <w:rPr>
                <w:rFonts w:ascii="宋体" w:hAnsi="宋体" w:eastAsia="宋体" w:cs="宋体"/>
                <w:color w:val="auto"/>
                <w:spacing w:val="18"/>
                <w:sz w:val="23"/>
                <w:szCs w:val="23"/>
                <w:lang w:val="en-US" w:eastAsia="zh-CN"/>
              </w:rPr>
            </w:pPr>
          </w:p>
        </w:tc>
      </w:tr>
      <w:tr w14:paraId="6F9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4CCB90CF">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E424F6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实验员</w:t>
            </w:r>
          </w:p>
        </w:tc>
        <w:tc>
          <w:tcPr>
            <w:tcW w:w="906" w:type="dxa"/>
            <w:noWrap w:val="0"/>
            <w:vAlign w:val="top"/>
          </w:tcPr>
          <w:p w14:paraId="338F718A">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13B278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FFB9B63">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FCD65D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8850051">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937E1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3BD1D56">
            <w:pPr>
              <w:spacing w:before="250" w:line="229" w:lineRule="auto"/>
              <w:ind w:left="122"/>
              <w:rPr>
                <w:rFonts w:ascii="宋体" w:hAnsi="宋体" w:eastAsia="宋体" w:cs="宋体"/>
                <w:color w:val="auto"/>
                <w:spacing w:val="18"/>
                <w:sz w:val="23"/>
                <w:szCs w:val="23"/>
                <w:lang w:val="en-US" w:eastAsia="zh-CN"/>
              </w:rPr>
            </w:pPr>
          </w:p>
        </w:tc>
      </w:tr>
      <w:tr w14:paraId="654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7B5A784">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36D7DCA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预算（造价）员</w:t>
            </w:r>
          </w:p>
        </w:tc>
        <w:tc>
          <w:tcPr>
            <w:tcW w:w="906" w:type="dxa"/>
            <w:noWrap w:val="0"/>
            <w:vAlign w:val="top"/>
          </w:tcPr>
          <w:p w14:paraId="2851BB5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6B0DA26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B479F90">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EFED40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6B54C34">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3B81D987">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094883">
            <w:pPr>
              <w:spacing w:before="250" w:line="229" w:lineRule="auto"/>
              <w:ind w:left="122"/>
              <w:rPr>
                <w:rFonts w:ascii="宋体" w:hAnsi="宋体" w:eastAsia="宋体" w:cs="宋体"/>
                <w:color w:val="auto"/>
                <w:spacing w:val="18"/>
                <w:sz w:val="23"/>
                <w:szCs w:val="23"/>
                <w:lang w:val="en-US" w:eastAsia="zh-CN"/>
              </w:rPr>
            </w:pPr>
          </w:p>
        </w:tc>
      </w:tr>
      <w:tr w14:paraId="39AA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3C463394">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其他岗位</w:t>
            </w:r>
          </w:p>
        </w:tc>
        <w:tc>
          <w:tcPr>
            <w:tcW w:w="1243" w:type="dxa"/>
            <w:noWrap w:val="0"/>
            <w:vAlign w:val="center"/>
          </w:tcPr>
          <w:p w14:paraId="7AA4046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标准员*</w:t>
            </w:r>
          </w:p>
        </w:tc>
        <w:tc>
          <w:tcPr>
            <w:tcW w:w="906" w:type="dxa"/>
            <w:noWrap w:val="0"/>
            <w:vAlign w:val="top"/>
          </w:tcPr>
          <w:p w14:paraId="79C9AEB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7ADB6A6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A2A5E5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186ADF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1009FB9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391E2DD">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555C949">
            <w:pPr>
              <w:spacing w:before="250" w:line="229" w:lineRule="auto"/>
              <w:ind w:left="122"/>
              <w:rPr>
                <w:rFonts w:ascii="宋体" w:hAnsi="宋体" w:eastAsia="宋体" w:cs="宋体"/>
                <w:color w:val="auto"/>
                <w:spacing w:val="18"/>
                <w:sz w:val="23"/>
                <w:szCs w:val="23"/>
                <w:lang w:val="en-US" w:eastAsia="zh-CN"/>
              </w:rPr>
            </w:pPr>
          </w:p>
        </w:tc>
      </w:tr>
      <w:tr w14:paraId="17B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FBE4096">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4D49138">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材料员*</w:t>
            </w:r>
          </w:p>
        </w:tc>
        <w:tc>
          <w:tcPr>
            <w:tcW w:w="906" w:type="dxa"/>
            <w:noWrap w:val="0"/>
            <w:vAlign w:val="top"/>
          </w:tcPr>
          <w:p w14:paraId="2793F76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0EC1EAC">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15F7C9D">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F2AF393">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6D34D8CE">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A8C96B1">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106389DF">
            <w:pPr>
              <w:spacing w:before="250" w:line="229" w:lineRule="auto"/>
              <w:ind w:left="122"/>
              <w:rPr>
                <w:rFonts w:ascii="宋体" w:hAnsi="宋体" w:eastAsia="宋体" w:cs="宋体"/>
                <w:color w:val="auto"/>
                <w:spacing w:val="18"/>
                <w:sz w:val="23"/>
                <w:szCs w:val="23"/>
                <w:lang w:val="en-US" w:eastAsia="zh-CN"/>
              </w:rPr>
            </w:pPr>
          </w:p>
        </w:tc>
      </w:tr>
      <w:tr w14:paraId="2D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00C3A82">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49DF5335">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机械员*</w:t>
            </w:r>
          </w:p>
        </w:tc>
        <w:tc>
          <w:tcPr>
            <w:tcW w:w="906" w:type="dxa"/>
            <w:noWrap w:val="0"/>
            <w:vAlign w:val="top"/>
          </w:tcPr>
          <w:p w14:paraId="640F5F60">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2D0039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A7C5249">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10DB494">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7337C9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19BBCB4">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90510B7">
            <w:pPr>
              <w:spacing w:before="250" w:line="229" w:lineRule="auto"/>
              <w:ind w:left="122"/>
              <w:rPr>
                <w:rFonts w:ascii="宋体" w:hAnsi="宋体" w:eastAsia="宋体" w:cs="宋体"/>
                <w:color w:val="auto"/>
                <w:spacing w:val="18"/>
                <w:sz w:val="23"/>
                <w:szCs w:val="23"/>
                <w:lang w:val="en-US" w:eastAsia="zh-CN"/>
              </w:rPr>
            </w:pPr>
          </w:p>
        </w:tc>
      </w:tr>
      <w:tr w14:paraId="638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61FCF9C0">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981508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劳务员*</w:t>
            </w:r>
          </w:p>
        </w:tc>
        <w:tc>
          <w:tcPr>
            <w:tcW w:w="906" w:type="dxa"/>
            <w:noWrap w:val="0"/>
            <w:vAlign w:val="top"/>
          </w:tcPr>
          <w:p w14:paraId="1E400C6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12BA51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2B111B8">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16BA87D">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940761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3B5BF49">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85517F4">
            <w:pPr>
              <w:spacing w:before="250" w:line="229" w:lineRule="auto"/>
              <w:ind w:left="122"/>
              <w:rPr>
                <w:rFonts w:ascii="宋体" w:hAnsi="宋体" w:eastAsia="宋体" w:cs="宋体"/>
                <w:color w:val="auto"/>
                <w:spacing w:val="18"/>
                <w:sz w:val="23"/>
                <w:szCs w:val="23"/>
                <w:lang w:val="en-US" w:eastAsia="zh-CN"/>
              </w:rPr>
            </w:pPr>
          </w:p>
        </w:tc>
      </w:tr>
      <w:tr w14:paraId="2C1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Merge w:val="continue"/>
            <w:noWrap w:val="0"/>
            <w:vAlign w:val="top"/>
          </w:tcPr>
          <w:p w14:paraId="0E2C9D39">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975603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资料员*</w:t>
            </w:r>
          </w:p>
        </w:tc>
        <w:tc>
          <w:tcPr>
            <w:tcW w:w="906" w:type="dxa"/>
            <w:noWrap w:val="0"/>
            <w:vAlign w:val="top"/>
          </w:tcPr>
          <w:p w14:paraId="291E982F">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C2D1A4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A78839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E7D07B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06C676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B2AC5F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6908B82E">
            <w:pPr>
              <w:spacing w:before="250" w:line="229" w:lineRule="auto"/>
              <w:ind w:left="122"/>
              <w:rPr>
                <w:rFonts w:ascii="宋体" w:hAnsi="宋体" w:eastAsia="宋体" w:cs="宋体"/>
                <w:color w:val="auto"/>
                <w:spacing w:val="18"/>
                <w:sz w:val="23"/>
                <w:szCs w:val="23"/>
                <w:lang w:val="en-US" w:eastAsia="zh-CN"/>
              </w:rPr>
            </w:pPr>
          </w:p>
        </w:tc>
      </w:tr>
      <w:tr w14:paraId="41B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5B967F93">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17D2CE97">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50E22F95">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AD32B35">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B2D166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252B63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E6D5D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004A16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48ECC1D7">
            <w:pPr>
              <w:spacing w:before="250" w:line="229" w:lineRule="auto"/>
              <w:ind w:left="122"/>
              <w:rPr>
                <w:rFonts w:ascii="宋体" w:hAnsi="宋体" w:eastAsia="宋体" w:cs="宋体"/>
                <w:color w:val="auto"/>
                <w:spacing w:val="18"/>
                <w:sz w:val="23"/>
                <w:szCs w:val="23"/>
                <w:lang w:val="en-US" w:eastAsia="zh-CN"/>
              </w:rPr>
            </w:pPr>
          </w:p>
        </w:tc>
      </w:tr>
      <w:tr w14:paraId="3EB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251E434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E46BAD5">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79E85698">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F18D0DB">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0B4FCD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E46EDF0">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D51B1FD">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8D927C5">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5507D13">
            <w:pPr>
              <w:spacing w:before="250" w:line="229" w:lineRule="auto"/>
              <w:ind w:left="122"/>
              <w:rPr>
                <w:rFonts w:ascii="宋体" w:hAnsi="宋体" w:eastAsia="宋体" w:cs="宋体"/>
                <w:color w:val="auto"/>
                <w:spacing w:val="18"/>
                <w:sz w:val="23"/>
                <w:szCs w:val="23"/>
                <w:lang w:val="en-US" w:eastAsia="zh-CN"/>
              </w:rPr>
            </w:pPr>
          </w:p>
        </w:tc>
      </w:tr>
      <w:tr w14:paraId="3B9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28" w:type="dxa"/>
            <w:gridSpan w:val="9"/>
            <w:noWrap w:val="0"/>
            <w:vAlign w:val="top"/>
          </w:tcPr>
          <w:p w14:paraId="4858821E">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注:招标人应结合拟建工程项目规模、类型等实际情况进行配备，配备不得低于《自治区房屋建筑与市政基础设施工程施工现场从业人员配备标准》中项目管理机构主要管理人员最低配置标准。本项目为小型工程，安全负责人应取得省级及以上住房和城乡建设主管部门颁发的安全生产考核合格证B证:如自治区未举办岗位学习的，提供职称证和公司出具的岗位证明:可兼任的岗位用“*”表示，每人兼职不应超过1项，兼任时必须具备兼任岗位的岗位证书与任职资格。具体任职要求详见上述标准。</w:t>
            </w:r>
          </w:p>
        </w:tc>
      </w:tr>
    </w:tbl>
    <w:p w14:paraId="17EB0D27">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2A80B68D">
      <w:pPr>
        <w:rPr>
          <w:color w:val="auto"/>
        </w:rPr>
        <w:sectPr>
          <w:footerReference r:id="rId31" w:type="default"/>
          <w:pgSz w:w="11906" w:h="16839"/>
          <w:pgMar w:top="400" w:right="923" w:bottom="1156" w:left="1507" w:header="0" w:footer="996" w:gutter="0"/>
          <w:pgNumType w:fmt="decimal"/>
          <w:cols w:space="720" w:num="1"/>
        </w:sectPr>
      </w:pPr>
    </w:p>
    <w:p w14:paraId="72D76919">
      <w:pPr>
        <w:spacing w:line="289" w:lineRule="auto"/>
        <w:rPr>
          <w:rFonts w:ascii="Arial"/>
          <w:color w:val="auto"/>
          <w:sz w:val="21"/>
        </w:rPr>
      </w:pPr>
    </w:p>
    <w:p w14:paraId="79F6A950">
      <w:pPr>
        <w:spacing w:line="289" w:lineRule="auto"/>
        <w:rPr>
          <w:rFonts w:ascii="Arial"/>
          <w:color w:val="auto"/>
          <w:sz w:val="21"/>
        </w:rPr>
      </w:pPr>
    </w:p>
    <w:p w14:paraId="3F093F97">
      <w:pPr>
        <w:spacing w:line="290" w:lineRule="auto"/>
        <w:rPr>
          <w:rFonts w:ascii="Arial"/>
          <w:color w:val="auto"/>
          <w:sz w:val="21"/>
        </w:rPr>
      </w:pPr>
    </w:p>
    <w:p w14:paraId="0A126E1E">
      <w:pPr>
        <w:spacing w:line="290" w:lineRule="auto"/>
        <w:rPr>
          <w:rFonts w:ascii="Arial"/>
          <w:color w:val="auto"/>
          <w:sz w:val="21"/>
        </w:rPr>
      </w:pPr>
    </w:p>
    <w:p w14:paraId="097D0509">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73E77AB3">
      <w:pPr>
        <w:spacing w:line="345" w:lineRule="auto"/>
        <w:rPr>
          <w:rFonts w:ascii="Arial"/>
          <w:color w:val="auto"/>
          <w:sz w:val="21"/>
        </w:rPr>
      </w:pPr>
    </w:p>
    <w:p w14:paraId="74D2585C">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58A70960">
      <w:pPr>
        <w:spacing w:before="172" w:line="388" w:lineRule="auto"/>
        <w:ind w:left="15" w:right="71"/>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w:t>
      </w:r>
      <w:r>
        <w:rPr>
          <w:rFonts w:hint="eastAsia" w:ascii="宋体" w:hAnsi="宋体" w:eastAsia="宋体" w:cs="宋体"/>
          <w:color w:val="auto"/>
          <w:spacing w:val="13"/>
          <w:sz w:val="20"/>
          <w:szCs w:val="20"/>
          <w:lang w:val="en-US" w:eastAsia="zh-CN"/>
        </w:rPr>
        <w:t>驻工地时间承诺书并签字和</w:t>
      </w:r>
      <w:r>
        <w:rPr>
          <w:rFonts w:ascii="宋体" w:hAnsi="宋体" w:eastAsia="宋体" w:cs="宋体"/>
          <w:color w:val="auto"/>
          <w:spacing w:val="13"/>
          <w:sz w:val="20"/>
          <w:szCs w:val="20"/>
        </w:rPr>
        <w:t>未担任其他在施建设工程项目项目经理的承诺书</w:t>
      </w:r>
      <w:r>
        <w:rPr>
          <w:rFonts w:hint="eastAsia" w:ascii="宋体" w:hAnsi="宋体" w:eastAsia="宋体" w:cs="宋体"/>
          <w:color w:val="auto"/>
          <w:spacing w:val="13"/>
          <w:sz w:val="20"/>
          <w:szCs w:val="20"/>
          <w:lang w:val="en-US" w:eastAsia="zh-CN"/>
        </w:rPr>
        <w:t>并签字</w:t>
      </w:r>
      <w:r>
        <w:rPr>
          <w:rFonts w:ascii="宋体" w:hAnsi="宋体" w:eastAsia="宋体" w:cs="宋体"/>
          <w:color w:val="auto"/>
          <w:spacing w:val="13"/>
          <w:sz w:val="20"/>
          <w:szCs w:val="20"/>
        </w:rPr>
        <w:t>、社会保险缴纳证明，管理过的项目业绩须附中标通知书</w:t>
      </w:r>
      <w:r>
        <w:rPr>
          <w:rFonts w:ascii="宋体" w:hAnsi="宋体" w:eastAsia="宋体" w:cs="宋体"/>
          <w:color w:val="auto"/>
          <w:spacing w:val="8"/>
          <w:sz w:val="20"/>
          <w:szCs w:val="20"/>
        </w:rPr>
        <w:t>、</w:t>
      </w:r>
      <w:r>
        <w:rPr>
          <w:rFonts w:ascii="宋体" w:hAnsi="宋体" w:eastAsia="宋体" w:cs="宋体"/>
          <w:color w:val="auto"/>
          <w:spacing w:val="12"/>
          <w:sz w:val="20"/>
          <w:szCs w:val="20"/>
        </w:rPr>
        <w:t>合</w:t>
      </w:r>
      <w:r>
        <w:rPr>
          <w:rFonts w:ascii="宋体" w:hAnsi="宋体" w:eastAsia="宋体" w:cs="宋体"/>
          <w:color w:val="auto"/>
          <w:spacing w:val="7"/>
          <w:sz w:val="20"/>
          <w:szCs w:val="20"/>
        </w:rPr>
        <w:t>同协议书复印件。</w:t>
      </w:r>
    </w:p>
    <w:p w14:paraId="19229C57">
      <w:pPr>
        <w:spacing w:line="17" w:lineRule="exact"/>
        <w:rPr>
          <w:color w:val="auto"/>
        </w:rPr>
      </w:pPr>
    </w:p>
    <w:tbl>
      <w:tblPr>
        <w:tblStyle w:val="20"/>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15AA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4CBCFD8C">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D3BC9BC">
            <w:pPr>
              <w:rPr>
                <w:rFonts w:ascii="Arial"/>
                <w:color w:val="auto"/>
                <w:sz w:val="21"/>
              </w:rPr>
            </w:pPr>
          </w:p>
        </w:tc>
        <w:tc>
          <w:tcPr>
            <w:tcW w:w="1133" w:type="dxa"/>
            <w:vAlign w:val="top"/>
          </w:tcPr>
          <w:p w14:paraId="77B601C1">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3BD701BB">
            <w:pPr>
              <w:rPr>
                <w:rFonts w:ascii="Arial"/>
                <w:color w:val="auto"/>
                <w:sz w:val="21"/>
              </w:rPr>
            </w:pPr>
          </w:p>
        </w:tc>
        <w:tc>
          <w:tcPr>
            <w:tcW w:w="1842" w:type="dxa"/>
            <w:vAlign w:val="top"/>
          </w:tcPr>
          <w:p w14:paraId="531D9AE4">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1127C0BE">
            <w:pPr>
              <w:rPr>
                <w:rFonts w:ascii="Arial"/>
                <w:color w:val="auto"/>
                <w:sz w:val="21"/>
              </w:rPr>
            </w:pPr>
          </w:p>
        </w:tc>
      </w:tr>
      <w:tr w14:paraId="7A90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0F661E9">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37A66BF2">
            <w:pPr>
              <w:rPr>
                <w:rFonts w:ascii="Arial"/>
                <w:color w:val="auto"/>
                <w:sz w:val="21"/>
              </w:rPr>
            </w:pPr>
          </w:p>
        </w:tc>
        <w:tc>
          <w:tcPr>
            <w:tcW w:w="1133" w:type="dxa"/>
            <w:vAlign w:val="top"/>
          </w:tcPr>
          <w:p w14:paraId="6414A8CA">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1F006276">
            <w:pPr>
              <w:rPr>
                <w:rFonts w:ascii="Arial"/>
                <w:color w:val="auto"/>
                <w:sz w:val="21"/>
              </w:rPr>
            </w:pPr>
          </w:p>
        </w:tc>
        <w:tc>
          <w:tcPr>
            <w:tcW w:w="1842" w:type="dxa"/>
            <w:vAlign w:val="top"/>
          </w:tcPr>
          <w:p w14:paraId="55A9170A">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034FE7CA">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72C4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68E547C">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4EE9804E">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3A297618">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691BDD0C">
            <w:pPr>
              <w:rPr>
                <w:rFonts w:ascii="Arial"/>
                <w:color w:val="auto"/>
                <w:sz w:val="21"/>
              </w:rPr>
            </w:pPr>
          </w:p>
        </w:tc>
      </w:tr>
      <w:tr w14:paraId="62EA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3D49B8F">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33763EA8">
            <w:pPr>
              <w:rPr>
                <w:rFonts w:ascii="Arial"/>
                <w:color w:val="auto"/>
                <w:sz w:val="21"/>
              </w:rPr>
            </w:pPr>
          </w:p>
        </w:tc>
      </w:tr>
      <w:tr w14:paraId="0AD6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E4237C">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0D1143FF">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29140477">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638FB6C0">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4F29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3EDA63">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78ED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CC0F860">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2AF56871">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0FDECB57">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91DD7E">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7D39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2BED074">
            <w:pPr>
              <w:rPr>
                <w:rFonts w:ascii="Arial"/>
                <w:color w:val="auto"/>
                <w:sz w:val="21"/>
              </w:rPr>
            </w:pPr>
          </w:p>
        </w:tc>
        <w:tc>
          <w:tcPr>
            <w:tcW w:w="1034" w:type="dxa"/>
            <w:vAlign w:val="top"/>
          </w:tcPr>
          <w:p w14:paraId="3A7AE2A0">
            <w:pPr>
              <w:rPr>
                <w:rFonts w:ascii="Arial"/>
                <w:color w:val="auto"/>
                <w:sz w:val="21"/>
              </w:rPr>
            </w:pPr>
          </w:p>
        </w:tc>
        <w:tc>
          <w:tcPr>
            <w:tcW w:w="1133" w:type="dxa"/>
            <w:vAlign w:val="top"/>
          </w:tcPr>
          <w:p w14:paraId="2DE7997B">
            <w:pPr>
              <w:rPr>
                <w:rFonts w:ascii="Arial"/>
                <w:color w:val="auto"/>
                <w:sz w:val="21"/>
              </w:rPr>
            </w:pPr>
          </w:p>
        </w:tc>
        <w:tc>
          <w:tcPr>
            <w:tcW w:w="1274" w:type="dxa"/>
            <w:vAlign w:val="top"/>
          </w:tcPr>
          <w:p w14:paraId="242CABE8">
            <w:pPr>
              <w:rPr>
                <w:rFonts w:ascii="Arial"/>
                <w:color w:val="auto"/>
                <w:sz w:val="21"/>
              </w:rPr>
            </w:pPr>
          </w:p>
        </w:tc>
        <w:tc>
          <w:tcPr>
            <w:tcW w:w="1842" w:type="dxa"/>
            <w:vAlign w:val="top"/>
          </w:tcPr>
          <w:p w14:paraId="25095A49">
            <w:pPr>
              <w:rPr>
                <w:rFonts w:ascii="Arial"/>
                <w:color w:val="auto"/>
                <w:sz w:val="21"/>
              </w:rPr>
            </w:pPr>
          </w:p>
        </w:tc>
        <w:tc>
          <w:tcPr>
            <w:tcW w:w="2445" w:type="dxa"/>
            <w:vAlign w:val="top"/>
          </w:tcPr>
          <w:p w14:paraId="6E04A25D">
            <w:pPr>
              <w:rPr>
                <w:rFonts w:ascii="Arial"/>
                <w:color w:val="auto"/>
                <w:sz w:val="21"/>
              </w:rPr>
            </w:pPr>
          </w:p>
        </w:tc>
      </w:tr>
      <w:tr w14:paraId="6494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BC107E2">
            <w:pPr>
              <w:rPr>
                <w:rFonts w:ascii="Arial"/>
                <w:color w:val="auto"/>
                <w:sz w:val="21"/>
              </w:rPr>
            </w:pPr>
          </w:p>
        </w:tc>
        <w:tc>
          <w:tcPr>
            <w:tcW w:w="1034" w:type="dxa"/>
            <w:vAlign w:val="top"/>
          </w:tcPr>
          <w:p w14:paraId="7802527D">
            <w:pPr>
              <w:rPr>
                <w:rFonts w:ascii="Arial"/>
                <w:color w:val="auto"/>
                <w:sz w:val="21"/>
              </w:rPr>
            </w:pPr>
          </w:p>
        </w:tc>
        <w:tc>
          <w:tcPr>
            <w:tcW w:w="1133" w:type="dxa"/>
            <w:vAlign w:val="top"/>
          </w:tcPr>
          <w:p w14:paraId="370CE4EA">
            <w:pPr>
              <w:rPr>
                <w:rFonts w:ascii="Arial"/>
                <w:color w:val="auto"/>
                <w:sz w:val="21"/>
              </w:rPr>
            </w:pPr>
          </w:p>
        </w:tc>
        <w:tc>
          <w:tcPr>
            <w:tcW w:w="1274" w:type="dxa"/>
            <w:vAlign w:val="top"/>
          </w:tcPr>
          <w:p w14:paraId="05EEE0EA">
            <w:pPr>
              <w:rPr>
                <w:rFonts w:ascii="Arial"/>
                <w:color w:val="auto"/>
                <w:sz w:val="21"/>
              </w:rPr>
            </w:pPr>
          </w:p>
        </w:tc>
        <w:tc>
          <w:tcPr>
            <w:tcW w:w="1842" w:type="dxa"/>
            <w:vAlign w:val="top"/>
          </w:tcPr>
          <w:p w14:paraId="393F479F">
            <w:pPr>
              <w:rPr>
                <w:rFonts w:ascii="Arial"/>
                <w:color w:val="auto"/>
                <w:sz w:val="21"/>
              </w:rPr>
            </w:pPr>
          </w:p>
        </w:tc>
        <w:tc>
          <w:tcPr>
            <w:tcW w:w="2445" w:type="dxa"/>
            <w:vAlign w:val="top"/>
          </w:tcPr>
          <w:p w14:paraId="2B1C93BD">
            <w:pPr>
              <w:rPr>
                <w:rFonts w:ascii="Arial"/>
                <w:color w:val="auto"/>
                <w:sz w:val="21"/>
              </w:rPr>
            </w:pPr>
          </w:p>
        </w:tc>
      </w:tr>
      <w:tr w14:paraId="3D1E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62AD0FC">
            <w:pPr>
              <w:rPr>
                <w:rFonts w:ascii="Arial"/>
                <w:color w:val="auto"/>
                <w:sz w:val="21"/>
              </w:rPr>
            </w:pPr>
          </w:p>
        </w:tc>
        <w:tc>
          <w:tcPr>
            <w:tcW w:w="1034" w:type="dxa"/>
            <w:vAlign w:val="top"/>
          </w:tcPr>
          <w:p w14:paraId="0D847924">
            <w:pPr>
              <w:rPr>
                <w:rFonts w:ascii="Arial"/>
                <w:color w:val="auto"/>
                <w:sz w:val="21"/>
              </w:rPr>
            </w:pPr>
          </w:p>
        </w:tc>
        <w:tc>
          <w:tcPr>
            <w:tcW w:w="1133" w:type="dxa"/>
            <w:vAlign w:val="top"/>
          </w:tcPr>
          <w:p w14:paraId="3B5D13E9">
            <w:pPr>
              <w:rPr>
                <w:rFonts w:ascii="Arial"/>
                <w:color w:val="auto"/>
                <w:sz w:val="21"/>
              </w:rPr>
            </w:pPr>
          </w:p>
        </w:tc>
        <w:tc>
          <w:tcPr>
            <w:tcW w:w="1274" w:type="dxa"/>
            <w:vAlign w:val="top"/>
          </w:tcPr>
          <w:p w14:paraId="1A565BA8">
            <w:pPr>
              <w:rPr>
                <w:rFonts w:ascii="Arial"/>
                <w:color w:val="auto"/>
                <w:sz w:val="21"/>
              </w:rPr>
            </w:pPr>
          </w:p>
        </w:tc>
        <w:tc>
          <w:tcPr>
            <w:tcW w:w="1842" w:type="dxa"/>
            <w:vAlign w:val="top"/>
          </w:tcPr>
          <w:p w14:paraId="0EA4F0EA">
            <w:pPr>
              <w:rPr>
                <w:rFonts w:ascii="Arial"/>
                <w:color w:val="auto"/>
                <w:sz w:val="21"/>
              </w:rPr>
            </w:pPr>
          </w:p>
        </w:tc>
        <w:tc>
          <w:tcPr>
            <w:tcW w:w="2445" w:type="dxa"/>
            <w:vAlign w:val="top"/>
          </w:tcPr>
          <w:p w14:paraId="0C5F4D29">
            <w:pPr>
              <w:rPr>
                <w:rFonts w:ascii="Arial"/>
                <w:color w:val="auto"/>
                <w:sz w:val="21"/>
              </w:rPr>
            </w:pPr>
          </w:p>
        </w:tc>
      </w:tr>
      <w:tr w14:paraId="4996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EE72334">
            <w:pPr>
              <w:rPr>
                <w:rFonts w:ascii="Arial"/>
                <w:color w:val="auto"/>
                <w:sz w:val="21"/>
              </w:rPr>
            </w:pPr>
          </w:p>
        </w:tc>
        <w:tc>
          <w:tcPr>
            <w:tcW w:w="1034" w:type="dxa"/>
            <w:vAlign w:val="top"/>
          </w:tcPr>
          <w:p w14:paraId="2B08FDBD">
            <w:pPr>
              <w:rPr>
                <w:rFonts w:ascii="Arial"/>
                <w:color w:val="auto"/>
                <w:sz w:val="21"/>
              </w:rPr>
            </w:pPr>
          </w:p>
        </w:tc>
        <w:tc>
          <w:tcPr>
            <w:tcW w:w="1133" w:type="dxa"/>
            <w:vAlign w:val="top"/>
          </w:tcPr>
          <w:p w14:paraId="3E0F4190">
            <w:pPr>
              <w:rPr>
                <w:rFonts w:ascii="Arial"/>
                <w:color w:val="auto"/>
                <w:sz w:val="21"/>
              </w:rPr>
            </w:pPr>
          </w:p>
        </w:tc>
        <w:tc>
          <w:tcPr>
            <w:tcW w:w="1274" w:type="dxa"/>
            <w:vAlign w:val="top"/>
          </w:tcPr>
          <w:p w14:paraId="542131C3">
            <w:pPr>
              <w:rPr>
                <w:rFonts w:ascii="Arial"/>
                <w:color w:val="auto"/>
                <w:sz w:val="21"/>
              </w:rPr>
            </w:pPr>
          </w:p>
        </w:tc>
        <w:tc>
          <w:tcPr>
            <w:tcW w:w="1842" w:type="dxa"/>
            <w:vAlign w:val="top"/>
          </w:tcPr>
          <w:p w14:paraId="54C72088">
            <w:pPr>
              <w:rPr>
                <w:rFonts w:ascii="Arial"/>
                <w:color w:val="auto"/>
                <w:sz w:val="21"/>
              </w:rPr>
            </w:pPr>
          </w:p>
        </w:tc>
        <w:tc>
          <w:tcPr>
            <w:tcW w:w="2445" w:type="dxa"/>
            <w:vAlign w:val="top"/>
          </w:tcPr>
          <w:p w14:paraId="6821355C">
            <w:pPr>
              <w:rPr>
                <w:rFonts w:ascii="Arial"/>
                <w:color w:val="auto"/>
                <w:sz w:val="21"/>
              </w:rPr>
            </w:pPr>
          </w:p>
        </w:tc>
      </w:tr>
      <w:tr w14:paraId="3D1A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1B2696F">
            <w:pPr>
              <w:rPr>
                <w:rFonts w:ascii="Arial"/>
                <w:color w:val="auto"/>
                <w:sz w:val="21"/>
              </w:rPr>
            </w:pPr>
          </w:p>
        </w:tc>
        <w:tc>
          <w:tcPr>
            <w:tcW w:w="1034" w:type="dxa"/>
            <w:vAlign w:val="top"/>
          </w:tcPr>
          <w:p w14:paraId="27F3AC8D">
            <w:pPr>
              <w:rPr>
                <w:rFonts w:ascii="Arial"/>
                <w:color w:val="auto"/>
                <w:sz w:val="21"/>
              </w:rPr>
            </w:pPr>
          </w:p>
        </w:tc>
        <w:tc>
          <w:tcPr>
            <w:tcW w:w="1133" w:type="dxa"/>
            <w:vAlign w:val="top"/>
          </w:tcPr>
          <w:p w14:paraId="311B9D32">
            <w:pPr>
              <w:rPr>
                <w:rFonts w:ascii="Arial"/>
                <w:color w:val="auto"/>
                <w:sz w:val="21"/>
              </w:rPr>
            </w:pPr>
          </w:p>
        </w:tc>
        <w:tc>
          <w:tcPr>
            <w:tcW w:w="1274" w:type="dxa"/>
            <w:vAlign w:val="top"/>
          </w:tcPr>
          <w:p w14:paraId="64804A66">
            <w:pPr>
              <w:rPr>
                <w:rFonts w:ascii="Arial"/>
                <w:color w:val="auto"/>
                <w:sz w:val="21"/>
              </w:rPr>
            </w:pPr>
          </w:p>
        </w:tc>
        <w:tc>
          <w:tcPr>
            <w:tcW w:w="1842" w:type="dxa"/>
            <w:vAlign w:val="top"/>
          </w:tcPr>
          <w:p w14:paraId="7F02B778">
            <w:pPr>
              <w:rPr>
                <w:rFonts w:ascii="Arial"/>
                <w:color w:val="auto"/>
                <w:sz w:val="21"/>
              </w:rPr>
            </w:pPr>
          </w:p>
        </w:tc>
        <w:tc>
          <w:tcPr>
            <w:tcW w:w="2445" w:type="dxa"/>
            <w:vAlign w:val="top"/>
          </w:tcPr>
          <w:p w14:paraId="754C2AD2">
            <w:pPr>
              <w:rPr>
                <w:rFonts w:ascii="Arial"/>
                <w:color w:val="auto"/>
                <w:sz w:val="21"/>
              </w:rPr>
            </w:pPr>
          </w:p>
        </w:tc>
      </w:tr>
      <w:tr w14:paraId="0227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5FC4B3A">
            <w:pPr>
              <w:rPr>
                <w:rFonts w:ascii="Arial"/>
                <w:color w:val="auto"/>
                <w:sz w:val="21"/>
              </w:rPr>
            </w:pPr>
          </w:p>
        </w:tc>
        <w:tc>
          <w:tcPr>
            <w:tcW w:w="1034" w:type="dxa"/>
            <w:vAlign w:val="top"/>
          </w:tcPr>
          <w:p w14:paraId="66A4B281">
            <w:pPr>
              <w:rPr>
                <w:rFonts w:ascii="Arial"/>
                <w:color w:val="auto"/>
                <w:sz w:val="21"/>
              </w:rPr>
            </w:pPr>
          </w:p>
        </w:tc>
        <w:tc>
          <w:tcPr>
            <w:tcW w:w="1133" w:type="dxa"/>
            <w:vAlign w:val="top"/>
          </w:tcPr>
          <w:p w14:paraId="3BC5B4C9">
            <w:pPr>
              <w:rPr>
                <w:rFonts w:ascii="Arial"/>
                <w:color w:val="auto"/>
                <w:sz w:val="21"/>
              </w:rPr>
            </w:pPr>
          </w:p>
        </w:tc>
        <w:tc>
          <w:tcPr>
            <w:tcW w:w="1274" w:type="dxa"/>
            <w:vAlign w:val="top"/>
          </w:tcPr>
          <w:p w14:paraId="28211318">
            <w:pPr>
              <w:rPr>
                <w:rFonts w:ascii="Arial"/>
                <w:color w:val="auto"/>
                <w:sz w:val="21"/>
              </w:rPr>
            </w:pPr>
          </w:p>
        </w:tc>
        <w:tc>
          <w:tcPr>
            <w:tcW w:w="1842" w:type="dxa"/>
            <w:vAlign w:val="top"/>
          </w:tcPr>
          <w:p w14:paraId="0E9C2612">
            <w:pPr>
              <w:rPr>
                <w:rFonts w:ascii="Arial"/>
                <w:color w:val="auto"/>
                <w:sz w:val="21"/>
              </w:rPr>
            </w:pPr>
          </w:p>
        </w:tc>
        <w:tc>
          <w:tcPr>
            <w:tcW w:w="2445" w:type="dxa"/>
            <w:vAlign w:val="top"/>
          </w:tcPr>
          <w:p w14:paraId="116F2BBC">
            <w:pPr>
              <w:rPr>
                <w:rFonts w:ascii="Arial"/>
                <w:color w:val="auto"/>
                <w:sz w:val="21"/>
              </w:rPr>
            </w:pPr>
          </w:p>
        </w:tc>
      </w:tr>
      <w:tr w14:paraId="5009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5606010">
            <w:pPr>
              <w:rPr>
                <w:rFonts w:ascii="Arial"/>
                <w:color w:val="auto"/>
                <w:sz w:val="21"/>
              </w:rPr>
            </w:pPr>
          </w:p>
        </w:tc>
        <w:tc>
          <w:tcPr>
            <w:tcW w:w="1034" w:type="dxa"/>
            <w:vAlign w:val="top"/>
          </w:tcPr>
          <w:p w14:paraId="41C73D42">
            <w:pPr>
              <w:rPr>
                <w:rFonts w:ascii="Arial"/>
                <w:color w:val="auto"/>
                <w:sz w:val="21"/>
              </w:rPr>
            </w:pPr>
          </w:p>
        </w:tc>
        <w:tc>
          <w:tcPr>
            <w:tcW w:w="1133" w:type="dxa"/>
            <w:vAlign w:val="top"/>
          </w:tcPr>
          <w:p w14:paraId="658B28B1">
            <w:pPr>
              <w:rPr>
                <w:rFonts w:ascii="Arial"/>
                <w:color w:val="auto"/>
                <w:sz w:val="21"/>
              </w:rPr>
            </w:pPr>
          </w:p>
        </w:tc>
        <w:tc>
          <w:tcPr>
            <w:tcW w:w="1274" w:type="dxa"/>
            <w:vAlign w:val="top"/>
          </w:tcPr>
          <w:p w14:paraId="405C137F">
            <w:pPr>
              <w:rPr>
                <w:rFonts w:ascii="Arial"/>
                <w:color w:val="auto"/>
                <w:sz w:val="21"/>
              </w:rPr>
            </w:pPr>
          </w:p>
        </w:tc>
        <w:tc>
          <w:tcPr>
            <w:tcW w:w="1842" w:type="dxa"/>
            <w:vAlign w:val="top"/>
          </w:tcPr>
          <w:p w14:paraId="7559B7B5">
            <w:pPr>
              <w:rPr>
                <w:rFonts w:ascii="Arial"/>
                <w:color w:val="auto"/>
                <w:sz w:val="21"/>
              </w:rPr>
            </w:pPr>
          </w:p>
        </w:tc>
        <w:tc>
          <w:tcPr>
            <w:tcW w:w="2445" w:type="dxa"/>
            <w:vAlign w:val="top"/>
          </w:tcPr>
          <w:p w14:paraId="27146140">
            <w:pPr>
              <w:rPr>
                <w:rFonts w:ascii="Arial"/>
                <w:color w:val="auto"/>
                <w:sz w:val="21"/>
              </w:rPr>
            </w:pPr>
          </w:p>
        </w:tc>
      </w:tr>
    </w:tbl>
    <w:p w14:paraId="608565AB">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z w:val="20"/>
          <w:szCs w:val="20"/>
        </w:rPr>
        <w:t xml:space="preserve"> </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z w:val="20"/>
          <w:szCs w:val="20"/>
        </w:rPr>
        <w:t xml:space="preserve"> </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4579AEDE">
      <w:pPr>
        <w:rPr>
          <w:color w:val="auto"/>
        </w:rPr>
        <w:sectPr>
          <w:footerReference r:id="rId32" w:type="default"/>
          <w:pgSz w:w="11906" w:h="16839"/>
          <w:pgMar w:top="400" w:right="1461" w:bottom="1156" w:left="1615" w:header="0" w:footer="996" w:gutter="0"/>
          <w:pgNumType w:fmt="decimal"/>
          <w:cols w:space="720" w:num="1"/>
        </w:sectPr>
      </w:pPr>
    </w:p>
    <w:p w14:paraId="5AB83977">
      <w:pPr>
        <w:spacing w:line="289" w:lineRule="auto"/>
        <w:rPr>
          <w:rFonts w:ascii="Arial"/>
          <w:color w:val="auto"/>
          <w:sz w:val="21"/>
        </w:rPr>
      </w:pPr>
    </w:p>
    <w:p w14:paraId="28B536DC">
      <w:pPr>
        <w:spacing w:line="289" w:lineRule="auto"/>
        <w:rPr>
          <w:rFonts w:ascii="Arial"/>
          <w:color w:val="auto"/>
          <w:sz w:val="21"/>
        </w:rPr>
      </w:pPr>
    </w:p>
    <w:p w14:paraId="6140E001">
      <w:pPr>
        <w:spacing w:line="290" w:lineRule="auto"/>
        <w:rPr>
          <w:rFonts w:ascii="Arial"/>
          <w:color w:val="auto"/>
          <w:sz w:val="21"/>
        </w:rPr>
      </w:pPr>
    </w:p>
    <w:p w14:paraId="6328EEEF">
      <w:pPr>
        <w:spacing w:line="290" w:lineRule="auto"/>
        <w:rPr>
          <w:rFonts w:ascii="Arial"/>
          <w:color w:val="auto"/>
          <w:sz w:val="21"/>
        </w:rPr>
      </w:pPr>
    </w:p>
    <w:p w14:paraId="49CF9F1F">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1D883B8E">
      <w:pPr>
        <w:spacing w:before="172" w:line="393" w:lineRule="auto"/>
        <w:ind w:left="90" w:right="78" w:hanging="3"/>
        <w:rPr>
          <w:rFonts w:ascii="宋体" w:hAnsi="宋体" w:eastAsia="宋体" w:cs="宋体"/>
          <w:color w:val="auto"/>
          <w:sz w:val="20"/>
          <w:szCs w:val="20"/>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纳证明，主要业绩须附合同协议书。</w:t>
      </w:r>
    </w:p>
    <w:p w14:paraId="05BD374B">
      <w:pPr>
        <w:rPr>
          <w:color w:val="auto"/>
        </w:rPr>
      </w:pPr>
    </w:p>
    <w:p w14:paraId="08D4AFB6">
      <w:pPr>
        <w:spacing w:line="24" w:lineRule="exact"/>
        <w:rPr>
          <w:color w:val="auto"/>
        </w:rPr>
      </w:pPr>
    </w:p>
    <w:tbl>
      <w:tblPr>
        <w:tblStyle w:val="20"/>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DCE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D938B98">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07B5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68FE8154">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5A4FB4EF">
            <w:pPr>
              <w:rPr>
                <w:rFonts w:ascii="Arial"/>
                <w:color w:val="auto"/>
                <w:sz w:val="21"/>
              </w:rPr>
            </w:pPr>
          </w:p>
        </w:tc>
        <w:tc>
          <w:tcPr>
            <w:tcW w:w="1260" w:type="dxa"/>
            <w:vAlign w:val="top"/>
          </w:tcPr>
          <w:p w14:paraId="3FD6CA8F">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47223031">
            <w:pPr>
              <w:rPr>
                <w:rFonts w:ascii="Arial"/>
                <w:color w:val="auto"/>
                <w:sz w:val="21"/>
              </w:rPr>
            </w:pPr>
          </w:p>
        </w:tc>
      </w:tr>
      <w:tr w14:paraId="3151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DEB5573">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4756DB55">
            <w:pPr>
              <w:rPr>
                <w:rFonts w:ascii="Arial"/>
                <w:color w:val="auto"/>
                <w:sz w:val="21"/>
              </w:rPr>
            </w:pPr>
          </w:p>
        </w:tc>
        <w:tc>
          <w:tcPr>
            <w:tcW w:w="1260" w:type="dxa"/>
            <w:vAlign w:val="top"/>
          </w:tcPr>
          <w:p w14:paraId="276ED9E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5F6E4A91">
            <w:pPr>
              <w:rPr>
                <w:rFonts w:ascii="Arial"/>
                <w:color w:val="auto"/>
                <w:sz w:val="21"/>
              </w:rPr>
            </w:pPr>
          </w:p>
        </w:tc>
      </w:tr>
      <w:tr w14:paraId="183F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C14D94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4EB51AA1">
            <w:pPr>
              <w:rPr>
                <w:rFonts w:ascii="Arial"/>
                <w:color w:val="auto"/>
                <w:sz w:val="21"/>
              </w:rPr>
            </w:pPr>
          </w:p>
        </w:tc>
        <w:tc>
          <w:tcPr>
            <w:tcW w:w="1260" w:type="dxa"/>
            <w:vAlign w:val="top"/>
          </w:tcPr>
          <w:p w14:paraId="458B7DC5">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BBD428A">
            <w:pPr>
              <w:rPr>
                <w:rFonts w:ascii="Arial"/>
                <w:color w:val="auto"/>
                <w:sz w:val="21"/>
              </w:rPr>
            </w:pPr>
          </w:p>
        </w:tc>
      </w:tr>
      <w:tr w14:paraId="1B6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61140A1">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798FDE9E">
            <w:pPr>
              <w:rPr>
                <w:rFonts w:ascii="Arial"/>
                <w:color w:val="auto"/>
                <w:sz w:val="21"/>
              </w:rPr>
            </w:pPr>
          </w:p>
        </w:tc>
        <w:tc>
          <w:tcPr>
            <w:tcW w:w="1260" w:type="dxa"/>
            <w:vAlign w:val="top"/>
          </w:tcPr>
          <w:p w14:paraId="509C860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2F37C9CC">
            <w:pPr>
              <w:rPr>
                <w:rFonts w:ascii="Arial"/>
                <w:color w:val="auto"/>
                <w:sz w:val="21"/>
              </w:rPr>
            </w:pPr>
          </w:p>
        </w:tc>
      </w:tr>
      <w:tr w14:paraId="59B7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C639CD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24509939">
            <w:pPr>
              <w:rPr>
                <w:rFonts w:ascii="Arial"/>
                <w:color w:val="auto"/>
                <w:sz w:val="21"/>
              </w:rPr>
            </w:pPr>
          </w:p>
        </w:tc>
        <w:tc>
          <w:tcPr>
            <w:tcW w:w="1260" w:type="dxa"/>
            <w:vAlign w:val="top"/>
          </w:tcPr>
          <w:p w14:paraId="5216852D">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69FA1ACE">
            <w:pPr>
              <w:rPr>
                <w:rFonts w:ascii="Arial"/>
                <w:color w:val="auto"/>
                <w:sz w:val="21"/>
              </w:rPr>
            </w:pPr>
          </w:p>
        </w:tc>
      </w:tr>
      <w:tr w14:paraId="7BF7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7A76E83C">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49DE00E4">
            <w:pPr>
              <w:rPr>
                <w:rFonts w:ascii="Arial"/>
                <w:color w:val="auto"/>
                <w:sz w:val="21"/>
              </w:rPr>
            </w:pPr>
          </w:p>
        </w:tc>
      </w:tr>
    </w:tbl>
    <w:p w14:paraId="03E7C273">
      <w:pPr>
        <w:rPr>
          <w:rFonts w:ascii="Arial"/>
          <w:color w:val="auto"/>
          <w:sz w:val="21"/>
        </w:rPr>
      </w:pPr>
    </w:p>
    <w:p w14:paraId="5D445A33">
      <w:pPr>
        <w:rPr>
          <w:color w:val="auto"/>
        </w:rPr>
        <w:sectPr>
          <w:footerReference r:id="rId33" w:type="default"/>
          <w:pgSz w:w="11906" w:h="16839"/>
          <w:pgMar w:top="400" w:right="1454" w:bottom="1156" w:left="1542" w:header="0" w:footer="996" w:gutter="0"/>
          <w:pgNumType w:fmt="decimal"/>
          <w:cols w:space="720" w:num="1"/>
        </w:sectPr>
      </w:pPr>
    </w:p>
    <w:p w14:paraId="416271F5">
      <w:pPr>
        <w:spacing w:line="255" w:lineRule="auto"/>
        <w:rPr>
          <w:rFonts w:ascii="Arial"/>
          <w:color w:val="auto"/>
          <w:sz w:val="21"/>
        </w:rPr>
      </w:pPr>
    </w:p>
    <w:p w14:paraId="6A31EA8B">
      <w:pPr>
        <w:spacing w:before="156" w:beforeLines="50" w:after="156" w:afterLines="50" w:line="440" w:lineRule="exact"/>
        <w:jc w:val="center"/>
        <w:rPr>
          <w:rFonts w:ascii="宋体" w:hAnsi="宋体" w:cs="宋体"/>
          <w:color w:val="000000"/>
          <w:sz w:val="22"/>
          <w:szCs w:val="22"/>
        </w:rPr>
      </w:pPr>
      <w:r>
        <w:rPr>
          <w:rFonts w:hint="eastAsia" w:ascii="宋体" w:hAnsi="宋体" w:cs="宋体"/>
          <w:color w:val="000000"/>
          <w:sz w:val="22"/>
          <w:szCs w:val="22"/>
        </w:rPr>
        <w:t>工程质量保修书</w:t>
      </w:r>
    </w:p>
    <w:p w14:paraId="4333DF56">
      <w:pPr>
        <w:spacing w:line="440" w:lineRule="exact"/>
        <w:rPr>
          <w:rFonts w:ascii="宋体" w:hAnsi="宋体" w:cs="宋体"/>
          <w:color w:val="000000"/>
          <w:sz w:val="22"/>
          <w:szCs w:val="22"/>
        </w:rPr>
      </w:pPr>
      <w:r>
        <w:rPr>
          <w:rFonts w:hint="eastAsia" w:ascii="宋体" w:hAnsi="宋体" w:cs="宋体"/>
          <w:color w:val="000000"/>
          <w:sz w:val="22"/>
          <w:szCs w:val="22"/>
        </w:rPr>
        <w:t>发包人（全称）：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w:t>
      </w:r>
    </w:p>
    <w:p w14:paraId="0108FD83">
      <w:pPr>
        <w:spacing w:line="440" w:lineRule="exact"/>
        <w:rPr>
          <w:rFonts w:ascii="宋体" w:hAnsi="宋体" w:cs="宋体"/>
          <w:color w:val="000000"/>
          <w:sz w:val="22"/>
          <w:szCs w:val="22"/>
        </w:rPr>
      </w:pPr>
      <w:r>
        <w:rPr>
          <w:rFonts w:hint="eastAsia" w:ascii="宋体" w:hAnsi="宋体" w:cs="宋体"/>
          <w:color w:val="000000"/>
          <w:sz w:val="22"/>
          <w:szCs w:val="22"/>
        </w:rPr>
        <w:t>承包人（全称）：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w:t>
      </w:r>
    </w:p>
    <w:p w14:paraId="35CF7DAF">
      <w:pPr>
        <w:spacing w:line="440" w:lineRule="exact"/>
        <w:ind w:firstLine="440" w:firstLineChars="200"/>
        <w:rPr>
          <w:rFonts w:ascii="宋体" w:hAnsi="宋体" w:cs="宋体"/>
          <w:color w:val="000000"/>
          <w:sz w:val="22"/>
          <w:szCs w:val="22"/>
        </w:rPr>
      </w:pPr>
    </w:p>
    <w:p w14:paraId="2392FDA6">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发包人和承包人根据《中华人民共和国建筑法》和《建设工程质量管理条例》，经协商一致就</w:t>
      </w:r>
      <w:r>
        <w:rPr>
          <w:rFonts w:hint="eastAsia" w:ascii="宋体" w:hAnsi="宋体" w:cs="宋体"/>
          <w:color w:val="000000"/>
          <w:sz w:val="22"/>
          <w:szCs w:val="22"/>
          <w:u w:val="single"/>
        </w:rPr>
        <w:t xml:space="preserve">                </w:t>
      </w:r>
      <w:r>
        <w:rPr>
          <w:rFonts w:hint="eastAsia" w:ascii="宋体" w:hAnsi="宋体" w:cs="宋体"/>
          <w:color w:val="000000"/>
          <w:sz w:val="22"/>
          <w:szCs w:val="22"/>
        </w:rPr>
        <w:t>（工程全称）签订工程质量保修书。</w:t>
      </w:r>
    </w:p>
    <w:p w14:paraId="05D49355">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一、工程质量保修范围和内容</w:t>
      </w:r>
    </w:p>
    <w:p w14:paraId="3B812A09">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承包人在质量保修期内，按照有关法律规定和合同约定，承担工程质量保修责任。</w:t>
      </w:r>
    </w:p>
    <w:p w14:paraId="00478CF1">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B0D79BB">
      <w:pPr>
        <w:spacing w:line="440" w:lineRule="exact"/>
        <w:rPr>
          <w:rFonts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14:paraId="51F06F6D">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二、质量保修期</w:t>
      </w:r>
    </w:p>
    <w:p w14:paraId="2BFCB76A">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根据《建设工程质量管理条例》及有关规定，工程的质量保修期如下：</w:t>
      </w:r>
    </w:p>
    <w:p w14:paraId="180E079A">
      <w:pPr>
        <w:spacing w:line="44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color w:val="000000"/>
          <w:sz w:val="22"/>
          <w:szCs w:val="22"/>
        </w:rPr>
        <w:t>．</w:t>
      </w:r>
      <w:r>
        <w:rPr>
          <w:rFonts w:hint="eastAsia" w:ascii="宋体" w:hAnsi="宋体" w:cs="宋体"/>
          <w:sz w:val="22"/>
          <w:szCs w:val="22"/>
        </w:rPr>
        <w:t>地基基础工程和主体结构工程为设计文件规定的工程合理使用年限；</w:t>
      </w:r>
    </w:p>
    <w:p w14:paraId="62B71239">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2</w:t>
      </w:r>
      <w:r>
        <w:rPr>
          <w:rFonts w:hint="eastAsia" w:ascii="宋体" w:hAnsi="宋体" w:cs="宋体"/>
          <w:sz w:val="22"/>
          <w:szCs w:val="22"/>
        </w:rPr>
        <w:t>．</w:t>
      </w:r>
      <w:r>
        <w:rPr>
          <w:rFonts w:hint="eastAsia" w:ascii="宋体" w:hAnsi="宋体" w:cs="宋体"/>
          <w:color w:val="000000"/>
          <w:sz w:val="22"/>
          <w:szCs w:val="22"/>
        </w:rPr>
        <w:t>屋面防水工程、有防水要求的卫生间、房间和外墙面的防渗为</w:t>
      </w:r>
      <w:r>
        <w:rPr>
          <w:rFonts w:hint="eastAsia" w:ascii="宋体" w:hAnsi="宋体" w:cs="宋体"/>
          <w:color w:val="000000"/>
          <w:sz w:val="22"/>
          <w:szCs w:val="22"/>
          <w:u w:val="single"/>
        </w:rPr>
        <w:t xml:space="preserve">  </w:t>
      </w:r>
      <w:r>
        <w:rPr>
          <w:rFonts w:hint="eastAsia" w:ascii="宋体" w:hAnsi="宋体" w:eastAsia="宋体" w:cs="宋体"/>
          <w:color w:val="000000"/>
          <w:sz w:val="22"/>
          <w:szCs w:val="22"/>
          <w:u w:val="single"/>
          <w:lang w:val="en-US" w:eastAsia="zh-CN"/>
        </w:rPr>
        <w:t>5</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p>
    <w:p w14:paraId="57E17F01">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3</w:t>
      </w:r>
      <w:r>
        <w:rPr>
          <w:rFonts w:hint="eastAsia" w:ascii="宋体" w:hAnsi="宋体" w:cs="宋体"/>
          <w:sz w:val="22"/>
          <w:szCs w:val="22"/>
        </w:rPr>
        <w:t>．</w:t>
      </w:r>
      <w:r>
        <w:rPr>
          <w:rFonts w:hint="eastAsia" w:ascii="宋体" w:hAnsi="宋体" w:cs="宋体"/>
          <w:color w:val="000000"/>
          <w:sz w:val="22"/>
          <w:szCs w:val="22"/>
        </w:rPr>
        <w:t>装修工程为</w:t>
      </w:r>
      <w:r>
        <w:rPr>
          <w:rFonts w:hint="eastAsia" w:ascii="宋体" w:hAnsi="宋体" w:cs="宋体"/>
          <w:color w:val="000000"/>
          <w:sz w:val="22"/>
          <w:szCs w:val="22"/>
          <w:u w:val="single"/>
        </w:rPr>
        <w:t xml:space="preserve">   </w:t>
      </w:r>
      <w:r>
        <w:rPr>
          <w:rFonts w:hint="eastAsia" w:ascii="宋体" w:hAnsi="宋体" w:eastAsia="宋体" w:cs="宋体"/>
          <w:color w:val="000000"/>
          <w:sz w:val="22"/>
          <w:szCs w:val="22"/>
          <w:u w:val="single"/>
          <w:lang w:val="en-US" w:eastAsia="zh-CN"/>
        </w:rPr>
        <w:t>2</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p>
    <w:p w14:paraId="1E3576E1">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4</w:t>
      </w:r>
      <w:r>
        <w:rPr>
          <w:rFonts w:hint="eastAsia" w:ascii="宋体" w:hAnsi="宋体" w:cs="宋体"/>
          <w:sz w:val="22"/>
          <w:szCs w:val="22"/>
        </w:rPr>
        <w:t>．</w:t>
      </w:r>
      <w:r>
        <w:rPr>
          <w:rFonts w:hint="eastAsia" w:ascii="宋体" w:hAnsi="宋体" w:cs="宋体"/>
          <w:color w:val="000000"/>
          <w:sz w:val="22"/>
          <w:szCs w:val="22"/>
        </w:rPr>
        <w:t>电气管线、给排水管道、设备安装工程为</w:t>
      </w:r>
      <w:r>
        <w:rPr>
          <w:rFonts w:hint="eastAsia" w:ascii="宋体" w:hAnsi="宋体" w:cs="宋体"/>
          <w:color w:val="000000"/>
          <w:sz w:val="22"/>
          <w:szCs w:val="22"/>
          <w:u w:val="single"/>
        </w:rPr>
        <w:t xml:space="preserve">  </w:t>
      </w:r>
      <w:r>
        <w:rPr>
          <w:rFonts w:hint="eastAsia" w:ascii="宋体" w:hAnsi="宋体" w:eastAsia="宋体" w:cs="宋体"/>
          <w:color w:val="000000"/>
          <w:sz w:val="22"/>
          <w:szCs w:val="22"/>
          <w:u w:val="single"/>
          <w:lang w:val="en-US" w:eastAsia="zh-CN"/>
        </w:rPr>
        <w:t>2</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p>
    <w:p w14:paraId="4610D74A">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5</w:t>
      </w:r>
      <w:r>
        <w:rPr>
          <w:rFonts w:hint="eastAsia" w:ascii="宋体" w:hAnsi="宋体" w:cs="宋体"/>
          <w:sz w:val="22"/>
          <w:szCs w:val="22"/>
        </w:rPr>
        <w:t>．</w:t>
      </w:r>
      <w:r>
        <w:rPr>
          <w:rFonts w:hint="eastAsia" w:ascii="宋体" w:hAnsi="宋体" w:cs="宋体"/>
          <w:color w:val="000000"/>
          <w:sz w:val="22"/>
          <w:szCs w:val="22"/>
        </w:rPr>
        <w:t>供热与供冷系统为</w:t>
      </w:r>
      <w:r>
        <w:rPr>
          <w:rFonts w:hint="eastAsia" w:ascii="宋体" w:hAnsi="宋体" w:cs="宋体"/>
          <w:color w:val="000000"/>
          <w:sz w:val="22"/>
          <w:szCs w:val="22"/>
          <w:u w:val="single"/>
        </w:rPr>
        <w:t xml:space="preserve">   </w:t>
      </w:r>
      <w:r>
        <w:rPr>
          <w:rFonts w:hint="eastAsia" w:ascii="宋体" w:hAnsi="宋体" w:eastAsia="宋体" w:cs="宋体"/>
          <w:color w:val="000000"/>
          <w:sz w:val="22"/>
          <w:szCs w:val="22"/>
          <w:u w:val="single"/>
          <w:lang w:val="en-US" w:eastAsia="zh-CN"/>
        </w:rPr>
        <w:t>2</w:t>
      </w:r>
      <w:r>
        <w:rPr>
          <w:rFonts w:hint="eastAsia" w:ascii="宋体" w:hAnsi="宋体" w:cs="宋体"/>
          <w:color w:val="000000"/>
          <w:sz w:val="22"/>
          <w:szCs w:val="22"/>
          <w:u w:val="single"/>
        </w:rPr>
        <w:t xml:space="preserve">   </w:t>
      </w:r>
      <w:r>
        <w:rPr>
          <w:rFonts w:hint="eastAsia" w:ascii="宋体" w:hAnsi="宋体" w:cs="宋体"/>
          <w:color w:val="000000"/>
          <w:sz w:val="22"/>
          <w:szCs w:val="22"/>
        </w:rPr>
        <w:t>个采暖期、供冷期；</w:t>
      </w:r>
    </w:p>
    <w:p w14:paraId="6F7B7178">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6</w:t>
      </w:r>
      <w:r>
        <w:rPr>
          <w:rFonts w:hint="eastAsia" w:ascii="宋体" w:hAnsi="宋体" w:cs="宋体"/>
          <w:sz w:val="22"/>
          <w:szCs w:val="22"/>
        </w:rPr>
        <w:t>．</w:t>
      </w:r>
      <w:r>
        <w:rPr>
          <w:rFonts w:hint="eastAsia" w:ascii="宋体" w:hAnsi="宋体" w:cs="宋体"/>
          <w:color w:val="000000"/>
          <w:sz w:val="22"/>
          <w:szCs w:val="22"/>
        </w:rPr>
        <w:t>住宅小区内的给排水设施、道路等配套工程为</w:t>
      </w:r>
      <w:r>
        <w:rPr>
          <w:rFonts w:hint="eastAsia" w:ascii="宋体" w:hAnsi="宋体" w:cs="宋体"/>
          <w:color w:val="000000"/>
          <w:sz w:val="22"/>
          <w:szCs w:val="22"/>
          <w:u w:val="single"/>
        </w:rPr>
        <w:t xml:space="preserve">  </w:t>
      </w:r>
      <w:r>
        <w:rPr>
          <w:rFonts w:hint="eastAsia" w:ascii="宋体" w:hAnsi="宋体" w:eastAsia="宋体" w:cs="宋体"/>
          <w:color w:val="000000"/>
          <w:sz w:val="22"/>
          <w:szCs w:val="22"/>
          <w:u w:val="single"/>
          <w:lang w:val="en-US" w:eastAsia="zh-CN"/>
        </w:rPr>
        <w:t>2</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p>
    <w:p w14:paraId="47834DBF">
      <w:pPr>
        <w:spacing w:line="44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7</w:t>
      </w:r>
      <w:r>
        <w:rPr>
          <w:rFonts w:hint="eastAsia" w:ascii="宋体" w:hAnsi="宋体" w:cs="宋体"/>
          <w:sz w:val="22"/>
          <w:szCs w:val="22"/>
        </w:rPr>
        <w:t>．</w:t>
      </w:r>
      <w:r>
        <w:rPr>
          <w:rFonts w:hint="eastAsia" w:ascii="宋体" w:hAnsi="宋体" w:cs="宋体"/>
          <w:color w:val="000000"/>
          <w:sz w:val="22"/>
          <w:szCs w:val="22"/>
        </w:rPr>
        <w:t>其他项目保修期限约定如下：</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14:paraId="58921993">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质量保修期自工程竣工验收合格之日起计算。</w:t>
      </w:r>
    </w:p>
    <w:p w14:paraId="0596013B">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三、缺陷责任期</w:t>
      </w:r>
    </w:p>
    <w:p w14:paraId="5B1A5CF4">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工程缺陷责任期为</w:t>
      </w:r>
      <w:r>
        <w:rPr>
          <w:rFonts w:hint="eastAsia" w:ascii="宋体" w:hAnsi="宋体" w:cs="宋体"/>
          <w:color w:val="000000"/>
          <w:sz w:val="22"/>
          <w:szCs w:val="22"/>
          <w:u w:val="single"/>
        </w:rPr>
        <w:t xml:space="preserve">         </w:t>
      </w:r>
      <w:r>
        <w:rPr>
          <w:rFonts w:hint="eastAsia" w:ascii="宋体" w:hAnsi="宋体" w:cs="宋体"/>
          <w:color w:val="000000"/>
          <w:sz w:val="22"/>
          <w:szCs w:val="22"/>
        </w:rPr>
        <w:t>个月，缺陷责任期自工程通过竣工验收之日起计算。单位工程先于全部工程进行验收，单位工程缺陷责任期自单位工程验收合格之日起算。</w:t>
      </w:r>
    </w:p>
    <w:p w14:paraId="19B3E771">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缺陷责任期终止后，发包人应退还剩余的质量保证金。</w:t>
      </w:r>
    </w:p>
    <w:p w14:paraId="162141AE">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四、质量保修责任</w:t>
      </w:r>
    </w:p>
    <w:p w14:paraId="6484CCF2">
      <w:pPr>
        <w:spacing w:line="440" w:lineRule="exact"/>
        <w:ind w:left="105" w:leftChars="50" w:firstLine="440" w:firstLineChars="200"/>
        <w:rPr>
          <w:rFonts w:ascii="宋体" w:hAnsi="宋体" w:cs="宋体"/>
          <w:color w:val="000000"/>
          <w:sz w:val="22"/>
          <w:szCs w:val="22"/>
        </w:rPr>
      </w:pPr>
      <w:r>
        <w:rPr>
          <w:rFonts w:hint="eastAsia" w:ascii="宋体" w:hAnsi="宋体" w:cs="宋体"/>
          <w:color w:val="000000"/>
          <w:sz w:val="22"/>
          <w:szCs w:val="22"/>
        </w:rPr>
        <w:t>1</w:t>
      </w:r>
      <w:r>
        <w:rPr>
          <w:rFonts w:hint="eastAsia" w:ascii="宋体" w:hAnsi="宋体" w:cs="宋体"/>
          <w:sz w:val="22"/>
          <w:szCs w:val="22"/>
        </w:rPr>
        <w:t>．</w:t>
      </w:r>
      <w:r>
        <w:rPr>
          <w:rFonts w:hint="eastAsia" w:ascii="宋体" w:hAnsi="宋体" w:cs="宋体"/>
          <w:color w:val="000000"/>
          <w:sz w:val="22"/>
          <w:szCs w:val="22"/>
        </w:rPr>
        <w:t>属于保修范围、内容的项目，承包人应当在接到保修通知之日起7天内派人保修。承包人不在约定期限内派人保修的，发包人可以委托他人修理。</w:t>
      </w:r>
    </w:p>
    <w:p w14:paraId="63045A43">
      <w:pPr>
        <w:spacing w:line="440" w:lineRule="exact"/>
        <w:ind w:left="105" w:leftChars="50" w:firstLine="440" w:firstLineChars="200"/>
        <w:rPr>
          <w:rFonts w:ascii="宋体" w:hAnsi="宋体" w:cs="宋体"/>
          <w:color w:val="000000"/>
          <w:sz w:val="22"/>
          <w:szCs w:val="22"/>
        </w:rPr>
      </w:pPr>
      <w:r>
        <w:rPr>
          <w:rFonts w:hint="eastAsia" w:ascii="宋体" w:hAnsi="宋体" w:cs="宋体"/>
          <w:color w:val="000000"/>
          <w:sz w:val="22"/>
          <w:szCs w:val="22"/>
        </w:rPr>
        <w:t>2</w:t>
      </w:r>
      <w:r>
        <w:rPr>
          <w:rFonts w:hint="eastAsia" w:ascii="宋体" w:hAnsi="宋体" w:cs="宋体"/>
          <w:sz w:val="22"/>
          <w:szCs w:val="22"/>
        </w:rPr>
        <w:t>．</w:t>
      </w:r>
      <w:r>
        <w:rPr>
          <w:rFonts w:hint="eastAsia" w:ascii="宋体" w:hAnsi="宋体" w:cs="宋体"/>
          <w:color w:val="000000"/>
          <w:sz w:val="22"/>
          <w:szCs w:val="22"/>
        </w:rPr>
        <w:t>发生紧急事故需抢修的，承包人在接到事故通知后，应当立即到达事故现场抢修。</w:t>
      </w:r>
    </w:p>
    <w:p w14:paraId="2B332426">
      <w:pPr>
        <w:spacing w:line="440" w:lineRule="exact"/>
        <w:ind w:left="105" w:leftChars="50" w:firstLine="440" w:firstLineChars="200"/>
        <w:rPr>
          <w:rFonts w:ascii="宋体" w:hAnsi="宋体" w:cs="宋体"/>
          <w:color w:val="000000"/>
          <w:sz w:val="22"/>
          <w:szCs w:val="22"/>
        </w:rPr>
      </w:pPr>
      <w:r>
        <w:rPr>
          <w:rFonts w:hint="eastAsia" w:ascii="宋体" w:hAnsi="宋体" w:cs="宋体"/>
          <w:color w:val="000000"/>
          <w:sz w:val="22"/>
          <w:szCs w:val="22"/>
        </w:rPr>
        <w:t>3</w:t>
      </w:r>
      <w:r>
        <w:rPr>
          <w:rFonts w:hint="eastAsia" w:ascii="宋体" w:hAnsi="宋体" w:cs="宋体"/>
          <w:sz w:val="22"/>
          <w:szCs w:val="22"/>
        </w:rPr>
        <w:t>．</w:t>
      </w:r>
      <w:r>
        <w:rPr>
          <w:rFonts w:hint="eastAsia" w:ascii="宋体" w:hAnsi="宋体" w:cs="宋体"/>
          <w:color w:val="000000"/>
          <w:sz w:val="22"/>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6D3CC1">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4</w:t>
      </w:r>
      <w:r>
        <w:rPr>
          <w:rFonts w:hint="eastAsia" w:ascii="宋体" w:hAnsi="宋体" w:cs="宋体"/>
          <w:sz w:val="22"/>
          <w:szCs w:val="22"/>
        </w:rPr>
        <w:t>．</w:t>
      </w:r>
      <w:r>
        <w:rPr>
          <w:rFonts w:hint="eastAsia" w:ascii="宋体" w:hAnsi="宋体" w:cs="宋体"/>
          <w:color w:val="000000"/>
          <w:sz w:val="22"/>
          <w:szCs w:val="22"/>
        </w:rPr>
        <w:t>质量保修完成后，由发包人组织验收。</w:t>
      </w:r>
    </w:p>
    <w:p w14:paraId="7E6A1786">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五、保修费用</w:t>
      </w:r>
    </w:p>
    <w:p w14:paraId="795E67D3">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保修费用由造成质量缺陷的责任方承担。</w:t>
      </w:r>
    </w:p>
    <w:p w14:paraId="6E87CB5F">
      <w:pPr>
        <w:spacing w:line="440" w:lineRule="exact"/>
        <w:ind w:firstLine="440" w:firstLineChars="200"/>
        <w:jc w:val="left"/>
        <w:rPr>
          <w:rFonts w:ascii="宋体" w:hAnsi="宋体" w:cs="宋体"/>
          <w:color w:val="000000"/>
          <w:sz w:val="22"/>
          <w:szCs w:val="22"/>
        </w:rPr>
      </w:pPr>
      <w:r>
        <w:rPr>
          <w:rFonts w:hint="eastAsia" w:ascii="宋体" w:hAnsi="宋体" w:cs="宋体"/>
          <w:b/>
          <w:color w:val="000000"/>
          <w:sz w:val="22"/>
          <w:szCs w:val="22"/>
        </w:rPr>
        <w:t>六</w:t>
      </w:r>
      <w:r>
        <w:rPr>
          <w:rFonts w:hint="eastAsia" w:ascii="宋体" w:hAnsi="宋体" w:cs="宋体"/>
          <w:color w:val="000000"/>
          <w:sz w:val="22"/>
          <w:szCs w:val="22"/>
        </w:rPr>
        <w:t>、双方约定的其他工程质量保修事项：</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14:paraId="150FF8A7">
      <w:pPr>
        <w:spacing w:line="440" w:lineRule="exact"/>
        <w:ind w:firstLine="440" w:firstLineChars="200"/>
        <w:rPr>
          <w:rFonts w:ascii="宋体" w:hAnsi="宋体" w:cs="宋体"/>
          <w:color w:val="000000"/>
          <w:sz w:val="22"/>
          <w:szCs w:val="22"/>
        </w:rPr>
      </w:pPr>
      <w:r>
        <w:rPr>
          <w:rFonts w:hint="eastAsia" w:ascii="宋体" w:hAnsi="宋体" w:cs="宋体"/>
          <w:color w:val="000000"/>
          <w:sz w:val="22"/>
          <w:szCs w:val="22"/>
        </w:rPr>
        <w:t>工程质量保修书由发包人、承包人在工程竣工验收前共同签署，作为施工合同附件，其有效期限至保修期满。</w:t>
      </w:r>
    </w:p>
    <w:p w14:paraId="0DF4B318">
      <w:pPr>
        <w:spacing w:line="440" w:lineRule="exact"/>
        <w:rPr>
          <w:rFonts w:ascii="宋体" w:hAnsi="宋体" w:cs="宋体"/>
          <w:color w:val="000000"/>
          <w:sz w:val="22"/>
          <w:szCs w:val="22"/>
        </w:rPr>
      </w:pPr>
    </w:p>
    <w:p w14:paraId="20ED742E">
      <w:pPr>
        <w:spacing w:line="440" w:lineRule="exact"/>
        <w:rPr>
          <w:rFonts w:ascii="宋体" w:hAnsi="宋体" w:cs="宋体"/>
          <w:color w:val="000000"/>
          <w:sz w:val="22"/>
          <w:szCs w:val="22"/>
        </w:rPr>
      </w:pPr>
      <w:r>
        <w:rPr>
          <w:rFonts w:hint="eastAsia" w:ascii="宋体" w:hAnsi="宋体" w:cs="宋体"/>
          <w:color w:val="000000"/>
          <w:sz w:val="22"/>
          <w:szCs w:val="22"/>
        </w:rPr>
        <w:t>发包人(公章)：</w:t>
      </w:r>
      <w:r>
        <w:rPr>
          <w:rFonts w:hint="eastAsia" w:ascii="宋体" w:hAnsi="宋体" w:cs="宋体"/>
          <w:color w:val="000000"/>
          <w:sz w:val="22"/>
          <w:szCs w:val="22"/>
          <w:u w:val="single"/>
        </w:rPr>
        <w:t xml:space="preserve">   </w:t>
      </w:r>
      <w:r>
        <w:rPr>
          <w:rFonts w:hint="eastAsia" w:ascii="宋体" w:hAnsi="宋体" w:cs="宋体"/>
          <w:color w:val="000000"/>
          <w:sz w:val="22"/>
          <w:szCs w:val="22"/>
        </w:rPr>
        <w:t xml:space="preserve"> 承包人(公章)：</w:t>
      </w:r>
      <w:r>
        <w:rPr>
          <w:rFonts w:hint="eastAsia" w:ascii="宋体" w:hAnsi="宋体" w:cs="宋体"/>
          <w:color w:val="000000"/>
          <w:sz w:val="22"/>
          <w:szCs w:val="22"/>
          <w:u w:val="single"/>
        </w:rPr>
        <w:t xml:space="preserve">          </w:t>
      </w:r>
    </w:p>
    <w:p w14:paraId="60A16B43">
      <w:pPr>
        <w:spacing w:line="440" w:lineRule="exact"/>
        <w:rPr>
          <w:rFonts w:ascii="宋体" w:hAnsi="宋体" w:cs="宋体"/>
          <w:color w:val="000000"/>
          <w:sz w:val="22"/>
          <w:szCs w:val="22"/>
        </w:rPr>
      </w:pPr>
      <w:r>
        <w:rPr>
          <w:rFonts w:hint="eastAsia" w:ascii="宋体" w:hAnsi="宋体" w:cs="宋体"/>
          <w:color w:val="000000"/>
          <w:sz w:val="22"/>
          <w:szCs w:val="22"/>
        </w:rPr>
        <w:t>地  址：</w:t>
      </w:r>
      <w:r>
        <w:rPr>
          <w:rFonts w:hint="eastAsia" w:ascii="宋体" w:hAnsi="宋体" w:cs="宋体"/>
          <w:color w:val="000000"/>
          <w:sz w:val="22"/>
          <w:szCs w:val="22"/>
          <w:u w:val="single"/>
        </w:rPr>
        <w:t xml:space="preserve">     </w:t>
      </w:r>
      <w:r>
        <w:rPr>
          <w:rFonts w:hint="eastAsia" w:ascii="宋体" w:hAnsi="宋体" w:cs="宋体"/>
          <w:color w:val="000000"/>
          <w:sz w:val="22"/>
          <w:szCs w:val="22"/>
        </w:rPr>
        <w:t xml:space="preserve"> 地  址：</w:t>
      </w:r>
      <w:r>
        <w:rPr>
          <w:rFonts w:hint="eastAsia" w:ascii="宋体" w:hAnsi="宋体" w:cs="宋体"/>
          <w:color w:val="000000"/>
          <w:sz w:val="22"/>
          <w:szCs w:val="22"/>
          <w:u w:val="single"/>
        </w:rPr>
        <w:t xml:space="preserve"> </w:t>
      </w:r>
    </w:p>
    <w:p w14:paraId="60D668B9">
      <w:pPr>
        <w:spacing w:line="440" w:lineRule="exact"/>
        <w:rPr>
          <w:rFonts w:ascii="宋体" w:hAnsi="宋体" w:cs="宋体"/>
          <w:color w:val="000000"/>
          <w:sz w:val="22"/>
          <w:szCs w:val="22"/>
        </w:rPr>
      </w:pPr>
      <w:r>
        <w:rPr>
          <w:rFonts w:hint="eastAsia" w:ascii="宋体" w:hAnsi="宋体" w:cs="宋体"/>
          <w:color w:val="000000"/>
          <w:sz w:val="22"/>
          <w:szCs w:val="22"/>
        </w:rPr>
        <w:t>法定代表人(签字)：</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法定代表人(签字)：</w:t>
      </w:r>
      <w:r>
        <w:rPr>
          <w:rFonts w:hint="eastAsia" w:ascii="宋体" w:hAnsi="宋体" w:cs="宋体"/>
          <w:color w:val="000000"/>
          <w:sz w:val="22"/>
          <w:szCs w:val="22"/>
          <w:u w:val="single"/>
        </w:rPr>
        <w:t xml:space="preserve"> </w:t>
      </w:r>
    </w:p>
    <w:p w14:paraId="1BD185B2">
      <w:pPr>
        <w:spacing w:line="440" w:lineRule="exact"/>
        <w:rPr>
          <w:rFonts w:ascii="宋体" w:hAnsi="宋体" w:cs="宋体"/>
          <w:color w:val="000000"/>
          <w:sz w:val="22"/>
          <w:szCs w:val="22"/>
        </w:rPr>
      </w:pPr>
      <w:r>
        <w:rPr>
          <w:rFonts w:hint="eastAsia" w:ascii="宋体" w:hAnsi="宋体" w:cs="宋体"/>
          <w:color w:val="000000"/>
          <w:sz w:val="22"/>
          <w:szCs w:val="22"/>
        </w:rPr>
        <w:t>委托代理人(签字)：</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委托代理人(签字)：</w:t>
      </w:r>
      <w:r>
        <w:rPr>
          <w:rFonts w:hint="eastAsia" w:ascii="宋体" w:hAnsi="宋体" w:cs="宋体"/>
          <w:color w:val="000000"/>
          <w:sz w:val="22"/>
          <w:szCs w:val="22"/>
          <w:u w:val="single"/>
        </w:rPr>
        <w:t xml:space="preserve"> </w:t>
      </w:r>
    </w:p>
    <w:p w14:paraId="7B8B506B">
      <w:pPr>
        <w:spacing w:line="440" w:lineRule="exact"/>
        <w:rPr>
          <w:rFonts w:ascii="宋体" w:hAnsi="宋体" w:cs="宋体"/>
          <w:color w:val="000000"/>
          <w:sz w:val="22"/>
          <w:szCs w:val="22"/>
        </w:rPr>
      </w:pPr>
      <w:r>
        <w:rPr>
          <w:rFonts w:hint="eastAsia" w:ascii="宋体" w:hAnsi="宋体" w:cs="宋体"/>
          <w:color w:val="000000"/>
          <w:sz w:val="22"/>
          <w:szCs w:val="22"/>
        </w:rPr>
        <w:t>电  话：</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电  话：</w:t>
      </w:r>
      <w:r>
        <w:rPr>
          <w:rFonts w:hint="eastAsia" w:ascii="宋体" w:hAnsi="宋体" w:cs="宋体"/>
          <w:color w:val="000000"/>
          <w:sz w:val="22"/>
          <w:szCs w:val="22"/>
          <w:u w:val="single"/>
        </w:rPr>
        <w:t></w:t>
      </w:r>
    </w:p>
    <w:p w14:paraId="1668370F">
      <w:pPr>
        <w:spacing w:line="440" w:lineRule="exact"/>
        <w:rPr>
          <w:rFonts w:ascii="宋体" w:hAnsi="宋体" w:cs="宋体"/>
          <w:color w:val="000000"/>
          <w:sz w:val="22"/>
          <w:szCs w:val="22"/>
        </w:rPr>
      </w:pPr>
      <w:r>
        <w:rPr>
          <w:rFonts w:hint="eastAsia" w:ascii="宋体" w:hAnsi="宋体" w:cs="宋体"/>
          <w:color w:val="000000"/>
          <w:sz w:val="22"/>
          <w:szCs w:val="22"/>
        </w:rPr>
        <w:t>传  真：</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传  真：</w:t>
      </w:r>
      <w:r>
        <w:rPr>
          <w:rFonts w:hint="eastAsia" w:ascii="宋体" w:hAnsi="宋体" w:cs="宋体"/>
          <w:color w:val="000000"/>
          <w:sz w:val="22"/>
          <w:szCs w:val="22"/>
          <w:u w:val="single"/>
        </w:rPr>
        <w:t></w:t>
      </w:r>
    </w:p>
    <w:p w14:paraId="5CA7CB1D">
      <w:pPr>
        <w:spacing w:line="440" w:lineRule="exact"/>
        <w:rPr>
          <w:rFonts w:ascii="宋体" w:hAnsi="宋体" w:cs="宋体"/>
          <w:color w:val="000000"/>
          <w:sz w:val="22"/>
          <w:szCs w:val="22"/>
        </w:rPr>
      </w:pPr>
      <w:r>
        <w:rPr>
          <w:rFonts w:hint="eastAsia" w:ascii="宋体" w:hAnsi="宋体" w:cs="宋体"/>
          <w:color w:val="000000"/>
          <w:sz w:val="22"/>
          <w:szCs w:val="22"/>
        </w:rPr>
        <w:t>开户银行：</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w:t>
      </w:r>
      <w:r>
        <w:rPr>
          <w:rFonts w:hint="eastAsia" w:ascii="宋体" w:hAnsi="宋体" w:cs="宋体"/>
          <w:color w:val="000000"/>
          <w:sz w:val="22"/>
          <w:szCs w:val="22"/>
          <w:u w:val="single"/>
        </w:rPr>
        <w:t></w:t>
      </w:r>
    </w:p>
    <w:p w14:paraId="4A3EB5C2">
      <w:pPr>
        <w:spacing w:line="440" w:lineRule="exact"/>
        <w:rPr>
          <w:rFonts w:ascii="宋体" w:hAnsi="宋体" w:cs="宋体"/>
          <w:color w:val="000000"/>
          <w:sz w:val="22"/>
          <w:szCs w:val="22"/>
        </w:rPr>
      </w:pPr>
      <w:r>
        <w:rPr>
          <w:rFonts w:hint="eastAsia" w:ascii="宋体" w:hAnsi="宋体" w:cs="宋体"/>
          <w:color w:val="000000"/>
          <w:sz w:val="22"/>
          <w:szCs w:val="22"/>
        </w:rPr>
        <w:t>账  号：</w:t>
      </w:r>
      <w:r>
        <w:rPr>
          <w:rFonts w:hint="eastAsia" w:ascii="宋体" w:hAnsi="宋体" w:cs="宋体"/>
          <w:color w:val="000000"/>
          <w:sz w:val="22"/>
          <w:szCs w:val="22"/>
          <w:u w:val="single"/>
        </w:rPr>
        <w:t xml:space="preserve">       </w:t>
      </w:r>
      <w:r>
        <w:rPr>
          <w:rFonts w:hint="eastAsia" w:ascii="宋体" w:hAnsi="宋体" w:cs="宋体"/>
          <w:color w:val="000000"/>
          <w:sz w:val="22"/>
          <w:szCs w:val="22"/>
        </w:rPr>
        <w:t xml:space="preserve">  账  号：</w:t>
      </w:r>
      <w:r>
        <w:rPr>
          <w:rFonts w:hint="eastAsia" w:ascii="宋体" w:hAnsi="宋体" w:cs="宋体"/>
          <w:color w:val="000000"/>
          <w:sz w:val="22"/>
          <w:szCs w:val="22"/>
          <w:u w:val="single"/>
        </w:rPr>
        <w:t></w:t>
      </w:r>
    </w:p>
    <w:p w14:paraId="199283BC">
      <w:pPr>
        <w:spacing w:line="440" w:lineRule="exact"/>
        <w:rPr>
          <w:rFonts w:ascii="宋体" w:hAnsi="宋体" w:cs="宋体"/>
          <w:color w:val="000000"/>
          <w:sz w:val="22"/>
          <w:szCs w:val="22"/>
        </w:rPr>
      </w:pPr>
      <w:r>
        <w:rPr>
          <w:rFonts w:hint="eastAsia" w:ascii="宋体" w:hAnsi="宋体" w:cs="宋体"/>
          <w:color w:val="000000"/>
          <w:sz w:val="22"/>
          <w:szCs w:val="22"/>
        </w:rPr>
        <w:t>邮政编码：</w:t>
      </w:r>
      <w:r>
        <w:rPr>
          <w:rFonts w:hint="eastAsia" w:ascii="宋体" w:hAnsi="宋体" w:cs="宋体"/>
          <w:color w:val="000000"/>
          <w:sz w:val="22"/>
          <w:szCs w:val="22"/>
          <w:u w:val="single"/>
        </w:rPr>
        <w:t xml:space="preserve"> 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14:paraId="74C6E48D">
      <w:pPr>
        <w:spacing w:line="255" w:lineRule="auto"/>
        <w:rPr>
          <w:rFonts w:ascii="Arial"/>
          <w:color w:val="auto"/>
          <w:sz w:val="21"/>
        </w:rPr>
      </w:pPr>
    </w:p>
    <w:p w14:paraId="6DBE5913">
      <w:pPr>
        <w:pStyle w:val="2"/>
        <w:rPr>
          <w:rFonts w:ascii="Arial"/>
          <w:color w:val="auto"/>
          <w:sz w:val="21"/>
        </w:rPr>
      </w:pPr>
    </w:p>
    <w:p w14:paraId="1A0FCA7B">
      <w:pPr>
        <w:rPr>
          <w:rFonts w:ascii="Arial"/>
          <w:color w:val="auto"/>
          <w:sz w:val="21"/>
        </w:rPr>
      </w:pPr>
    </w:p>
    <w:p w14:paraId="6B5FCC5B">
      <w:pPr>
        <w:pStyle w:val="2"/>
        <w:rPr>
          <w:rFonts w:ascii="Arial"/>
          <w:color w:val="auto"/>
          <w:sz w:val="21"/>
        </w:rPr>
      </w:pPr>
    </w:p>
    <w:p w14:paraId="757BD900">
      <w:pPr>
        <w:rPr>
          <w:rFonts w:ascii="Arial"/>
          <w:color w:val="auto"/>
          <w:sz w:val="21"/>
        </w:rPr>
      </w:pPr>
    </w:p>
    <w:p w14:paraId="2494631E">
      <w:pPr>
        <w:pStyle w:val="2"/>
        <w:rPr>
          <w:rFonts w:ascii="Arial"/>
          <w:color w:val="auto"/>
          <w:sz w:val="21"/>
        </w:rPr>
      </w:pPr>
    </w:p>
    <w:p w14:paraId="7E0DF6D2">
      <w:pPr>
        <w:rPr>
          <w:rFonts w:ascii="Arial"/>
          <w:color w:val="auto"/>
          <w:sz w:val="21"/>
        </w:rPr>
      </w:pPr>
    </w:p>
    <w:p w14:paraId="1AB8B73B">
      <w:pPr>
        <w:pStyle w:val="2"/>
        <w:rPr>
          <w:rFonts w:ascii="Arial"/>
          <w:color w:val="auto"/>
          <w:sz w:val="21"/>
        </w:rPr>
      </w:pPr>
    </w:p>
    <w:p w14:paraId="6E43A54B">
      <w:pPr>
        <w:rPr>
          <w:rFonts w:ascii="Arial"/>
          <w:color w:val="auto"/>
          <w:sz w:val="21"/>
        </w:rPr>
      </w:pPr>
    </w:p>
    <w:p w14:paraId="73098154">
      <w:pPr>
        <w:pStyle w:val="2"/>
        <w:rPr>
          <w:rFonts w:ascii="Arial"/>
          <w:color w:val="auto"/>
          <w:sz w:val="21"/>
        </w:rPr>
      </w:pPr>
    </w:p>
    <w:p w14:paraId="27AE6372">
      <w:pPr>
        <w:rPr>
          <w:rFonts w:ascii="Arial"/>
          <w:color w:val="auto"/>
          <w:sz w:val="21"/>
        </w:rPr>
      </w:pPr>
    </w:p>
    <w:p w14:paraId="02E0FBAE">
      <w:pPr>
        <w:pStyle w:val="2"/>
        <w:rPr>
          <w:rFonts w:ascii="Arial"/>
          <w:color w:val="auto"/>
          <w:sz w:val="21"/>
        </w:rPr>
      </w:pPr>
    </w:p>
    <w:p w14:paraId="59ADBAB3">
      <w:pPr>
        <w:rPr>
          <w:rFonts w:ascii="Arial"/>
          <w:color w:val="auto"/>
          <w:sz w:val="21"/>
        </w:rPr>
      </w:pPr>
    </w:p>
    <w:p w14:paraId="252C0277">
      <w:pPr>
        <w:pStyle w:val="2"/>
        <w:rPr>
          <w:rFonts w:ascii="Arial"/>
          <w:color w:val="auto"/>
          <w:sz w:val="21"/>
        </w:rPr>
      </w:pPr>
    </w:p>
    <w:p w14:paraId="51057198">
      <w:pPr>
        <w:rPr>
          <w:rFonts w:ascii="Arial"/>
          <w:color w:val="auto"/>
          <w:sz w:val="21"/>
        </w:rPr>
      </w:pPr>
    </w:p>
    <w:p w14:paraId="4F291E7B">
      <w:pPr>
        <w:pStyle w:val="2"/>
        <w:rPr>
          <w:rFonts w:ascii="Arial"/>
          <w:color w:val="auto"/>
          <w:sz w:val="21"/>
        </w:rPr>
      </w:pPr>
    </w:p>
    <w:p w14:paraId="08A66319">
      <w:pPr>
        <w:rPr>
          <w:rFonts w:ascii="Arial"/>
          <w:color w:val="auto"/>
          <w:sz w:val="21"/>
        </w:rPr>
      </w:pPr>
    </w:p>
    <w:p w14:paraId="5A7CEEA5">
      <w:pPr>
        <w:pStyle w:val="2"/>
        <w:rPr>
          <w:rFonts w:ascii="Arial"/>
          <w:color w:val="auto"/>
          <w:sz w:val="21"/>
        </w:rPr>
      </w:pPr>
    </w:p>
    <w:p w14:paraId="4979F752">
      <w:pPr>
        <w:rPr>
          <w:rFonts w:ascii="Arial"/>
          <w:color w:val="auto"/>
          <w:sz w:val="21"/>
        </w:rPr>
      </w:pPr>
    </w:p>
    <w:p w14:paraId="120C97DF">
      <w:pPr>
        <w:pStyle w:val="2"/>
        <w:rPr>
          <w:rFonts w:ascii="Arial"/>
          <w:color w:val="auto"/>
          <w:sz w:val="21"/>
        </w:rPr>
      </w:pPr>
    </w:p>
    <w:p w14:paraId="740B2B4C">
      <w:pPr>
        <w:rPr>
          <w:rFonts w:ascii="Arial"/>
          <w:color w:val="auto"/>
          <w:sz w:val="21"/>
        </w:rPr>
      </w:pPr>
    </w:p>
    <w:p w14:paraId="5CD6BB19">
      <w:pPr>
        <w:pStyle w:val="2"/>
      </w:pPr>
    </w:p>
    <w:p w14:paraId="3536F19F">
      <w:pPr>
        <w:spacing w:line="255" w:lineRule="auto"/>
        <w:rPr>
          <w:rFonts w:ascii="Arial"/>
          <w:color w:val="auto"/>
          <w:sz w:val="21"/>
        </w:rPr>
      </w:pPr>
    </w:p>
    <w:p w14:paraId="0F99A873">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1C7C1C08">
      <w:pPr>
        <w:rPr>
          <w:color w:val="auto"/>
        </w:rPr>
      </w:pPr>
    </w:p>
    <w:p w14:paraId="41B91A2D">
      <w:pPr>
        <w:spacing w:line="26" w:lineRule="exact"/>
        <w:rPr>
          <w:color w:val="auto"/>
        </w:rPr>
      </w:pPr>
    </w:p>
    <w:tbl>
      <w:tblPr>
        <w:tblStyle w:val="20"/>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08FC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3A562ADF">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EBC1635">
            <w:pPr>
              <w:rPr>
                <w:rFonts w:ascii="Arial"/>
                <w:color w:val="auto"/>
                <w:sz w:val="21"/>
              </w:rPr>
            </w:pPr>
          </w:p>
        </w:tc>
        <w:tc>
          <w:tcPr>
            <w:tcW w:w="2008" w:type="dxa"/>
            <w:vAlign w:val="top"/>
          </w:tcPr>
          <w:p w14:paraId="5A3F85BC">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AB5926A">
            <w:pPr>
              <w:rPr>
                <w:rFonts w:ascii="Arial"/>
                <w:color w:val="auto"/>
                <w:sz w:val="21"/>
              </w:rPr>
            </w:pPr>
          </w:p>
        </w:tc>
      </w:tr>
      <w:tr w14:paraId="53D85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7B357B7B">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DA47243">
            <w:pPr>
              <w:rPr>
                <w:rFonts w:ascii="Arial"/>
                <w:color w:val="auto"/>
                <w:sz w:val="21"/>
              </w:rPr>
            </w:pPr>
          </w:p>
        </w:tc>
        <w:tc>
          <w:tcPr>
            <w:tcW w:w="2008" w:type="dxa"/>
            <w:vAlign w:val="top"/>
          </w:tcPr>
          <w:p w14:paraId="69D7F091">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4233D7D6">
            <w:pPr>
              <w:rPr>
                <w:rFonts w:ascii="Arial"/>
                <w:color w:val="auto"/>
                <w:sz w:val="21"/>
              </w:rPr>
            </w:pPr>
          </w:p>
        </w:tc>
      </w:tr>
      <w:tr w14:paraId="5C0D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6CD3FC6E">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03BF6C27">
            <w:pPr>
              <w:rPr>
                <w:rFonts w:ascii="Arial"/>
                <w:color w:val="auto"/>
                <w:sz w:val="21"/>
              </w:rPr>
            </w:pPr>
          </w:p>
        </w:tc>
        <w:tc>
          <w:tcPr>
            <w:tcW w:w="2008" w:type="dxa"/>
            <w:vAlign w:val="top"/>
          </w:tcPr>
          <w:p w14:paraId="1E036E5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25B14B47">
            <w:pPr>
              <w:rPr>
                <w:rFonts w:ascii="Arial"/>
                <w:color w:val="auto"/>
                <w:sz w:val="21"/>
              </w:rPr>
            </w:pPr>
          </w:p>
        </w:tc>
      </w:tr>
      <w:tr w14:paraId="21704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51FBD11">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60806CEC">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EECC714">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67F9B8A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3385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0DECD32">
            <w:pPr>
              <w:rPr>
                <w:rFonts w:ascii="Arial"/>
                <w:color w:val="auto"/>
                <w:sz w:val="21"/>
              </w:rPr>
            </w:pPr>
          </w:p>
        </w:tc>
        <w:tc>
          <w:tcPr>
            <w:tcW w:w="2402" w:type="dxa"/>
            <w:vAlign w:val="top"/>
          </w:tcPr>
          <w:p w14:paraId="66E024DA">
            <w:pPr>
              <w:rPr>
                <w:rFonts w:ascii="Arial"/>
                <w:color w:val="auto"/>
                <w:sz w:val="21"/>
              </w:rPr>
            </w:pPr>
          </w:p>
        </w:tc>
        <w:tc>
          <w:tcPr>
            <w:tcW w:w="2008" w:type="dxa"/>
            <w:vAlign w:val="top"/>
          </w:tcPr>
          <w:p w14:paraId="03106FBA">
            <w:pPr>
              <w:rPr>
                <w:rFonts w:ascii="Arial"/>
                <w:color w:val="auto"/>
                <w:sz w:val="21"/>
              </w:rPr>
            </w:pPr>
          </w:p>
        </w:tc>
        <w:tc>
          <w:tcPr>
            <w:tcW w:w="2385" w:type="dxa"/>
            <w:vMerge w:val="restart"/>
            <w:tcBorders>
              <w:bottom w:val="nil"/>
            </w:tcBorders>
            <w:vAlign w:val="top"/>
          </w:tcPr>
          <w:p w14:paraId="645D8BFB">
            <w:pPr>
              <w:rPr>
                <w:rFonts w:ascii="Arial"/>
                <w:color w:val="auto"/>
                <w:sz w:val="21"/>
              </w:rPr>
            </w:pPr>
          </w:p>
        </w:tc>
      </w:tr>
      <w:tr w14:paraId="65B2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3806859">
            <w:pPr>
              <w:rPr>
                <w:rFonts w:ascii="Arial"/>
                <w:color w:val="auto"/>
                <w:sz w:val="21"/>
              </w:rPr>
            </w:pPr>
          </w:p>
        </w:tc>
        <w:tc>
          <w:tcPr>
            <w:tcW w:w="2402" w:type="dxa"/>
            <w:vAlign w:val="top"/>
          </w:tcPr>
          <w:p w14:paraId="21C27A49">
            <w:pPr>
              <w:rPr>
                <w:rFonts w:ascii="Arial"/>
                <w:color w:val="auto"/>
                <w:sz w:val="21"/>
              </w:rPr>
            </w:pPr>
          </w:p>
        </w:tc>
        <w:tc>
          <w:tcPr>
            <w:tcW w:w="2008" w:type="dxa"/>
            <w:vAlign w:val="top"/>
          </w:tcPr>
          <w:p w14:paraId="5A93AB8D">
            <w:pPr>
              <w:rPr>
                <w:rFonts w:ascii="Arial"/>
                <w:color w:val="auto"/>
                <w:sz w:val="21"/>
              </w:rPr>
            </w:pPr>
          </w:p>
        </w:tc>
        <w:tc>
          <w:tcPr>
            <w:tcW w:w="2385" w:type="dxa"/>
            <w:vMerge w:val="continue"/>
            <w:tcBorders>
              <w:top w:val="nil"/>
              <w:bottom w:val="nil"/>
            </w:tcBorders>
            <w:vAlign w:val="top"/>
          </w:tcPr>
          <w:p w14:paraId="2F639652">
            <w:pPr>
              <w:rPr>
                <w:rFonts w:ascii="Arial"/>
                <w:color w:val="auto"/>
                <w:sz w:val="21"/>
              </w:rPr>
            </w:pPr>
          </w:p>
        </w:tc>
      </w:tr>
      <w:tr w14:paraId="1B9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62DE375">
            <w:pPr>
              <w:rPr>
                <w:rFonts w:ascii="Arial"/>
                <w:color w:val="auto"/>
                <w:sz w:val="21"/>
              </w:rPr>
            </w:pPr>
          </w:p>
        </w:tc>
        <w:tc>
          <w:tcPr>
            <w:tcW w:w="2402" w:type="dxa"/>
            <w:vAlign w:val="top"/>
          </w:tcPr>
          <w:p w14:paraId="3DED44C0">
            <w:pPr>
              <w:rPr>
                <w:rFonts w:ascii="Arial"/>
                <w:color w:val="auto"/>
                <w:sz w:val="21"/>
              </w:rPr>
            </w:pPr>
          </w:p>
        </w:tc>
        <w:tc>
          <w:tcPr>
            <w:tcW w:w="2008" w:type="dxa"/>
            <w:vAlign w:val="top"/>
          </w:tcPr>
          <w:p w14:paraId="124C4B02">
            <w:pPr>
              <w:rPr>
                <w:rFonts w:ascii="Arial"/>
                <w:color w:val="auto"/>
                <w:sz w:val="21"/>
              </w:rPr>
            </w:pPr>
          </w:p>
        </w:tc>
        <w:tc>
          <w:tcPr>
            <w:tcW w:w="2385" w:type="dxa"/>
            <w:vMerge w:val="continue"/>
            <w:tcBorders>
              <w:top w:val="nil"/>
              <w:bottom w:val="nil"/>
            </w:tcBorders>
            <w:vAlign w:val="top"/>
          </w:tcPr>
          <w:p w14:paraId="5D8D5315">
            <w:pPr>
              <w:rPr>
                <w:rFonts w:ascii="Arial"/>
                <w:color w:val="auto"/>
                <w:sz w:val="21"/>
              </w:rPr>
            </w:pPr>
          </w:p>
        </w:tc>
      </w:tr>
      <w:tr w14:paraId="0CE4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F70A9C8">
            <w:pPr>
              <w:rPr>
                <w:rFonts w:ascii="Arial"/>
                <w:color w:val="auto"/>
                <w:sz w:val="21"/>
              </w:rPr>
            </w:pPr>
          </w:p>
        </w:tc>
        <w:tc>
          <w:tcPr>
            <w:tcW w:w="2402" w:type="dxa"/>
            <w:vAlign w:val="top"/>
          </w:tcPr>
          <w:p w14:paraId="473092BB">
            <w:pPr>
              <w:rPr>
                <w:rFonts w:ascii="Arial"/>
                <w:color w:val="auto"/>
                <w:sz w:val="21"/>
              </w:rPr>
            </w:pPr>
          </w:p>
        </w:tc>
        <w:tc>
          <w:tcPr>
            <w:tcW w:w="2008" w:type="dxa"/>
            <w:vAlign w:val="top"/>
          </w:tcPr>
          <w:p w14:paraId="44EDE3B7">
            <w:pPr>
              <w:rPr>
                <w:rFonts w:ascii="Arial"/>
                <w:color w:val="auto"/>
                <w:sz w:val="21"/>
              </w:rPr>
            </w:pPr>
          </w:p>
        </w:tc>
        <w:tc>
          <w:tcPr>
            <w:tcW w:w="2385" w:type="dxa"/>
            <w:vMerge w:val="continue"/>
            <w:tcBorders>
              <w:top w:val="nil"/>
              <w:bottom w:val="nil"/>
            </w:tcBorders>
            <w:vAlign w:val="top"/>
          </w:tcPr>
          <w:p w14:paraId="687B0862">
            <w:pPr>
              <w:rPr>
                <w:rFonts w:ascii="Arial"/>
                <w:color w:val="auto"/>
                <w:sz w:val="21"/>
              </w:rPr>
            </w:pPr>
          </w:p>
        </w:tc>
      </w:tr>
      <w:tr w14:paraId="4F1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5AD4ECC">
            <w:pPr>
              <w:rPr>
                <w:rFonts w:ascii="Arial"/>
                <w:color w:val="auto"/>
                <w:sz w:val="21"/>
              </w:rPr>
            </w:pPr>
          </w:p>
        </w:tc>
        <w:tc>
          <w:tcPr>
            <w:tcW w:w="2402" w:type="dxa"/>
            <w:vAlign w:val="top"/>
          </w:tcPr>
          <w:p w14:paraId="5DCA3781">
            <w:pPr>
              <w:rPr>
                <w:rFonts w:ascii="Arial"/>
                <w:color w:val="auto"/>
                <w:sz w:val="21"/>
              </w:rPr>
            </w:pPr>
          </w:p>
        </w:tc>
        <w:tc>
          <w:tcPr>
            <w:tcW w:w="2008" w:type="dxa"/>
            <w:vAlign w:val="top"/>
          </w:tcPr>
          <w:p w14:paraId="2F5E0F7E">
            <w:pPr>
              <w:rPr>
                <w:rFonts w:ascii="Arial"/>
                <w:color w:val="auto"/>
                <w:sz w:val="21"/>
              </w:rPr>
            </w:pPr>
          </w:p>
        </w:tc>
        <w:tc>
          <w:tcPr>
            <w:tcW w:w="2385" w:type="dxa"/>
            <w:vMerge w:val="continue"/>
            <w:tcBorders>
              <w:top w:val="nil"/>
              <w:bottom w:val="nil"/>
            </w:tcBorders>
            <w:vAlign w:val="top"/>
          </w:tcPr>
          <w:p w14:paraId="139513A4">
            <w:pPr>
              <w:rPr>
                <w:rFonts w:ascii="Arial"/>
                <w:color w:val="auto"/>
                <w:sz w:val="21"/>
              </w:rPr>
            </w:pPr>
          </w:p>
        </w:tc>
      </w:tr>
      <w:tr w14:paraId="26670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CA78BB">
            <w:pPr>
              <w:rPr>
                <w:rFonts w:ascii="Arial"/>
                <w:color w:val="auto"/>
                <w:sz w:val="21"/>
              </w:rPr>
            </w:pPr>
          </w:p>
        </w:tc>
        <w:tc>
          <w:tcPr>
            <w:tcW w:w="2402" w:type="dxa"/>
            <w:vAlign w:val="top"/>
          </w:tcPr>
          <w:p w14:paraId="63F7BABB">
            <w:pPr>
              <w:rPr>
                <w:rFonts w:ascii="Arial"/>
                <w:color w:val="auto"/>
                <w:sz w:val="21"/>
              </w:rPr>
            </w:pPr>
          </w:p>
        </w:tc>
        <w:tc>
          <w:tcPr>
            <w:tcW w:w="2008" w:type="dxa"/>
            <w:vAlign w:val="top"/>
          </w:tcPr>
          <w:p w14:paraId="40FD0188">
            <w:pPr>
              <w:rPr>
                <w:rFonts w:ascii="Arial"/>
                <w:color w:val="auto"/>
                <w:sz w:val="21"/>
              </w:rPr>
            </w:pPr>
          </w:p>
        </w:tc>
        <w:tc>
          <w:tcPr>
            <w:tcW w:w="2385" w:type="dxa"/>
            <w:vMerge w:val="continue"/>
            <w:tcBorders>
              <w:top w:val="nil"/>
              <w:bottom w:val="nil"/>
            </w:tcBorders>
            <w:vAlign w:val="top"/>
          </w:tcPr>
          <w:p w14:paraId="447C9DCD">
            <w:pPr>
              <w:rPr>
                <w:rFonts w:ascii="Arial"/>
                <w:color w:val="auto"/>
                <w:sz w:val="21"/>
              </w:rPr>
            </w:pPr>
          </w:p>
        </w:tc>
      </w:tr>
      <w:tr w14:paraId="22B3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465172D">
            <w:pPr>
              <w:rPr>
                <w:rFonts w:ascii="Arial"/>
                <w:color w:val="auto"/>
                <w:sz w:val="21"/>
              </w:rPr>
            </w:pPr>
          </w:p>
        </w:tc>
        <w:tc>
          <w:tcPr>
            <w:tcW w:w="2402" w:type="dxa"/>
            <w:vAlign w:val="top"/>
          </w:tcPr>
          <w:p w14:paraId="521A0BC7">
            <w:pPr>
              <w:rPr>
                <w:rFonts w:ascii="Arial"/>
                <w:color w:val="auto"/>
                <w:sz w:val="21"/>
              </w:rPr>
            </w:pPr>
          </w:p>
        </w:tc>
        <w:tc>
          <w:tcPr>
            <w:tcW w:w="2008" w:type="dxa"/>
            <w:vAlign w:val="top"/>
          </w:tcPr>
          <w:p w14:paraId="11A8B98E">
            <w:pPr>
              <w:rPr>
                <w:rFonts w:ascii="Arial"/>
                <w:color w:val="auto"/>
                <w:sz w:val="21"/>
              </w:rPr>
            </w:pPr>
          </w:p>
        </w:tc>
        <w:tc>
          <w:tcPr>
            <w:tcW w:w="2385" w:type="dxa"/>
            <w:vMerge w:val="continue"/>
            <w:tcBorders>
              <w:top w:val="nil"/>
              <w:bottom w:val="nil"/>
            </w:tcBorders>
            <w:vAlign w:val="top"/>
          </w:tcPr>
          <w:p w14:paraId="1E2D37FF">
            <w:pPr>
              <w:rPr>
                <w:rFonts w:ascii="Arial"/>
                <w:color w:val="auto"/>
                <w:sz w:val="21"/>
              </w:rPr>
            </w:pPr>
          </w:p>
        </w:tc>
      </w:tr>
      <w:tr w14:paraId="44070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77713F9">
            <w:pPr>
              <w:rPr>
                <w:rFonts w:ascii="Arial"/>
                <w:color w:val="auto"/>
                <w:sz w:val="21"/>
              </w:rPr>
            </w:pPr>
          </w:p>
        </w:tc>
        <w:tc>
          <w:tcPr>
            <w:tcW w:w="2402" w:type="dxa"/>
            <w:vAlign w:val="top"/>
          </w:tcPr>
          <w:p w14:paraId="1DB7AA2B">
            <w:pPr>
              <w:rPr>
                <w:rFonts w:ascii="Arial"/>
                <w:color w:val="auto"/>
                <w:sz w:val="21"/>
              </w:rPr>
            </w:pPr>
          </w:p>
        </w:tc>
        <w:tc>
          <w:tcPr>
            <w:tcW w:w="2008" w:type="dxa"/>
            <w:vAlign w:val="top"/>
          </w:tcPr>
          <w:p w14:paraId="1C711EB8">
            <w:pPr>
              <w:rPr>
                <w:rFonts w:ascii="Arial"/>
                <w:color w:val="auto"/>
                <w:sz w:val="21"/>
              </w:rPr>
            </w:pPr>
          </w:p>
        </w:tc>
        <w:tc>
          <w:tcPr>
            <w:tcW w:w="2385" w:type="dxa"/>
            <w:vMerge w:val="continue"/>
            <w:tcBorders>
              <w:top w:val="nil"/>
              <w:bottom w:val="nil"/>
            </w:tcBorders>
            <w:vAlign w:val="top"/>
          </w:tcPr>
          <w:p w14:paraId="43F3FDF6">
            <w:pPr>
              <w:rPr>
                <w:rFonts w:ascii="Arial"/>
                <w:color w:val="auto"/>
                <w:sz w:val="21"/>
              </w:rPr>
            </w:pPr>
          </w:p>
        </w:tc>
      </w:tr>
      <w:tr w14:paraId="694E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EFDB8BB">
            <w:pPr>
              <w:rPr>
                <w:rFonts w:ascii="Arial"/>
                <w:color w:val="auto"/>
                <w:sz w:val="21"/>
              </w:rPr>
            </w:pPr>
          </w:p>
        </w:tc>
        <w:tc>
          <w:tcPr>
            <w:tcW w:w="2402" w:type="dxa"/>
            <w:vAlign w:val="top"/>
          </w:tcPr>
          <w:p w14:paraId="64A05537">
            <w:pPr>
              <w:rPr>
                <w:rFonts w:ascii="Arial"/>
                <w:color w:val="auto"/>
                <w:sz w:val="21"/>
              </w:rPr>
            </w:pPr>
          </w:p>
        </w:tc>
        <w:tc>
          <w:tcPr>
            <w:tcW w:w="2008" w:type="dxa"/>
            <w:vAlign w:val="top"/>
          </w:tcPr>
          <w:p w14:paraId="5B15F490">
            <w:pPr>
              <w:rPr>
                <w:rFonts w:ascii="Arial"/>
                <w:color w:val="auto"/>
                <w:sz w:val="21"/>
              </w:rPr>
            </w:pPr>
          </w:p>
        </w:tc>
        <w:tc>
          <w:tcPr>
            <w:tcW w:w="2385" w:type="dxa"/>
            <w:vMerge w:val="continue"/>
            <w:tcBorders>
              <w:top w:val="nil"/>
              <w:bottom w:val="nil"/>
            </w:tcBorders>
            <w:vAlign w:val="top"/>
          </w:tcPr>
          <w:p w14:paraId="1233DBB4">
            <w:pPr>
              <w:rPr>
                <w:rFonts w:ascii="Arial"/>
                <w:color w:val="auto"/>
                <w:sz w:val="21"/>
              </w:rPr>
            </w:pPr>
          </w:p>
        </w:tc>
      </w:tr>
      <w:tr w14:paraId="40EC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D5A48B7">
            <w:pPr>
              <w:rPr>
                <w:rFonts w:ascii="Arial"/>
                <w:color w:val="auto"/>
                <w:sz w:val="21"/>
              </w:rPr>
            </w:pPr>
          </w:p>
        </w:tc>
        <w:tc>
          <w:tcPr>
            <w:tcW w:w="2402" w:type="dxa"/>
            <w:vAlign w:val="top"/>
          </w:tcPr>
          <w:p w14:paraId="1D3102C0">
            <w:pPr>
              <w:rPr>
                <w:rFonts w:ascii="Arial"/>
                <w:color w:val="auto"/>
                <w:sz w:val="21"/>
              </w:rPr>
            </w:pPr>
          </w:p>
        </w:tc>
        <w:tc>
          <w:tcPr>
            <w:tcW w:w="2008" w:type="dxa"/>
            <w:vAlign w:val="top"/>
          </w:tcPr>
          <w:p w14:paraId="333CB98C">
            <w:pPr>
              <w:rPr>
                <w:rFonts w:ascii="Arial"/>
                <w:color w:val="auto"/>
                <w:sz w:val="21"/>
              </w:rPr>
            </w:pPr>
          </w:p>
        </w:tc>
        <w:tc>
          <w:tcPr>
            <w:tcW w:w="2385" w:type="dxa"/>
            <w:vMerge w:val="continue"/>
            <w:tcBorders>
              <w:top w:val="nil"/>
              <w:bottom w:val="nil"/>
            </w:tcBorders>
            <w:vAlign w:val="top"/>
          </w:tcPr>
          <w:p w14:paraId="406A98EC">
            <w:pPr>
              <w:rPr>
                <w:rFonts w:ascii="Arial"/>
                <w:color w:val="auto"/>
                <w:sz w:val="21"/>
              </w:rPr>
            </w:pPr>
          </w:p>
        </w:tc>
      </w:tr>
      <w:tr w14:paraId="58F2E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1C34A0">
            <w:pPr>
              <w:rPr>
                <w:rFonts w:ascii="Arial"/>
                <w:color w:val="auto"/>
                <w:sz w:val="21"/>
              </w:rPr>
            </w:pPr>
          </w:p>
        </w:tc>
        <w:tc>
          <w:tcPr>
            <w:tcW w:w="2402" w:type="dxa"/>
            <w:vAlign w:val="top"/>
          </w:tcPr>
          <w:p w14:paraId="4D9CF5CB">
            <w:pPr>
              <w:rPr>
                <w:rFonts w:ascii="Arial"/>
                <w:color w:val="auto"/>
                <w:sz w:val="21"/>
              </w:rPr>
            </w:pPr>
          </w:p>
        </w:tc>
        <w:tc>
          <w:tcPr>
            <w:tcW w:w="2008" w:type="dxa"/>
            <w:vAlign w:val="top"/>
          </w:tcPr>
          <w:p w14:paraId="0BDE808D">
            <w:pPr>
              <w:rPr>
                <w:rFonts w:ascii="Arial"/>
                <w:color w:val="auto"/>
                <w:sz w:val="21"/>
              </w:rPr>
            </w:pPr>
          </w:p>
        </w:tc>
        <w:tc>
          <w:tcPr>
            <w:tcW w:w="2385" w:type="dxa"/>
            <w:vMerge w:val="continue"/>
            <w:tcBorders>
              <w:top w:val="nil"/>
              <w:bottom w:val="nil"/>
            </w:tcBorders>
            <w:vAlign w:val="top"/>
          </w:tcPr>
          <w:p w14:paraId="05B7C67B">
            <w:pPr>
              <w:rPr>
                <w:rFonts w:ascii="Arial"/>
                <w:color w:val="auto"/>
                <w:sz w:val="21"/>
              </w:rPr>
            </w:pPr>
          </w:p>
        </w:tc>
      </w:tr>
      <w:tr w14:paraId="2847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E1EF2C2">
            <w:pPr>
              <w:rPr>
                <w:rFonts w:ascii="Arial"/>
                <w:color w:val="auto"/>
                <w:sz w:val="21"/>
              </w:rPr>
            </w:pPr>
          </w:p>
        </w:tc>
        <w:tc>
          <w:tcPr>
            <w:tcW w:w="2402" w:type="dxa"/>
            <w:vAlign w:val="top"/>
          </w:tcPr>
          <w:p w14:paraId="41317FF2">
            <w:pPr>
              <w:rPr>
                <w:rFonts w:ascii="Arial"/>
                <w:color w:val="auto"/>
                <w:sz w:val="21"/>
              </w:rPr>
            </w:pPr>
          </w:p>
        </w:tc>
        <w:tc>
          <w:tcPr>
            <w:tcW w:w="2008" w:type="dxa"/>
            <w:vAlign w:val="top"/>
          </w:tcPr>
          <w:p w14:paraId="6791E356">
            <w:pPr>
              <w:rPr>
                <w:rFonts w:ascii="Arial"/>
                <w:color w:val="auto"/>
                <w:sz w:val="21"/>
              </w:rPr>
            </w:pPr>
          </w:p>
        </w:tc>
        <w:tc>
          <w:tcPr>
            <w:tcW w:w="2385" w:type="dxa"/>
            <w:vMerge w:val="continue"/>
            <w:tcBorders>
              <w:top w:val="nil"/>
              <w:bottom w:val="nil"/>
            </w:tcBorders>
            <w:vAlign w:val="top"/>
          </w:tcPr>
          <w:p w14:paraId="3E0BC17E">
            <w:pPr>
              <w:rPr>
                <w:rFonts w:ascii="Arial"/>
                <w:color w:val="auto"/>
                <w:sz w:val="21"/>
              </w:rPr>
            </w:pPr>
          </w:p>
        </w:tc>
      </w:tr>
      <w:tr w14:paraId="5C2C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470B516">
            <w:pPr>
              <w:rPr>
                <w:rFonts w:ascii="Arial"/>
                <w:color w:val="auto"/>
                <w:sz w:val="21"/>
              </w:rPr>
            </w:pPr>
          </w:p>
        </w:tc>
        <w:tc>
          <w:tcPr>
            <w:tcW w:w="2402" w:type="dxa"/>
            <w:vAlign w:val="top"/>
          </w:tcPr>
          <w:p w14:paraId="5171A4E8">
            <w:pPr>
              <w:rPr>
                <w:rFonts w:ascii="Arial"/>
                <w:color w:val="auto"/>
                <w:sz w:val="21"/>
              </w:rPr>
            </w:pPr>
          </w:p>
        </w:tc>
        <w:tc>
          <w:tcPr>
            <w:tcW w:w="2008" w:type="dxa"/>
            <w:vAlign w:val="top"/>
          </w:tcPr>
          <w:p w14:paraId="0F8389FF">
            <w:pPr>
              <w:rPr>
                <w:rFonts w:ascii="Arial"/>
                <w:color w:val="auto"/>
                <w:sz w:val="21"/>
              </w:rPr>
            </w:pPr>
          </w:p>
        </w:tc>
        <w:tc>
          <w:tcPr>
            <w:tcW w:w="2385" w:type="dxa"/>
            <w:vMerge w:val="continue"/>
            <w:tcBorders>
              <w:top w:val="nil"/>
              <w:bottom w:val="nil"/>
            </w:tcBorders>
            <w:vAlign w:val="top"/>
          </w:tcPr>
          <w:p w14:paraId="0DA3372B">
            <w:pPr>
              <w:rPr>
                <w:rFonts w:ascii="Arial"/>
                <w:color w:val="auto"/>
                <w:sz w:val="21"/>
              </w:rPr>
            </w:pPr>
          </w:p>
        </w:tc>
      </w:tr>
      <w:tr w14:paraId="3F24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953C213">
            <w:pPr>
              <w:rPr>
                <w:rFonts w:ascii="Arial"/>
                <w:color w:val="auto"/>
                <w:sz w:val="21"/>
              </w:rPr>
            </w:pPr>
          </w:p>
        </w:tc>
        <w:tc>
          <w:tcPr>
            <w:tcW w:w="2402" w:type="dxa"/>
            <w:vAlign w:val="top"/>
          </w:tcPr>
          <w:p w14:paraId="7C2887D8">
            <w:pPr>
              <w:rPr>
                <w:rFonts w:ascii="Arial"/>
                <w:color w:val="auto"/>
                <w:sz w:val="21"/>
              </w:rPr>
            </w:pPr>
          </w:p>
        </w:tc>
        <w:tc>
          <w:tcPr>
            <w:tcW w:w="2008" w:type="dxa"/>
            <w:vAlign w:val="top"/>
          </w:tcPr>
          <w:p w14:paraId="76B42099">
            <w:pPr>
              <w:rPr>
                <w:rFonts w:ascii="Arial"/>
                <w:color w:val="auto"/>
                <w:sz w:val="21"/>
              </w:rPr>
            </w:pPr>
          </w:p>
        </w:tc>
        <w:tc>
          <w:tcPr>
            <w:tcW w:w="2385" w:type="dxa"/>
            <w:vMerge w:val="continue"/>
            <w:tcBorders>
              <w:top w:val="nil"/>
              <w:bottom w:val="nil"/>
            </w:tcBorders>
            <w:vAlign w:val="top"/>
          </w:tcPr>
          <w:p w14:paraId="4AFD87CB">
            <w:pPr>
              <w:rPr>
                <w:rFonts w:ascii="Arial"/>
                <w:color w:val="auto"/>
                <w:sz w:val="21"/>
              </w:rPr>
            </w:pPr>
          </w:p>
        </w:tc>
      </w:tr>
      <w:tr w14:paraId="4B56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89944A2">
            <w:pPr>
              <w:rPr>
                <w:rFonts w:ascii="Arial"/>
                <w:color w:val="auto"/>
                <w:sz w:val="21"/>
              </w:rPr>
            </w:pPr>
          </w:p>
        </w:tc>
        <w:tc>
          <w:tcPr>
            <w:tcW w:w="2402" w:type="dxa"/>
            <w:vAlign w:val="top"/>
          </w:tcPr>
          <w:p w14:paraId="6100197B">
            <w:pPr>
              <w:rPr>
                <w:rFonts w:ascii="Arial"/>
                <w:color w:val="auto"/>
                <w:sz w:val="21"/>
              </w:rPr>
            </w:pPr>
          </w:p>
        </w:tc>
        <w:tc>
          <w:tcPr>
            <w:tcW w:w="2008" w:type="dxa"/>
            <w:vAlign w:val="top"/>
          </w:tcPr>
          <w:p w14:paraId="1D50FA4E">
            <w:pPr>
              <w:rPr>
                <w:rFonts w:ascii="Arial"/>
                <w:color w:val="auto"/>
                <w:sz w:val="21"/>
              </w:rPr>
            </w:pPr>
          </w:p>
        </w:tc>
        <w:tc>
          <w:tcPr>
            <w:tcW w:w="2385" w:type="dxa"/>
            <w:vMerge w:val="continue"/>
            <w:tcBorders>
              <w:top w:val="nil"/>
              <w:bottom w:val="nil"/>
            </w:tcBorders>
            <w:vAlign w:val="top"/>
          </w:tcPr>
          <w:p w14:paraId="06E93068">
            <w:pPr>
              <w:rPr>
                <w:rFonts w:ascii="Arial"/>
                <w:color w:val="auto"/>
                <w:sz w:val="21"/>
              </w:rPr>
            </w:pPr>
          </w:p>
        </w:tc>
      </w:tr>
      <w:tr w14:paraId="103D7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06D6885">
            <w:pPr>
              <w:rPr>
                <w:rFonts w:ascii="Arial"/>
                <w:color w:val="auto"/>
                <w:sz w:val="21"/>
              </w:rPr>
            </w:pPr>
          </w:p>
        </w:tc>
        <w:tc>
          <w:tcPr>
            <w:tcW w:w="2402" w:type="dxa"/>
            <w:vAlign w:val="top"/>
          </w:tcPr>
          <w:p w14:paraId="0DA81F38">
            <w:pPr>
              <w:rPr>
                <w:rFonts w:ascii="Arial"/>
                <w:color w:val="auto"/>
                <w:sz w:val="21"/>
              </w:rPr>
            </w:pPr>
          </w:p>
        </w:tc>
        <w:tc>
          <w:tcPr>
            <w:tcW w:w="2008" w:type="dxa"/>
            <w:vAlign w:val="top"/>
          </w:tcPr>
          <w:p w14:paraId="08A4AA60">
            <w:pPr>
              <w:rPr>
                <w:rFonts w:ascii="Arial"/>
                <w:color w:val="auto"/>
                <w:sz w:val="21"/>
              </w:rPr>
            </w:pPr>
          </w:p>
        </w:tc>
        <w:tc>
          <w:tcPr>
            <w:tcW w:w="2385" w:type="dxa"/>
            <w:vMerge w:val="continue"/>
            <w:tcBorders>
              <w:top w:val="nil"/>
              <w:bottom w:val="nil"/>
            </w:tcBorders>
            <w:vAlign w:val="top"/>
          </w:tcPr>
          <w:p w14:paraId="7E2C662F">
            <w:pPr>
              <w:rPr>
                <w:rFonts w:ascii="Arial"/>
                <w:color w:val="auto"/>
                <w:sz w:val="21"/>
              </w:rPr>
            </w:pPr>
          </w:p>
        </w:tc>
      </w:tr>
      <w:tr w14:paraId="748D9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7186E87B">
            <w:pPr>
              <w:rPr>
                <w:rFonts w:ascii="Arial"/>
                <w:color w:val="auto"/>
                <w:sz w:val="21"/>
              </w:rPr>
            </w:pPr>
          </w:p>
        </w:tc>
        <w:tc>
          <w:tcPr>
            <w:tcW w:w="2402" w:type="dxa"/>
            <w:vAlign w:val="top"/>
          </w:tcPr>
          <w:p w14:paraId="102FA2E0">
            <w:pPr>
              <w:rPr>
                <w:rFonts w:ascii="Arial"/>
                <w:color w:val="auto"/>
                <w:sz w:val="21"/>
              </w:rPr>
            </w:pPr>
          </w:p>
        </w:tc>
        <w:tc>
          <w:tcPr>
            <w:tcW w:w="2008" w:type="dxa"/>
            <w:vAlign w:val="top"/>
          </w:tcPr>
          <w:p w14:paraId="6439EAA7">
            <w:pPr>
              <w:rPr>
                <w:rFonts w:ascii="Arial"/>
                <w:color w:val="auto"/>
                <w:sz w:val="21"/>
              </w:rPr>
            </w:pPr>
          </w:p>
        </w:tc>
        <w:tc>
          <w:tcPr>
            <w:tcW w:w="2385" w:type="dxa"/>
            <w:vMerge w:val="continue"/>
            <w:tcBorders>
              <w:top w:val="nil"/>
              <w:bottom w:val="nil"/>
            </w:tcBorders>
            <w:vAlign w:val="top"/>
          </w:tcPr>
          <w:p w14:paraId="6BEE57ED">
            <w:pPr>
              <w:rPr>
                <w:rFonts w:ascii="Arial"/>
                <w:color w:val="auto"/>
                <w:sz w:val="21"/>
              </w:rPr>
            </w:pPr>
          </w:p>
        </w:tc>
      </w:tr>
      <w:tr w14:paraId="2287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F25C400">
            <w:pPr>
              <w:rPr>
                <w:rFonts w:ascii="Arial"/>
                <w:color w:val="auto"/>
                <w:sz w:val="21"/>
              </w:rPr>
            </w:pPr>
          </w:p>
        </w:tc>
        <w:tc>
          <w:tcPr>
            <w:tcW w:w="2402" w:type="dxa"/>
            <w:vAlign w:val="top"/>
          </w:tcPr>
          <w:p w14:paraId="75E8861C">
            <w:pPr>
              <w:rPr>
                <w:rFonts w:ascii="Arial"/>
                <w:color w:val="auto"/>
                <w:sz w:val="21"/>
              </w:rPr>
            </w:pPr>
          </w:p>
        </w:tc>
        <w:tc>
          <w:tcPr>
            <w:tcW w:w="2008" w:type="dxa"/>
            <w:vAlign w:val="top"/>
          </w:tcPr>
          <w:p w14:paraId="09619926">
            <w:pPr>
              <w:rPr>
                <w:rFonts w:ascii="Arial"/>
                <w:color w:val="auto"/>
                <w:sz w:val="21"/>
              </w:rPr>
            </w:pPr>
          </w:p>
        </w:tc>
        <w:tc>
          <w:tcPr>
            <w:tcW w:w="2385" w:type="dxa"/>
            <w:vMerge w:val="continue"/>
            <w:tcBorders>
              <w:top w:val="nil"/>
              <w:bottom w:val="nil"/>
            </w:tcBorders>
            <w:vAlign w:val="top"/>
          </w:tcPr>
          <w:p w14:paraId="2C11C90F">
            <w:pPr>
              <w:rPr>
                <w:rFonts w:ascii="Arial"/>
                <w:color w:val="auto"/>
                <w:sz w:val="21"/>
              </w:rPr>
            </w:pPr>
          </w:p>
        </w:tc>
      </w:tr>
      <w:tr w14:paraId="6F9B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75C44248">
            <w:pPr>
              <w:rPr>
                <w:rFonts w:ascii="Arial"/>
                <w:color w:val="auto"/>
                <w:sz w:val="21"/>
              </w:rPr>
            </w:pPr>
          </w:p>
        </w:tc>
        <w:tc>
          <w:tcPr>
            <w:tcW w:w="2402" w:type="dxa"/>
            <w:vAlign w:val="top"/>
          </w:tcPr>
          <w:p w14:paraId="3A8CD566">
            <w:pPr>
              <w:rPr>
                <w:rFonts w:ascii="Arial"/>
                <w:color w:val="auto"/>
                <w:sz w:val="21"/>
              </w:rPr>
            </w:pPr>
          </w:p>
        </w:tc>
        <w:tc>
          <w:tcPr>
            <w:tcW w:w="2008" w:type="dxa"/>
            <w:vAlign w:val="top"/>
          </w:tcPr>
          <w:p w14:paraId="39E47C03">
            <w:pPr>
              <w:rPr>
                <w:rFonts w:ascii="Arial"/>
                <w:color w:val="auto"/>
                <w:sz w:val="21"/>
              </w:rPr>
            </w:pPr>
          </w:p>
        </w:tc>
        <w:tc>
          <w:tcPr>
            <w:tcW w:w="2385" w:type="dxa"/>
            <w:vMerge w:val="continue"/>
            <w:tcBorders>
              <w:top w:val="nil"/>
            </w:tcBorders>
            <w:vAlign w:val="top"/>
          </w:tcPr>
          <w:p w14:paraId="11138FF4">
            <w:pPr>
              <w:rPr>
                <w:rFonts w:ascii="Arial"/>
                <w:color w:val="auto"/>
                <w:sz w:val="21"/>
              </w:rPr>
            </w:pPr>
          </w:p>
        </w:tc>
      </w:tr>
    </w:tbl>
    <w:p w14:paraId="70BA1B96">
      <w:pPr>
        <w:rPr>
          <w:rFonts w:ascii="Arial"/>
          <w:color w:val="auto"/>
          <w:sz w:val="21"/>
        </w:rPr>
      </w:pPr>
    </w:p>
    <w:p w14:paraId="3E1465B5">
      <w:pPr>
        <w:rPr>
          <w:color w:val="auto"/>
        </w:rPr>
        <w:sectPr>
          <w:footerReference r:id="rId34" w:type="default"/>
          <w:pgSz w:w="11906" w:h="16839"/>
          <w:pgMar w:top="400" w:right="1479" w:bottom="1156" w:left="1478" w:header="0" w:footer="996" w:gutter="0"/>
          <w:pgNumType w:fmt="decimal"/>
          <w:cols w:space="720" w:num="1"/>
        </w:sectPr>
      </w:pPr>
    </w:p>
    <w:p w14:paraId="02C3E392">
      <w:pPr>
        <w:spacing w:line="285" w:lineRule="auto"/>
        <w:rPr>
          <w:rFonts w:ascii="Arial"/>
          <w:color w:val="auto"/>
          <w:sz w:val="21"/>
        </w:rPr>
      </w:pPr>
    </w:p>
    <w:p w14:paraId="44D8C3F4">
      <w:pPr>
        <w:spacing w:line="286" w:lineRule="auto"/>
        <w:jc w:val="both"/>
        <w:rPr>
          <w:rFonts w:ascii="Arial"/>
          <w:color w:val="auto"/>
          <w:sz w:val="21"/>
        </w:rPr>
      </w:pPr>
    </w:p>
    <w:p w14:paraId="5A7C3F0B">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2B7A49F3">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6F343E9F">
      <w:pPr>
        <w:rPr>
          <w:color w:val="auto"/>
        </w:rPr>
      </w:pPr>
    </w:p>
    <w:p w14:paraId="4E1FEF8D">
      <w:pPr>
        <w:spacing w:line="19" w:lineRule="exact"/>
        <w:rPr>
          <w:color w:val="auto"/>
        </w:rPr>
      </w:pPr>
    </w:p>
    <w:tbl>
      <w:tblPr>
        <w:tblStyle w:val="20"/>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32F7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7E8FE80">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A8B6A92">
            <w:pPr>
              <w:rPr>
                <w:rFonts w:ascii="Arial"/>
                <w:color w:val="auto"/>
                <w:sz w:val="21"/>
              </w:rPr>
            </w:pPr>
          </w:p>
        </w:tc>
      </w:tr>
      <w:tr w14:paraId="47BE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A898BF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6406DD0">
            <w:pPr>
              <w:rPr>
                <w:rFonts w:ascii="Arial"/>
                <w:color w:val="auto"/>
                <w:sz w:val="21"/>
              </w:rPr>
            </w:pPr>
          </w:p>
        </w:tc>
        <w:tc>
          <w:tcPr>
            <w:tcW w:w="1245" w:type="dxa"/>
            <w:vAlign w:val="top"/>
          </w:tcPr>
          <w:p w14:paraId="1A2F2756">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21AD2A2F">
            <w:pPr>
              <w:rPr>
                <w:rFonts w:ascii="Arial"/>
                <w:color w:val="auto"/>
                <w:sz w:val="21"/>
              </w:rPr>
            </w:pPr>
          </w:p>
        </w:tc>
      </w:tr>
      <w:tr w14:paraId="22D7E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0A9D6777">
            <w:pPr>
              <w:spacing w:line="400" w:lineRule="auto"/>
              <w:rPr>
                <w:rFonts w:ascii="Arial"/>
                <w:color w:val="auto"/>
                <w:sz w:val="21"/>
              </w:rPr>
            </w:pPr>
          </w:p>
          <w:p w14:paraId="380724BC">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2D709C7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13C8A6E4">
            <w:pPr>
              <w:rPr>
                <w:rFonts w:ascii="Arial"/>
                <w:color w:val="auto"/>
                <w:sz w:val="21"/>
              </w:rPr>
            </w:pPr>
          </w:p>
        </w:tc>
        <w:tc>
          <w:tcPr>
            <w:tcW w:w="1245" w:type="dxa"/>
            <w:vAlign w:val="top"/>
          </w:tcPr>
          <w:p w14:paraId="3E089F47">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0B9D4894">
            <w:pPr>
              <w:rPr>
                <w:rFonts w:ascii="Arial"/>
                <w:color w:val="auto"/>
                <w:sz w:val="21"/>
              </w:rPr>
            </w:pPr>
          </w:p>
        </w:tc>
      </w:tr>
      <w:tr w14:paraId="298A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5C986B76">
            <w:pPr>
              <w:rPr>
                <w:rFonts w:ascii="Arial"/>
                <w:color w:val="auto"/>
                <w:sz w:val="21"/>
              </w:rPr>
            </w:pPr>
          </w:p>
        </w:tc>
        <w:tc>
          <w:tcPr>
            <w:tcW w:w="896" w:type="dxa"/>
            <w:vAlign w:val="top"/>
          </w:tcPr>
          <w:p w14:paraId="73DE777E">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4619AC4E">
            <w:pPr>
              <w:rPr>
                <w:rFonts w:ascii="Arial"/>
                <w:color w:val="auto"/>
                <w:sz w:val="21"/>
              </w:rPr>
            </w:pPr>
          </w:p>
        </w:tc>
        <w:tc>
          <w:tcPr>
            <w:tcW w:w="1245" w:type="dxa"/>
            <w:vAlign w:val="top"/>
          </w:tcPr>
          <w:p w14:paraId="33E3823A">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227DA87A">
            <w:pPr>
              <w:rPr>
                <w:rFonts w:ascii="Arial"/>
                <w:color w:val="auto"/>
                <w:sz w:val="21"/>
              </w:rPr>
            </w:pPr>
          </w:p>
        </w:tc>
      </w:tr>
      <w:tr w14:paraId="3AA1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6EC5B4A">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14EBA741">
            <w:pPr>
              <w:rPr>
                <w:rFonts w:ascii="Arial"/>
                <w:color w:val="auto"/>
                <w:sz w:val="21"/>
              </w:rPr>
            </w:pPr>
          </w:p>
        </w:tc>
      </w:tr>
      <w:tr w14:paraId="36AC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D69048A">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4AC0933">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1FDBEAFC">
            <w:pPr>
              <w:rPr>
                <w:rFonts w:ascii="Arial"/>
                <w:color w:val="auto"/>
                <w:sz w:val="21"/>
              </w:rPr>
            </w:pPr>
          </w:p>
        </w:tc>
        <w:tc>
          <w:tcPr>
            <w:tcW w:w="1275" w:type="dxa"/>
            <w:gridSpan w:val="2"/>
            <w:vAlign w:val="top"/>
          </w:tcPr>
          <w:p w14:paraId="5C4AF772">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06D531EE">
            <w:pPr>
              <w:rPr>
                <w:rFonts w:ascii="Arial"/>
                <w:color w:val="auto"/>
                <w:sz w:val="21"/>
              </w:rPr>
            </w:pPr>
          </w:p>
        </w:tc>
        <w:tc>
          <w:tcPr>
            <w:tcW w:w="709" w:type="dxa"/>
            <w:vAlign w:val="top"/>
          </w:tcPr>
          <w:p w14:paraId="7EB3AD7B">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6EDA5390">
            <w:pPr>
              <w:rPr>
                <w:rFonts w:ascii="Arial"/>
                <w:color w:val="auto"/>
                <w:sz w:val="21"/>
              </w:rPr>
            </w:pPr>
          </w:p>
        </w:tc>
      </w:tr>
      <w:tr w14:paraId="15F5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D989B9B">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0A1B8D85">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57239CE9">
            <w:pPr>
              <w:rPr>
                <w:rFonts w:ascii="Arial"/>
                <w:color w:val="auto"/>
                <w:sz w:val="21"/>
              </w:rPr>
            </w:pPr>
          </w:p>
        </w:tc>
        <w:tc>
          <w:tcPr>
            <w:tcW w:w="1275" w:type="dxa"/>
            <w:gridSpan w:val="2"/>
            <w:vAlign w:val="top"/>
          </w:tcPr>
          <w:p w14:paraId="52AA94AA">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3DCF2EC4">
            <w:pPr>
              <w:rPr>
                <w:rFonts w:ascii="Arial"/>
                <w:color w:val="auto"/>
                <w:sz w:val="21"/>
              </w:rPr>
            </w:pPr>
          </w:p>
        </w:tc>
        <w:tc>
          <w:tcPr>
            <w:tcW w:w="709" w:type="dxa"/>
            <w:vAlign w:val="top"/>
          </w:tcPr>
          <w:p w14:paraId="669B1162">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5B0A965E">
            <w:pPr>
              <w:rPr>
                <w:rFonts w:ascii="Arial"/>
                <w:color w:val="auto"/>
                <w:sz w:val="21"/>
              </w:rPr>
            </w:pPr>
          </w:p>
        </w:tc>
      </w:tr>
      <w:tr w14:paraId="163C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1AD7951">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07EF67D0">
            <w:pPr>
              <w:rPr>
                <w:rFonts w:ascii="Arial"/>
                <w:color w:val="auto"/>
                <w:sz w:val="21"/>
              </w:rPr>
            </w:pPr>
          </w:p>
        </w:tc>
        <w:tc>
          <w:tcPr>
            <w:tcW w:w="5104" w:type="dxa"/>
            <w:gridSpan w:val="7"/>
            <w:vAlign w:val="top"/>
          </w:tcPr>
          <w:p w14:paraId="3DCA915E">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26D8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4B69858">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69D61E5E">
            <w:pPr>
              <w:rPr>
                <w:rFonts w:ascii="Arial"/>
                <w:color w:val="auto"/>
                <w:sz w:val="21"/>
              </w:rPr>
            </w:pPr>
          </w:p>
        </w:tc>
        <w:tc>
          <w:tcPr>
            <w:tcW w:w="1020" w:type="dxa"/>
            <w:vAlign w:val="top"/>
          </w:tcPr>
          <w:p w14:paraId="04B117EA">
            <w:pPr>
              <w:rPr>
                <w:rFonts w:ascii="Arial"/>
                <w:color w:val="auto"/>
                <w:sz w:val="21"/>
              </w:rPr>
            </w:pPr>
          </w:p>
        </w:tc>
        <w:tc>
          <w:tcPr>
            <w:tcW w:w="992" w:type="dxa"/>
            <w:vMerge w:val="restart"/>
            <w:tcBorders>
              <w:bottom w:val="nil"/>
            </w:tcBorders>
            <w:vAlign w:val="top"/>
          </w:tcPr>
          <w:p w14:paraId="56584E53">
            <w:pPr>
              <w:spacing w:line="252" w:lineRule="auto"/>
              <w:rPr>
                <w:rFonts w:ascii="Arial"/>
                <w:color w:val="auto"/>
                <w:sz w:val="21"/>
              </w:rPr>
            </w:pPr>
          </w:p>
          <w:p w14:paraId="5BE224D8">
            <w:pPr>
              <w:spacing w:line="252" w:lineRule="auto"/>
              <w:rPr>
                <w:rFonts w:ascii="Arial"/>
                <w:color w:val="auto"/>
                <w:sz w:val="21"/>
              </w:rPr>
            </w:pPr>
          </w:p>
          <w:p w14:paraId="6BCB5790">
            <w:pPr>
              <w:spacing w:line="253" w:lineRule="auto"/>
              <w:rPr>
                <w:rFonts w:ascii="Arial"/>
                <w:color w:val="auto"/>
                <w:sz w:val="21"/>
              </w:rPr>
            </w:pPr>
          </w:p>
          <w:p w14:paraId="4621BA9C">
            <w:pPr>
              <w:spacing w:line="253" w:lineRule="auto"/>
              <w:rPr>
                <w:rFonts w:ascii="Arial"/>
                <w:color w:val="auto"/>
                <w:sz w:val="21"/>
              </w:rPr>
            </w:pPr>
          </w:p>
          <w:p w14:paraId="26B9E247">
            <w:pPr>
              <w:spacing w:line="253" w:lineRule="auto"/>
              <w:rPr>
                <w:rFonts w:ascii="Arial"/>
                <w:color w:val="auto"/>
                <w:sz w:val="21"/>
              </w:rPr>
            </w:pPr>
          </w:p>
          <w:p w14:paraId="2D0309C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18A6C0D7">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6915610B">
            <w:pPr>
              <w:rPr>
                <w:rFonts w:ascii="Arial"/>
                <w:color w:val="auto"/>
                <w:sz w:val="21"/>
              </w:rPr>
            </w:pPr>
          </w:p>
        </w:tc>
      </w:tr>
      <w:tr w14:paraId="0D49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307EF8">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64A46C31">
            <w:pPr>
              <w:rPr>
                <w:rFonts w:ascii="Arial"/>
                <w:color w:val="auto"/>
                <w:sz w:val="21"/>
              </w:rPr>
            </w:pPr>
          </w:p>
        </w:tc>
        <w:tc>
          <w:tcPr>
            <w:tcW w:w="1020" w:type="dxa"/>
            <w:vAlign w:val="top"/>
          </w:tcPr>
          <w:p w14:paraId="18961A7A">
            <w:pPr>
              <w:rPr>
                <w:rFonts w:ascii="Arial"/>
                <w:color w:val="auto"/>
                <w:sz w:val="21"/>
              </w:rPr>
            </w:pPr>
          </w:p>
        </w:tc>
        <w:tc>
          <w:tcPr>
            <w:tcW w:w="992" w:type="dxa"/>
            <w:vMerge w:val="continue"/>
            <w:tcBorders>
              <w:top w:val="nil"/>
              <w:bottom w:val="nil"/>
            </w:tcBorders>
            <w:vAlign w:val="top"/>
          </w:tcPr>
          <w:p w14:paraId="6DE77D21">
            <w:pPr>
              <w:rPr>
                <w:rFonts w:ascii="Arial"/>
                <w:color w:val="auto"/>
                <w:sz w:val="21"/>
              </w:rPr>
            </w:pPr>
          </w:p>
        </w:tc>
        <w:tc>
          <w:tcPr>
            <w:tcW w:w="1983" w:type="dxa"/>
            <w:gridSpan w:val="4"/>
            <w:vAlign w:val="top"/>
          </w:tcPr>
          <w:p w14:paraId="20D81FA5">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039B5A56">
            <w:pPr>
              <w:rPr>
                <w:rFonts w:ascii="Arial"/>
                <w:color w:val="auto"/>
                <w:sz w:val="21"/>
              </w:rPr>
            </w:pPr>
          </w:p>
        </w:tc>
      </w:tr>
      <w:tr w14:paraId="21AC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439812">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3DD148C2">
            <w:pPr>
              <w:rPr>
                <w:rFonts w:ascii="Arial"/>
                <w:color w:val="auto"/>
                <w:sz w:val="21"/>
              </w:rPr>
            </w:pPr>
          </w:p>
        </w:tc>
        <w:tc>
          <w:tcPr>
            <w:tcW w:w="1020" w:type="dxa"/>
            <w:vAlign w:val="top"/>
          </w:tcPr>
          <w:p w14:paraId="7F53E298">
            <w:pPr>
              <w:rPr>
                <w:rFonts w:ascii="Arial"/>
                <w:color w:val="auto"/>
                <w:sz w:val="21"/>
              </w:rPr>
            </w:pPr>
          </w:p>
        </w:tc>
        <w:tc>
          <w:tcPr>
            <w:tcW w:w="992" w:type="dxa"/>
            <w:vMerge w:val="continue"/>
            <w:tcBorders>
              <w:top w:val="nil"/>
              <w:bottom w:val="nil"/>
            </w:tcBorders>
            <w:vAlign w:val="top"/>
          </w:tcPr>
          <w:p w14:paraId="77CEA563">
            <w:pPr>
              <w:rPr>
                <w:rFonts w:ascii="Arial"/>
                <w:color w:val="auto"/>
                <w:sz w:val="21"/>
              </w:rPr>
            </w:pPr>
          </w:p>
        </w:tc>
        <w:tc>
          <w:tcPr>
            <w:tcW w:w="1983" w:type="dxa"/>
            <w:gridSpan w:val="4"/>
            <w:vAlign w:val="top"/>
          </w:tcPr>
          <w:p w14:paraId="7680D5C3">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3B8EDE7B">
            <w:pPr>
              <w:rPr>
                <w:rFonts w:ascii="Arial"/>
                <w:color w:val="auto"/>
                <w:sz w:val="21"/>
              </w:rPr>
            </w:pPr>
          </w:p>
        </w:tc>
      </w:tr>
      <w:tr w14:paraId="4EE4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17CDBD1">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72D40C71">
            <w:pPr>
              <w:rPr>
                <w:rFonts w:ascii="Arial"/>
                <w:color w:val="auto"/>
                <w:sz w:val="21"/>
              </w:rPr>
            </w:pPr>
          </w:p>
        </w:tc>
        <w:tc>
          <w:tcPr>
            <w:tcW w:w="1020" w:type="dxa"/>
            <w:vAlign w:val="top"/>
          </w:tcPr>
          <w:p w14:paraId="0EAE3365">
            <w:pPr>
              <w:rPr>
                <w:rFonts w:ascii="Arial"/>
                <w:color w:val="auto"/>
                <w:sz w:val="21"/>
              </w:rPr>
            </w:pPr>
          </w:p>
        </w:tc>
        <w:tc>
          <w:tcPr>
            <w:tcW w:w="992" w:type="dxa"/>
            <w:vMerge w:val="continue"/>
            <w:tcBorders>
              <w:top w:val="nil"/>
              <w:bottom w:val="nil"/>
            </w:tcBorders>
            <w:vAlign w:val="top"/>
          </w:tcPr>
          <w:p w14:paraId="32692B7C">
            <w:pPr>
              <w:rPr>
                <w:rFonts w:ascii="Arial"/>
                <w:color w:val="auto"/>
                <w:sz w:val="21"/>
              </w:rPr>
            </w:pPr>
          </w:p>
        </w:tc>
        <w:tc>
          <w:tcPr>
            <w:tcW w:w="1983" w:type="dxa"/>
            <w:gridSpan w:val="4"/>
            <w:vAlign w:val="top"/>
          </w:tcPr>
          <w:p w14:paraId="722CB3F6">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4E320F3B">
            <w:pPr>
              <w:rPr>
                <w:rFonts w:ascii="Arial"/>
                <w:color w:val="auto"/>
                <w:sz w:val="21"/>
              </w:rPr>
            </w:pPr>
          </w:p>
        </w:tc>
      </w:tr>
      <w:tr w14:paraId="77A8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ABA05D1">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5E509ED1">
            <w:pPr>
              <w:rPr>
                <w:rFonts w:ascii="Arial"/>
                <w:color w:val="auto"/>
                <w:sz w:val="21"/>
              </w:rPr>
            </w:pPr>
          </w:p>
        </w:tc>
        <w:tc>
          <w:tcPr>
            <w:tcW w:w="1020" w:type="dxa"/>
            <w:vAlign w:val="top"/>
          </w:tcPr>
          <w:p w14:paraId="3D0CEA90">
            <w:pPr>
              <w:rPr>
                <w:rFonts w:ascii="Arial"/>
                <w:color w:val="auto"/>
                <w:sz w:val="21"/>
              </w:rPr>
            </w:pPr>
          </w:p>
        </w:tc>
        <w:tc>
          <w:tcPr>
            <w:tcW w:w="992" w:type="dxa"/>
            <w:vMerge w:val="continue"/>
            <w:tcBorders>
              <w:top w:val="nil"/>
            </w:tcBorders>
            <w:vAlign w:val="top"/>
          </w:tcPr>
          <w:p w14:paraId="56D785D1">
            <w:pPr>
              <w:rPr>
                <w:rFonts w:ascii="Arial"/>
                <w:color w:val="auto"/>
                <w:sz w:val="21"/>
              </w:rPr>
            </w:pPr>
          </w:p>
        </w:tc>
        <w:tc>
          <w:tcPr>
            <w:tcW w:w="1983" w:type="dxa"/>
            <w:gridSpan w:val="4"/>
            <w:vAlign w:val="top"/>
          </w:tcPr>
          <w:p w14:paraId="7C5E528B">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7D0AFBE3">
            <w:pPr>
              <w:rPr>
                <w:rFonts w:ascii="Arial"/>
                <w:color w:val="auto"/>
                <w:sz w:val="21"/>
              </w:rPr>
            </w:pPr>
          </w:p>
        </w:tc>
      </w:tr>
      <w:tr w14:paraId="3A53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141DBE71">
            <w:pPr>
              <w:spacing w:line="253" w:lineRule="auto"/>
              <w:rPr>
                <w:rFonts w:ascii="Arial"/>
                <w:color w:val="auto"/>
                <w:sz w:val="21"/>
              </w:rPr>
            </w:pPr>
          </w:p>
          <w:p w14:paraId="40CBA898">
            <w:pPr>
              <w:spacing w:line="253" w:lineRule="auto"/>
              <w:rPr>
                <w:rFonts w:ascii="Arial"/>
                <w:color w:val="auto"/>
                <w:sz w:val="21"/>
              </w:rPr>
            </w:pPr>
          </w:p>
          <w:p w14:paraId="255EAE4E">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039B45C">
            <w:pPr>
              <w:rPr>
                <w:rFonts w:ascii="Arial"/>
                <w:color w:val="auto"/>
                <w:sz w:val="21"/>
              </w:rPr>
            </w:pPr>
          </w:p>
        </w:tc>
      </w:tr>
      <w:tr w14:paraId="0BE7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7969372">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0FA7C813">
            <w:pPr>
              <w:rPr>
                <w:rFonts w:ascii="Arial"/>
                <w:color w:val="auto"/>
                <w:sz w:val="21"/>
              </w:rPr>
            </w:pPr>
          </w:p>
        </w:tc>
      </w:tr>
    </w:tbl>
    <w:p w14:paraId="3A299061">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、进疆登记备案册 (如是外地投标人需提供) 等材料的复印件。</w:t>
      </w:r>
    </w:p>
    <w:p w14:paraId="21392FE4">
      <w:pPr>
        <w:rPr>
          <w:color w:val="auto"/>
        </w:rPr>
        <w:sectPr>
          <w:footerReference r:id="rId35" w:type="default"/>
          <w:pgSz w:w="11906" w:h="16839"/>
          <w:pgMar w:top="400" w:right="1532" w:bottom="1156" w:left="1628" w:header="0" w:footer="996" w:gutter="0"/>
          <w:pgNumType w:fmt="decimal"/>
          <w:cols w:space="720" w:num="1"/>
        </w:sectPr>
      </w:pPr>
    </w:p>
    <w:p w14:paraId="7471A1A5">
      <w:pPr>
        <w:spacing w:line="285" w:lineRule="auto"/>
        <w:rPr>
          <w:rFonts w:ascii="Arial"/>
          <w:color w:val="auto"/>
          <w:sz w:val="21"/>
        </w:rPr>
      </w:pPr>
    </w:p>
    <w:p w14:paraId="4A077602">
      <w:pPr>
        <w:spacing w:line="285" w:lineRule="auto"/>
        <w:rPr>
          <w:rFonts w:ascii="Arial"/>
          <w:color w:val="auto"/>
          <w:sz w:val="21"/>
        </w:rPr>
      </w:pPr>
    </w:p>
    <w:p w14:paraId="7AD73823">
      <w:pPr>
        <w:spacing w:line="286" w:lineRule="auto"/>
        <w:rPr>
          <w:rFonts w:ascii="Arial"/>
          <w:color w:val="auto"/>
          <w:sz w:val="21"/>
        </w:rPr>
      </w:pPr>
    </w:p>
    <w:p w14:paraId="4C42A85C">
      <w:pPr>
        <w:spacing w:line="286" w:lineRule="auto"/>
        <w:rPr>
          <w:rFonts w:ascii="Arial"/>
          <w:color w:val="auto"/>
          <w:sz w:val="21"/>
        </w:rPr>
      </w:pPr>
    </w:p>
    <w:p w14:paraId="55D2724F">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ADB6041">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z w:val="20"/>
          <w:szCs w:val="20"/>
        </w:rPr>
        <w:t xml:space="preserve"> </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7DCF295D">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5E70341F">
      <w:pPr>
        <w:spacing w:line="139" w:lineRule="exact"/>
        <w:rPr>
          <w:color w:val="auto"/>
        </w:rPr>
      </w:pPr>
    </w:p>
    <w:tbl>
      <w:tblPr>
        <w:tblStyle w:val="20"/>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6CFE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AB9D80B">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91EC5C">
            <w:pPr>
              <w:rPr>
                <w:rFonts w:ascii="Arial"/>
                <w:color w:val="auto"/>
                <w:sz w:val="21"/>
              </w:rPr>
            </w:pPr>
          </w:p>
        </w:tc>
      </w:tr>
      <w:tr w14:paraId="73A1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96E438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57DB68">
            <w:pPr>
              <w:rPr>
                <w:rFonts w:ascii="Arial"/>
                <w:color w:val="auto"/>
                <w:sz w:val="21"/>
              </w:rPr>
            </w:pPr>
          </w:p>
        </w:tc>
      </w:tr>
      <w:tr w14:paraId="680E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33555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2E8B9A85">
            <w:pPr>
              <w:rPr>
                <w:rFonts w:ascii="Arial"/>
                <w:color w:val="auto"/>
                <w:sz w:val="21"/>
              </w:rPr>
            </w:pPr>
          </w:p>
        </w:tc>
      </w:tr>
      <w:tr w14:paraId="4AF5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8B3D470">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30751407">
            <w:pPr>
              <w:rPr>
                <w:rFonts w:ascii="Arial"/>
                <w:color w:val="auto"/>
                <w:sz w:val="21"/>
              </w:rPr>
            </w:pPr>
          </w:p>
        </w:tc>
      </w:tr>
      <w:tr w14:paraId="4E90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1399695">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1F606B7B">
            <w:pPr>
              <w:rPr>
                <w:rFonts w:ascii="Arial"/>
                <w:color w:val="auto"/>
                <w:sz w:val="21"/>
              </w:rPr>
            </w:pPr>
          </w:p>
        </w:tc>
      </w:tr>
      <w:tr w14:paraId="7530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5A028A">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F6361BE">
            <w:pPr>
              <w:rPr>
                <w:rFonts w:ascii="Arial"/>
                <w:color w:val="auto"/>
                <w:sz w:val="21"/>
              </w:rPr>
            </w:pPr>
          </w:p>
        </w:tc>
      </w:tr>
      <w:tr w14:paraId="6E46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A379180">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66BA8A05">
            <w:pPr>
              <w:rPr>
                <w:rFonts w:ascii="Arial"/>
                <w:color w:val="auto"/>
                <w:sz w:val="21"/>
              </w:rPr>
            </w:pPr>
          </w:p>
        </w:tc>
      </w:tr>
      <w:tr w14:paraId="66B8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FCA32D9">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1F3DC864">
            <w:pPr>
              <w:rPr>
                <w:rFonts w:ascii="Arial"/>
                <w:color w:val="auto"/>
                <w:sz w:val="21"/>
              </w:rPr>
            </w:pPr>
          </w:p>
        </w:tc>
      </w:tr>
      <w:tr w14:paraId="14A6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B7D694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4BF7FD41">
            <w:pPr>
              <w:rPr>
                <w:rFonts w:ascii="Arial"/>
                <w:color w:val="auto"/>
                <w:sz w:val="21"/>
              </w:rPr>
            </w:pPr>
          </w:p>
        </w:tc>
      </w:tr>
      <w:tr w14:paraId="2F1A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39CED27">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D49E429">
            <w:pPr>
              <w:rPr>
                <w:rFonts w:ascii="Arial"/>
                <w:color w:val="auto"/>
                <w:sz w:val="21"/>
              </w:rPr>
            </w:pPr>
          </w:p>
        </w:tc>
      </w:tr>
      <w:tr w14:paraId="67B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BB05E2F">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1A3215D7">
            <w:pPr>
              <w:rPr>
                <w:rFonts w:ascii="Arial"/>
                <w:color w:val="auto"/>
                <w:sz w:val="21"/>
              </w:rPr>
            </w:pPr>
          </w:p>
        </w:tc>
      </w:tr>
      <w:tr w14:paraId="2A33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C023226">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58874B91">
            <w:pPr>
              <w:rPr>
                <w:rFonts w:ascii="Arial"/>
                <w:color w:val="auto"/>
                <w:sz w:val="21"/>
              </w:rPr>
            </w:pPr>
          </w:p>
        </w:tc>
      </w:tr>
      <w:tr w14:paraId="6EF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C9D465">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32A0CB4D">
            <w:pPr>
              <w:rPr>
                <w:rFonts w:ascii="Arial"/>
                <w:color w:val="auto"/>
                <w:sz w:val="21"/>
              </w:rPr>
            </w:pPr>
          </w:p>
        </w:tc>
      </w:tr>
      <w:tr w14:paraId="1677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65391F4A">
            <w:pPr>
              <w:spacing w:line="267" w:lineRule="auto"/>
              <w:rPr>
                <w:rFonts w:ascii="Arial"/>
                <w:color w:val="auto"/>
                <w:sz w:val="21"/>
              </w:rPr>
            </w:pPr>
          </w:p>
          <w:p w14:paraId="504FE952">
            <w:pPr>
              <w:spacing w:line="267" w:lineRule="auto"/>
              <w:rPr>
                <w:rFonts w:ascii="Arial"/>
                <w:color w:val="auto"/>
                <w:sz w:val="21"/>
              </w:rPr>
            </w:pPr>
          </w:p>
          <w:p w14:paraId="387530B8">
            <w:pPr>
              <w:spacing w:line="267" w:lineRule="auto"/>
              <w:rPr>
                <w:rFonts w:ascii="Arial"/>
                <w:color w:val="auto"/>
                <w:sz w:val="21"/>
              </w:rPr>
            </w:pPr>
          </w:p>
          <w:p w14:paraId="01161874">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47D7F489">
            <w:pPr>
              <w:rPr>
                <w:rFonts w:ascii="Arial"/>
                <w:color w:val="auto"/>
                <w:sz w:val="21"/>
              </w:rPr>
            </w:pPr>
          </w:p>
        </w:tc>
      </w:tr>
      <w:tr w14:paraId="52BA9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9DFBC8A">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0946EA92">
            <w:pPr>
              <w:rPr>
                <w:rFonts w:ascii="Arial"/>
                <w:color w:val="auto"/>
                <w:sz w:val="21"/>
              </w:rPr>
            </w:pPr>
          </w:p>
        </w:tc>
      </w:tr>
    </w:tbl>
    <w:p w14:paraId="13EE5DFB">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778EEE12">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、本表后附中标通知书、合同协议书或五方单位竣工验收意见表的复印件，具体年份要</w:t>
      </w:r>
    </w:p>
    <w:p w14:paraId="1B8E1037">
      <w:pPr>
        <w:spacing w:before="140" w:line="228" w:lineRule="auto"/>
        <w:rPr>
          <w:rFonts w:ascii="宋体" w:hAnsi="宋体" w:eastAsia="宋体" w:cs="宋体"/>
          <w:color w:val="auto"/>
          <w:sz w:val="20"/>
          <w:szCs w:val="20"/>
        </w:rPr>
      </w:pP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70BE762D">
      <w:pPr>
        <w:rPr>
          <w:color w:val="auto"/>
        </w:rPr>
        <w:sectPr>
          <w:footerReference r:id="rId36" w:type="default"/>
          <w:pgSz w:w="11906" w:h="16839"/>
          <w:pgMar w:top="400" w:right="1531" w:bottom="1156" w:left="1629" w:header="0" w:footer="996" w:gutter="0"/>
          <w:pgNumType w:fmt="decimal"/>
          <w:cols w:space="720" w:num="1"/>
        </w:sectPr>
      </w:pPr>
    </w:p>
    <w:p w14:paraId="772B7664">
      <w:pPr>
        <w:spacing w:line="285" w:lineRule="auto"/>
        <w:rPr>
          <w:rFonts w:ascii="Arial"/>
          <w:color w:val="auto"/>
          <w:sz w:val="21"/>
        </w:rPr>
      </w:pPr>
    </w:p>
    <w:p w14:paraId="663AB17C">
      <w:pPr>
        <w:spacing w:line="285" w:lineRule="auto"/>
        <w:rPr>
          <w:rFonts w:ascii="Arial"/>
          <w:color w:val="auto"/>
          <w:sz w:val="21"/>
        </w:rPr>
      </w:pPr>
    </w:p>
    <w:p w14:paraId="41046E12">
      <w:pPr>
        <w:spacing w:line="286" w:lineRule="auto"/>
        <w:rPr>
          <w:rFonts w:ascii="Arial"/>
          <w:color w:val="auto"/>
          <w:sz w:val="21"/>
        </w:rPr>
      </w:pPr>
    </w:p>
    <w:p w14:paraId="395A052C">
      <w:pPr>
        <w:spacing w:line="286" w:lineRule="auto"/>
        <w:rPr>
          <w:rFonts w:ascii="Arial"/>
          <w:color w:val="auto"/>
          <w:sz w:val="21"/>
        </w:rPr>
      </w:pPr>
    </w:p>
    <w:p w14:paraId="77022751">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6AD161E0">
      <w:pPr>
        <w:spacing w:line="128" w:lineRule="auto"/>
        <w:rPr>
          <w:rFonts w:ascii="Arial"/>
          <w:color w:val="auto"/>
          <w:sz w:val="2"/>
        </w:rPr>
      </w:pPr>
    </w:p>
    <w:tbl>
      <w:tblPr>
        <w:tblStyle w:val="20"/>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73E2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00DA4CDB">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5473EAC8">
            <w:pPr>
              <w:rPr>
                <w:rFonts w:ascii="Arial"/>
                <w:color w:val="auto"/>
                <w:sz w:val="21"/>
              </w:rPr>
            </w:pPr>
          </w:p>
        </w:tc>
      </w:tr>
      <w:tr w14:paraId="7EC0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66A29D2B">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69B014A8">
            <w:pPr>
              <w:rPr>
                <w:rFonts w:ascii="Arial"/>
                <w:color w:val="auto"/>
                <w:sz w:val="21"/>
              </w:rPr>
            </w:pPr>
          </w:p>
        </w:tc>
      </w:tr>
      <w:tr w14:paraId="4BFA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60AACF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4A7ACD35">
            <w:pPr>
              <w:rPr>
                <w:rFonts w:ascii="Arial"/>
                <w:color w:val="auto"/>
                <w:sz w:val="21"/>
              </w:rPr>
            </w:pPr>
          </w:p>
        </w:tc>
      </w:tr>
      <w:tr w14:paraId="7BC6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53CBB0B">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77265F50">
            <w:pPr>
              <w:rPr>
                <w:rFonts w:ascii="Arial"/>
                <w:color w:val="auto"/>
                <w:sz w:val="21"/>
              </w:rPr>
            </w:pPr>
          </w:p>
        </w:tc>
      </w:tr>
      <w:tr w14:paraId="0689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07CEF99B">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67F7154E">
            <w:pPr>
              <w:rPr>
                <w:rFonts w:ascii="Arial"/>
                <w:color w:val="auto"/>
                <w:sz w:val="21"/>
              </w:rPr>
            </w:pPr>
          </w:p>
        </w:tc>
      </w:tr>
      <w:tr w14:paraId="2B17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67584F48">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3A77ED27">
            <w:pPr>
              <w:rPr>
                <w:rFonts w:ascii="Arial"/>
                <w:color w:val="auto"/>
                <w:sz w:val="21"/>
              </w:rPr>
            </w:pPr>
          </w:p>
        </w:tc>
      </w:tr>
      <w:tr w14:paraId="4FA9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1207FF98">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655D2559">
            <w:pPr>
              <w:rPr>
                <w:rFonts w:ascii="Arial"/>
                <w:color w:val="auto"/>
                <w:sz w:val="21"/>
              </w:rPr>
            </w:pPr>
          </w:p>
        </w:tc>
      </w:tr>
      <w:tr w14:paraId="173E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A5E144C">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B07CA83">
            <w:pPr>
              <w:rPr>
                <w:rFonts w:ascii="Arial"/>
                <w:color w:val="auto"/>
                <w:sz w:val="21"/>
              </w:rPr>
            </w:pPr>
          </w:p>
        </w:tc>
      </w:tr>
      <w:tr w14:paraId="46BE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5B0137BE">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7D53D55E">
            <w:pPr>
              <w:rPr>
                <w:rFonts w:ascii="Arial"/>
                <w:color w:val="auto"/>
                <w:sz w:val="21"/>
              </w:rPr>
            </w:pPr>
          </w:p>
        </w:tc>
      </w:tr>
      <w:tr w14:paraId="0ED3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2760AF">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15754F7F">
            <w:pPr>
              <w:rPr>
                <w:rFonts w:ascii="Arial"/>
                <w:color w:val="auto"/>
                <w:sz w:val="21"/>
              </w:rPr>
            </w:pPr>
          </w:p>
        </w:tc>
      </w:tr>
      <w:tr w14:paraId="6209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5967BBA9">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478A91A9">
            <w:pPr>
              <w:rPr>
                <w:rFonts w:ascii="Arial"/>
                <w:color w:val="auto"/>
                <w:sz w:val="21"/>
              </w:rPr>
            </w:pPr>
          </w:p>
        </w:tc>
      </w:tr>
      <w:tr w14:paraId="0685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07B49A5C">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270AA553">
            <w:pPr>
              <w:rPr>
                <w:rFonts w:ascii="Arial"/>
                <w:color w:val="auto"/>
                <w:sz w:val="21"/>
              </w:rPr>
            </w:pPr>
          </w:p>
        </w:tc>
      </w:tr>
      <w:tr w14:paraId="4660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3BDD81">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18703A0C">
            <w:pPr>
              <w:rPr>
                <w:rFonts w:ascii="Arial"/>
                <w:color w:val="auto"/>
                <w:sz w:val="21"/>
              </w:rPr>
            </w:pPr>
          </w:p>
        </w:tc>
      </w:tr>
      <w:tr w14:paraId="037B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4DF8D4F6">
            <w:pPr>
              <w:spacing w:line="448" w:lineRule="auto"/>
              <w:rPr>
                <w:rFonts w:ascii="Arial"/>
                <w:color w:val="auto"/>
                <w:sz w:val="21"/>
              </w:rPr>
            </w:pPr>
          </w:p>
          <w:p w14:paraId="312982D0">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9EBFB0">
            <w:pPr>
              <w:rPr>
                <w:rFonts w:ascii="Arial"/>
                <w:color w:val="auto"/>
                <w:sz w:val="21"/>
              </w:rPr>
            </w:pPr>
          </w:p>
        </w:tc>
      </w:tr>
      <w:tr w14:paraId="07CE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0482416">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7CA2A62B">
            <w:pPr>
              <w:rPr>
                <w:rFonts w:ascii="Arial"/>
                <w:color w:val="auto"/>
                <w:sz w:val="21"/>
              </w:rPr>
            </w:pPr>
          </w:p>
        </w:tc>
      </w:tr>
    </w:tbl>
    <w:p w14:paraId="4A2E8CE6">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077B849">
      <w:pPr>
        <w:spacing w:line="253" w:lineRule="auto"/>
        <w:rPr>
          <w:rFonts w:ascii="Arial"/>
          <w:color w:val="auto"/>
          <w:sz w:val="21"/>
        </w:rPr>
      </w:pPr>
    </w:p>
    <w:p w14:paraId="274ED301">
      <w:pPr>
        <w:spacing w:line="253" w:lineRule="auto"/>
        <w:rPr>
          <w:rFonts w:ascii="Arial"/>
          <w:color w:val="auto"/>
          <w:sz w:val="21"/>
        </w:rPr>
      </w:pPr>
    </w:p>
    <w:p w14:paraId="3C984D1B">
      <w:pPr>
        <w:spacing w:line="253" w:lineRule="auto"/>
        <w:rPr>
          <w:rFonts w:ascii="Arial"/>
          <w:color w:val="auto"/>
          <w:sz w:val="21"/>
        </w:rPr>
      </w:pPr>
    </w:p>
    <w:p w14:paraId="5AD334B1">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19B6B7EB">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797CE036">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4DDE2D25">
      <w:pPr>
        <w:rPr>
          <w:color w:val="auto"/>
        </w:rPr>
        <w:sectPr>
          <w:footerReference r:id="rId37" w:type="default"/>
          <w:pgSz w:w="11906" w:h="16839"/>
          <w:pgMar w:top="400" w:right="1532" w:bottom="1156" w:left="1630" w:header="0" w:footer="996" w:gutter="0"/>
          <w:pgNumType w:fmt="decimal"/>
          <w:cols w:space="720" w:num="1"/>
        </w:sectPr>
      </w:pPr>
    </w:p>
    <w:p w14:paraId="68F87181">
      <w:pPr>
        <w:spacing w:line="293" w:lineRule="auto"/>
        <w:rPr>
          <w:rFonts w:ascii="Arial"/>
          <w:color w:val="auto"/>
          <w:sz w:val="21"/>
        </w:rPr>
      </w:pPr>
    </w:p>
    <w:p w14:paraId="2186D73B">
      <w:pPr>
        <w:spacing w:line="294" w:lineRule="auto"/>
        <w:rPr>
          <w:rFonts w:ascii="Arial"/>
          <w:color w:val="auto"/>
          <w:sz w:val="21"/>
        </w:rPr>
      </w:pPr>
    </w:p>
    <w:p w14:paraId="1A5231F4">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1B03BEA2">
      <w:pPr>
        <w:spacing w:line="250" w:lineRule="auto"/>
        <w:rPr>
          <w:rFonts w:ascii="Arial"/>
          <w:color w:val="auto"/>
          <w:sz w:val="21"/>
        </w:rPr>
      </w:pPr>
    </w:p>
    <w:p w14:paraId="0C47AC91">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15297A55">
      <w:pPr>
        <w:spacing w:line="267" w:lineRule="auto"/>
        <w:rPr>
          <w:rFonts w:ascii="Arial"/>
          <w:color w:val="auto"/>
          <w:sz w:val="21"/>
        </w:rPr>
      </w:pPr>
    </w:p>
    <w:p w14:paraId="7C28ED87">
      <w:pPr>
        <w:spacing w:line="267" w:lineRule="auto"/>
        <w:rPr>
          <w:rFonts w:ascii="Arial"/>
          <w:color w:val="auto"/>
          <w:sz w:val="21"/>
        </w:rPr>
      </w:pPr>
    </w:p>
    <w:p w14:paraId="67FFE665">
      <w:pPr>
        <w:spacing w:line="267" w:lineRule="auto"/>
        <w:rPr>
          <w:rFonts w:ascii="Arial"/>
          <w:color w:val="auto"/>
          <w:sz w:val="21"/>
        </w:rPr>
      </w:pPr>
    </w:p>
    <w:p w14:paraId="3413402D">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54B1887C">
      <w:pPr>
        <w:spacing w:line="282" w:lineRule="auto"/>
        <w:rPr>
          <w:rFonts w:ascii="Arial"/>
          <w:color w:val="auto"/>
          <w:sz w:val="21"/>
        </w:rPr>
      </w:pPr>
    </w:p>
    <w:p w14:paraId="68C41782">
      <w:pPr>
        <w:spacing w:line="283" w:lineRule="auto"/>
        <w:rPr>
          <w:rFonts w:ascii="Arial"/>
          <w:color w:val="auto"/>
          <w:sz w:val="21"/>
        </w:rPr>
      </w:pPr>
    </w:p>
    <w:p w14:paraId="266EAF3E">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4C743E95">
      <w:pPr>
        <w:spacing w:line="282" w:lineRule="auto"/>
        <w:rPr>
          <w:rFonts w:ascii="Arial"/>
          <w:color w:val="auto"/>
          <w:sz w:val="21"/>
        </w:rPr>
      </w:pPr>
    </w:p>
    <w:p w14:paraId="2CC2AA61">
      <w:pPr>
        <w:spacing w:line="283" w:lineRule="auto"/>
        <w:rPr>
          <w:rFonts w:ascii="Arial"/>
          <w:color w:val="auto"/>
          <w:sz w:val="21"/>
        </w:rPr>
      </w:pPr>
    </w:p>
    <w:p w14:paraId="6E85EEB6">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0822175F">
      <w:pPr>
        <w:spacing w:line="282" w:lineRule="auto"/>
        <w:rPr>
          <w:rFonts w:ascii="Arial"/>
          <w:color w:val="auto"/>
          <w:sz w:val="21"/>
        </w:rPr>
      </w:pPr>
    </w:p>
    <w:p w14:paraId="352BC48E">
      <w:pPr>
        <w:spacing w:line="283" w:lineRule="auto"/>
        <w:rPr>
          <w:rFonts w:ascii="Arial"/>
          <w:color w:val="auto"/>
          <w:sz w:val="21"/>
        </w:rPr>
      </w:pPr>
    </w:p>
    <w:p w14:paraId="2C621E0B">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z w:val="20"/>
          <w:szCs w:val="20"/>
        </w:rPr>
        <w:t xml:space="preserve"> </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2CC8B6B6">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6F182896">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8"/>
          <w:sz w:val="20"/>
          <w:szCs w:val="20"/>
        </w:rPr>
        <w:t>(如果有)的原因等具体情况，等等。</w:t>
      </w:r>
    </w:p>
    <w:p w14:paraId="70318A2A">
      <w:pPr>
        <w:rPr>
          <w:color w:val="auto"/>
        </w:rPr>
        <w:sectPr>
          <w:footerReference r:id="rId38" w:type="default"/>
          <w:pgSz w:w="11906" w:h="16839"/>
          <w:pgMar w:top="400" w:right="1532" w:bottom="1156" w:left="1628" w:header="0" w:footer="996" w:gutter="0"/>
          <w:pgNumType w:fmt="decimal"/>
          <w:cols w:space="720" w:num="1"/>
        </w:sectPr>
      </w:pPr>
    </w:p>
    <w:p w14:paraId="6277D006">
      <w:pPr>
        <w:spacing w:line="254" w:lineRule="auto"/>
        <w:rPr>
          <w:rFonts w:ascii="Arial"/>
          <w:color w:val="auto"/>
          <w:sz w:val="21"/>
        </w:rPr>
      </w:pPr>
    </w:p>
    <w:p w14:paraId="3A21FF27">
      <w:pPr>
        <w:spacing w:line="254" w:lineRule="auto"/>
        <w:rPr>
          <w:rFonts w:ascii="Arial"/>
          <w:color w:val="auto"/>
          <w:sz w:val="21"/>
        </w:rPr>
      </w:pPr>
    </w:p>
    <w:p w14:paraId="20B3444B">
      <w:pPr>
        <w:spacing w:line="255" w:lineRule="auto"/>
        <w:rPr>
          <w:rFonts w:ascii="Arial"/>
          <w:color w:val="auto"/>
          <w:sz w:val="21"/>
        </w:rPr>
      </w:pPr>
    </w:p>
    <w:p w14:paraId="3905F355">
      <w:pPr>
        <w:spacing w:line="255" w:lineRule="auto"/>
        <w:rPr>
          <w:rFonts w:ascii="Arial"/>
          <w:color w:val="auto"/>
          <w:sz w:val="21"/>
        </w:rPr>
      </w:pPr>
    </w:p>
    <w:p w14:paraId="2FA99D73">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6317C78C">
      <w:pPr>
        <w:spacing w:line="262" w:lineRule="auto"/>
        <w:rPr>
          <w:rFonts w:ascii="Arial"/>
          <w:color w:val="auto"/>
          <w:sz w:val="21"/>
        </w:rPr>
      </w:pPr>
    </w:p>
    <w:p w14:paraId="5FE53490">
      <w:pPr>
        <w:spacing w:line="262" w:lineRule="auto"/>
        <w:rPr>
          <w:rFonts w:ascii="Arial"/>
          <w:color w:val="auto"/>
          <w:sz w:val="21"/>
        </w:rPr>
      </w:pPr>
    </w:p>
    <w:p w14:paraId="6AABD9A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6EEA5F97">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2CED6421">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0C00CB86">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1F185267">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z w:val="23"/>
          <w:szCs w:val="23"/>
        </w:rPr>
        <w:t xml:space="preserve"> </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06A227CE">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z w:val="23"/>
          <w:szCs w:val="23"/>
        </w:rPr>
        <w:t xml:space="preserve"> </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0B42D7EE">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4AD2FB33">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421F941F">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04C879B1">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4BDE984C">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5B903938">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z w:val="23"/>
          <w:szCs w:val="23"/>
        </w:rPr>
        <w:t xml:space="preserve"> </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z w:val="23"/>
          <w:szCs w:val="23"/>
        </w:rPr>
        <w:t xml:space="preserve"> </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76E31869">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E8760AF">
      <w:pPr>
        <w:spacing w:line="278" w:lineRule="auto"/>
        <w:rPr>
          <w:rFonts w:ascii="Arial"/>
          <w:color w:val="auto"/>
          <w:sz w:val="21"/>
        </w:rPr>
      </w:pPr>
    </w:p>
    <w:p w14:paraId="2F68ECEE">
      <w:pPr>
        <w:spacing w:line="278" w:lineRule="auto"/>
        <w:rPr>
          <w:rFonts w:ascii="Arial"/>
          <w:color w:val="auto"/>
          <w:sz w:val="21"/>
        </w:rPr>
      </w:pPr>
    </w:p>
    <w:p w14:paraId="106F08AA">
      <w:pPr>
        <w:spacing w:line="278" w:lineRule="auto"/>
        <w:rPr>
          <w:rFonts w:ascii="Arial"/>
          <w:color w:val="auto"/>
          <w:sz w:val="21"/>
        </w:rPr>
      </w:pPr>
    </w:p>
    <w:p w14:paraId="4B001808">
      <w:pPr>
        <w:spacing w:line="279" w:lineRule="auto"/>
        <w:rPr>
          <w:rFonts w:ascii="Arial"/>
          <w:color w:val="auto"/>
          <w:sz w:val="21"/>
        </w:rPr>
      </w:pPr>
    </w:p>
    <w:p w14:paraId="69599E7E">
      <w:pPr>
        <w:spacing w:line="279" w:lineRule="auto"/>
        <w:rPr>
          <w:rFonts w:ascii="Arial"/>
          <w:color w:val="auto"/>
          <w:sz w:val="21"/>
        </w:rPr>
      </w:pPr>
    </w:p>
    <w:p w14:paraId="52EA7A70">
      <w:pPr>
        <w:spacing w:before="75" w:line="500" w:lineRule="auto"/>
        <w:ind w:left="6001" w:right="614"/>
        <w:rPr>
          <w:color w:val="auto"/>
        </w:rPr>
        <w:sectPr>
          <w:footerReference r:id="rId39" w:type="default"/>
          <w:pgSz w:w="11906" w:h="16839"/>
          <w:pgMar w:top="400" w:right="1532" w:bottom="1156" w:left="1627" w:header="0" w:footer="996" w:gutter="0"/>
          <w:pgNumType w:fmt="decimal"/>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27E58EF2">
      <w:pPr>
        <w:spacing w:line="283" w:lineRule="auto"/>
        <w:rPr>
          <w:rFonts w:ascii="Arial"/>
          <w:color w:val="auto"/>
          <w:sz w:val="21"/>
        </w:rPr>
      </w:pPr>
    </w:p>
    <w:p w14:paraId="6E8F13F3">
      <w:pPr>
        <w:spacing w:line="283" w:lineRule="auto"/>
        <w:rPr>
          <w:rFonts w:ascii="Arial"/>
          <w:color w:val="auto"/>
          <w:sz w:val="21"/>
        </w:rPr>
      </w:pPr>
    </w:p>
    <w:p w14:paraId="0246D7C2">
      <w:pPr>
        <w:spacing w:line="283" w:lineRule="auto"/>
        <w:rPr>
          <w:rFonts w:ascii="Arial"/>
          <w:color w:val="auto"/>
          <w:sz w:val="21"/>
        </w:rPr>
      </w:pPr>
    </w:p>
    <w:p w14:paraId="2BAD5EC5">
      <w:pPr>
        <w:spacing w:line="284" w:lineRule="auto"/>
        <w:rPr>
          <w:rFonts w:ascii="Arial"/>
          <w:color w:val="auto"/>
          <w:sz w:val="21"/>
        </w:rPr>
      </w:pPr>
    </w:p>
    <w:p w14:paraId="444640FB">
      <w:pPr>
        <w:spacing w:line="284" w:lineRule="auto"/>
        <w:rPr>
          <w:rFonts w:ascii="Arial"/>
          <w:color w:val="auto"/>
          <w:sz w:val="21"/>
        </w:rPr>
      </w:pPr>
    </w:p>
    <w:p w14:paraId="0C2DFCD9">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781FDCD3">
      <w:pPr>
        <w:spacing w:before="236" w:line="433" w:lineRule="auto"/>
        <w:ind w:left="1" w:firstLine="480"/>
        <w:jc w:val="right"/>
        <w:rPr>
          <w:rFonts w:ascii="宋体" w:hAnsi="宋体" w:eastAsia="宋体" w:cs="宋体"/>
          <w:color w:val="auto"/>
          <w:spacing w:val="12"/>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 明 ，根据《 政府采购促进 中小企业发展管理办法 》  (财库</w:t>
      </w:r>
      <w:r>
        <w:rPr>
          <w:rFonts w:ascii="宋体" w:hAnsi="宋体" w:eastAsia="宋体" w:cs="宋体"/>
          <w:color w:val="auto"/>
          <w:sz w:val="23"/>
          <w:szCs w:val="23"/>
        </w:rPr>
        <w:t xml:space="preserve"> </w:t>
      </w:r>
      <w:r>
        <w:rPr>
          <w:rFonts w:ascii="宋体" w:hAnsi="宋体" w:eastAsia="宋体" w:cs="宋体"/>
          <w:color w:val="auto"/>
          <w:spacing w:val="18"/>
          <w:sz w:val="23"/>
          <w:szCs w:val="23"/>
        </w:rPr>
        <w:t>﹝ 2</w:t>
      </w:r>
      <w:r>
        <w:rPr>
          <w:rFonts w:ascii="宋体" w:hAnsi="宋体" w:eastAsia="宋体" w:cs="宋体"/>
          <w:color w:val="auto"/>
          <w:spacing w:val="12"/>
          <w:sz w:val="23"/>
          <w:szCs w:val="23"/>
        </w:rPr>
        <w:t>0</w:t>
      </w:r>
      <w:r>
        <w:rPr>
          <w:rFonts w:ascii="宋体" w:hAnsi="宋体" w:eastAsia="宋体" w:cs="宋体"/>
          <w:color w:val="auto"/>
          <w:spacing w:val="9"/>
          <w:sz w:val="23"/>
          <w:szCs w:val="23"/>
        </w:rPr>
        <w:t>20 ﹞ 46 号) 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 的</w:t>
      </w:r>
      <w:r>
        <w:rPr>
          <w:rFonts w:ascii="宋体" w:hAnsi="宋体" w:eastAsia="宋体" w:cs="宋体"/>
          <w:color w:val="auto"/>
          <w:spacing w:val="9"/>
          <w:sz w:val="23"/>
          <w:szCs w:val="23"/>
          <w:u w:val="single"/>
        </w:rPr>
        <w:t xml:space="preserve"> </w:t>
      </w:r>
      <w:r>
        <w:rPr>
          <w:rFonts w:hint="eastAsia" w:ascii="宋体" w:hAnsi="宋体" w:eastAsia="宋体" w:cs="宋体"/>
          <w:color w:val="auto"/>
          <w:spacing w:val="9"/>
          <w:sz w:val="23"/>
          <w:szCs w:val="23"/>
          <w:u w:val="single"/>
          <w:lang w:val="en-US" w:eastAsia="zh-CN"/>
        </w:rPr>
        <w:t xml:space="preserve">   </w:t>
      </w:r>
      <w:r>
        <w:rPr>
          <w:rFonts w:ascii="宋体" w:hAnsi="宋体" w:eastAsia="宋体" w:cs="宋体"/>
          <w:color w:val="auto"/>
          <w:spacing w:val="9"/>
          <w:sz w:val="23"/>
          <w:szCs w:val="23"/>
        </w:rPr>
        <w:t>(项目名称) 采购活</w:t>
      </w:r>
      <w:r>
        <w:rPr>
          <w:rFonts w:ascii="宋体" w:hAnsi="宋体" w:eastAsia="宋体" w:cs="宋体"/>
          <w:color w:val="auto"/>
          <w:sz w:val="23"/>
          <w:szCs w:val="23"/>
        </w:rPr>
        <w:t xml:space="preserve"> </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r>
        <w:rPr>
          <w:rFonts w:ascii="宋体" w:hAnsi="宋体" w:eastAsia="宋体" w:cs="宋体"/>
          <w:color w:val="auto"/>
          <w:spacing w:val="12"/>
          <w:sz w:val="23"/>
          <w:szCs w:val="23"/>
        </w:rPr>
        <w:t>工程的施工单位全部为符合政策要求的中小企业 (或者：服务全部由符</w:t>
      </w:r>
    </w:p>
    <w:p w14:paraId="11131CFE">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2D7ADB7E">
      <w:pPr>
        <w:spacing w:line="227" w:lineRule="auto"/>
        <w:ind w:left="498"/>
        <w:rPr>
          <w:rFonts w:ascii="宋体" w:hAnsi="宋体" w:eastAsia="宋体" w:cs="宋体"/>
          <w:color w:val="auto"/>
          <w:sz w:val="23"/>
          <w:szCs w:val="23"/>
        </w:rPr>
      </w:pPr>
      <w:r>
        <w:rPr>
          <w:rFonts w:ascii="宋体" w:hAnsi="宋体" w:eastAsia="宋体" w:cs="宋体"/>
          <w:color w:val="auto"/>
          <w:spacing w:val="24"/>
          <w:sz w:val="23"/>
          <w:szCs w:val="23"/>
        </w:rPr>
        <w:t>1</w:t>
      </w:r>
      <w:r>
        <w:rPr>
          <w:rFonts w:ascii="宋体" w:hAnsi="宋体" w:eastAsia="宋体" w:cs="宋体"/>
          <w:color w:val="auto"/>
          <w:spacing w:val="21"/>
          <w:sz w:val="23"/>
          <w:szCs w:val="23"/>
        </w:rPr>
        <w:t>.</w:t>
      </w:r>
      <w:r>
        <w:rPr>
          <w:rFonts w:ascii="宋体" w:hAnsi="宋体" w:eastAsia="宋体" w:cs="宋体"/>
          <w:color w:val="auto"/>
          <w:spacing w:val="12"/>
          <w:sz w:val="23"/>
          <w:szCs w:val="23"/>
          <w:u w:val="single"/>
        </w:rPr>
        <w:t xml:space="preserve"> </w:t>
      </w:r>
      <w:r>
        <w:rPr>
          <w:rFonts w:hint="eastAsia" w:ascii="宋体" w:hAnsi="宋体" w:eastAsia="宋体" w:cs="宋体"/>
          <w:color w:val="auto"/>
          <w:spacing w:val="12"/>
          <w:sz w:val="23"/>
          <w:szCs w:val="23"/>
          <w:u w:val="single"/>
          <w:lang w:val="en-US" w:eastAsia="zh-CN"/>
        </w:rPr>
        <w:t xml:space="preserve">  </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(项目名称) ，属于</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(采购文件中明确的所属行业) ；承建(承接)</w:t>
      </w:r>
    </w:p>
    <w:p w14:paraId="19285B9A">
      <w:pPr>
        <w:spacing w:before="257" w:line="433" w:lineRule="auto"/>
        <w:ind w:left="5" w:hanging="1"/>
        <w:rPr>
          <w:rFonts w:ascii="宋体" w:hAnsi="宋体" w:eastAsia="宋体" w:cs="宋体"/>
          <w:color w:val="auto"/>
          <w:sz w:val="23"/>
          <w:szCs w:val="23"/>
        </w:rPr>
      </w:pP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BF39933">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项目</w:t>
      </w:r>
      <w:r>
        <w:rPr>
          <w:rFonts w:ascii="宋体" w:hAnsi="宋体" w:eastAsia="宋体" w:cs="宋体"/>
          <w:color w:val="auto"/>
          <w:spacing w:val="10"/>
          <w:sz w:val="23"/>
          <w:szCs w:val="23"/>
        </w:rPr>
        <w:t>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w:t>
      </w:r>
      <w:r>
        <w:rPr>
          <w:rFonts w:ascii="宋体" w:hAnsi="宋体" w:eastAsia="宋体" w:cs="宋体"/>
          <w:color w:val="auto"/>
          <w:spacing w:val="12"/>
          <w:sz w:val="23"/>
          <w:szCs w:val="23"/>
        </w:rPr>
        <w:t>承建(承接)</w:t>
      </w:r>
      <w:r>
        <w:rPr>
          <w:rFonts w:hint="eastAsia" w:ascii="宋体" w:hAnsi="宋体" w:eastAsia="宋体" w:cs="宋体"/>
          <w:color w:val="auto"/>
          <w:spacing w:val="12"/>
          <w:sz w:val="23"/>
          <w:szCs w:val="23"/>
          <w:lang w:val="en-US" w:eastAsia="zh-CN"/>
        </w:rPr>
        <w:t>企业</w:t>
      </w:r>
      <w:r>
        <w:rPr>
          <w:rFonts w:ascii="宋体" w:hAnsi="宋体" w:eastAsia="宋体" w:cs="宋体"/>
          <w:color w:val="auto"/>
          <w:spacing w:val="24"/>
          <w:sz w:val="23"/>
          <w:szCs w:val="23"/>
        </w:rPr>
        <w:t>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FCC53B3">
      <w:pPr>
        <w:spacing w:line="260" w:lineRule="auto"/>
        <w:rPr>
          <w:rFonts w:ascii="Arial"/>
          <w:color w:val="auto"/>
          <w:sz w:val="21"/>
        </w:rPr>
      </w:pPr>
    </w:p>
    <w:p w14:paraId="226A32A2">
      <w:pPr>
        <w:spacing w:line="260" w:lineRule="auto"/>
        <w:rPr>
          <w:rFonts w:ascii="Arial"/>
          <w:color w:val="auto"/>
          <w:sz w:val="21"/>
        </w:rPr>
      </w:pPr>
    </w:p>
    <w:p w14:paraId="2FA61252">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18122DD1">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1CB9591F">
      <w:pPr>
        <w:rPr>
          <w:rFonts w:ascii="Arial"/>
          <w:color w:val="auto"/>
          <w:sz w:val="21"/>
        </w:rPr>
      </w:pPr>
    </w:p>
    <w:p w14:paraId="4CA8CD27">
      <w:pPr>
        <w:rPr>
          <w:rFonts w:ascii="Arial"/>
          <w:color w:val="auto"/>
          <w:sz w:val="21"/>
        </w:rPr>
      </w:pPr>
    </w:p>
    <w:p w14:paraId="657F0C05">
      <w:pPr>
        <w:spacing w:line="241" w:lineRule="auto"/>
        <w:rPr>
          <w:rFonts w:ascii="Arial"/>
          <w:color w:val="auto"/>
          <w:sz w:val="21"/>
        </w:rPr>
      </w:pPr>
    </w:p>
    <w:p w14:paraId="301DA388">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502F6B4D">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7B3C47F8">
      <w:pPr>
        <w:spacing w:line="254" w:lineRule="auto"/>
        <w:rPr>
          <w:rFonts w:ascii="Arial"/>
          <w:color w:val="auto"/>
          <w:sz w:val="21"/>
        </w:rPr>
      </w:pPr>
    </w:p>
    <w:p w14:paraId="308717B6">
      <w:pPr>
        <w:spacing w:line="255" w:lineRule="auto"/>
        <w:rPr>
          <w:rFonts w:ascii="Arial"/>
          <w:color w:val="auto"/>
          <w:sz w:val="21"/>
        </w:rPr>
      </w:pPr>
    </w:p>
    <w:p w14:paraId="3B6799E9">
      <w:pPr>
        <w:spacing w:line="255" w:lineRule="auto"/>
        <w:rPr>
          <w:rFonts w:ascii="Arial"/>
          <w:color w:val="auto"/>
          <w:sz w:val="21"/>
        </w:rPr>
      </w:pPr>
    </w:p>
    <w:p w14:paraId="0919908C">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8676452">
      <w:pPr>
        <w:rPr>
          <w:color w:val="auto"/>
        </w:rPr>
      </w:pPr>
    </w:p>
    <w:p w14:paraId="36358A7A">
      <w:pPr>
        <w:pStyle w:val="7"/>
        <w:rPr>
          <w:color w:val="auto"/>
        </w:rPr>
      </w:pPr>
    </w:p>
    <w:p w14:paraId="58286524">
      <w:pPr>
        <w:rPr>
          <w:color w:val="auto"/>
        </w:rPr>
      </w:pPr>
    </w:p>
    <w:p w14:paraId="2078AC0E">
      <w:pPr>
        <w:pStyle w:val="7"/>
        <w:rPr>
          <w:color w:val="auto"/>
        </w:rPr>
      </w:pPr>
    </w:p>
    <w:p w14:paraId="5C25D060">
      <w:pPr>
        <w:rPr>
          <w:color w:val="auto"/>
        </w:rPr>
      </w:pPr>
    </w:p>
    <w:p w14:paraId="72136AD3">
      <w:pPr>
        <w:pStyle w:val="7"/>
        <w:rPr>
          <w:color w:val="auto"/>
        </w:rPr>
      </w:pPr>
    </w:p>
    <w:p w14:paraId="037F1114">
      <w:pPr>
        <w:rPr>
          <w:color w:val="auto"/>
        </w:rPr>
      </w:pPr>
    </w:p>
    <w:p w14:paraId="2E3219C8">
      <w:pPr>
        <w:pStyle w:val="7"/>
        <w:rPr>
          <w:color w:val="auto"/>
        </w:rPr>
      </w:pPr>
    </w:p>
    <w:p w14:paraId="70FA8005"/>
    <w:p w14:paraId="61266F83">
      <w:pPr>
        <w:pStyle w:val="7"/>
        <w:ind w:left="0" w:leftChars="0" w:firstLine="0" w:firstLineChars="0"/>
        <w:rPr>
          <w:color w:val="auto"/>
        </w:rPr>
      </w:pPr>
    </w:p>
    <w:p w14:paraId="7DF1CC28">
      <w:pPr>
        <w:jc w:val="center"/>
        <w:rPr>
          <w:rFonts w:hint="eastAsia"/>
          <w:b/>
          <w:bCs/>
          <w:color w:val="000000" w:themeColor="text1"/>
          <w:sz w:val="28"/>
          <w:szCs w:val="28"/>
          <w:highlight w:val="none"/>
          <w14:textFill>
            <w14:solidFill>
              <w14:schemeClr w14:val="tx1"/>
            </w14:solidFill>
          </w14:textFill>
        </w:rPr>
      </w:pPr>
      <w:r>
        <w:rPr>
          <w:rFonts w:hint="eastAsia" w:eastAsia="宋体"/>
          <w:b/>
          <w:bCs/>
          <w:color w:val="auto"/>
          <w:lang w:val="en-US" w:eastAsia="zh-CN"/>
        </w:rPr>
        <w:t>11、</w:t>
      </w:r>
      <w:r>
        <w:rPr>
          <w:rFonts w:hint="eastAsia"/>
          <w:b/>
          <w:bCs/>
          <w:color w:val="000000" w:themeColor="text1"/>
          <w:sz w:val="28"/>
          <w:szCs w:val="28"/>
          <w:highlight w:val="none"/>
          <w14:textFill>
            <w14:solidFill>
              <w14:schemeClr w14:val="tx1"/>
            </w14:solidFill>
          </w14:textFill>
        </w:rPr>
        <w:t>《中华人民共和国政府采购法》第二十二条规定承诺</w:t>
      </w:r>
    </w:p>
    <w:p w14:paraId="2DD12157">
      <w:pPr>
        <w:rPr>
          <w:rFonts w:hint="eastAsia"/>
          <w:color w:val="000000" w:themeColor="text1"/>
          <w:highlight w:val="none"/>
          <w14:textFill>
            <w14:solidFill>
              <w14:schemeClr w14:val="tx1"/>
            </w14:solidFill>
          </w14:textFill>
        </w:rPr>
      </w:pPr>
    </w:p>
    <w:p w14:paraId="7D2781B5">
      <w:pPr>
        <w:pStyle w:val="7"/>
        <w:rPr>
          <w:rFonts w:hint="eastAsia"/>
        </w:rPr>
      </w:pPr>
    </w:p>
    <w:p w14:paraId="09B52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w:t>
      </w:r>
    </w:p>
    <w:p w14:paraId="3E140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我司参与</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项目，我司承诺我司符合《中华人民共和国政府采购法》第二十二条规定:</w:t>
      </w:r>
    </w:p>
    <w:p w14:paraId="400ADC63">
      <w:pPr>
        <w:rPr>
          <w:rFonts w:hint="eastAsia"/>
          <w:color w:val="000000" w:themeColor="text1"/>
          <w:highlight w:val="none"/>
          <w14:textFill>
            <w14:solidFill>
              <w14:schemeClr w14:val="tx1"/>
            </w14:solidFill>
          </w14:textFill>
        </w:rPr>
      </w:pPr>
    </w:p>
    <w:p w14:paraId="3B2886D7">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14:paraId="6508F5DC">
      <w:pPr>
        <w:rPr>
          <w:rFonts w:hint="eastAsia"/>
          <w:color w:val="000000" w:themeColor="text1"/>
          <w:highlight w:val="none"/>
          <w14:textFill>
            <w14:solidFill>
              <w14:schemeClr w14:val="tx1"/>
            </w14:solidFill>
          </w14:textFill>
        </w:rPr>
      </w:pPr>
    </w:p>
    <w:p w14:paraId="4560582B">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(2)具有良好的商业信誉和健全的财务会计制度;</w:t>
      </w:r>
    </w:p>
    <w:p w14:paraId="19C5C2E2">
      <w:pPr>
        <w:rPr>
          <w:rFonts w:hint="eastAsia"/>
          <w:color w:val="000000" w:themeColor="text1"/>
          <w:highlight w:val="none"/>
          <w14:textFill>
            <w14:solidFill>
              <w14:schemeClr w14:val="tx1"/>
            </w14:solidFill>
          </w14:textFill>
        </w:rPr>
      </w:pPr>
    </w:p>
    <w:p w14:paraId="41789771">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具有履行合同所必需的设备和专业技术能力;</w:t>
      </w:r>
    </w:p>
    <w:p w14:paraId="01EB88E8">
      <w:pPr>
        <w:rPr>
          <w:rFonts w:hint="eastAsia"/>
          <w:color w:val="000000" w:themeColor="text1"/>
          <w:highlight w:val="none"/>
          <w14:textFill>
            <w14:solidFill>
              <w14:schemeClr w14:val="tx1"/>
            </w14:solidFill>
          </w14:textFill>
        </w:rPr>
      </w:pPr>
    </w:p>
    <w:p w14:paraId="4E1FDCEF">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有依法缴纳税收和社会保障资金的良好记录;</w:t>
      </w:r>
    </w:p>
    <w:p w14:paraId="2E7D83C6">
      <w:pPr>
        <w:rPr>
          <w:rFonts w:hint="eastAsia"/>
          <w:color w:val="000000" w:themeColor="text1"/>
          <w:highlight w:val="none"/>
          <w14:textFill>
            <w14:solidFill>
              <w14:schemeClr w14:val="tx1"/>
            </w14:solidFill>
          </w14:textFill>
        </w:rPr>
      </w:pPr>
    </w:p>
    <w:p w14:paraId="203CE28D">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(5)参加政府采购活动前三年内，在经营活动中没有重大违法记录;</w:t>
      </w:r>
    </w:p>
    <w:p w14:paraId="606F6F93">
      <w:pPr>
        <w:rPr>
          <w:rFonts w:hint="eastAsia"/>
          <w:color w:val="000000" w:themeColor="text1"/>
          <w:highlight w:val="none"/>
          <w14:textFill>
            <w14:solidFill>
              <w14:schemeClr w14:val="tx1"/>
            </w14:solidFill>
          </w14:textFill>
        </w:rPr>
      </w:pPr>
    </w:p>
    <w:p w14:paraId="19FE66A3">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法律、行政法规规定的其他条件。</w:t>
      </w:r>
    </w:p>
    <w:p w14:paraId="4F87084A">
      <w:pPr>
        <w:rPr>
          <w:rFonts w:hint="eastAsia"/>
          <w:color w:val="000000" w:themeColor="text1"/>
          <w:highlight w:val="none"/>
          <w14:textFill>
            <w14:solidFill>
              <w14:schemeClr w14:val="tx1"/>
            </w14:solidFill>
          </w14:textFill>
        </w:rPr>
      </w:pPr>
    </w:p>
    <w:p w14:paraId="43653D2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1D47F192">
      <w:pPr>
        <w:pStyle w:val="7"/>
        <w:rPr>
          <w:color w:val="000000" w:themeColor="text1"/>
          <w:highlight w:val="none"/>
          <w14:textFill>
            <w14:solidFill>
              <w14:schemeClr w14:val="tx1"/>
            </w14:solidFill>
          </w14:textFill>
        </w:rPr>
      </w:pPr>
    </w:p>
    <w:p w14:paraId="1A954E8F">
      <w:pPr>
        <w:rPr>
          <w:color w:val="000000" w:themeColor="text1"/>
          <w:highlight w:val="none"/>
          <w14:textFill>
            <w14:solidFill>
              <w14:schemeClr w14:val="tx1"/>
            </w14:solidFill>
          </w14:textFill>
        </w:rPr>
      </w:pPr>
    </w:p>
    <w:p w14:paraId="24C1F16F">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投标供应商名称（公章）：</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692B6E29">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法定代表人或授权代表人（签字）：</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56E7B4C1">
      <w:pPr>
        <w:spacing w:line="500" w:lineRule="exact"/>
        <w:ind w:firstLine="420" w:firstLineChars="200"/>
        <w:rPr>
          <w:rFonts w:hint="eastAsia" w:eastAsia="宋体"/>
          <w:lang w:val="en-US" w:eastAsia="zh-CN"/>
        </w:rPr>
        <w:sectPr>
          <w:headerReference r:id="rId40" w:type="default"/>
          <w:footerReference r:id="rId41" w:type="default"/>
          <w:pgSz w:w="11906" w:h="16839"/>
          <w:pgMar w:top="400" w:right="1530" w:bottom="1156" w:left="1628" w:header="0" w:footer="996" w:gutter="0"/>
          <w:pgNumType w:fmt="decimal"/>
          <w:cols w:space="720" w:num="1"/>
        </w:sectPr>
      </w:pPr>
      <w:r>
        <w:rPr>
          <w:rFonts w:hint="eastAsia"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p>
    <w:p w14:paraId="0D26F786">
      <w:pPr>
        <w:pStyle w:val="4"/>
        <w:bidi w:val="0"/>
        <w:jc w:val="center"/>
        <w:rPr>
          <w:rFonts w:hint="eastAsia" w:ascii="宋体" w:hAnsi="宋体" w:eastAsia="宋体" w:cs="宋体"/>
          <w:color w:val="auto"/>
          <w:sz w:val="32"/>
          <w:szCs w:val="16"/>
        </w:rPr>
      </w:pPr>
      <w:r>
        <w:rPr>
          <w:rFonts w:hint="eastAsia" w:ascii="宋体" w:hAnsi="宋体" w:eastAsia="宋体" w:cs="宋体"/>
          <w:color w:val="auto"/>
          <w:sz w:val="32"/>
          <w:szCs w:val="16"/>
        </w:rPr>
        <w:t>技术部分</w:t>
      </w:r>
    </w:p>
    <w:sectPr>
      <w:footerReference r:id="rId42" w:type="default"/>
      <w:pgSz w:w="11906" w:h="16839"/>
      <w:pgMar w:top="400" w:right="1532" w:bottom="1156" w:left="1785"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宋体鷉....">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5ED9">
    <w:pPr>
      <w:spacing w:line="196" w:lineRule="auto"/>
      <w:ind w:right="35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39B60">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39B60">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BAC7">
    <w:pPr>
      <w:spacing w:line="196" w:lineRule="auto"/>
      <w:ind w:left="95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8B46">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738B46">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6B8F">
    <w:pPr>
      <w:spacing w:line="196" w:lineRule="auto"/>
      <w:ind w:left="9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96913">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B96913">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28DD">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1044F">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C1044F">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Times New Roman" w:cs="Times New Roman"/>
        <w:spacing w:val="4"/>
        <w:sz w:val="17"/>
        <w:szCs w:val="17"/>
      </w:rPr>
      <w:t>45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E2F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2665F">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42665F">
                    <w:pPr>
                      <w:pStyle w:val="11"/>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4"/>
        <w:sz w:val="17"/>
        <w:szCs w:val="17"/>
      </w:rPr>
      <w:t>46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015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C8F9">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95C8F9">
                    <w:pPr>
                      <w:pStyle w:val="11"/>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4"/>
        <w:sz w:val="17"/>
        <w:szCs w:val="17"/>
      </w:rPr>
      <w:t>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CD0D">
    <w:pPr>
      <w:spacing w:line="196" w:lineRule="auto"/>
      <w:ind w:left="85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8B6B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28B6B0">
                    <w:pPr>
                      <w:pStyle w:val="11"/>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4"/>
        <w:sz w:val="17"/>
        <w:szCs w:val="17"/>
      </w:rPr>
      <w:t>48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E8B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1BCFB">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A1BCFB">
                    <w:pPr>
                      <w:pStyle w:val="11"/>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4"/>
        <w:sz w:val="17"/>
        <w:szCs w:val="17"/>
      </w:rPr>
      <w:t>49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E5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DBBA">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D4DBBA">
                    <w:pPr>
                      <w:pStyle w:val="11"/>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1"/>
        <w:sz w:val="17"/>
        <w:szCs w:val="17"/>
      </w:rPr>
      <w:t>50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1FB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AAA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E0AAA3">
                    <w:pPr>
                      <w:pStyle w:val="11"/>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1"/>
        <w:sz w:val="17"/>
        <w:szCs w:val="17"/>
      </w:rPr>
      <w:t>52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25B2">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54783">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854783">
                    <w:pPr>
                      <w:pStyle w:val="11"/>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7"/>
        <w:szCs w:val="17"/>
      </w:rPr>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1E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E903">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16E903">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D2C6">
    <w:pPr>
      <w:spacing w:line="196" w:lineRule="auto"/>
      <w:ind w:right="27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76E3">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876E3">
                    <w:pPr>
                      <w:pStyle w:val="11"/>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1"/>
        <w:sz w:val="17"/>
        <w:szCs w:val="17"/>
      </w:rPr>
      <w:t>54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F073">
    <w:pPr>
      <w:spacing w:line="193" w:lineRule="auto"/>
      <w:ind w:right="43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E3F6C">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2E3F6C">
                    <w:pPr>
                      <w:pStyle w:val="11"/>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1"/>
        <w:sz w:val="17"/>
        <w:szCs w:val="17"/>
      </w:rPr>
      <w:t>55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0E1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385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53385E">
                    <w:pPr>
                      <w:pStyle w:val="11"/>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1"/>
        <w:sz w:val="17"/>
        <w:szCs w:val="17"/>
      </w:rPr>
      <w:t>56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E2E">
    <w:pPr>
      <w:spacing w:line="193"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A37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09A378">
                    <w:pPr>
                      <w:pStyle w:val="11"/>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1"/>
        <w:sz w:val="17"/>
        <w:szCs w:val="17"/>
      </w:rPr>
      <w:t>57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A19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290FA">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B7290FA">
                    <w:pPr>
                      <w:pStyle w:val="11"/>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1"/>
        <w:sz w:val="17"/>
        <w:szCs w:val="17"/>
      </w:rPr>
      <w:t>58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797A">
    <w:pPr>
      <w:spacing w:line="196" w:lineRule="auto"/>
      <w:ind w:left="86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D590">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35D590">
                    <w:pPr>
                      <w:pStyle w:val="11"/>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1"/>
        <w:sz w:val="17"/>
        <w:szCs w:val="17"/>
      </w:rPr>
      <w:t>59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F4E3">
    <w:pPr>
      <w:spacing w:line="196" w:lineRule="auto"/>
      <w:ind w:right="70"/>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34E5F">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334E5F">
                    <w:pPr>
                      <w:pStyle w:val="11"/>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4131">
    <w:pPr>
      <w:spacing w:line="196" w:lineRule="auto"/>
      <w:ind w:right="77"/>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4008">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124008">
                    <w:pPr>
                      <w:pStyle w:val="11"/>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8F6">
    <w:pPr>
      <w:spacing w:line="196" w:lineRule="auto"/>
      <w:ind w:right="5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193A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2193A1">
                    <w:pPr>
                      <w:pStyle w:val="11"/>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A6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170C8">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7B170C8">
                    <w:pPr>
                      <w:pStyle w:val="11"/>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A3E">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4C1B6">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4C1B6">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D7A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7BDE">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2D07BDE">
                    <w:pPr>
                      <w:pStyle w:val="11"/>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87B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C26A">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CC26A">
                    <w:pPr>
                      <w:pStyle w:val="11"/>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E2C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BB57">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CD4BB57">
                    <w:pPr>
                      <w:pStyle w:val="11"/>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BA3B">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73BF">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DF73BF">
                    <w:pPr>
                      <w:pStyle w:val="11"/>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35A9">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2C23">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32C23">
                    <w:pPr>
                      <w:pStyle w:val="11"/>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96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FC593">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5FC593">
                    <w:pPr>
                      <w:pStyle w:val="11"/>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7"/>
        <w:szCs w:val="17"/>
      </w:rPr>
      <w:t>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F56C">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1C03">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161C03">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7D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7B0F">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F27B0F">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D4A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444F4">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A444F4">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19B0">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79CCE">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E79CCE">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99BC">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8F54">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508F54">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301F">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BB07">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D9BB07">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585F">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8F0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7056">
    <w:pPr>
      <w:pStyle w:val="31"/>
      <w:spacing w:line="360" w:lineRule="auto"/>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7575C"/>
    <w:multiLevelType w:val="singleLevel"/>
    <w:tmpl w:val="C967575C"/>
    <w:lvl w:ilvl="0" w:tentative="0">
      <w:start w:val="1"/>
      <w:numFmt w:val="decimal"/>
      <w:lvlText w:val="(%1)"/>
      <w:lvlJc w:val="left"/>
      <w:pPr>
        <w:tabs>
          <w:tab w:val="left" w:pos="312"/>
        </w:tabs>
      </w:pPr>
    </w:lvl>
  </w:abstractNum>
  <w:abstractNum w:abstractNumId="1">
    <w:nsid w:val="ECA070D9"/>
    <w:multiLevelType w:val="singleLevel"/>
    <w:tmpl w:val="ECA070D9"/>
    <w:lvl w:ilvl="0" w:tentative="0">
      <w:start w:val="6"/>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kYzVmMTM1Y2NmMDlkZjY0ZjNhYTI1MWJiOWEyYjcifQ=="/>
  </w:docVars>
  <w:rsids>
    <w:rsidRoot w:val="00000000"/>
    <w:rsid w:val="00B91E2D"/>
    <w:rsid w:val="02183A4F"/>
    <w:rsid w:val="03B86720"/>
    <w:rsid w:val="03F531F3"/>
    <w:rsid w:val="081B27FE"/>
    <w:rsid w:val="092B4317"/>
    <w:rsid w:val="09364E19"/>
    <w:rsid w:val="09C4411D"/>
    <w:rsid w:val="0A065C14"/>
    <w:rsid w:val="0A1126E2"/>
    <w:rsid w:val="0D072DEE"/>
    <w:rsid w:val="0D1E134E"/>
    <w:rsid w:val="0D95651B"/>
    <w:rsid w:val="0E806DD8"/>
    <w:rsid w:val="0ED97170"/>
    <w:rsid w:val="0F0E6134"/>
    <w:rsid w:val="10FD7E68"/>
    <w:rsid w:val="11CB5870"/>
    <w:rsid w:val="12C10A21"/>
    <w:rsid w:val="13AA4522"/>
    <w:rsid w:val="14926FCF"/>
    <w:rsid w:val="14951CC1"/>
    <w:rsid w:val="17494281"/>
    <w:rsid w:val="18626568"/>
    <w:rsid w:val="187E49D1"/>
    <w:rsid w:val="193916DC"/>
    <w:rsid w:val="1988395E"/>
    <w:rsid w:val="1B61649C"/>
    <w:rsid w:val="1C222A23"/>
    <w:rsid w:val="1E313B23"/>
    <w:rsid w:val="200A3A07"/>
    <w:rsid w:val="20752C51"/>
    <w:rsid w:val="2116462E"/>
    <w:rsid w:val="23FC181C"/>
    <w:rsid w:val="258C7D3A"/>
    <w:rsid w:val="26154F04"/>
    <w:rsid w:val="28702875"/>
    <w:rsid w:val="28995662"/>
    <w:rsid w:val="29DC2F7B"/>
    <w:rsid w:val="2C073794"/>
    <w:rsid w:val="2D5278A4"/>
    <w:rsid w:val="300C557A"/>
    <w:rsid w:val="31FE700D"/>
    <w:rsid w:val="331A39A4"/>
    <w:rsid w:val="332233DC"/>
    <w:rsid w:val="334F76AE"/>
    <w:rsid w:val="34082182"/>
    <w:rsid w:val="34AD3F8A"/>
    <w:rsid w:val="35C0745C"/>
    <w:rsid w:val="36EF5739"/>
    <w:rsid w:val="39485FEC"/>
    <w:rsid w:val="39F23A32"/>
    <w:rsid w:val="3A7206CF"/>
    <w:rsid w:val="3F2D54A3"/>
    <w:rsid w:val="3F3A0A56"/>
    <w:rsid w:val="404A142B"/>
    <w:rsid w:val="40A627BF"/>
    <w:rsid w:val="43581F94"/>
    <w:rsid w:val="46DC1E3E"/>
    <w:rsid w:val="47133D28"/>
    <w:rsid w:val="4834259F"/>
    <w:rsid w:val="48FC3FCB"/>
    <w:rsid w:val="4B676243"/>
    <w:rsid w:val="4BD16573"/>
    <w:rsid w:val="4C6762F5"/>
    <w:rsid w:val="4D4E5624"/>
    <w:rsid w:val="4EE12264"/>
    <w:rsid w:val="523B43FE"/>
    <w:rsid w:val="525C7A89"/>
    <w:rsid w:val="52674839"/>
    <w:rsid w:val="528D20F2"/>
    <w:rsid w:val="53A616BE"/>
    <w:rsid w:val="54023B7E"/>
    <w:rsid w:val="554C5FF3"/>
    <w:rsid w:val="56244B1C"/>
    <w:rsid w:val="572F359D"/>
    <w:rsid w:val="57772EE0"/>
    <w:rsid w:val="579E1ABC"/>
    <w:rsid w:val="57E00F16"/>
    <w:rsid w:val="584D48D3"/>
    <w:rsid w:val="593F1003"/>
    <w:rsid w:val="596D0588"/>
    <w:rsid w:val="598623CD"/>
    <w:rsid w:val="598E1331"/>
    <w:rsid w:val="59A3576F"/>
    <w:rsid w:val="59E87FD4"/>
    <w:rsid w:val="5A0B0351"/>
    <w:rsid w:val="5AAA7D6A"/>
    <w:rsid w:val="5B762465"/>
    <w:rsid w:val="608F5287"/>
    <w:rsid w:val="61F21F72"/>
    <w:rsid w:val="6220088D"/>
    <w:rsid w:val="62265778"/>
    <w:rsid w:val="63A07619"/>
    <w:rsid w:val="659F67EA"/>
    <w:rsid w:val="66D70628"/>
    <w:rsid w:val="670C62AD"/>
    <w:rsid w:val="67CE0BDF"/>
    <w:rsid w:val="69E00A97"/>
    <w:rsid w:val="6A0B3BD1"/>
    <w:rsid w:val="6A671CF6"/>
    <w:rsid w:val="6CA53ED5"/>
    <w:rsid w:val="721250BA"/>
    <w:rsid w:val="75435A73"/>
    <w:rsid w:val="78B9196F"/>
    <w:rsid w:val="7B703803"/>
    <w:rsid w:val="7C6D7232"/>
    <w:rsid w:val="7D384885"/>
    <w:rsid w:val="7E483D69"/>
    <w:rsid w:val="7F2C60EF"/>
    <w:rsid w:val="7F4E4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0"/>
        <w:tab w:val="left" w:pos="567"/>
        <w:tab w:val="left" w:pos="993"/>
        <w:tab w:val="left" w:pos="1134"/>
      </w:tabs>
      <w:ind w:firstLine="420" w:firstLineChars="100"/>
    </w:pPr>
  </w:style>
  <w:style w:type="paragraph" w:styleId="3">
    <w:name w:val="Body Text"/>
    <w:basedOn w:val="1"/>
    <w:next w:val="2"/>
    <w:autoRedefine/>
    <w:qFormat/>
    <w:uiPriority w:val="0"/>
    <w:pPr>
      <w:widowControl/>
      <w:tabs>
        <w:tab w:val="left" w:pos="0"/>
        <w:tab w:val="left" w:pos="993"/>
        <w:tab w:val="left" w:pos="1134"/>
      </w:tabs>
      <w:spacing w:line="500" w:lineRule="exact"/>
    </w:pPr>
    <w:rPr>
      <w:rFonts w:ascii="宋体"/>
      <w:kern w:val="0"/>
      <w:sz w:val="28"/>
    </w:rPr>
  </w:style>
  <w:style w:type="paragraph" w:styleId="7">
    <w:name w:val="Normal Indent"/>
    <w:basedOn w:val="1"/>
    <w:next w:val="1"/>
    <w:autoRedefine/>
    <w:qFormat/>
    <w:uiPriority w:val="0"/>
    <w:pPr>
      <w:ind w:firstLine="420"/>
    </w:pPr>
  </w:style>
  <w:style w:type="paragraph" w:styleId="8">
    <w:name w:val="index 5"/>
    <w:basedOn w:val="1"/>
    <w:next w:val="1"/>
    <w:autoRedefine/>
    <w:qFormat/>
    <w:uiPriority w:val="0"/>
    <w:pPr>
      <w:ind w:left="1680"/>
    </w:pPr>
  </w:style>
  <w:style w:type="paragraph" w:styleId="9">
    <w:name w:val="Plain Text"/>
    <w:basedOn w:val="1"/>
    <w:autoRedefine/>
    <w:qFormat/>
    <w:uiPriority w:val="0"/>
    <w:rPr>
      <w:rFonts w:ascii="宋体" w:hAnsi="Courier New"/>
    </w:rPr>
  </w:style>
  <w:style w:type="paragraph" w:styleId="10">
    <w:name w:val="Date"/>
    <w:basedOn w:val="1"/>
    <w:next w:val="1"/>
    <w:autoRedefine/>
    <w:unhideWhenUsed/>
    <w:qFormat/>
    <w:uiPriority w:val="99"/>
    <w:pPr>
      <w:ind w:left="100" w:leftChars="2500"/>
    </w:pPr>
  </w:style>
  <w:style w:type="paragraph" w:styleId="11">
    <w:name w:val="footer"/>
    <w:basedOn w:val="1"/>
    <w:next w:val="8"/>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next w:val="3"/>
    <w:autoRedefine/>
    <w:qFormat/>
    <w:uiPriority w:val="0"/>
    <w:rPr>
      <w:sz w:val="20"/>
      <w:szCs w:val="20"/>
    </w:rPr>
  </w:style>
  <w:style w:type="paragraph" w:styleId="14">
    <w:name w:val="Normal (Web)"/>
    <w:basedOn w:val="1"/>
    <w:autoRedefine/>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8">
    <w:name w:val="Hyperlink"/>
    <w:basedOn w:val="17"/>
    <w:autoRedefine/>
    <w:qFormat/>
    <w:uiPriority w:val="0"/>
    <w:rPr>
      <w:color w:val="0000FF"/>
      <w:u w:val="single"/>
    </w:rPr>
  </w:style>
  <w:style w:type="paragraph" w:customStyle="1" w:styleId="19">
    <w:name w:val="Default"/>
    <w:basedOn w:val="15"/>
    <w:next w:val="1"/>
    <w:qFormat/>
    <w:uiPriority w:val="0"/>
    <w:pPr>
      <w:widowControl w:val="0"/>
      <w:autoSpaceDE w:val="0"/>
      <w:autoSpaceDN w:val="0"/>
      <w:adjustRightInd w:val="0"/>
    </w:pPr>
    <w:rPr>
      <w:rFonts w:ascii="宋体鷉...." w:eastAsia="宋体鷉...." w:cs="宋体鷉...."/>
      <w:color w:val="000000"/>
      <w:sz w:val="24"/>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OC 标题_0"/>
    <w:basedOn w:val="23"/>
    <w:next w:val="21"/>
    <w:autoRedefine/>
    <w:unhideWhenUsed/>
    <w:qFormat/>
    <w:uiPriority w:val="0"/>
    <w:pPr>
      <w:outlineLvl w:val="9"/>
    </w:pPr>
    <w:rPr>
      <w:rFonts w:ascii="Calibri" w:hAnsi="Calibri"/>
    </w:rPr>
  </w:style>
  <w:style w:type="paragraph" w:customStyle="1" w:styleId="23">
    <w:name w:val="标题 1_0"/>
    <w:basedOn w:val="21"/>
    <w:next w:val="2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4">
    <w:name w:val="正文_0_0"/>
    <w:autoRedefine/>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5">
    <w:name w:val="标题 5_0_0"/>
    <w:basedOn w:val="24"/>
    <w:next w:val="26"/>
    <w:autoRedefine/>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6">
    <w:name w:val="正文_0_0_0"/>
    <w:basedOn w:val="27"/>
    <w:qFormat/>
    <w:uiPriority w:val="0"/>
  </w:style>
  <w:style w:type="paragraph" w:customStyle="1" w:styleId="27">
    <w:name w:val="正文_0_1"/>
    <w:basedOn w:val="28"/>
    <w:qFormat/>
    <w:uiPriority w:val="0"/>
    <w:rPr>
      <w:rFonts w:cs="Calibri"/>
    </w:rPr>
  </w:style>
  <w:style w:type="paragraph" w:customStyle="1" w:styleId="28">
    <w:name w:val="正文_0_2"/>
    <w:basedOn w:val="1"/>
    <w:qFormat/>
    <w:uiPriority w:val="0"/>
    <w:rPr>
      <w:rFonts w:ascii="Times New Roman" w:hAnsi="Times New Roman"/>
      <w:szCs w:val="21"/>
    </w:rPr>
  </w:style>
  <w:style w:type="character" w:customStyle="1" w:styleId="29">
    <w:name w:val="标题 2 Char"/>
    <w:link w:val="5"/>
    <w:autoRedefine/>
    <w:qFormat/>
    <w:uiPriority w:val="0"/>
    <w:rPr>
      <w:rFonts w:ascii="Arial" w:hAnsi="Arial" w:eastAsia="黑体" w:cs="Arial"/>
      <w:b/>
      <w:bCs/>
      <w:sz w:val="32"/>
      <w:szCs w:val="32"/>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石墨文档正文"/>
    <w:autoRedefine/>
    <w:qFormat/>
    <w:uiPriority w:val="0"/>
    <w:rPr>
      <w:rFonts w:ascii="微软雅黑" w:hAnsi="微软雅黑" w:eastAsia="微软雅黑" w:cs="微软雅黑"/>
      <w:sz w:val="22"/>
      <w:szCs w:val="22"/>
      <w:lang w:val="en-US" w:eastAsia="zh-CN" w:bidi="ar-SA"/>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 w:type="paragraph" w:customStyle="1" w:styleId="34">
    <w:name w:val="_Style 6"/>
    <w:basedOn w:val="4"/>
    <w:next w:val="1"/>
    <w:qFormat/>
    <w:uiPriority w:val="0"/>
    <w:pPr>
      <w:spacing w:before="0" w:after="0" w:line="360" w:lineRule="auto"/>
      <w:outlineLvl w:val="9"/>
    </w:pPr>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5.wmf"/><Relationship Id="rId52" Type="http://schemas.openxmlformats.org/officeDocument/2006/relationships/oleObject" Target="embeddings/oleObject5.bin"/><Relationship Id="rId51" Type="http://schemas.openxmlformats.org/officeDocument/2006/relationships/image" Target="media/image4.wmf"/><Relationship Id="rId50" Type="http://schemas.openxmlformats.org/officeDocument/2006/relationships/oleObject" Target="embeddings/oleObject4.bin"/><Relationship Id="rId5" Type="http://schemas.openxmlformats.org/officeDocument/2006/relationships/header" Target="header1.xml"/><Relationship Id="rId49" Type="http://schemas.openxmlformats.org/officeDocument/2006/relationships/image" Target="media/image3.wmf"/><Relationship Id="rId48" Type="http://schemas.openxmlformats.org/officeDocument/2006/relationships/oleObject" Target="embeddings/oleObject3.bin"/><Relationship Id="rId47" Type="http://schemas.openxmlformats.org/officeDocument/2006/relationships/image" Target="media/image2.wmf"/><Relationship Id="rId46" Type="http://schemas.openxmlformats.org/officeDocument/2006/relationships/oleObject" Target="embeddings/oleObject2.bin"/><Relationship Id="rId45" Type="http://schemas.openxmlformats.org/officeDocument/2006/relationships/image" Target="media/image1.wmf"/><Relationship Id="rId44" Type="http://schemas.openxmlformats.org/officeDocument/2006/relationships/oleObject" Target="embeddings/oleObject1.bin"/><Relationship Id="rId43" Type="http://schemas.openxmlformats.org/officeDocument/2006/relationships/theme" Target="theme/theme1.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150</Pages>
  <Words>4634</Words>
  <Characters>5400</Characters>
  <TotalTime>15</TotalTime>
  <ScaleCrop>false</ScaleCrop>
  <LinksUpToDate>false</LinksUpToDate>
  <CharactersWithSpaces>5649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2023-07-03T10:32:00Z</dcterms:created>
  <dc:creator>user</dc:creator>
  <cp:lastModifiedBy>NTKO</cp:lastModifiedBy>
  <dcterms:modified xsi:type="dcterms:W3CDTF">2025-06-25T03:59:29Z</dcterms:modified>
  <dc:title>中国南方航空股份有限公司新疆分公司出勤楼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2023-07-11T11:31:29Z</vt:filetime>
  </property>
  <property fmtid="{D5CDD505-2E9C-101B-9397-08002B2CF9AE}" pid="4" name="KSOProductBuildVer">
    <vt:lpwstr>2052-12.1.0.21541</vt:lpwstr>
  </property>
  <property fmtid="{D5CDD505-2E9C-101B-9397-08002B2CF9AE}" pid="5" name="ICV">
    <vt:lpwstr>C0F758A1CC8B495B99D3A48F6E350C5E_13</vt:lpwstr>
  </property>
  <property fmtid="{D5CDD505-2E9C-101B-9397-08002B2CF9AE}" pid="6" name="KSOTemplateDocerSaveRecord">
    <vt:lpwstr>eyJoZGlkIjoiNzgxYzkxZWNhYTljOThmNTM3MTMxM2VhM2YzNDNhYzciLCJ1c2VySWQiOiIyNzEwMDQ3NTMifQ==</vt:lpwstr>
  </property>
</Properties>
</file>